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880" w:firstLineChars="200"/>
        <w:rPr>
          <w:rFonts w:eastAsia="方正小标宋简体"/>
          <w:sz w:val="40"/>
          <w:szCs w:val="40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ab/>
      </w:r>
      <w:r>
        <w:rPr>
          <w:rFonts w:eastAsia="方正小标宋简体"/>
          <w:sz w:val="40"/>
          <w:szCs w:val="40"/>
        </w:rPr>
        <w:t>2023</w:t>
      </w:r>
      <w:r>
        <w:rPr>
          <w:rFonts w:hint="eastAsia" w:eastAsia="方正小标宋简体"/>
          <w:sz w:val="40"/>
          <w:szCs w:val="40"/>
        </w:rPr>
        <w:t>年城乡居民医保区级财政补助及</w:t>
      </w:r>
      <w:r>
        <w:rPr>
          <w:rFonts w:eastAsia="方正小标宋简体"/>
          <w:sz w:val="40"/>
          <w:szCs w:val="40"/>
        </w:rPr>
        <w:t xml:space="preserve">       </w:t>
      </w:r>
    </w:p>
    <w:p>
      <w:pPr>
        <w:spacing w:line="560" w:lineRule="exact"/>
        <w:ind w:left="1000" w:hanging="1000" w:hangingChars="250"/>
        <w:jc w:val="center"/>
        <w:rPr>
          <w:rFonts w:eastAsia="方正小标宋简体"/>
          <w:sz w:val="40"/>
          <w:szCs w:val="40"/>
        </w:rPr>
      </w:pPr>
      <w:r>
        <w:rPr>
          <w:rFonts w:hint="eastAsia" w:eastAsia="方正小标宋简体"/>
          <w:sz w:val="40"/>
          <w:szCs w:val="40"/>
          <w:lang w:eastAsia="zh-CN"/>
        </w:rPr>
        <w:t>参</w:t>
      </w:r>
      <w:r>
        <w:rPr>
          <w:rFonts w:hint="eastAsia" w:eastAsia="方正小标宋简体"/>
          <w:sz w:val="40"/>
          <w:szCs w:val="40"/>
        </w:rPr>
        <w:t>保扩面补助资金支出绩效自评报告</w:t>
      </w:r>
    </w:p>
    <w:p>
      <w:pPr>
        <w:spacing w:line="560" w:lineRule="exact"/>
        <w:ind w:left="800" w:hanging="800" w:hangingChars="25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（攀枝花市西区医疗保障局）</w:t>
      </w:r>
    </w:p>
    <w:p>
      <w:pPr>
        <w:pStyle w:val="2"/>
        <w:tabs>
          <w:tab w:val="left" w:pos="1731"/>
          <w:tab w:val="center" w:pos="4213"/>
        </w:tabs>
        <w:spacing w:line="0" w:lineRule="atLeast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tabs>
          <w:tab w:val="left" w:pos="6480"/>
        </w:tabs>
        <w:spacing w:line="353" w:lineRule="auto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一、项目概况</w:t>
      </w:r>
      <w:r>
        <w:rPr>
          <w:rFonts w:ascii="Times New Roman" w:hAnsi="Times New Roman" w:eastAsia="黑体" w:cs="Times New Roman"/>
          <w:sz w:val="32"/>
          <w:szCs w:val="32"/>
        </w:rPr>
        <w:tab/>
      </w:r>
    </w:p>
    <w:p>
      <w:pPr>
        <w:spacing w:line="353" w:lineRule="auto"/>
        <w:ind w:firstLine="643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（一）项目基本情况。</w:t>
      </w:r>
    </w:p>
    <w:p>
      <w:pPr>
        <w:autoSpaceDE w:val="0"/>
        <w:autoSpaceDN w:val="0"/>
        <w:adjustRightInd w:val="0"/>
        <w:spacing w:line="353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1.根据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《攀枝花市医疗保障局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攀枝花市财政局 国家税务总局攀枝花市税务局关于公布2023年度城乡居民基本医疗保险和补充医疗保险缴费标准的通知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》攀医保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[2022]55号、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《攀枝花市医疗保障局 攀枝花市财政局 国家税务总局 攀枝花市民政局 攀枝花市乡村振兴局 攀枝花市残疾人联合会</w:t>
      </w:r>
      <w:r>
        <w:rPr>
          <w:rFonts w:ascii="Times New Roman" w:hAnsi="Times New Roman" w:eastAsia="仿宋_GB2312" w:cs="Times New Roman"/>
          <w:sz w:val="32"/>
          <w:szCs w:val="32"/>
        </w:rPr>
        <w:t>关于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做好资助困难居民参加202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年度</w:t>
      </w:r>
      <w:r>
        <w:rPr>
          <w:rFonts w:ascii="Times New Roman" w:hAnsi="Times New Roman" w:eastAsia="仿宋_GB2312" w:cs="Times New Roman"/>
          <w:sz w:val="32"/>
          <w:szCs w:val="32"/>
        </w:rPr>
        <w:t>城乡居民基本医疗保险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有关工作</w:t>
      </w:r>
      <w:r>
        <w:rPr>
          <w:rFonts w:ascii="Times New Roman" w:hAnsi="Times New Roman" w:eastAsia="仿宋_GB2312" w:cs="Times New Roman"/>
          <w:sz w:val="32"/>
          <w:szCs w:val="32"/>
        </w:rPr>
        <w:t>的通知》（攀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医保</w:t>
      </w:r>
      <w:r>
        <w:rPr>
          <w:rFonts w:ascii="Times New Roman" w:hAnsi="Times New Roman" w:eastAsia="仿宋_GB2312" w:cs="Times New Roman"/>
          <w:sz w:val="32"/>
          <w:szCs w:val="32"/>
        </w:rPr>
        <w:t>〔20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22</w:t>
      </w:r>
      <w:r>
        <w:rPr>
          <w:rFonts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58</w:t>
      </w:r>
      <w:r>
        <w:rPr>
          <w:rFonts w:ascii="Times New Roman" w:hAnsi="Times New Roman" w:eastAsia="仿宋_GB2312" w:cs="Times New Roman"/>
          <w:sz w:val="32"/>
          <w:szCs w:val="32"/>
        </w:rPr>
        <w:t>号）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、《攀枝花市医疗保障局关于我市从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2023年起不再实施城乡居民补充医疗保险的通知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》攀医保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[2022]60号</w:t>
      </w:r>
      <w:r>
        <w:rPr>
          <w:rFonts w:ascii="Times New Roman" w:hAnsi="Times New Roman" w:eastAsia="仿宋_GB2312" w:cs="Times New Roman"/>
          <w:sz w:val="32"/>
          <w:szCs w:val="32"/>
        </w:rPr>
        <w:t>等文件精神，西区医疗保障局负责组织辖区内城乡居民参保和医保基金筹集，协调区级相关部门做好城乡居民医保参保工作等工作，镇、街道具体负责组织辖区内城乡居民参保登记、缴费续保、政策宣传等工作。</w:t>
      </w:r>
    </w:p>
    <w:p>
      <w:pPr>
        <w:autoSpaceDE w:val="0"/>
        <w:autoSpaceDN w:val="0"/>
        <w:adjustRightInd w:val="0"/>
        <w:spacing w:line="353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2.项目自2007年城乡居民医保启动开始实施，20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统筹年度从20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年9月起，到20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年8月底结束，以市医保认定的参（续）保人数和本级财政补助标准计算。</w:t>
      </w:r>
    </w:p>
    <w:p>
      <w:pPr>
        <w:autoSpaceDE w:val="0"/>
        <w:autoSpaceDN w:val="0"/>
        <w:adjustRightInd w:val="0"/>
        <w:spacing w:line="353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3.项目资金按照我单位《攀枝花市西区医疗保障局财务管理制度》拨付。</w:t>
      </w:r>
    </w:p>
    <w:p>
      <w:pPr>
        <w:autoSpaceDE w:val="0"/>
        <w:autoSpaceDN w:val="0"/>
        <w:adjustRightInd w:val="0"/>
        <w:spacing w:line="353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4.该项资金分配时由市医保确定当年财政补助标准，我单位只需确定享受财政补助的具体人数，计算出该项资金的准确金额后，转入市财政局专户由市医保统筹安排。</w:t>
      </w:r>
    </w:p>
    <w:p>
      <w:pPr>
        <w:spacing w:line="353" w:lineRule="auto"/>
        <w:ind w:firstLine="482" w:firstLineChars="15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（二）项目绩效目标。</w:t>
      </w:r>
    </w:p>
    <w:p>
      <w:pPr>
        <w:spacing w:line="353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城乡居民医保以城乡居民基本医疗保险为主体，大病保险、补充医疗保险为辅助的多层次医疗保障，是保民生兜底线促发展的工作。20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统筹年度，西区城乡居民医保实际参保人数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48991</w:t>
      </w:r>
      <w:r>
        <w:rPr>
          <w:rFonts w:ascii="Times New Roman" w:hAnsi="Times New Roman" w:eastAsia="仿宋_GB2312" w:cs="Times New Roman"/>
          <w:sz w:val="32"/>
          <w:szCs w:val="32"/>
        </w:rPr>
        <w:t>人，其中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医疗救助</w:t>
      </w:r>
      <w:r>
        <w:rPr>
          <w:rFonts w:ascii="Times New Roman" w:hAnsi="Times New Roman" w:eastAsia="仿宋_GB2312" w:cs="Times New Roman"/>
          <w:sz w:val="32"/>
          <w:szCs w:val="32"/>
        </w:rPr>
        <w:t>全额资助参保对象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440</w:t>
      </w:r>
      <w:r>
        <w:rPr>
          <w:rFonts w:ascii="Times New Roman" w:hAnsi="Times New Roman" w:eastAsia="仿宋_GB2312" w:cs="Times New Roman"/>
          <w:sz w:val="32"/>
          <w:szCs w:val="32"/>
        </w:rPr>
        <w:t>人，残联全额资助参保对象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751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</w:t>
      </w:r>
      <w:r>
        <w:rPr>
          <w:rFonts w:ascii="Times New Roman" w:hAnsi="Times New Roman" w:eastAsia="仿宋_GB2312" w:cs="Times New Roman"/>
          <w:sz w:val="32"/>
          <w:szCs w:val="32"/>
        </w:rPr>
        <w:t>。按市医保下达目标任务计算，全区参保率为100%，按辖区内应参保人口计算，全区参保率为97%；全额资助参保对象参保率为100%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353" w:lineRule="auto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二、项目资金申报及使用情况</w:t>
      </w:r>
    </w:p>
    <w:p>
      <w:pPr>
        <w:spacing w:line="353" w:lineRule="auto"/>
        <w:ind w:firstLine="643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（一）项目资金申报及批复情况。</w:t>
      </w:r>
    </w:p>
    <w:p>
      <w:pPr>
        <w:spacing w:line="353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统筹年度城乡居民医保区级财政补助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及参保扩面补助资金</w:t>
      </w:r>
      <w:r>
        <w:rPr>
          <w:rFonts w:ascii="Times New Roman" w:hAnsi="Times New Roman" w:eastAsia="仿宋_GB2312" w:cs="Times New Roman"/>
          <w:sz w:val="32"/>
          <w:szCs w:val="32"/>
        </w:rPr>
        <w:t>的申报，是区医疗保障局在20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年底完成20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年部门预算时，根据区财政局印发《区本级20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年部门预算编制方法和口径》，并结合本单位实际情况申报。区财政局及时批复，并在20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年底将20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统筹年度城乡居民医保区级财政补助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及参保扩面补助资金</w:t>
      </w:r>
      <w:r>
        <w:rPr>
          <w:rFonts w:ascii="Times New Roman" w:hAnsi="Times New Roman" w:eastAsia="仿宋_GB2312" w:cs="Times New Roman"/>
          <w:sz w:val="32"/>
          <w:szCs w:val="32"/>
        </w:rPr>
        <w:t>年初预算数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5.00</w:t>
      </w:r>
      <w:r>
        <w:rPr>
          <w:rFonts w:ascii="Times New Roman" w:hAnsi="Times New Roman" w:eastAsia="仿宋_GB2312" w:cs="Times New Roman"/>
          <w:sz w:val="32"/>
          <w:szCs w:val="32"/>
        </w:rPr>
        <w:t>万元调整为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174.59万元，其中</w:t>
      </w: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统筹年度城乡居民医保区级财政补助资金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171.47</w:t>
      </w:r>
      <w:r>
        <w:rPr>
          <w:rFonts w:ascii="Times New Roman" w:hAnsi="Times New Roman" w:eastAsia="仿宋_GB2312" w:cs="Times New Roman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参保扩面补助资金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3.12万元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353" w:lineRule="auto"/>
        <w:ind w:firstLine="643" w:firstLineChars="20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（二）资金计划、到位及使用情况。</w:t>
      </w:r>
    </w:p>
    <w:p>
      <w:pPr>
        <w:spacing w:line="353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1.资金计划。按照享受财政补助人数5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>000人、补助标准每人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.00</w:t>
      </w:r>
      <w:r>
        <w:rPr>
          <w:rFonts w:ascii="Times New Roman" w:hAnsi="Times New Roman" w:eastAsia="仿宋_GB2312" w:cs="Times New Roman"/>
          <w:sz w:val="32"/>
          <w:szCs w:val="32"/>
        </w:rPr>
        <w:t>元计算，20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统筹年度城乡居民医保区级财政补助计划资金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165.00</w:t>
      </w:r>
      <w:r>
        <w:rPr>
          <w:rFonts w:ascii="Times New Roman" w:hAnsi="Times New Roman" w:eastAsia="仿宋_GB2312" w:cs="Times New Roman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参保扩面补助资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10.00万元，总计175.00万元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353" w:lineRule="auto"/>
        <w:ind w:firstLine="480" w:firstLineChars="1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2.资金到位。征收结束后，完成20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统筹年度城乡居民医保参保人数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48991</w:t>
      </w:r>
      <w:r>
        <w:rPr>
          <w:rFonts w:ascii="Times New Roman" w:hAnsi="Times New Roman" w:eastAsia="仿宋_GB2312" w:cs="Times New Roman"/>
          <w:sz w:val="32"/>
          <w:szCs w:val="32"/>
        </w:rPr>
        <w:t>人，按照川财社[20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]9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号《关于20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年城乡居民医疗保险财政补助分担标准的通知》要求，区级财政补助标准每人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>元，需要该项资金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71.47</w:t>
      </w:r>
      <w:r>
        <w:rPr>
          <w:rFonts w:ascii="Times New Roman" w:hAnsi="Times New Roman" w:eastAsia="仿宋_GB2312" w:cs="Times New Roman"/>
          <w:sz w:val="32"/>
          <w:szCs w:val="32"/>
        </w:rPr>
        <w:t>万元，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实际支付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参保扩面补助资金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3.12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万元，</w:t>
      </w:r>
      <w:r>
        <w:rPr>
          <w:rFonts w:ascii="Times New Roman" w:hAnsi="Times New Roman" w:eastAsia="仿宋_GB2312" w:cs="Times New Roman"/>
          <w:sz w:val="32"/>
          <w:szCs w:val="32"/>
        </w:rPr>
        <w:t>财政实际下达预算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总计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174.59</w:t>
      </w:r>
      <w:r>
        <w:rPr>
          <w:rFonts w:ascii="Times New Roman" w:hAnsi="Times New Roman" w:eastAsia="仿宋_GB2312" w:cs="Times New Roman"/>
          <w:sz w:val="32"/>
          <w:szCs w:val="32"/>
        </w:rPr>
        <w:t>万元。</w:t>
      </w:r>
    </w:p>
    <w:p>
      <w:pPr>
        <w:spacing w:line="353" w:lineRule="auto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3.资金使用。20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统筹年度上解城乡居民医保区级财政补助资金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171.47</w:t>
      </w:r>
      <w:r>
        <w:rPr>
          <w:rFonts w:ascii="Times New Roman" w:hAnsi="Times New Roman" w:eastAsia="仿宋_GB2312" w:cs="Times New Roman"/>
          <w:sz w:val="32"/>
          <w:szCs w:val="32"/>
        </w:rPr>
        <w:t>万元，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发放各个参保单位扩面补助资金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3.12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万元，</w:t>
      </w:r>
      <w:r>
        <w:rPr>
          <w:rFonts w:ascii="Times New Roman" w:hAnsi="Times New Roman" w:eastAsia="楷体_GB2312" w:cs="Times New Roman"/>
          <w:sz w:val="32"/>
          <w:szCs w:val="32"/>
        </w:rPr>
        <w:t>该项</w:t>
      </w:r>
      <w:r>
        <w:rPr>
          <w:rFonts w:ascii="Times New Roman" w:hAnsi="Times New Roman" w:eastAsia="仿宋_GB2312" w:cs="Times New Roman"/>
          <w:sz w:val="32"/>
          <w:szCs w:val="32"/>
        </w:rPr>
        <w:t>资金的使用安全、规范、有效，资金的支付范围、支付标准、支付进度、支付依据等合规合法，与预算相符。</w:t>
      </w:r>
    </w:p>
    <w:p>
      <w:pPr>
        <w:spacing w:line="353" w:lineRule="auto"/>
        <w:ind w:firstLine="643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（三）项目财务管理情况。</w:t>
      </w:r>
    </w:p>
    <w:p>
      <w:pPr>
        <w:spacing w:line="353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我单位在该项资金运行中财务管理制度健全，严格执行财务管理制度、内部控制制度，账务处理及时，会计核算规范，无任何违法违规情况。</w:t>
      </w:r>
    </w:p>
    <w:p>
      <w:pPr>
        <w:spacing w:line="353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三、项目实施及管理情况</w:t>
      </w:r>
    </w:p>
    <w:p>
      <w:pPr>
        <w:spacing w:line="353" w:lineRule="auto"/>
        <w:ind w:firstLine="643" w:firstLineChars="20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（一）项目组织架构及实施流程。</w:t>
      </w:r>
    </w:p>
    <w:p>
      <w:pPr>
        <w:widowControl/>
        <w:shd w:val="clear" w:color="auto" w:fill="FFFFFF"/>
        <w:spacing w:before="150" w:line="353" w:lineRule="auto"/>
        <w:ind w:firstLine="654"/>
        <w:jc w:val="left"/>
        <w:rPr>
          <w:rFonts w:ascii="Times New Roman" w:hAnsi="Times New Roman" w:eastAsia="仿宋_GB2312" w:cs="Times New Roman"/>
          <w:kern w:val="0"/>
          <w:szCs w:val="21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1.个人缴费。20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年9月，西区医保局启动20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统筹年度城乡居民医保参保工作，下发通知，公示参保人员范围、个人缴费标准、方式及时间要求等。参保人员以户为单位持相关资料，到户口所在地或居住地社区（村）办理参（续）保手续，征缴个人金额划转至西区医保局城乡居民医保基金收入专户。</w:t>
      </w:r>
    </w:p>
    <w:p>
      <w:pPr>
        <w:spacing w:line="353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2.财政补助资金申报。</w:t>
      </w:r>
      <w:r>
        <w:rPr>
          <w:rFonts w:ascii="Times New Roman" w:hAnsi="Times New Roman" w:eastAsia="仿宋_GB2312" w:cs="Times New Roman"/>
          <w:sz w:val="32"/>
          <w:szCs w:val="32"/>
        </w:rPr>
        <w:t>按照享受财政补助人数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8991</w:t>
      </w:r>
      <w:r>
        <w:rPr>
          <w:rFonts w:ascii="Times New Roman" w:hAnsi="Times New Roman" w:eastAsia="仿宋_GB2312" w:cs="Times New Roman"/>
          <w:sz w:val="32"/>
          <w:szCs w:val="32"/>
        </w:rPr>
        <w:t>人、补助标准每人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35.0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>元，申报20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统筹年度城乡居民医保区级财政补助资金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171.47</w:t>
      </w:r>
      <w:r>
        <w:rPr>
          <w:rFonts w:ascii="Times New Roman" w:hAnsi="Times New Roman" w:eastAsia="仿宋_GB2312" w:cs="Times New Roman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实际支付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参保扩面补助资金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3.12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widowControl/>
        <w:shd w:val="clear" w:color="auto" w:fill="FFFFFF"/>
        <w:spacing w:line="353" w:lineRule="auto"/>
        <w:ind w:firstLine="654"/>
        <w:jc w:val="left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（二）项目管理情况。</w:t>
      </w:r>
    </w:p>
    <w:p>
      <w:pPr>
        <w:widowControl/>
        <w:shd w:val="clear" w:color="auto" w:fill="FFFFFF"/>
        <w:spacing w:line="353" w:lineRule="auto"/>
        <w:ind w:firstLine="652"/>
        <w:jc w:val="left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为进一步做好城乡居民医保征缴工作，管理好城乡居民医保基金，西区医保局根据攀人社发〔2017〕553号文件精神，从以下几方面加强管理：</w:t>
      </w:r>
    </w:p>
    <w:p>
      <w:pPr>
        <w:widowControl/>
        <w:shd w:val="clear" w:color="auto" w:fill="FFFFFF"/>
        <w:spacing w:line="353" w:lineRule="auto"/>
        <w:ind w:firstLine="652"/>
        <w:jc w:val="left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1.明确专人负责征缴工作。</w:t>
      </w:r>
    </w:p>
    <w:p>
      <w:pPr>
        <w:widowControl/>
        <w:shd w:val="clear" w:color="auto" w:fill="FFFFFF"/>
        <w:spacing w:line="353" w:lineRule="auto"/>
        <w:ind w:firstLine="652"/>
        <w:jc w:val="left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2.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集中培训和单独指导相结合，做好宣传培训工作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。征缴前，组织各社区、学校进行征缴业务培训会；征缴期间，到部分社区进行单独指导和业务培训。并在人员密集的场所、社区集中进行居民医保政策宣传，调动居民的参保积极性。</w:t>
      </w:r>
    </w:p>
    <w:p>
      <w:pPr>
        <w:spacing w:line="353" w:lineRule="auto"/>
        <w:ind w:firstLine="640" w:firstLineChars="200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3.做好资助对象参（续）保工作，应保尽保。</w:t>
      </w: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加强与区民政、区残联协作配合，及时交换核定资助困难居民参保的数据，按时完成全额资助参保对象参续保工作。</w:t>
      </w:r>
    </w:p>
    <w:p>
      <w:pPr>
        <w:widowControl/>
        <w:shd w:val="clear" w:color="auto" w:fill="FFFFFF"/>
        <w:spacing w:before="150" w:line="353" w:lineRule="auto"/>
        <w:ind w:firstLine="654"/>
        <w:jc w:val="left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4.严格财务管理制度。严格执行国家统一的基金财务制度、会计制度和基金预决算管理制度。建立内控制度，将城乡居民医保基金纳入基金收入专户，实行“收支两条线”管理，独立核算、专款专用，任何单位和个人不得挤占挪用，且银行计息按相关政策享受优惠利率。</w:t>
      </w:r>
    </w:p>
    <w:p>
      <w:pPr>
        <w:spacing w:line="353" w:lineRule="auto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四、项目绩效情况</w:t>
      </w:r>
    </w:p>
    <w:p>
      <w:pPr>
        <w:widowControl/>
        <w:shd w:val="clear" w:color="auto" w:fill="FFFFFF"/>
        <w:spacing w:line="353" w:lineRule="auto"/>
        <w:ind w:firstLine="654"/>
        <w:jc w:val="left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（一）项目完成情况。</w:t>
      </w:r>
    </w:p>
    <w:p>
      <w:pPr>
        <w:spacing w:line="353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31日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，西区医保局协同区民政、区残联按时完成全额资助对象资助参保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191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人，格里坪镇、各街道完成参保人数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5800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人，西区实际完成参保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</w:rPr>
        <w:t>48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991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人。</w:t>
      </w:r>
      <w:r>
        <w:rPr>
          <w:rFonts w:ascii="Times New Roman" w:hAnsi="Times New Roman" w:eastAsia="仿宋_GB2312" w:cs="Times New Roman"/>
          <w:sz w:val="32"/>
          <w:szCs w:val="32"/>
        </w:rPr>
        <w:t>按照川财社[20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]9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号《关于20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年城乡居民医疗保险财政补助分担标准的通知》规定，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城乡居民医保区级财政补助标准每人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5.0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</w:rPr>
        <w:t>0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元，该项资金总计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71.47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万元，全额按时上解市医保局专户，由市医保统筹安排，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实际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发放各个参保单位扩面补助资金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3.12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万元，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执行率100%。</w:t>
      </w:r>
    </w:p>
    <w:p>
      <w:pPr>
        <w:widowControl/>
        <w:shd w:val="clear" w:color="auto" w:fill="FFFFFF"/>
        <w:spacing w:line="353" w:lineRule="auto"/>
        <w:ind w:firstLine="654"/>
        <w:jc w:val="left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（二）项目效益情况。</w:t>
      </w:r>
    </w:p>
    <w:p>
      <w:pPr>
        <w:spacing w:line="353" w:lineRule="auto"/>
        <w:ind w:firstLine="640" w:firstLineChars="200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统筹年度，西区城乡居民医保应参保率97%，完成目标任务104.75%，全额资助对象</w:t>
      </w:r>
      <w:bookmarkStart w:id="0" w:name="_GoBack"/>
      <w:bookmarkEnd w:id="0"/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资助参保率100%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让更多群众能够享受医疗保障待遇，</w:t>
      </w:r>
      <w:r>
        <w:rPr>
          <w:rFonts w:ascii="Times New Roman" w:hAnsi="Times New Roman" w:eastAsia="仿宋_GB2312" w:cs="Times New Roman"/>
          <w:sz w:val="32"/>
          <w:szCs w:val="32"/>
        </w:rPr>
        <w:t>增强人民群众的医疗保障获得感、幸福感、安全感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353" w:lineRule="auto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五、评价结论及建议</w:t>
      </w:r>
    </w:p>
    <w:p>
      <w:pPr>
        <w:spacing w:line="353" w:lineRule="auto"/>
        <w:ind w:firstLine="643" w:firstLineChars="200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（一）评价结论。</w:t>
      </w:r>
    </w:p>
    <w:p>
      <w:pPr>
        <w:spacing w:line="353" w:lineRule="auto"/>
        <w:ind w:firstLine="640" w:firstLineChars="200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在统一城乡居民基本医疗保险和补充医疗保险待遇的基础上，积极做好参保工作，进一步扩大基本医疗保险覆盖范围，有效缓解参保群众“看病难、看病贵”的问题，受到广大居民衷心拥护。</w:t>
      </w:r>
    </w:p>
    <w:p>
      <w:pPr>
        <w:spacing w:line="353" w:lineRule="auto"/>
        <w:ind w:firstLine="643" w:firstLineChars="200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（二）存在的问题。</w:t>
      </w:r>
    </w:p>
    <w:p>
      <w:pPr>
        <w:spacing w:line="353" w:lineRule="auto"/>
        <w:ind w:firstLine="640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极少数居民参保积极性仍然不高，存在拒绝参保现象。</w:t>
      </w:r>
    </w:p>
    <w:p>
      <w:pPr>
        <w:spacing w:line="353" w:lineRule="auto"/>
        <w:ind w:firstLine="643" w:firstLineChars="20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（三）相关建议。</w:t>
      </w:r>
    </w:p>
    <w:p>
      <w:pPr>
        <w:spacing w:line="353" w:lineRule="auto"/>
        <w:ind w:firstLine="640" w:firstLineChars="200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1.进一步提高参保群众的医疗保障待遇。</w:t>
      </w:r>
    </w:p>
    <w:p>
      <w:pPr>
        <w:spacing w:line="353" w:lineRule="auto"/>
        <w:ind w:firstLine="640" w:firstLineChars="200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2.进一步创新医保政策宣传方式，利用新媒体，切实提高宣传时效，不断提升居民参保积极性。</w:t>
      </w:r>
    </w:p>
    <w:p>
      <w:pPr>
        <w:spacing w:line="353" w:lineRule="auto"/>
        <w:ind w:firstLine="640" w:firstLineChars="200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3.加强“两定”机构监管，提高医保基金使用效率。</w:t>
      </w:r>
    </w:p>
    <w:p>
      <w:pPr>
        <w:spacing w:line="353" w:lineRule="auto"/>
        <w:ind w:firstLine="640" w:firstLineChars="200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4.坚持推进付费方式改革，进一步减轻群众负担。</w:t>
      </w:r>
    </w:p>
    <w:p>
      <w:pPr>
        <w:spacing w:line="353" w:lineRule="auto"/>
        <w:ind w:firstLine="640" w:firstLineChars="200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5.深化“最后一公里”改革，提升服务效率。</w:t>
      </w:r>
    </w:p>
    <w:p>
      <w:pPr>
        <w:spacing w:line="353" w:lineRule="auto"/>
        <w:ind w:firstLine="640" w:firstLineChars="200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</w:p>
    <w:p>
      <w:pPr>
        <w:spacing w:line="353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82095207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3 -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54593489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4 -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Y1YTY1ZDU2Yjc0OTRjODg0OGZlYTI1OTUzOTc2NzgifQ=="/>
  </w:docVars>
  <w:rsids>
    <w:rsidRoot w:val="0010738C"/>
    <w:rsid w:val="00021B05"/>
    <w:rsid w:val="00026C06"/>
    <w:rsid w:val="00032A61"/>
    <w:rsid w:val="00043ED7"/>
    <w:rsid w:val="00046A89"/>
    <w:rsid w:val="0005767D"/>
    <w:rsid w:val="00065E95"/>
    <w:rsid w:val="000677DA"/>
    <w:rsid w:val="0007376F"/>
    <w:rsid w:val="00080CC7"/>
    <w:rsid w:val="00092AC4"/>
    <w:rsid w:val="000A26DE"/>
    <w:rsid w:val="000A4087"/>
    <w:rsid w:val="000B4CF3"/>
    <w:rsid w:val="000D43C0"/>
    <w:rsid w:val="000E1502"/>
    <w:rsid w:val="00100C4A"/>
    <w:rsid w:val="00100D02"/>
    <w:rsid w:val="00102FCA"/>
    <w:rsid w:val="0010738C"/>
    <w:rsid w:val="0012082E"/>
    <w:rsid w:val="00130127"/>
    <w:rsid w:val="001513EF"/>
    <w:rsid w:val="00152905"/>
    <w:rsid w:val="00162DAA"/>
    <w:rsid w:val="001652AE"/>
    <w:rsid w:val="0018306D"/>
    <w:rsid w:val="001910ED"/>
    <w:rsid w:val="001935A2"/>
    <w:rsid w:val="00197589"/>
    <w:rsid w:val="001B78EF"/>
    <w:rsid w:val="001E0A93"/>
    <w:rsid w:val="001E0F22"/>
    <w:rsid w:val="001E3994"/>
    <w:rsid w:val="001F6057"/>
    <w:rsid w:val="002269F1"/>
    <w:rsid w:val="00230956"/>
    <w:rsid w:val="00234ACE"/>
    <w:rsid w:val="002418CA"/>
    <w:rsid w:val="00257239"/>
    <w:rsid w:val="00266D25"/>
    <w:rsid w:val="002810AE"/>
    <w:rsid w:val="00282E7B"/>
    <w:rsid w:val="00284B1D"/>
    <w:rsid w:val="00285A8D"/>
    <w:rsid w:val="002A0D9C"/>
    <w:rsid w:val="002D5C25"/>
    <w:rsid w:val="002D6B19"/>
    <w:rsid w:val="0030372B"/>
    <w:rsid w:val="003132FD"/>
    <w:rsid w:val="003346B7"/>
    <w:rsid w:val="00347190"/>
    <w:rsid w:val="00370C56"/>
    <w:rsid w:val="00380F86"/>
    <w:rsid w:val="00384E6A"/>
    <w:rsid w:val="003858C3"/>
    <w:rsid w:val="003901D3"/>
    <w:rsid w:val="00395908"/>
    <w:rsid w:val="003B1DCA"/>
    <w:rsid w:val="003C267A"/>
    <w:rsid w:val="003C3FAE"/>
    <w:rsid w:val="003D46AA"/>
    <w:rsid w:val="003D71D8"/>
    <w:rsid w:val="003E7A0F"/>
    <w:rsid w:val="00400891"/>
    <w:rsid w:val="00406270"/>
    <w:rsid w:val="00412B22"/>
    <w:rsid w:val="00424C03"/>
    <w:rsid w:val="00432E5D"/>
    <w:rsid w:val="0044574F"/>
    <w:rsid w:val="00474298"/>
    <w:rsid w:val="00484B17"/>
    <w:rsid w:val="0049661B"/>
    <w:rsid w:val="004E3C2D"/>
    <w:rsid w:val="004E51DE"/>
    <w:rsid w:val="0050180E"/>
    <w:rsid w:val="005205A0"/>
    <w:rsid w:val="005279CD"/>
    <w:rsid w:val="00527C01"/>
    <w:rsid w:val="005312AC"/>
    <w:rsid w:val="00534D13"/>
    <w:rsid w:val="00534ED3"/>
    <w:rsid w:val="00537DEF"/>
    <w:rsid w:val="0054388C"/>
    <w:rsid w:val="00543E85"/>
    <w:rsid w:val="00557FF4"/>
    <w:rsid w:val="005675F5"/>
    <w:rsid w:val="0056799E"/>
    <w:rsid w:val="005775F5"/>
    <w:rsid w:val="0059459A"/>
    <w:rsid w:val="005A3E6A"/>
    <w:rsid w:val="005C0614"/>
    <w:rsid w:val="005D7317"/>
    <w:rsid w:val="005E3425"/>
    <w:rsid w:val="005F659D"/>
    <w:rsid w:val="00655B5B"/>
    <w:rsid w:val="00656D47"/>
    <w:rsid w:val="00663D84"/>
    <w:rsid w:val="00666757"/>
    <w:rsid w:val="006A4D88"/>
    <w:rsid w:val="006B3D74"/>
    <w:rsid w:val="006C429C"/>
    <w:rsid w:val="006E2AEF"/>
    <w:rsid w:val="006E4B25"/>
    <w:rsid w:val="007015D3"/>
    <w:rsid w:val="00760EB1"/>
    <w:rsid w:val="00762E39"/>
    <w:rsid w:val="00780FB4"/>
    <w:rsid w:val="00785A01"/>
    <w:rsid w:val="00785ED9"/>
    <w:rsid w:val="007A3894"/>
    <w:rsid w:val="007B2491"/>
    <w:rsid w:val="007D1B3C"/>
    <w:rsid w:val="007D1C7C"/>
    <w:rsid w:val="007E3C14"/>
    <w:rsid w:val="007E77B4"/>
    <w:rsid w:val="00801C5F"/>
    <w:rsid w:val="00802632"/>
    <w:rsid w:val="00802E03"/>
    <w:rsid w:val="0082146D"/>
    <w:rsid w:val="0083162B"/>
    <w:rsid w:val="00834144"/>
    <w:rsid w:val="00835279"/>
    <w:rsid w:val="00840F81"/>
    <w:rsid w:val="00842EE9"/>
    <w:rsid w:val="00852FB2"/>
    <w:rsid w:val="00892A6B"/>
    <w:rsid w:val="00894F64"/>
    <w:rsid w:val="008A62D3"/>
    <w:rsid w:val="008C378E"/>
    <w:rsid w:val="00910B4A"/>
    <w:rsid w:val="0091168B"/>
    <w:rsid w:val="00911CD1"/>
    <w:rsid w:val="00921F50"/>
    <w:rsid w:val="0094067E"/>
    <w:rsid w:val="00974C7D"/>
    <w:rsid w:val="00981D3C"/>
    <w:rsid w:val="00983D73"/>
    <w:rsid w:val="00984988"/>
    <w:rsid w:val="00986010"/>
    <w:rsid w:val="00995C1C"/>
    <w:rsid w:val="009C3A88"/>
    <w:rsid w:val="009C3CBC"/>
    <w:rsid w:val="009E193C"/>
    <w:rsid w:val="009F07A1"/>
    <w:rsid w:val="009F6528"/>
    <w:rsid w:val="00A027B4"/>
    <w:rsid w:val="00A15087"/>
    <w:rsid w:val="00A33CB8"/>
    <w:rsid w:val="00A433C7"/>
    <w:rsid w:val="00A7602D"/>
    <w:rsid w:val="00A81263"/>
    <w:rsid w:val="00A87EF7"/>
    <w:rsid w:val="00AA402E"/>
    <w:rsid w:val="00AA619A"/>
    <w:rsid w:val="00AB48F7"/>
    <w:rsid w:val="00AC3E79"/>
    <w:rsid w:val="00AD0A49"/>
    <w:rsid w:val="00AD26EB"/>
    <w:rsid w:val="00AE3931"/>
    <w:rsid w:val="00AF53AB"/>
    <w:rsid w:val="00AF5F0E"/>
    <w:rsid w:val="00AF5FD7"/>
    <w:rsid w:val="00AF69EC"/>
    <w:rsid w:val="00B129E7"/>
    <w:rsid w:val="00B1497C"/>
    <w:rsid w:val="00B22FB1"/>
    <w:rsid w:val="00B25253"/>
    <w:rsid w:val="00B35CAB"/>
    <w:rsid w:val="00B37AED"/>
    <w:rsid w:val="00B50980"/>
    <w:rsid w:val="00B55A78"/>
    <w:rsid w:val="00B60EF4"/>
    <w:rsid w:val="00B75F19"/>
    <w:rsid w:val="00B92A56"/>
    <w:rsid w:val="00B94801"/>
    <w:rsid w:val="00B94A04"/>
    <w:rsid w:val="00BC1F00"/>
    <w:rsid w:val="00BC23B1"/>
    <w:rsid w:val="00BF080A"/>
    <w:rsid w:val="00BF08AC"/>
    <w:rsid w:val="00BF26FB"/>
    <w:rsid w:val="00C00706"/>
    <w:rsid w:val="00C51334"/>
    <w:rsid w:val="00C54C83"/>
    <w:rsid w:val="00C75C10"/>
    <w:rsid w:val="00C8177E"/>
    <w:rsid w:val="00CA6987"/>
    <w:rsid w:val="00CB0ED1"/>
    <w:rsid w:val="00D06C22"/>
    <w:rsid w:val="00D2734B"/>
    <w:rsid w:val="00D30BE8"/>
    <w:rsid w:val="00D31F1F"/>
    <w:rsid w:val="00D61B9A"/>
    <w:rsid w:val="00D81623"/>
    <w:rsid w:val="00D874FF"/>
    <w:rsid w:val="00DB7899"/>
    <w:rsid w:val="00DD2576"/>
    <w:rsid w:val="00DD61CA"/>
    <w:rsid w:val="00DD67C1"/>
    <w:rsid w:val="00DF5D14"/>
    <w:rsid w:val="00E00BE8"/>
    <w:rsid w:val="00E2111C"/>
    <w:rsid w:val="00E253DF"/>
    <w:rsid w:val="00E31E4A"/>
    <w:rsid w:val="00E56665"/>
    <w:rsid w:val="00E60827"/>
    <w:rsid w:val="00E838F6"/>
    <w:rsid w:val="00E90C12"/>
    <w:rsid w:val="00E92EF5"/>
    <w:rsid w:val="00E97616"/>
    <w:rsid w:val="00EA3541"/>
    <w:rsid w:val="00EA3CEB"/>
    <w:rsid w:val="00EC3BD0"/>
    <w:rsid w:val="00EC44F8"/>
    <w:rsid w:val="00EF017A"/>
    <w:rsid w:val="00EF2C29"/>
    <w:rsid w:val="00F208BF"/>
    <w:rsid w:val="00F218BA"/>
    <w:rsid w:val="00F24D05"/>
    <w:rsid w:val="00F24DAF"/>
    <w:rsid w:val="00F45E09"/>
    <w:rsid w:val="00F5423C"/>
    <w:rsid w:val="00F567AE"/>
    <w:rsid w:val="00F7017B"/>
    <w:rsid w:val="00F859FB"/>
    <w:rsid w:val="00FA379C"/>
    <w:rsid w:val="00FA6161"/>
    <w:rsid w:val="00FC0452"/>
    <w:rsid w:val="00FC0600"/>
    <w:rsid w:val="00FC0C04"/>
    <w:rsid w:val="00FC0DBF"/>
    <w:rsid w:val="00FE1F31"/>
    <w:rsid w:val="00FE7A95"/>
    <w:rsid w:val="02861DB6"/>
    <w:rsid w:val="0BB00343"/>
    <w:rsid w:val="1CEC52FD"/>
    <w:rsid w:val="1E682063"/>
    <w:rsid w:val="24A90DC8"/>
    <w:rsid w:val="39CE684A"/>
    <w:rsid w:val="3E1C658B"/>
    <w:rsid w:val="448D4015"/>
    <w:rsid w:val="454E1745"/>
    <w:rsid w:val="4D3874B5"/>
    <w:rsid w:val="50B75B43"/>
    <w:rsid w:val="590B04C8"/>
    <w:rsid w:val="5B7C69F1"/>
    <w:rsid w:val="5CB564CD"/>
    <w:rsid w:val="5F285AE4"/>
    <w:rsid w:val="62217ADB"/>
    <w:rsid w:val="67EC1211"/>
    <w:rsid w:val="6AE368FC"/>
    <w:rsid w:val="72426C11"/>
    <w:rsid w:val="747F58E7"/>
    <w:rsid w:val="75CC1203"/>
    <w:rsid w:val="78D555ED"/>
    <w:rsid w:val="7C8021FC"/>
    <w:rsid w:val="7DC9459B"/>
    <w:rsid w:val="7EFE56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404</Words>
  <Characters>2303</Characters>
  <Lines>19</Lines>
  <Paragraphs>5</Paragraphs>
  <TotalTime>8</TotalTime>
  <ScaleCrop>false</ScaleCrop>
  <LinksUpToDate>false</LinksUpToDate>
  <CharactersWithSpaces>2702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2020-04-30T02:36:00Z</dcterms:created>
  <dc:creator>李旭</dc:creator>
  <cp:lastModifiedBy>Administrator</cp:lastModifiedBy>
  <dcterms:modified xsi:type="dcterms:W3CDTF">2024-05-16T07:30:23Z</dcterms:modified>
  <cp:revision>331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D9565086680F4BD591BECF9AE491A52C_12</vt:lpwstr>
  </property>
</Properties>
</file>