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生态功能区转移支付资金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专项费用预算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60015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生态功能区转移支付专项经费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用于全年防火工作开展。以全民参与、全民共筑安全辖区为目标，全面完成我街道各项防火工作任务，努力形成安全稳定和谐的新格局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主要用于防火知识宣传，防火资料制作，防火设备购置，防火物资采购，其他防火工作开展经费支出等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60015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38072元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使用率63.44%，资金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主要用于：防火宣传印刷费、资料费、防火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办公耗材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支付依据合规合法，资金支付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原因是部分广告费用未及时结算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生态功能区转移支付资金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党工委高度重视森林草原防灭火工作，并成立工作领导小组。本项目采取项目工作领导小组负责制，全体成员积极配合、通力合作。项目工作领导小组负责协调相关工作，项目实施及资金管理。项目资金由街道财政所具体管理，按预算计划，制定管理制度，对项目资金按项目单独核算实行“专款专用、专人管理”，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利用各类节假日对辖区群众进行集中宣传。通过发放宣传单、张贴宣传标语、悬挂横幅等形式宣传森林草原防灭火知识，增强广大人民群众的法律意识，营造良好防火氛围。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街道森林草原防灭火工作在上级部门的关心、帮助下、在街道党工委的领导下，顺利推进，圆满完成任务，到达预期目的，</w:t>
      </w:r>
      <w:r>
        <w:rPr>
          <w:rFonts w:hint="eastAsia" w:ascii="仿宋_GB2312" w:hAnsi="宋体"/>
          <w:lang w:val="en-US" w:eastAsia="zh-CN"/>
        </w:rPr>
        <w:t>且</w:t>
      </w:r>
      <w:r>
        <w:rPr>
          <w:rFonts w:hint="eastAsia" w:ascii="仿宋_GB2312" w:hAnsi="宋体"/>
          <w:lang w:val="zh-CN"/>
        </w:rPr>
        <w:t>森林草原防灭火工作改善了辖区居民防火意识，提高了人民群众对防火的认知水平，改善</w:t>
      </w:r>
      <w:bookmarkStart w:id="0" w:name="_GoBack"/>
      <w:bookmarkEnd w:id="0"/>
      <w:r>
        <w:rPr>
          <w:rFonts w:hint="eastAsia" w:ascii="仿宋_GB2312" w:hAnsi="宋体"/>
          <w:lang w:val="zh-CN"/>
        </w:rPr>
        <w:t>用火习惯。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r>
        <w:rPr>
          <w:rFonts w:hint="eastAsia" w:ascii="仿宋_GB2312" w:hAnsi="宋体"/>
          <w:lang w:val="en-US" w:eastAsia="zh-CN"/>
        </w:rPr>
        <w:t>无</w:t>
      </w:r>
      <w:r>
        <w:rPr>
          <w:rFonts w:hint="eastAsia" w:ascii="仿宋_GB2312" w:hAnsi="宋体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85171"/>
    <w:multiLevelType w:val="singleLevel"/>
    <w:tmpl w:val="D98851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4ECBE0"/>
    <w:multiLevelType w:val="singleLevel"/>
    <w:tmpl w:val="F04ECB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220474"/>
    <w:multiLevelType w:val="singleLevel"/>
    <w:tmpl w:val="3622047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4F265C2"/>
    <w:rsid w:val="0EDB478C"/>
    <w:rsid w:val="23D82EFE"/>
    <w:rsid w:val="274D3E1C"/>
    <w:rsid w:val="291C455A"/>
    <w:rsid w:val="35EF6FCF"/>
    <w:rsid w:val="36926D0C"/>
    <w:rsid w:val="38FE2ABF"/>
    <w:rsid w:val="4A091ED0"/>
    <w:rsid w:val="4DAF2BCF"/>
    <w:rsid w:val="4DDB6F66"/>
    <w:rsid w:val="68002C12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996</Words>
  <Characters>1023</Characters>
  <Lines>6</Lines>
  <Paragraphs>1</Paragraphs>
  <TotalTime>1</TotalTime>
  <ScaleCrop>false</ScaleCrop>
  <LinksUpToDate>false</LinksUpToDate>
  <CharactersWithSpaces>1025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