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双拥经费项目支出绩效自评报告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highlight w:val="yellow"/>
          <w:lang w:val="zh-CN" w:eastAsia="zh-CN"/>
        </w:rPr>
      </w:pPr>
      <w:r>
        <w:rPr>
          <w:rFonts w:eastAsia="仿宋_GB2312"/>
          <w:color w:val="000000"/>
          <w:sz w:val="32"/>
          <w:szCs w:val="32"/>
        </w:rPr>
        <w:t>按照西区“2022项目攻坚突破年”重点项目（重点工作）安排，全力推进全国双拥模范城（县）创建工作届中考评调研工作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6610"/>
        </w:tabs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highlight w:val="none"/>
          <w:lang w:val="zh-CN"/>
        </w:rPr>
        <w:t>）项目资金申报及批复情况。</w:t>
      </w:r>
      <w:r>
        <w:rPr>
          <w:rFonts w:hint="eastAsia" w:ascii="楷体_GB2312" w:hAnsi="宋体" w:eastAsia="楷体_GB2312"/>
          <w:b/>
          <w:highlight w:val="none"/>
          <w:lang w:val="zh-CN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highlight w:val="none"/>
          <w:lang w:val="zh-CN"/>
        </w:rPr>
      </w:pPr>
      <w:r>
        <w:rPr>
          <w:rFonts w:hint="eastAsia"/>
          <w:color w:val="000000"/>
          <w:sz w:val="32"/>
          <w:szCs w:val="32"/>
          <w:lang w:eastAsia="zh-CN"/>
        </w:rPr>
        <w:t>根据</w:t>
      </w:r>
      <w:r>
        <w:rPr>
          <w:rFonts w:hint="eastAsia"/>
          <w:color w:val="000000"/>
          <w:sz w:val="32"/>
          <w:szCs w:val="32"/>
          <w:lang w:val="en-US" w:eastAsia="zh-CN"/>
        </w:rPr>
        <w:t>《全国双拥模城（县）创建命名管理办法》和《全国双拥模范城（县）考评标准》等相关政策文件要求，</w:t>
      </w:r>
      <w:r>
        <w:rPr>
          <w:rFonts w:hint="eastAsia" w:ascii="仿宋_GB2312" w:hAnsi="宋体"/>
          <w:lang w:val="en-US" w:eastAsia="zh-CN"/>
        </w:rPr>
        <w:t>2023年预算安排双拥经费92万元，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《关于进一步做好优抚对象走访慰问工作》（攀双拥〔2013〕1号）文件精神</w:t>
      </w:r>
      <w:r>
        <w:rPr>
          <w:rFonts w:hint="eastAsia"/>
          <w:sz w:val="32"/>
          <w:szCs w:val="32"/>
          <w:lang w:eastAsia="zh-CN"/>
        </w:rPr>
        <w:t>，做好</w:t>
      </w:r>
      <w:r>
        <w:rPr>
          <w:rFonts w:hint="eastAsia" w:eastAsia="仿宋_GB2312"/>
          <w:sz w:val="32"/>
          <w:szCs w:val="32"/>
        </w:rPr>
        <w:t>“八一”期间</w:t>
      </w:r>
      <w:r>
        <w:rPr>
          <w:rFonts w:eastAsia="仿宋_GB2312"/>
          <w:sz w:val="32"/>
          <w:szCs w:val="32"/>
        </w:rPr>
        <w:t>走访慰问</w:t>
      </w:r>
      <w:r>
        <w:rPr>
          <w:rFonts w:hint="eastAsia"/>
          <w:sz w:val="32"/>
          <w:szCs w:val="32"/>
          <w:lang w:eastAsia="zh-CN"/>
        </w:rPr>
        <w:t>工作，</w:t>
      </w:r>
      <w:r>
        <w:rPr>
          <w:rFonts w:hint="eastAsia" w:ascii="仿宋_GB2312" w:hAnsi="宋体"/>
          <w:highlight w:val="none"/>
          <w:lang w:val="zh-CN"/>
        </w:rPr>
        <w:t>下拨双拥资金到格里坪镇5.52万元，玉泉街道3.34万元，清香坪街道5.85万元，陶家渡街道2.15万元，大宝鼎街道0.84万元，河门口街道1.01万元，合计18.69万元，</w:t>
      </w:r>
      <w:r>
        <w:rPr>
          <w:rFonts w:hint="eastAsia" w:ascii="仿宋_GB2312" w:hAnsi="宋体"/>
          <w:highlight w:val="none"/>
          <w:lang w:val="en-US" w:eastAsia="zh-CN"/>
        </w:rPr>
        <w:t>2023年</w:t>
      </w:r>
      <w:r>
        <w:rPr>
          <w:rFonts w:hint="eastAsia" w:ascii="仿宋_GB2312" w:hAnsi="宋体"/>
          <w:highlight w:val="none"/>
          <w:lang w:val="zh-CN"/>
        </w:rPr>
        <w:t>收到双拥经费</w:t>
      </w:r>
      <w:r>
        <w:rPr>
          <w:rFonts w:hint="eastAsia" w:ascii="仿宋_GB2312" w:hAnsi="宋体"/>
          <w:highlight w:val="none"/>
          <w:lang w:val="en-US" w:eastAsia="zh-CN"/>
        </w:rPr>
        <w:t>73.31</w:t>
      </w:r>
      <w:bookmarkStart w:id="0" w:name="_GoBack"/>
      <w:bookmarkEnd w:id="0"/>
      <w:r>
        <w:rPr>
          <w:rFonts w:hint="eastAsia" w:ascii="仿宋_GB2312" w:hAnsi="宋体"/>
          <w:highlight w:val="none"/>
          <w:lang w:val="en-US" w:eastAsia="zh-CN"/>
        </w:rPr>
        <w:t>万元</w:t>
      </w:r>
      <w:r>
        <w:rPr>
          <w:rFonts w:hint="eastAsia" w:ascii="仿宋_GB2312" w:hAnsi="宋体"/>
          <w:highlight w:val="none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eastAsia="仿宋_GB2312"/>
          <w:color w:val="000000"/>
          <w:sz w:val="32"/>
          <w:szCs w:val="32"/>
        </w:rPr>
        <w:t>按照西区“2022项目攻坚突破年”重点项目（重点工作）安排，全力推进全国双拥模范城（县）创建工作届中考评调研工作。制作大型户外永久性双拥公益宣传牌2块，制发双拥宣传单2万份，通过多种途径不断强化双拥宣传氛围营造，为争创新一届省级双拥模范区打下坚实基础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双拥经费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73.31万</w:t>
      </w:r>
      <w:r>
        <w:rPr>
          <w:rFonts w:hint="eastAsia" w:ascii="仿宋_GB2312" w:hAnsi="宋体"/>
          <w:lang w:val="en-US" w:eastAsia="zh-CN"/>
        </w:rPr>
        <w:t>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双拥经费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65.57万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支付双拥经费65.57万元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，按标准足额及时发放，发放率达到100%，于202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年12月31日前按时足额完成补助发放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贯彻落实党的群众路线和惠民政策，深入扎实做好拥军优属、拥政爱民工作，不断强化国家军事力量保障，同时为军人创造良好的家庭氛围和后勤保障，有效增强军人荣誉感和责任感，维护社会稳定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根据具体项目实施情况，由经办业务股室对相关监管制度进行梳理，针对项目实际进一步完善相关制度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2.建议财政组织各单位财务人员及内控牵头部门负责人进行业务培训，熟悉财政政策和资金管理相关规定，不断提高业务水平</w:t>
      </w:r>
      <w:r>
        <w:rPr>
          <w:rFonts w:hint="eastAsia" w:ascii="仿宋_GB2312" w:hAnsi="宋体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A41CB"/>
    <w:multiLevelType w:val="singleLevel"/>
    <w:tmpl w:val="341A41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2CC4C52"/>
    <w:rsid w:val="0EDB478C"/>
    <w:rsid w:val="1B412C98"/>
    <w:rsid w:val="21E1189F"/>
    <w:rsid w:val="274D3E1C"/>
    <w:rsid w:val="291C455A"/>
    <w:rsid w:val="2D9F6AE6"/>
    <w:rsid w:val="36926D0C"/>
    <w:rsid w:val="42852CB2"/>
    <w:rsid w:val="49777796"/>
    <w:rsid w:val="4A091ED0"/>
    <w:rsid w:val="4DAF2BCF"/>
    <w:rsid w:val="4DDB6F66"/>
    <w:rsid w:val="4F1813ED"/>
    <w:rsid w:val="51B53F96"/>
    <w:rsid w:val="528A7E67"/>
    <w:rsid w:val="58937008"/>
    <w:rsid w:val="59200CE3"/>
    <w:rsid w:val="5B8B54FE"/>
    <w:rsid w:val="5FBD0F09"/>
    <w:rsid w:val="610C5C73"/>
    <w:rsid w:val="648C2404"/>
    <w:rsid w:val="6C022EBF"/>
    <w:rsid w:val="6F2C4FD9"/>
    <w:rsid w:val="6F755D6A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13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2024-06-02T09:56:14Z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AE1C8242D6B04E9287F1D4AF5F7B9A14</vt:lpwstr>
  </property>
</Properties>
</file>