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5</w:t>
      </w:r>
    </w:p>
    <w:p>
      <w:pPr>
        <w:tabs>
          <w:tab w:val="left" w:pos="1440"/>
        </w:tabs>
        <w:spacing w:line="560" w:lineRule="exact"/>
        <w:rPr>
          <w:rFonts w:ascii="宋体" w:hAnsi="宋体" w:eastAsia="宋体"/>
          <w:sz w:val="30"/>
          <w:szCs w:val="30"/>
        </w:rPr>
      </w:pPr>
    </w:p>
    <w:p>
      <w:pPr>
        <w:pStyle w:val="4"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kern w:val="2"/>
          <w:sz w:val="40"/>
          <w:szCs w:val="40"/>
          <w:lang w:val="en-US" w:eastAsia="zh-CN"/>
        </w:rPr>
        <w:t>公共图书馆、文化馆（站）免费开放中央补助资金</w:t>
      </w:r>
      <w:r>
        <w:rPr>
          <w:rFonts w:hint="eastAsia" w:ascii="方正小标宋简体" w:hAnsi="宋体" w:eastAsia="方正小标宋简体"/>
          <w:sz w:val="44"/>
          <w:szCs w:val="44"/>
        </w:rPr>
        <w:t>专项预算项目支出绩效自评报告</w:t>
      </w:r>
    </w:p>
    <w:p>
      <w:pPr>
        <w:pStyle w:val="4"/>
        <w:spacing w:line="560" w:lineRule="exact"/>
        <w:ind w:firstLine="640"/>
        <w:jc w:val="center"/>
        <w:rPr>
          <w:rFonts w:ascii="宋体" w:hAnsi="宋体"/>
          <w:color w:val="auto"/>
          <w:kern w:val="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20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adjustRightInd w:val="0"/>
        <w:snapToGrid w:val="0"/>
        <w:spacing w:line="600" w:lineRule="exact"/>
        <w:ind w:firstLine="720"/>
        <w:rPr>
          <w:rFonts w:hint="eastAsia" w:eastAsia="仿宋_GB2312"/>
          <w:lang w:val="en-US" w:eastAsia="zh-CN"/>
        </w:rPr>
      </w:pPr>
      <w:r>
        <w:rPr>
          <w:lang w:val="zh-CN"/>
        </w:rPr>
        <w:t>202</w:t>
      </w:r>
      <w:r>
        <w:rPr>
          <w:rFonts w:hint="eastAsia"/>
          <w:lang w:val="en-US" w:eastAsia="zh-CN"/>
        </w:rPr>
        <w:t>3</w:t>
      </w:r>
      <w:r>
        <w:rPr>
          <w:lang w:val="zh-CN"/>
        </w:rPr>
        <w:t>年</w:t>
      </w:r>
      <w:r>
        <w:rPr>
          <w:rFonts w:hint="eastAsia"/>
          <w:lang w:val="zh-CN" w:eastAsia="zh-CN"/>
        </w:rPr>
        <w:t>公共图书馆、文化馆</w:t>
      </w:r>
      <w:r>
        <w:rPr>
          <w:rFonts w:hint="eastAsia"/>
          <w:lang w:val="en-US" w:eastAsia="zh-CN"/>
        </w:rPr>
        <w:t>(站)</w:t>
      </w:r>
      <w:r>
        <w:rPr>
          <w:rFonts w:hint="eastAsia"/>
          <w:lang w:val="zh-CN" w:eastAsia="zh-CN"/>
        </w:rPr>
        <w:t>免费开放中央补助资金</w:t>
      </w:r>
      <w:r>
        <w:rPr>
          <w:lang w:val="zh-CN"/>
        </w:rPr>
        <w:t>项目</w:t>
      </w:r>
      <w:r>
        <w:rPr>
          <w:rFonts w:hint="eastAsia"/>
          <w:lang w:val="zh-CN"/>
        </w:rPr>
        <w:t>主要用于清香坪街道综合文化服务站开展基本公共文化服务，我街道</w:t>
      </w:r>
      <w:r>
        <w:rPr>
          <w:rFonts w:hint="eastAsia"/>
          <w:lang w:val="zh-CN" w:eastAsia="zh-CN"/>
        </w:rPr>
        <w:t>统一安排部署，强化资金使用效益。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项目资金申报及批复情况。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/>
          <w:lang w:val="zh-CN"/>
        </w:rPr>
      </w:pPr>
      <w:r>
        <w:rPr>
          <w:rFonts w:hint="eastAsia"/>
          <w:lang w:val="zh-CN"/>
        </w:rPr>
        <w:t>为丰富辖区居民的文化娱乐生活，按照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根据《攀枝花市农村及社区公共文化服务站点运行管理办法（试行）》（攀西委办发[2010]32号）及《西区农村及社区公共文化服务站点运行管理办法（试行）》（攀西委办发〔2010〕32号）规定</w:t>
      </w:r>
      <w:r>
        <w:rPr>
          <w:rFonts w:hint="eastAsia"/>
          <w:sz w:val="32"/>
          <w:szCs w:val="32"/>
          <w:shd w:val="clear" w:color="auto" w:fill="FFFFFF"/>
          <w:lang w:eastAsia="zh-CN"/>
        </w:rPr>
        <w:t>，清香坪街道对该项目资金进行申报。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720" w:firstLineChars="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项目绩效目标。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left="720" w:leftChars="0"/>
        <w:rPr>
          <w:rFonts w:hint="eastAsia"/>
          <w:lang w:val="zh-CN"/>
        </w:rPr>
      </w:pPr>
      <w:r>
        <w:rPr>
          <w:rFonts w:hint="eastAsia"/>
          <w:lang w:val="zh-CN"/>
        </w:rPr>
        <w:t>该资金管理办法为：《财政部文化旅游部关于印发</w:t>
      </w:r>
      <w:r>
        <w:rPr>
          <w:rFonts w:hint="eastAsia"/>
          <w:lang w:val="en-US" w:eastAsia="zh-CN"/>
        </w:rPr>
        <w:t>&lt;</w:t>
      </w:r>
      <w:r>
        <w:rPr>
          <w:rFonts w:hint="eastAsia"/>
          <w:lang w:val="zh-CN"/>
        </w:rPr>
        <w:t>中央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仿宋_GB2312" w:hAnsi="宋体"/>
          <w:lang w:val="zh-CN"/>
        </w:rPr>
      </w:pPr>
      <w:r>
        <w:rPr>
          <w:rFonts w:hint="eastAsia"/>
          <w:lang w:val="zh-CN"/>
        </w:rPr>
        <w:t>补助地方公共美术馆、图书馆、文化馆（站）免费开放补助资金管理办法</w:t>
      </w:r>
      <w:r>
        <w:rPr>
          <w:rFonts w:hint="eastAsia"/>
          <w:lang w:val="en-US" w:eastAsia="zh-CN"/>
        </w:rPr>
        <w:t>&gt;</w:t>
      </w:r>
      <w:r>
        <w:rPr>
          <w:rFonts w:hint="eastAsia"/>
          <w:lang w:val="zh-CN"/>
        </w:rPr>
        <w:t>》（财教〔2020〕156号）</w:t>
      </w:r>
      <w:r>
        <w:rPr>
          <w:rFonts w:hint="eastAsia"/>
          <w:lang w:val="en-US" w:eastAsia="zh-CN"/>
        </w:rPr>
        <w:t>,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主要用于我办社区综合文化服务</w:t>
      </w:r>
      <w:r>
        <w:rPr>
          <w:rFonts w:hint="eastAsia"/>
          <w:sz w:val="32"/>
          <w:szCs w:val="32"/>
          <w:shd w:val="clear" w:color="auto" w:fill="FFFFFF"/>
          <w:lang w:eastAsia="zh-CN"/>
        </w:rPr>
        <w:t>站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开展日常公共服务</w:t>
      </w:r>
      <w:r>
        <w:rPr>
          <w:rFonts w:hint="eastAsia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文化活动组织等站点维护运行相关支出。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720" w:firstLineChars="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项目资金申报相符性。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left="7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以辖区居民的实际需求为出发点，根据资金管理办法规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仿宋_GB2312" w:hAnsi="宋体"/>
          <w:lang w:val="zh-CN"/>
        </w:rPr>
      </w:pPr>
      <w:r>
        <w:rPr>
          <w:rFonts w:hint="eastAsia"/>
          <w:lang w:val="en-US" w:eastAsia="zh-CN"/>
        </w:rPr>
        <w:t>定，对街道综合文化服务站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开展日常公共服务文化活动组织等</w:t>
      </w:r>
      <w:r>
        <w:rPr>
          <w:rFonts w:hint="eastAsia"/>
          <w:sz w:val="32"/>
          <w:szCs w:val="32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>
      <w:pPr>
        <w:adjustRightInd w:val="0"/>
        <w:snapToGrid w:val="0"/>
        <w:spacing w:line="56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</w:p>
    <w:p>
      <w:pPr>
        <w:adjustRightInd w:val="0"/>
        <w:snapToGrid w:val="0"/>
        <w:spacing w:line="60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/>
          <w:lang w:val="en-US" w:eastAsia="zh-CN"/>
        </w:rPr>
        <w:t>2023年年初公共图书馆、文化馆（站）免费开放中央补助经费预算4.1万，在实施过程中，于2023年申请并批复资金4.1万元。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资金使用。</w:t>
      </w:r>
    </w:p>
    <w:p>
      <w:pPr>
        <w:adjustRightInd w:val="0"/>
        <w:snapToGrid w:val="0"/>
        <w:spacing w:line="60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/>
          <w:lang w:val="en-US" w:eastAsia="zh-CN"/>
        </w:rPr>
        <w:t>截止12月底，该项目资金已全部完成支付，共计4.1万元，主要用于：</w:t>
      </w:r>
      <w:r>
        <w:rPr>
          <w:rFonts w:hint="eastAsia"/>
          <w:lang w:val="zh-CN"/>
        </w:rPr>
        <w:t>购置图书、组织开展文艺演出活动等。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>
      <w:pPr>
        <w:adjustRightInd w:val="0"/>
        <w:snapToGrid w:val="0"/>
        <w:spacing w:line="60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/>
          <w:lang w:val="en-US" w:eastAsia="zh-CN"/>
        </w:rPr>
        <w:t>2023年公共图书馆、文化馆（站）免费开放中央补助资金采取授权支付形式，由我街道财政所年初拟定用款计划，分期严格按照项目资金管理办法对资金进行计划申请、划拨、使用、及时、规范对收支进行财务处理和会计核算。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>
      <w:pPr>
        <w:adjustRightInd w:val="0"/>
        <w:snapToGrid w:val="0"/>
        <w:spacing w:line="600" w:lineRule="exact"/>
        <w:ind w:firstLine="720"/>
        <w:rPr>
          <w:lang w:val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val="zh-CN"/>
        </w:rPr>
        <w:t>项目管理情况。本项目采取项目工作领导小组负责制，全体成员积极配合，通力合作，项目工作领导小组负责协调相关工作，项目实施及资金管理。</w:t>
      </w:r>
    </w:p>
    <w:p>
      <w:pPr>
        <w:adjustRightInd w:val="0"/>
        <w:snapToGrid w:val="0"/>
        <w:spacing w:line="60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zh-CN" w:eastAsia="zh-CN"/>
        </w:rPr>
        <w:t>项目监管情况。项目资金由街道财政所具体管理，制定管理制度，对项目资金按照项目单独核算实行“专款专用、专人管理”，不得挤占挪用项目资金。强化监督，项目的正常实施监督检查是保障，指派专人长期对项目的实施定期或不定期的进行现场检查和监督，及时协调解决困难和难题，保证项目完成质量。</w:t>
      </w:r>
    </w:p>
    <w:p>
      <w:pPr>
        <w:adjustRightInd w:val="0"/>
        <w:snapToGrid w:val="0"/>
        <w:spacing w:line="560" w:lineRule="exact"/>
        <w:ind w:firstLine="720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>
      <w:pPr>
        <w:adjustRightInd w:val="0"/>
        <w:snapToGrid w:val="0"/>
        <w:spacing w:line="600" w:lineRule="exact"/>
        <w:ind w:firstLine="640" w:firstLineChars="200"/>
        <w:rPr>
          <w:lang w:val="zh-CN"/>
        </w:rPr>
      </w:pPr>
      <w:r>
        <w:rPr>
          <w:rFonts w:hint="eastAsia"/>
          <w:lang w:val="en-US" w:eastAsia="zh-CN"/>
        </w:rPr>
        <w:t>截止12月底，该项目资金已全部完成支付，共计4.1万元，主要用于：</w:t>
      </w:r>
      <w:r>
        <w:rPr>
          <w:rFonts w:hint="eastAsia"/>
          <w:lang w:val="zh-CN"/>
        </w:rPr>
        <w:t>购置图书、组织开展</w:t>
      </w:r>
      <w:r>
        <w:rPr>
          <w:rFonts w:hint="eastAsia"/>
          <w:lang w:val="en-US" w:eastAsia="zh-CN"/>
        </w:rPr>
        <w:t>2场文艺演出</w:t>
      </w:r>
      <w:r>
        <w:rPr>
          <w:rFonts w:hint="eastAsia"/>
          <w:lang w:val="zh-CN"/>
        </w:rPr>
        <w:t>等。</w:t>
      </w:r>
    </w:p>
    <w:p>
      <w:pPr>
        <w:numPr>
          <w:ilvl w:val="0"/>
          <w:numId w:val="3"/>
        </w:numPr>
        <w:adjustRightInd w:val="0"/>
        <w:snapToGrid w:val="0"/>
        <w:spacing w:line="56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项目效益情况。</w:t>
      </w:r>
    </w:p>
    <w:p>
      <w:pPr>
        <w:spacing w:line="600" w:lineRule="exact"/>
        <w:ind w:firstLine="645"/>
        <w:rPr>
          <w:rFonts w:hint="eastAsia" w:ascii="仿宋_GB2312" w:hAnsi="宋体"/>
          <w:lang w:val="zh-CN"/>
        </w:rPr>
      </w:pPr>
      <w:r>
        <w:rPr>
          <w:rFonts w:hint="eastAsia"/>
          <w:lang w:val="en-US" w:eastAsia="zh-CN"/>
        </w:rPr>
        <w:t>该项目的开展丰富了辖区居民的文化生活，充分调动了辖区居民参与文化活动的积极性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adjustRightInd w:val="0"/>
        <w:snapToGrid w:val="0"/>
        <w:spacing w:line="560" w:lineRule="exact"/>
        <w:ind w:firstLine="72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>
      <w:pPr>
        <w:adjustRightInd w:val="0"/>
        <w:snapToGrid w:val="0"/>
        <w:spacing w:line="560" w:lineRule="exact"/>
        <w:ind w:firstLine="72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</w:t>
      </w:r>
    </w:p>
    <w:p>
      <w:pPr>
        <w:adjustRightInd w:val="0"/>
        <w:snapToGrid w:val="0"/>
        <w:spacing w:line="600" w:lineRule="exact"/>
        <w:ind w:firstLine="720"/>
        <w:rPr>
          <w:rFonts w:hint="eastAsia" w:ascii="楷体_GB2312" w:hAnsi="宋体" w:eastAsia="楷体_GB2312"/>
          <w:b/>
          <w:lang w:val="en-US" w:eastAsia="zh-CN"/>
        </w:rPr>
      </w:pPr>
      <w:r>
        <w:rPr>
          <w:rFonts w:hint="eastAsia"/>
          <w:lang w:val="zh-CN"/>
        </w:rPr>
        <w:t>无</w:t>
      </w:r>
    </w:p>
    <w:p>
      <w:pPr>
        <w:numPr>
          <w:numId w:val="0"/>
        </w:numPr>
        <w:adjustRightInd w:val="0"/>
        <w:snapToGrid w:val="0"/>
        <w:spacing w:line="560" w:lineRule="exact"/>
        <w:ind w:left="720" w:leftChars="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</w:t>
      </w:r>
      <w:r>
        <w:rPr>
          <w:rFonts w:hint="eastAsia" w:ascii="楷体_GB2312" w:hAnsi="宋体" w:eastAsia="楷体_GB2312"/>
          <w:b/>
          <w:lang w:val="zh-CN" w:eastAsia="zh-CN"/>
        </w:rPr>
        <w:t>二</w:t>
      </w:r>
      <w:r>
        <w:rPr>
          <w:rFonts w:hint="eastAsia" w:ascii="楷体_GB2312" w:hAnsi="宋体" w:eastAsia="楷体_GB2312"/>
          <w:b/>
          <w:lang w:val="zh-CN"/>
        </w:rPr>
        <w:t>）相关建议。</w:t>
      </w:r>
    </w:p>
    <w:p>
      <w:pPr>
        <w:ind w:firstLine="640" w:firstLineChars="200"/>
      </w:pPr>
      <w:r>
        <w:rPr>
          <w:rFonts w:hint="eastAsia"/>
          <w:lang w:val="zh-CN"/>
        </w:rPr>
        <w:t>无</w:t>
      </w:r>
      <w:bookmarkStart w:id="0" w:name="_GoBack"/>
      <w:bookmarkEnd w:id="0"/>
    </w:p>
    <w:p>
      <w:pPr>
        <w:numPr>
          <w:ilvl w:val="0"/>
          <w:numId w:val="0"/>
        </w:numPr>
        <w:adjustRightInd w:val="0"/>
        <w:snapToGrid w:val="0"/>
        <w:spacing w:line="560" w:lineRule="exact"/>
        <w:ind w:left="720" w:leftChars="0"/>
        <w:rPr>
          <w:rFonts w:hint="eastAsia" w:ascii="仿宋_GB2312" w:hAnsi="宋体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46FEF8"/>
    <w:multiLevelType w:val="singleLevel"/>
    <w:tmpl w:val="AA46F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9E5B2E"/>
    <w:multiLevelType w:val="singleLevel"/>
    <w:tmpl w:val="D09E5B2E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5D113E9F"/>
    <w:multiLevelType w:val="singleLevel"/>
    <w:tmpl w:val="5D113E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NDUxYThlMWQ5NWNkYzQzOGNhMDA2MTUzOTg1NDAifQ=="/>
  </w:docVars>
  <w:rsids>
    <w:rsidRoot w:val="291C455A"/>
    <w:rsid w:val="001A0E0E"/>
    <w:rsid w:val="003414A3"/>
    <w:rsid w:val="00515A0C"/>
    <w:rsid w:val="00866E99"/>
    <w:rsid w:val="03A7548F"/>
    <w:rsid w:val="0436786D"/>
    <w:rsid w:val="045A7873"/>
    <w:rsid w:val="06700E5F"/>
    <w:rsid w:val="06BD08B2"/>
    <w:rsid w:val="08422AB5"/>
    <w:rsid w:val="08E05E67"/>
    <w:rsid w:val="0B143109"/>
    <w:rsid w:val="0C1C4D0C"/>
    <w:rsid w:val="0D27424B"/>
    <w:rsid w:val="0EDB478C"/>
    <w:rsid w:val="0FA511AF"/>
    <w:rsid w:val="10C47E85"/>
    <w:rsid w:val="12160E9A"/>
    <w:rsid w:val="129A2924"/>
    <w:rsid w:val="14F15A04"/>
    <w:rsid w:val="16411419"/>
    <w:rsid w:val="168762BF"/>
    <w:rsid w:val="1E672597"/>
    <w:rsid w:val="20821BC2"/>
    <w:rsid w:val="23754645"/>
    <w:rsid w:val="256C3014"/>
    <w:rsid w:val="25F87256"/>
    <w:rsid w:val="26092494"/>
    <w:rsid w:val="291C455A"/>
    <w:rsid w:val="29DF2B6D"/>
    <w:rsid w:val="2BEE450B"/>
    <w:rsid w:val="300E22BC"/>
    <w:rsid w:val="366F24BD"/>
    <w:rsid w:val="36926D0C"/>
    <w:rsid w:val="37CD0C09"/>
    <w:rsid w:val="3A4844A5"/>
    <w:rsid w:val="417D0E27"/>
    <w:rsid w:val="41F82971"/>
    <w:rsid w:val="432331CD"/>
    <w:rsid w:val="46390ACA"/>
    <w:rsid w:val="463B23E5"/>
    <w:rsid w:val="48CA3F9D"/>
    <w:rsid w:val="4A091ED0"/>
    <w:rsid w:val="4A512EFA"/>
    <w:rsid w:val="4A766490"/>
    <w:rsid w:val="4C396EE5"/>
    <w:rsid w:val="4C7864E9"/>
    <w:rsid w:val="4DAF2BCF"/>
    <w:rsid w:val="4DDB6F66"/>
    <w:rsid w:val="52080724"/>
    <w:rsid w:val="52F802CF"/>
    <w:rsid w:val="545F4C7C"/>
    <w:rsid w:val="54BF504F"/>
    <w:rsid w:val="5CBC4350"/>
    <w:rsid w:val="61BC2359"/>
    <w:rsid w:val="63130C03"/>
    <w:rsid w:val="63D62440"/>
    <w:rsid w:val="65C3232E"/>
    <w:rsid w:val="68956971"/>
    <w:rsid w:val="6AB2646A"/>
    <w:rsid w:val="6E4A0A27"/>
    <w:rsid w:val="6F5336C4"/>
    <w:rsid w:val="71636FFE"/>
    <w:rsid w:val="73D04466"/>
    <w:rsid w:val="74F17490"/>
    <w:rsid w:val="77DA31D7"/>
    <w:rsid w:val="792F2AEE"/>
    <w:rsid w:val="7D466A0E"/>
    <w:rsid w:val="7FA35D2E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2020-07-01T00:19:00Z</dcterms:created>
  <dc:creator>Administrator</dc:creator>
  <cp:lastModifiedBy>卢燕</cp:lastModifiedBy>
  <dcterms:modified xsi:type="dcterms:W3CDTF">2024-06-04T01:36:42Z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CF59DA63DED240E19DCF53D121A3C9A7_13</vt:lpwstr>
  </property>
</Properties>
</file>