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政务大厅基本运行经费</w:t>
      </w: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widowControl/>
        <w:spacing w:line="580" w:lineRule="exact"/>
        <w:contextualSpacing/>
        <w:jc w:val="center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（</w:t>
      </w:r>
      <w:r>
        <w:rPr>
          <w:rStyle w:val="9"/>
          <w:rFonts w:hint="eastAsia" w:ascii="楷体_GB2312" w:hAnsi="Times New Roman" w:eastAsia="楷体_GB2312"/>
          <w:sz w:val="32"/>
          <w:szCs w:val="32"/>
          <w:lang w:eastAsia="zh-CN"/>
        </w:rPr>
        <w:t>攀枝花市西区行政审批局</w:t>
      </w:r>
      <w:r>
        <w:rPr>
          <w:szCs w:val="32"/>
          <w:shd w:val="clear" w:color="auto" w:fill="FFFFFF"/>
        </w:rPr>
        <w:t>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color w:val="auto"/>
          <w:highlight w:val="none"/>
          <w:lang w:val="zh-CN"/>
        </w:rPr>
      </w:pPr>
      <w:r>
        <w:rPr>
          <w:rFonts w:hint="eastAsia" w:ascii="仿宋_GB2312" w:hAnsi="宋体"/>
          <w:color w:val="auto"/>
          <w:highlight w:val="none"/>
          <w:lang w:val="zh-CN"/>
        </w:rPr>
        <w:t>政务大厅基本运行经费主要用于网络、中央空调等基础设施设备维修维护，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物业、</w:t>
      </w:r>
      <w:r>
        <w:rPr>
          <w:rFonts w:hint="eastAsia" w:ascii="仿宋_GB2312" w:hAnsi="宋体"/>
          <w:color w:val="auto"/>
          <w:highlight w:val="none"/>
          <w:lang w:val="zh-CN"/>
        </w:rPr>
        <w:t>办公绿化、饮用水等日常工作运行。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color w:val="auto"/>
          <w:highlight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color w:val="auto"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color w:val="auto"/>
          <w:highlight w:val="none"/>
          <w:lang w:val="zh-CN"/>
        </w:rPr>
        <w:t>）项目资金申报及批复情况。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年初根据工作安排申报预算45万元，年中追加预算24.57万元，2023年共收到</w:t>
      </w:r>
      <w:r>
        <w:rPr>
          <w:rFonts w:hint="eastAsia" w:ascii="仿宋_GB2312" w:hAnsi="宋体" w:cs="Times New Roman"/>
          <w:color w:val="auto"/>
          <w:highlight w:val="none"/>
          <w:lang w:val="zh-CN" w:eastAsia="zh-CN"/>
        </w:rPr>
        <w:t>政务大厅运行经费</w:t>
      </w: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69.57万元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color w:val="auto"/>
          <w:highlight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highlight w:val="none"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zh-CN"/>
        </w:rPr>
        <w:t>通过日常管理，维护运行，保证政务大厅办公、用水等日常运转。营造良好的政务服务环境，维护树立政府形象，获得社会公众认可。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color w:val="auto"/>
          <w:highlight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highlight w:val="none"/>
          <w:lang w:val="zh-CN"/>
        </w:rPr>
        <w:t>（三）项目资金申报相符性。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default" w:ascii="仿宋_GB2312" w:hAnsi="宋体" w:cs="Times New Roman"/>
          <w:color w:val="auto"/>
          <w:highlight w:val="none"/>
          <w:lang w:val="en-US" w:eastAsia="zh-CN"/>
        </w:rPr>
        <w:t>该项目的设立依据充分，符合政策文件有关要求，立项程序合规，目标设定切实可行，经费安排与工作相适应，资金用途明确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2023年收到</w:t>
      </w:r>
      <w:r>
        <w:rPr>
          <w:rFonts w:hint="eastAsia" w:ascii="仿宋_GB2312" w:hAnsi="宋体" w:cs="Times New Roman"/>
          <w:color w:val="auto"/>
          <w:highlight w:val="none"/>
          <w:lang w:val="zh-CN" w:eastAsia="zh-CN"/>
        </w:rPr>
        <w:t>政务大厅运行经费</w:t>
      </w: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69.57万元，到位率100%。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截至</w:t>
      </w:r>
      <w:r>
        <w:rPr>
          <w:rFonts w:hint="default" w:ascii="仿宋_GB2312" w:hAnsi="宋体" w:cs="Times New Roman"/>
          <w:color w:val="auto"/>
          <w:highlight w:val="none"/>
          <w:lang w:val="en-US" w:eastAsia="zh-CN"/>
        </w:rPr>
        <w:t>评价时点，202</w:t>
      </w: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3</w:t>
      </w:r>
      <w:r>
        <w:rPr>
          <w:rFonts w:hint="default" w:ascii="仿宋_GB2312" w:hAnsi="宋体" w:cs="Times New Roman"/>
          <w:color w:val="auto"/>
          <w:highlight w:val="none"/>
          <w:lang w:val="en-US" w:eastAsia="zh-CN"/>
        </w:rPr>
        <w:t>年共支出</w:t>
      </w: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69.57万</w:t>
      </w:r>
      <w:r>
        <w:rPr>
          <w:rFonts w:hint="default" w:ascii="仿宋_GB2312" w:hAnsi="宋体" w:cs="Times New Roman"/>
          <w:color w:val="auto"/>
          <w:highlight w:val="none"/>
          <w:lang w:val="en-US" w:eastAsia="zh-CN"/>
        </w:rPr>
        <w:t>元</w:t>
      </w: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1.</w:t>
      </w: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该项目属于</w:t>
      </w:r>
      <w:r>
        <w:rPr>
          <w:rFonts w:hint="eastAsia" w:ascii="仿宋_GB2312" w:hAnsi="宋体" w:cs="Times New Roman"/>
          <w:color w:val="auto"/>
          <w:highlight w:val="none"/>
          <w:lang w:val="zh-CN" w:eastAsia="zh-CN"/>
        </w:rPr>
        <w:t>项目</w:t>
      </w: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2.</w:t>
      </w: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在资金管理上，按照内部控制建设要求，制定了财务管理制度、资产管理制度等，在资金使用上，严格按照资金</w:t>
      </w:r>
      <w:r>
        <w:rPr>
          <w:rFonts w:hint="eastAsia" w:ascii="仿宋_GB2312" w:hAnsi="宋体" w:cs="Times New Roman"/>
          <w:color w:val="auto"/>
          <w:highlight w:val="none"/>
          <w:lang w:val="zh-CN" w:eastAsia="zh-CN"/>
        </w:rPr>
        <w:t>使用</w:t>
      </w:r>
      <w:r>
        <w:rPr>
          <w:rFonts w:hint="default" w:ascii="仿宋_GB2312" w:hAnsi="宋体" w:cs="Times New Roman"/>
          <w:color w:val="auto"/>
          <w:highlight w:val="none"/>
          <w:lang w:val="zh-CN" w:eastAsia="zh-CN"/>
        </w:rPr>
        <w:t>用途进行审核审批，项目管理规范有序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zh-CN"/>
        </w:rPr>
        <w:t>通过日常管理，维护运行，保证政务大厅办公、用水等日常运转。营造良好的政务服务环境，维护树立政府形象，获得社会公众认可。在评价周期内，政务大厅的基础设施设备维修维护工作均按计划完成，包括网络设备的定期维护、中央空调的检修与保养等。同时，物业、办公绿化、饮用水等日常工作运行也均保持正常状态，未出现影响正常办公的故障或事故。对于维修维护工作，严格执行相关的技术标准和操作规范，确保维修质量达到要求。同时，对于物业、办公绿化等日常管理工作，注重细节，力求为办事群众提供舒适、整洁的办事环境。在接到维修需求或工作指令后，能够迅速响应，并按照承诺的时限完成相关工作。对于紧急情况，能够迅速启动应急预案，确保政务大厅的正常运转不受影响。在资金使用方面，严格按照预算计划执行，确保每一笔支出都符合规定。同时，也注重节约成本，通过合理安排工作计划、提高工作效率等措施，有效降低运行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zh-CN"/>
        </w:rPr>
        <w:t>经过严格的财务管理和成本控制，本评价周期内的政务大厅基本运行经费实现了略有结余。结余资金按照相关规定进行管理和使用。未出现任何违规记录。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default" w:ascii="仿宋_GB2312" w:hAnsi="宋体" w:cs="Times New Roman"/>
          <w:color w:val="auto"/>
          <w:highlight w:val="none"/>
          <w:lang w:val="en-US" w:eastAsia="zh-CN"/>
        </w:rPr>
        <w:t>围绕项目审批，持续优化营商环境。深化改革攻坚，不断提升服务质效</w:t>
      </w:r>
      <w:r>
        <w:rPr>
          <w:rFonts w:hint="eastAsia" w:ascii="仿宋_GB2312" w:hAnsi="宋体" w:cs="Times New Roman"/>
          <w:color w:val="auto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en-US" w:eastAsia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1.对于绩效评价的认识不够深入，把预算绩效简单等同于工作目标、工作考核和业务管理。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en-US" w:eastAsia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en-US" w:eastAsia="zh-CN"/>
        </w:rPr>
      </w:pPr>
      <w:r>
        <w:rPr>
          <w:rFonts w:hint="eastAsia" w:ascii="仿宋_GB2312" w:hAnsi="宋体" w:cs="Times New Roman"/>
          <w:color w:val="auto"/>
          <w:highlight w:val="none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  <w:r>
        <w:rPr>
          <w:rFonts w:hint="eastAsia" w:ascii="仿宋_GB2312" w:hAnsi="宋体" w:cs="Times New Roman"/>
          <w:color w:val="auto"/>
          <w:highlight w:val="none"/>
          <w:lang w:val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cs="Times New Roman"/>
          <w:color w:val="auto"/>
          <w:highlight w:val="non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textAlignment w:val="auto"/>
        <w:rPr>
          <w:rFonts w:hint="eastAsia" w:ascii="仿宋_GB2312" w:hAnsi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4480" w:firstLineChars="14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攀枝花市西区行政审批局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5120" w:firstLineChars="1600"/>
        <w:contextualSpacing/>
        <w:jc w:val="left"/>
        <w:textAlignment w:val="auto"/>
        <w:rPr>
          <w:rFonts w:hint="default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2024年6月3日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jAxZWJjZDEzZGRiYWE1MmYwNTM1Mjk2ZTNjMTIifQ=="/>
  </w:docVars>
  <w:rsids>
    <w:rsidRoot w:val="291C455A"/>
    <w:rsid w:val="003414A3"/>
    <w:rsid w:val="00515A0C"/>
    <w:rsid w:val="00866E99"/>
    <w:rsid w:val="0EDB478C"/>
    <w:rsid w:val="134A11EE"/>
    <w:rsid w:val="176D54ED"/>
    <w:rsid w:val="1784046F"/>
    <w:rsid w:val="1B412C98"/>
    <w:rsid w:val="21E1189F"/>
    <w:rsid w:val="274D3E1C"/>
    <w:rsid w:val="291C455A"/>
    <w:rsid w:val="36926D0C"/>
    <w:rsid w:val="42852CB2"/>
    <w:rsid w:val="49777796"/>
    <w:rsid w:val="4A091ED0"/>
    <w:rsid w:val="4DAF2BCF"/>
    <w:rsid w:val="4DDB6F66"/>
    <w:rsid w:val="4F1813ED"/>
    <w:rsid w:val="528A7E67"/>
    <w:rsid w:val="59200CE3"/>
    <w:rsid w:val="5B8B54FE"/>
    <w:rsid w:val="648C2404"/>
    <w:rsid w:val="6C022EBF"/>
    <w:rsid w:val="6F2C4FD9"/>
    <w:rsid w:val="6F755D6A"/>
    <w:rsid w:val="792F2AEE"/>
    <w:rsid w:val="7C6F7CD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fontstyle01"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1399</Words>
  <Characters>1437</Characters>
  <Lines>6</Lines>
  <Paragraphs>1</Paragraphs>
  <TotalTime>11</TotalTime>
  <ScaleCrop>false</ScaleCrop>
  <LinksUpToDate>false</LinksUpToDate>
  <CharactersWithSpaces>1439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风吹杨柳</cp:lastModifiedBy>
  <dcterms:modified xsi:type="dcterms:W3CDTF">2024-06-03T05:30:01Z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2DF36FE84C3F4C588D8E2ED5E3D69143</vt:lpwstr>
  </property>
</Properties>
</file>