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政法转移支付资金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近年来，在省厅、市局和</w:t>
      </w:r>
      <w:r>
        <w:rPr>
          <w:rFonts w:hint="eastAsia" w:ascii="仿宋_GB2312" w:hAnsi="宋体"/>
          <w:lang w:val="zh-CN" w:eastAsia="zh-CN"/>
        </w:rPr>
        <w:t>区</w:t>
      </w:r>
      <w:r>
        <w:rPr>
          <w:rFonts w:hint="eastAsia" w:ascii="仿宋_GB2312" w:hAnsi="宋体"/>
          <w:lang w:val="zh-CN"/>
        </w:rPr>
        <w:t>委区政府的坚强领导下，我局积极运用中央转移支付资金，充分发挥司法行政职能优势，保障社区矫正、法律援助、人民调解、法治宣传等日常业务工作的开展，支持局机关和司法所完善设备，完成规范化建设，加强法律援助工作，有效维护社会弱势群体的合法权益，预防纠纷，减少诉讼，维护社会稳定，为我区大局稳定和经济稳步发展创造了良好的法治环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西区司法局</w:t>
      </w:r>
      <w:r>
        <w:rPr>
          <w:rFonts w:hint="eastAsia" w:ascii="仿宋_GB2312" w:hAnsi="宋体"/>
          <w:lang w:val="en-US" w:eastAsia="zh-CN"/>
        </w:rPr>
        <w:t>2023年度收到</w:t>
      </w:r>
      <w:r>
        <w:rPr>
          <w:rFonts w:hint="eastAsia" w:ascii="仿宋_GB2312" w:hAnsi="宋体"/>
          <w:lang w:val="zh-CN"/>
        </w:rPr>
        <w:t>中央和省级政法转移支付资金</w:t>
      </w:r>
      <w:r>
        <w:rPr>
          <w:rFonts w:hint="eastAsia" w:ascii="仿宋_GB2312" w:hAnsi="宋体"/>
          <w:lang w:val="en-US" w:eastAsia="zh-CN"/>
        </w:rPr>
        <w:t>191.53</w:t>
      </w:r>
      <w:r>
        <w:rPr>
          <w:rFonts w:hint="eastAsia" w:ascii="仿宋_GB2312" w:hAnsi="宋体"/>
          <w:lang w:val="zh-CN"/>
        </w:rPr>
        <w:t>万元。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cs="Times New Roman"/>
          <w:lang w:val="zh-CN"/>
        </w:rPr>
      </w:pPr>
      <w:r>
        <w:rPr>
          <w:rFonts w:hint="eastAsia" w:ascii="仿宋_GB2312" w:hAnsi="宋体" w:cs="Times New Roman"/>
          <w:lang w:val="zh-CN"/>
        </w:rPr>
        <w:t>2020年我局结合司法行政工作职能，积极运用中央和省级政法转移支付资金，完成</w:t>
      </w:r>
      <w:r>
        <w:rPr>
          <w:rFonts w:hint="eastAsia" w:ascii="仿宋_GB2312" w:hAnsi="宋体" w:cs="Times New Roman"/>
          <w:lang w:val="en-US" w:eastAsia="zh-CN"/>
        </w:rPr>
        <w:t>6</w:t>
      </w:r>
      <w:r>
        <w:rPr>
          <w:rFonts w:hint="eastAsia" w:ascii="仿宋_GB2312" w:hAnsi="宋体" w:cs="Times New Roman"/>
          <w:lang w:val="zh-CN"/>
        </w:rPr>
        <w:t>个司法所规范化建设，接受法律援助咨询1900余件，符合条件的案件受援率达到100%，有效维护群众的合法权益，社区矫正、人民调解、法治宣传等各项工作有序开展，较好地完成了年初设定的任务。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2023年收到</w:t>
      </w:r>
      <w:r>
        <w:rPr>
          <w:rFonts w:hint="eastAsia" w:ascii="仿宋_GB2312" w:hAnsi="宋体"/>
          <w:lang w:val="zh-CN"/>
        </w:rPr>
        <w:t>中央和省级政法转移支付资金</w:t>
      </w:r>
      <w:r>
        <w:rPr>
          <w:rFonts w:hint="eastAsia" w:ascii="仿宋_GB2312" w:hAnsi="宋体"/>
          <w:lang w:val="en-US" w:eastAsia="zh-CN"/>
        </w:rPr>
        <w:t>191.53</w:t>
      </w:r>
      <w:bookmarkStart w:id="0" w:name="_GoBack"/>
      <w:bookmarkEnd w:id="0"/>
      <w:r>
        <w:rPr>
          <w:rFonts w:hint="eastAsia" w:ascii="仿宋_GB2312" w:hAnsi="宋体"/>
          <w:lang w:val="zh-CN"/>
        </w:rPr>
        <w:t>万元</w:t>
      </w:r>
      <w:r>
        <w:rPr>
          <w:rFonts w:hint="eastAsia" w:ascii="仿宋_GB2312" w:hAnsi="宋体"/>
          <w:lang w:val="en-US" w:eastAsia="zh-CN"/>
        </w:rPr>
        <w:t>，到位率100%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en-US" w:eastAsia="zh-CN"/>
        </w:rPr>
        <w:t>2.</w:t>
      </w: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</w:t>
      </w:r>
      <w:r>
        <w:rPr>
          <w:rFonts w:hint="eastAsia" w:ascii="仿宋_GB2312" w:hAnsi="宋体"/>
          <w:lang w:val="zh-CN"/>
        </w:rPr>
        <w:t>中央和省级政法转移支付资金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43.6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eastAsia="zh-CN"/>
        </w:rPr>
        <w:t>其中：中央政法转移支付业务办案费支出</w:t>
      </w:r>
      <w:r>
        <w:rPr>
          <w:rFonts w:hint="eastAsia" w:cs="Times New Roman"/>
          <w:sz w:val="32"/>
          <w:szCs w:val="32"/>
          <w:lang w:val="en-US" w:eastAsia="zh-CN"/>
        </w:rPr>
        <w:t>1.4万元、中央政法纪检监察转移支付资金支出26.67万元、中央和省级政法转移支付法律援助经费支出15.53万元。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以安全稳定为根基，实施平安“护卫固安”工程。</w:t>
      </w:r>
      <w:r>
        <w:rPr>
          <w:rFonts w:hint="default" w:ascii="Times New Roman" w:hAnsi="Times New Roman" w:eastAsia="仿宋_GB2312" w:cs="Times New Roman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  <w:t>一是推动智能化运行。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投入近50万元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社区矫正“智慧矫正中心”项目建设，运用信息化手段对在册社区矫正对象106人进行实时监控。严格落实管理程序，开展审前调查评估26人，定位点验检查10次，点验人员1300余人次，训诫、警告违反规定对象5人次，撤销缓刑1人。</w:t>
      </w:r>
      <w:r>
        <w:rPr>
          <w:rFonts w:hint="default" w:ascii="Times New Roman" w:hAnsi="Times New Roman" w:eastAsia="仿宋_GB2312" w:cs="Times New Roman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  <w:t>二是抓实安置帮教。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今年以来，向异地司法局发出“双列管”函39份，切实做到安置帮教人员“外出有人管、困难有人帮、就业有人扶”。截止目前，我区现在册安置帮教509人，接收刑释解矫148人（其中监狱、看守所刑满释放人员80人，解除社区矫正人员68人），帮教率100%，就业安置率95%。</w:t>
      </w:r>
      <w:r>
        <w:rPr>
          <w:rFonts w:hint="default" w:ascii="Times New Roman" w:hAnsi="Times New Roman" w:eastAsia="仿宋_GB2312" w:cs="Times New Roman"/>
          <w:b/>
          <w:bCs/>
          <w:color w:val="212529"/>
          <w:kern w:val="0"/>
          <w:sz w:val="32"/>
          <w:szCs w:val="32"/>
          <w:shd w:val="clear" w:color="auto" w:fill="FFFFFF"/>
          <w:lang w:val="en-US" w:eastAsia="zh-CN" w:bidi="ar"/>
        </w:rPr>
        <w:t>三是深化调解成果。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公共法律服务中心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矛盾纠纷多元化解中心综合性调解平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畅通“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调对接”“公调对接”“访调对接”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设立4个行业性人民调解委员会，组建2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名专职调解队伍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派出所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人民调解室5个，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金牌调解室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个人调解工作室4个，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2个案例入选全市十大优秀典型案例汇编。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调解员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余名人民调解员“充电”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。据统计，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全年调解1239件，调解率98%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逐步提升干部群众的法治意识；将社区矫正、人民调解、法治宣传工作与扫黑除恶工作相结合，全力保障社会稳定；法律援助案件受理率100%，为经济困难群众或特殊案件当事人提供优质法律援助服务；持续推进矛盾纠纷排查化解，进一步从源头上预防和减少社会矛盾发生，有效促进社会和谐稳定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预算执行率较低，主要原因是：一是部分政法转移支付资金在下半年才下达到位，所以组织项目实施时间较晚，有少部分资金要在次年才能实施完成；二是法律援助办案为跨年性的项目，部分案件未结案导致资金支付延迟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t>提前谋划开展项目实施，尽量在12月前完成项目结账支付</w:t>
      </w:r>
      <w:r>
        <w:rPr>
          <w:rFonts w:hint="eastAsia" w:ascii="仿宋_GB2312" w:hAnsi="宋体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D0D7A"/>
    <w:multiLevelType w:val="singleLevel"/>
    <w:tmpl w:val="C1ED0D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B3F6CC5"/>
    <w:rsid w:val="0EDB478C"/>
    <w:rsid w:val="1B412C98"/>
    <w:rsid w:val="2218747D"/>
    <w:rsid w:val="274D3E1C"/>
    <w:rsid w:val="291C455A"/>
    <w:rsid w:val="36926D0C"/>
    <w:rsid w:val="4A091ED0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14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06074C5CF3AC4A4A816739DB30A24D21</vt:lpwstr>
  </property>
</Properties>
</file>