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省级公共文化服务体系建设专项资金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（广电项目）项目支出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/>
        </w:rPr>
        <w:t>攀枝花市西区文化广播电视和旅游局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宋体"/>
          <w:lang w:val="zh-CN"/>
        </w:rPr>
        <w:t>西区智慧广电示范区创建项目计划实施</w:t>
      </w:r>
      <w:r>
        <w:rPr>
          <w:rFonts w:hint="eastAsia"/>
          <w:lang w:eastAsia="zh-CN"/>
        </w:rPr>
        <w:t>智慧广电数字信息服务支撑系统、智慧广电媒体融合项目、</w:t>
      </w:r>
      <w:r>
        <w:rPr>
          <w:rFonts w:hint="eastAsia"/>
          <w:lang w:val="en-US" w:eastAsia="zh-CN"/>
        </w:rPr>
        <w:t>智慧广电赋能智慧应急广播项目、</w:t>
      </w:r>
      <w:r>
        <w:rPr>
          <w:rFonts w:hint="eastAsia"/>
          <w:lang w:eastAsia="zh-CN"/>
        </w:rPr>
        <w:t>智慧广电数字乡村建设项目、智慧广电人人通建设项目，搭建智慧广电网络系统，</w:t>
      </w:r>
      <w:r>
        <w:rPr>
          <w:rFonts w:ascii="Arial" w:hAnsi="Arial" w:cs="宋体"/>
        </w:rPr>
        <w:t>使攀枝花西区广播电视在内容生产、安全监管、</w:t>
      </w:r>
      <w:r>
        <w:rPr>
          <w:rFonts w:hint="eastAsia" w:ascii="Arial" w:hAnsi="Arial" w:cs="宋体"/>
          <w:lang w:eastAsia="zh-CN"/>
        </w:rPr>
        <w:t>公共</w:t>
      </w:r>
      <w:r>
        <w:rPr>
          <w:rFonts w:ascii="Arial" w:hAnsi="Arial" w:cs="宋体"/>
        </w:rPr>
        <w:t>服务等方面得到极大的提升，推动西区广播电视从数字化、网络化向智慧化发展、从功能业务型向创新服务型转变</w:t>
      </w:r>
      <w:r>
        <w:rPr>
          <w:rFonts w:hint="eastAsia" w:ascii="Arial" w:hAnsi="Arial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textAlignment w:val="auto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 xml:space="preserve">     2022年4月，根据《四川省广播电视局四川省财政厅关于组织2022-2023年度智慧广电示范区创建项目入库申报的通知》文件要求，西区编制了《四川省攀枝花市西区2022-2023年度智慧广电示范区创建实施方案》积极申报智慧广电示范区项目，并成功纳入2023年创建项目，专项建设资金于2023年11月下达西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/>
          <w:lang w:val="zh-CN" w:eastAsia="zh-CN"/>
        </w:rPr>
        <w:t>西区智慧广电示范区创建项目主要建设实施</w:t>
      </w:r>
      <w:r>
        <w:rPr>
          <w:rFonts w:hint="eastAsia"/>
          <w:lang w:val="en-US" w:eastAsia="zh-CN"/>
        </w:rPr>
        <w:t>智</w:t>
      </w:r>
      <w:r>
        <w:rPr>
          <w:rFonts w:hint="eastAsia"/>
          <w:lang w:eastAsia="zh-CN"/>
        </w:rPr>
        <w:t>慧广电数字信息服务支撑系统、智慧广电媒体融合项目、</w:t>
      </w:r>
      <w:r>
        <w:rPr>
          <w:rFonts w:hint="eastAsia"/>
          <w:lang w:val="en-US" w:eastAsia="zh-CN"/>
        </w:rPr>
        <w:t>智慧广电赋能智慧应急广播项目、</w:t>
      </w:r>
      <w:r>
        <w:rPr>
          <w:rFonts w:hint="eastAsia"/>
          <w:lang w:eastAsia="zh-CN"/>
        </w:rPr>
        <w:t>智慧广电数字乡村建设项目、智慧广电人人通建设项目五个子项目，计划实施绩效目标如下：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1、定性目标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整合文广旅</w:t>
      </w:r>
      <w:r>
        <w:rPr>
          <w:rFonts w:hint="eastAsia"/>
          <w:lang w:eastAsia="zh-CN"/>
        </w:rPr>
        <w:t>局</w:t>
      </w:r>
      <w:r>
        <w:rPr>
          <w:rFonts w:hint="eastAsia"/>
        </w:rPr>
        <w:t>相关职能部门的服务管理资源和社会资源，</w:t>
      </w:r>
      <w:r>
        <w:rPr>
          <w:rFonts w:hint="eastAsia"/>
          <w:lang w:eastAsia="zh-CN"/>
        </w:rPr>
        <w:t>提升西区融媒体中心传播能力，提升应急广播联动质效，提升广播电视服务乡村振兴能力，实现智慧广电人人通，全面提升西区广播电视智慧化服务水平，探索广电运用新场景。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2、定量目标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0" w:firstLineChars="200"/>
        <w:rPr>
          <w:rFonts w:hint="default" w:ascii="Arial" w:hAnsi="Arial" w:cs="宋体"/>
        </w:rPr>
      </w:pPr>
      <w:r>
        <w:rPr>
          <w:rFonts w:hint="eastAsia"/>
          <w:lang w:val="en-US" w:eastAsia="zh-CN"/>
        </w:rPr>
        <w:t>智</w:t>
      </w:r>
      <w:r>
        <w:rPr>
          <w:rFonts w:hint="eastAsia"/>
          <w:lang w:eastAsia="zh-CN"/>
        </w:rPr>
        <w:t>慧广电数字信息服务支撑系统</w:t>
      </w:r>
      <w:r>
        <w:rPr>
          <w:rFonts w:hint="default"/>
        </w:rPr>
        <w:t>完成至少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个</w:t>
      </w:r>
      <w:r>
        <w:rPr>
          <w:rFonts w:hint="eastAsia"/>
          <w:lang w:val="en-US" w:eastAsia="zh-CN"/>
        </w:rPr>
        <w:t>业务</w:t>
      </w:r>
      <w:r>
        <w:rPr>
          <w:rFonts w:hint="default"/>
        </w:rPr>
        <w:t>部门的数据整合</w:t>
      </w:r>
      <w:r>
        <w:rPr>
          <w:rFonts w:hint="eastAsia"/>
          <w:lang w:eastAsia="zh-CN"/>
        </w:rPr>
        <w:t>，</w:t>
      </w:r>
      <w:r>
        <w:rPr>
          <w:rFonts w:hint="default"/>
        </w:rPr>
        <w:t>实现</w:t>
      </w:r>
      <w:r>
        <w:rPr>
          <w:rFonts w:hint="eastAsia"/>
          <w:lang w:val="en-US" w:eastAsia="zh-CN"/>
        </w:rPr>
        <w:t>业务</w:t>
      </w:r>
      <w:r>
        <w:rPr>
          <w:rFonts w:hint="default"/>
        </w:rPr>
        <w:t>部门间数据共享次数达到每年</w:t>
      </w:r>
      <w:r>
        <w:rPr>
          <w:rFonts w:hint="eastAsia"/>
          <w:lang w:val="en-US" w:eastAsia="zh-CN"/>
        </w:rPr>
        <w:t>1000</w:t>
      </w:r>
      <w:r>
        <w:rPr>
          <w:rFonts w:hint="default"/>
        </w:rPr>
        <w:t>次以上</w:t>
      </w:r>
      <w:r>
        <w:rPr>
          <w:rFonts w:hint="eastAsia"/>
          <w:lang w:eastAsia="zh-CN"/>
        </w:rPr>
        <w:t>；</w:t>
      </w:r>
      <w:r>
        <w:rPr>
          <w:rFonts w:hint="eastAsia" w:cs="宋体"/>
          <w:lang w:eastAsia="zh-CN"/>
        </w:rPr>
        <w:t>西区智慧广电媒体融合</w:t>
      </w:r>
      <w:r>
        <w:rPr>
          <w:rFonts w:hint="default" w:ascii="Arial" w:hAnsi="Arial" w:cs="宋体"/>
        </w:rPr>
        <w:t>平台发布的信息量达到</w:t>
      </w:r>
      <w:r>
        <w:rPr>
          <w:rFonts w:hint="eastAsia" w:cs="宋体"/>
          <w:lang w:val="en-US" w:eastAsia="zh-CN"/>
        </w:rPr>
        <w:t>50</w:t>
      </w:r>
      <w:r>
        <w:rPr>
          <w:rFonts w:hint="default" w:ascii="Arial" w:hAnsi="Arial" w:cs="宋体"/>
        </w:rPr>
        <w:t>条以上</w:t>
      </w:r>
      <w:r>
        <w:rPr>
          <w:rFonts w:hint="eastAsia" w:ascii="Arial" w:hAnsi="Arial" w:cs="宋体"/>
          <w:lang w:eastAsia="zh-CN"/>
        </w:rPr>
        <w:t>，</w:t>
      </w:r>
      <w:r>
        <w:rPr>
          <w:rFonts w:hint="default" w:ascii="Arial" w:hAnsi="Arial" w:cs="宋体"/>
        </w:rPr>
        <w:t>平台覆盖受众数达到</w:t>
      </w:r>
      <w:r>
        <w:rPr>
          <w:rFonts w:hint="eastAsia" w:cs="宋体"/>
          <w:lang w:val="en-US" w:eastAsia="zh-CN"/>
        </w:rPr>
        <w:t>5000</w:t>
      </w:r>
      <w:r>
        <w:rPr>
          <w:rFonts w:hint="default" w:ascii="Arial" w:hAnsi="Arial" w:cs="宋体"/>
        </w:rPr>
        <w:t>人次以上</w:t>
      </w:r>
      <w:r>
        <w:rPr>
          <w:rFonts w:hint="eastAsia" w:ascii="Arial" w:hAnsi="Arial" w:cs="宋体"/>
          <w:lang w:eastAsia="zh-CN"/>
        </w:rPr>
        <w:t>；赋能应急广播</w:t>
      </w:r>
      <w:r>
        <w:rPr>
          <w:rFonts w:hint="default" w:ascii="Arial" w:hAnsi="Arial" w:cs="宋体"/>
        </w:rPr>
        <w:t>覆盖至少</w:t>
      </w:r>
      <w:r>
        <w:rPr>
          <w:rFonts w:hint="eastAsia" w:cs="宋体"/>
          <w:lang w:val="en-US" w:eastAsia="zh-CN"/>
        </w:rPr>
        <w:t>36</w:t>
      </w:r>
      <w:r>
        <w:rPr>
          <w:rFonts w:hint="default" w:ascii="Arial" w:hAnsi="Arial" w:cs="宋体"/>
        </w:rPr>
        <w:t>个重点区域，至少</w:t>
      </w:r>
      <w:r>
        <w:rPr>
          <w:rFonts w:hint="eastAsia" w:cs="宋体"/>
          <w:lang w:val="en-US" w:eastAsia="zh-CN"/>
        </w:rPr>
        <w:t>3</w:t>
      </w:r>
      <w:r>
        <w:rPr>
          <w:rFonts w:hint="default" w:ascii="Arial" w:hAnsi="Arial" w:cs="宋体"/>
        </w:rPr>
        <w:t>万人</w:t>
      </w:r>
      <w:r>
        <w:rPr>
          <w:rFonts w:hint="eastAsia" w:cs="宋体"/>
          <w:lang w:val="en-US" w:eastAsia="zh-CN"/>
        </w:rPr>
        <w:t>次</w:t>
      </w:r>
      <w:r>
        <w:rPr>
          <w:rFonts w:hint="eastAsia" w:ascii="Arial" w:hAnsi="Arial" w:cs="宋体"/>
          <w:lang w:eastAsia="zh-CN"/>
        </w:rPr>
        <w:t>；</w:t>
      </w:r>
      <w:r>
        <w:rPr>
          <w:rFonts w:hint="eastAsia"/>
          <w:lang w:eastAsia="zh-CN"/>
        </w:rPr>
        <w:t>智慧广电数字乡村建设项目</w:t>
      </w:r>
      <w:r>
        <w:rPr>
          <w:rFonts w:hint="default" w:ascii="Arial" w:hAnsi="Arial" w:cs="宋体"/>
          <w:color w:val="000000"/>
        </w:rPr>
        <w:t>覆盖至少</w:t>
      </w:r>
      <w:r>
        <w:rPr>
          <w:rFonts w:hint="eastAsia" w:cs="宋体"/>
          <w:color w:val="000000"/>
          <w:lang w:val="en-US" w:eastAsia="zh-CN"/>
        </w:rPr>
        <w:t>1</w:t>
      </w:r>
      <w:r>
        <w:rPr>
          <w:rFonts w:hint="default" w:ascii="Arial" w:hAnsi="Arial" w:cs="宋体"/>
          <w:color w:val="000000"/>
        </w:rPr>
        <w:t>个</w:t>
      </w:r>
      <w:r>
        <w:rPr>
          <w:rFonts w:hint="eastAsia" w:cs="宋体"/>
          <w:color w:val="000000"/>
          <w:lang w:val="en-US" w:eastAsia="zh-CN"/>
        </w:rPr>
        <w:t>乡镇</w:t>
      </w:r>
      <w:r>
        <w:rPr>
          <w:rFonts w:hint="default" w:ascii="Arial" w:hAnsi="Arial" w:cs="宋体"/>
          <w:color w:val="000000"/>
        </w:rPr>
        <w:t>，</w:t>
      </w:r>
      <w:r>
        <w:rPr>
          <w:rFonts w:hint="eastAsia" w:cs="宋体"/>
          <w:color w:val="000000"/>
          <w:lang w:val="en-US" w:eastAsia="zh-CN"/>
        </w:rPr>
        <w:t>2个村</w:t>
      </w:r>
      <w:r>
        <w:rPr>
          <w:rFonts w:hint="eastAsia" w:ascii="Arial" w:hAnsi="Arial" w:cs="宋体"/>
          <w:color w:val="000000"/>
          <w:lang w:eastAsia="zh-CN"/>
        </w:rPr>
        <w:t>，</w:t>
      </w:r>
      <w:r>
        <w:rPr>
          <w:rFonts w:hint="default" w:ascii="Arial" w:hAnsi="Arial" w:cs="宋体"/>
        </w:rPr>
        <w:t>覆盖至少</w:t>
      </w:r>
      <w:r>
        <w:rPr>
          <w:rFonts w:hint="eastAsia" w:cs="宋体"/>
          <w:lang w:val="en-US" w:eastAsia="zh-CN"/>
        </w:rPr>
        <w:t>4</w:t>
      </w:r>
      <w:r>
        <w:rPr>
          <w:rFonts w:hint="default" w:ascii="Arial" w:hAnsi="Arial" w:cs="宋体"/>
        </w:rPr>
        <w:t>万</w:t>
      </w:r>
      <w:r>
        <w:rPr>
          <w:rFonts w:hint="eastAsia" w:cs="宋体"/>
          <w:lang w:val="en-US" w:eastAsia="zh-CN"/>
        </w:rPr>
        <w:t>口；</w:t>
      </w:r>
      <w:r>
        <w:rPr>
          <w:rFonts w:hint="eastAsia"/>
          <w:lang w:eastAsia="zh-CN"/>
        </w:rPr>
        <w:t>智慧广电人人通</w:t>
      </w:r>
      <w:r>
        <w:rPr>
          <w:rFonts w:hint="default" w:ascii="Arial" w:hAnsi="Arial" w:cs="宋体"/>
        </w:rPr>
        <w:t>覆盖至少</w:t>
      </w:r>
      <w:r>
        <w:rPr>
          <w:rFonts w:hint="eastAsia" w:cs="宋体"/>
          <w:lang w:val="en-US" w:eastAsia="zh-CN"/>
        </w:rPr>
        <w:t>3</w:t>
      </w:r>
      <w:r>
        <w:rPr>
          <w:rFonts w:hint="default" w:ascii="Arial" w:hAnsi="Arial" w:cs="宋体"/>
        </w:rPr>
        <w:t>万人</w:t>
      </w:r>
      <w:r>
        <w:rPr>
          <w:rFonts w:hint="eastAsia" w:cs="宋体"/>
          <w:lang w:val="en-US" w:eastAsia="zh-CN"/>
        </w:rPr>
        <w:t>次</w:t>
      </w:r>
      <w:r>
        <w:rPr>
          <w:rFonts w:hint="default" w:ascii="Arial" w:hAnsi="Arial" w:cs="宋体"/>
        </w:rPr>
        <w:t>，确保信息的广泛传播。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3" w:firstLineChars="200"/>
        <w:rPr>
          <w:rFonts w:hint="eastAsia" w:ascii="Arial" w:hAnsi="Arial" w:cs="宋体"/>
          <w:b/>
          <w:bCs/>
          <w:lang w:val="en-US" w:eastAsia="zh-CN"/>
        </w:rPr>
      </w:pPr>
      <w:r>
        <w:rPr>
          <w:rFonts w:hint="eastAsia" w:ascii="Arial" w:hAnsi="Arial" w:cs="宋体"/>
          <w:b/>
          <w:bCs/>
          <w:lang w:val="en-US" w:eastAsia="zh-CN"/>
        </w:rPr>
        <w:t>3、项目实施进度计划。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0" w:firstLineChars="200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项目筹备阶段</w:t>
      </w:r>
      <w:r>
        <w:rPr>
          <w:rFonts w:hint="eastAsia"/>
          <w:lang w:eastAsia="zh-CN"/>
        </w:rPr>
        <w:t>：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年11月-20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主要工作是开展项目设计、建设方案论证报批、项目招标等相关准备工作；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560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组织实施阶段</w:t>
      </w:r>
      <w:r>
        <w:rPr>
          <w:rFonts w:hint="eastAsia" w:cs="宋体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2024年5月-2024年10月，主要工作是按时间进度完成项目施工，具备系统试运行相关条件；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560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检查验收阶段</w:t>
      </w:r>
      <w:r>
        <w:rPr>
          <w:rFonts w:hint="eastAsia" w:cs="宋体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2024年11月-2024年12月，完成项目试运行，完成项目的各项功能测试，组织项目验收。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方正仿宋_GBK" w:hAnsi="方正仿宋_GBK" w:eastAsia="方正仿宋_GBK" w:cs="方正仿宋_GBK"/>
          <w:b w:val="0"/>
          <w:bCs/>
          <w:lang w:val="zh-CN"/>
        </w:rPr>
        <w:t>西区智慧广电示范区创建项目目前正在等待项目批复，项目尚未开工建设。西区创建实施方案在充分调研西区区情，立足西区广播电视、融媒体中心、乡村振兴等工作现状的基础上编制而成，项目申报目标合理可行，符合《四川省智慧广电示范区创建管理办法》和西区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方正仿宋_GBK" w:hAnsi="方正仿宋_GBK" w:eastAsia="方正仿宋_GBK" w:cs="方正仿宋_GBK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lang w:val="en-US" w:eastAsia="zh-CN"/>
        </w:rPr>
        <w:t>1.</w:t>
      </w:r>
      <w:r>
        <w:rPr>
          <w:rFonts w:hint="eastAsia" w:ascii="楷体_GB2312" w:hAnsi="宋体" w:eastAsia="楷体_GB2312"/>
          <w:lang w:val="zh-CN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/>
          <w:lang w:val="zh-CN"/>
        </w:rPr>
        <w:t>西区智慧广电示范区创建项目计划投入</w:t>
      </w:r>
      <w:r>
        <w:rPr>
          <w:rFonts w:hint="eastAsia" w:ascii="方正仿宋_GBK" w:hAnsi="方正仿宋_GBK" w:eastAsia="方正仿宋_GBK" w:cs="方正仿宋_GBK"/>
          <w:b w:val="0"/>
          <w:bCs/>
          <w:lang w:val="en-US" w:eastAsia="zh-CN"/>
        </w:rPr>
        <w:t>300万元，资金来源为省级专项资金，目前资金已下达至西区。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lang w:val="zh-CN"/>
        </w:rPr>
      </w:pPr>
      <w:r>
        <w:rPr>
          <w:rFonts w:hint="eastAsia" w:ascii="楷体_GB2312" w:hAnsi="宋体" w:eastAsia="楷体_GB2312"/>
          <w:lang w:val="en-US" w:eastAsia="zh-CN"/>
        </w:rPr>
        <w:t>2.</w:t>
      </w:r>
      <w:r>
        <w:rPr>
          <w:rFonts w:hint="eastAsia" w:ascii="楷体_GB2312" w:hAnsi="宋体" w:eastAsia="楷体_GB2312"/>
          <w:lang w:val="zh-CN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/>
          <w:lang w:val="zh-CN"/>
        </w:rPr>
        <w:t>因西区智慧广电示范区创建实施方案，尚未获得省级批复，故西区智慧广电创建项目尚未开工建设，目前资金尚未支出。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hint="eastAsia" w:ascii="仿宋" w:hAnsi="仿宋" w:eastAsia="仿宋"/>
          <w:lang w:val="zh-CN"/>
        </w:rPr>
        <w:t>西区智慧广电示范区创建项目严格执行《四川省智慧广电示范区创建管理办法》及西区财政局、支付中心、政府采购等省市相关文件要求，严格</w:t>
      </w:r>
      <w:r>
        <w:rPr>
          <w:rFonts w:hint="eastAsia" w:ascii="仿宋" w:hAnsi="仿宋" w:eastAsia="仿宋" w:cs="宋体"/>
        </w:rPr>
        <w:t>执行财务法和专项资金等管理制度</w:t>
      </w:r>
      <w:r>
        <w:rPr>
          <w:rFonts w:hint="eastAsia" w:ascii="仿宋" w:hAnsi="仿宋" w:eastAsia="仿宋" w:cs="宋体"/>
          <w:lang w:eastAsia="zh-CN"/>
        </w:rPr>
        <w:t>，切实做到</w:t>
      </w:r>
      <w:r>
        <w:rPr>
          <w:rFonts w:hint="eastAsia" w:ascii="仿宋" w:hAnsi="仿宋" w:eastAsia="仿宋"/>
          <w:lang w:val="zh-CN"/>
        </w:rPr>
        <w:t>专款专用，最大限度发挥资金效益。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项目组织实施情况。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353" w:lineRule="auto"/>
        <w:jc w:val="both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/>
          <w:lang w:val="en-US" w:eastAsia="zh-CN"/>
        </w:rPr>
        <w:t xml:space="preserve">    西区区委区政府高度重视西区智慧广电示范区创建项目，成立了以区委常委、区委宣传部部长，区政府副区长为组长，区政府办、区委宣传部、区应急管理局为成员的西区智慧广电示范区创建项目领导小组，制定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项目管理制度、项目招标评标制度、项目建设监理制度</w:t>
      </w:r>
      <w:r>
        <w:rPr>
          <w:rFonts w:hint="eastAsia" w:cs="Times New Roman"/>
          <w:color w:val="000000"/>
          <w:sz w:val="32"/>
          <w:szCs w:val="32"/>
          <w:lang w:eastAsia="zh-CN"/>
        </w:rPr>
        <w:t>等组织管理制度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明确了主抓领导和项目秘书，邀请了纪检组全程参与监督，确保项目严格按照实施方案及《四川省智慧广电示范区创建管理办法》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r>
        <w:rPr>
          <w:rFonts w:hint="eastAsia" w:ascii="方正仿宋_GBK" w:hAnsi="方正仿宋_GBK" w:eastAsia="方正仿宋_GBK" w:cs="方正仿宋_GBK"/>
          <w:b w:val="0"/>
          <w:bCs/>
          <w:lang w:val="zh-CN"/>
        </w:rPr>
        <w:t>西区智慧广电示范区创建项目，目前已完成创建实施方案的编制工作，已提交省广播电视局进行审核，因实施方案尚未获得省级批复，故西区智慧广电创建项目尚未开工建设。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  <w:r>
        <w:rPr>
          <w:rFonts w:hint="eastAsia" w:ascii="方正仿宋_GBK" w:hAnsi="方正仿宋_GBK" w:eastAsia="方正仿宋_GBK" w:cs="方正仿宋_GBK"/>
          <w:b w:val="0"/>
          <w:bCs/>
          <w:lang w:val="zh-CN"/>
        </w:rPr>
        <w:t>西区智慧广电创建项目尚未开工建设，其项目经济、社会、生态效益暂无法分析评价。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color w:val="0000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846D"/>
    <w:multiLevelType w:val="singleLevel"/>
    <w:tmpl w:val="3FFF84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5D105F"/>
    <w:multiLevelType w:val="multilevel"/>
    <w:tmpl w:val="4E5D105F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-2" w:firstLine="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560" w:firstLine="0"/>
      </w:pPr>
      <w:rPr>
        <w:rFonts w:hint="eastAsia"/>
      </w:rPr>
    </w:lvl>
    <w:lvl w:ilvl="6" w:tentative="0">
      <w:start w:val="1"/>
      <w:numFmt w:val="decimal"/>
      <w:lvlText w:val="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>
    <w:nsid w:val="554C0A51"/>
    <w:multiLevelType w:val="multilevel"/>
    <w:tmpl w:val="554C0A51"/>
    <w:lvl w:ilvl="0" w:tentative="0">
      <w:start w:val="1"/>
      <w:numFmt w:val="chineseCountingThousand"/>
      <w:pStyle w:val="13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712A2988"/>
    <w:multiLevelType w:val="multilevel"/>
    <w:tmpl w:val="712A2988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1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>
    <w:nsid w:val="7DEE80F1"/>
    <w:multiLevelType w:val="singleLevel"/>
    <w:tmpl w:val="7DEE80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6673864"/>
    <w:rsid w:val="0EDB478C"/>
    <w:rsid w:val="131F4598"/>
    <w:rsid w:val="1EE240A8"/>
    <w:rsid w:val="291C455A"/>
    <w:rsid w:val="36926D0C"/>
    <w:rsid w:val="3C863E2F"/>
    <w:rsid w:val="3F9FEF0C"/>
    <w:rsid w:val="3FE340F1"/>
    <w:rsid w:val="4DAF2BCF"/>
    <w:rsid w:val="4DDB6F66"/>
    <w:rsid w:val="4FD743D6"/>
    <w:rsid w:val="4FFE254E"/>
    <w:rsid w:val="5DF9E82A"/>
    <w:rsid w:val="5F9E0CD2"/>
    <w:rsid w:val="5FBCC51F"/>
    <w:rsid w:val="6AEF89AE"/>
    <w:rsid w:val="792F2AEE"/>
    <w:rsid w:val="7B7E16B9"/>
    <w:rsid w:val="7D1D1931"/>
    <w:rsid w:val="7D7990B0"/>
    <w:rsid w:val="7F7D65BC"/>
    <w:rsid w:val="7F9F944A"/>
    <w:rsid w:val="B3F74B9E"/>
    <w:rsid w:val="BF65DCD2"/>
    <w:rsid w:val="BF6F01A3"/>
    <w:rsid w:val="BFFE83F2"/>
    <w:rsid w:val="D5C79E9D"/>
    <w:rsid w:val="D7FDD76B"/>
    <w:rsid w:val="DB9F5A11"/>
    <w:rsid w:val="DEFBD47C"/>
    <w:rsid w:val="DFDCF1E9"/>
    <w:rsid w:val="F73F2041"/>
    <w:rsid w:val="F73F5D6D"/>
    <w:rsid w:val="F977952A"/>
    <w:rsid w:val="FD5BAF50"/>
    <w:rsid w:val="FF7FAA32"/>
    <w:rsid w:val="FF9FC8BD"/>
    <w:rsid w:val="FFB1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</w:rPr>
  </w:style>
  <w:style w:type="paragraph" w:styleId="3">
    <w:name w:val="Body Text"/>
    <w:basedOn w:val="1"/>
    <w:next w:val="1"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  <w:style w:type="paragraph" w:customStyle="1" w:styleId="9">
    <w:name w:val="zw正文格式"/>
    <w:basedOn w:val="1"/>
    <w:qFormat/>
    <w:uiPriority w:val="0"/>
    <w:pPr>
      <w:wordWrap w:val="0"/>
      <w:adjustRightInd w:val="0"/>
      <w:snapToGrid w:val="0"/>
      <w:spacing w:line="360" w:lineRule="auto"/>
      <w:ind w:firstLine="200" w:firstLineChars="200"/>
    </w:pPr>
    <w:rPr>
      <w:sz w:val="28"/>
    </w:rPr>
  </w:style>
  <w:style w:type="paragraph" w:customStyle="1" w:styleId="10">
    <w:name w:val="第四级"/>
    <w:basedOn w:val="11"/>
    <w:autoRedefine/>
    <w:qFormat/>
    <w:uiPriority w:val="0"/>
    <w:pPr>
      <w:numPr>
        <w:numId w:val="1"/>
      </w:numPr>
    </w:pPr>
    <w:rPr>
      <w:sz w:val="28"/>
    </w:rPr>
  </w:style>
  <w:style w:type="paragraph" w:customStyle="1" w:styleId="11">
    <w:name w:val="AAA四级标题"/>
    <w:basedOn w:val="12"/>
    <w:qFormat/>
    <w:uiPriority w:val="0"/>
    <w:pPr>
      <w:numPr>
        <w:ilvl w:val="3"/>
      </w:numPr>
      <w:outlineLvl w:val="3"/>
    </w:pPr>
  </w:style>
  <w:style w:type="paragraph" w:customStyle="1" w:styleId="12">
    <w:name w:val="AAA三级标题"/>
    <w:basedOn w:val="13"/>
    <w:autoRedefine/>
    <w:qFormat/>
    <w:uiPriority w:val="0"/>
    <w:pPr>
      <w:numPr>
        <w:ilvl w:val="2"/>
        <w:numId w:val="2"/>
      </w:numPr>
      <w:outlineLvl w:val="2"/>
    </w:pPr>
    <w:rPr>
      <w:sz w:val="24"/>
    </w:rPr>
  </w:style>
  <w:style w:type="paragraph" w:customStyle="1" w:styleId="13">
    <w:name w:val="AAA二级标题"/>
    <w:basedOn w:val="1"/>
    <w:qFormat/>
    <w:uiPriority w:val="0"/>
    <w:pPr>
      <w:keepNext/>
      <w:keepLines/>
      <w:numPr>
        <w:ilvl w:val="0"/>
        <w:numId w:val="3"/>
      </w:numPr>
      <w:spacing w:before="100" w:after="100" w:line="360" w:lineRule="auto"/>
      <w:jc w:val="left"/>
      <w:outlineLvl w:val="1"/>
    </w:pPr>
    <w:rPr>
      <w:rFonts w:eastAsia="宋体"/>
      <w:b/>
      <w:bCs/>
      <w:kern w:val="44"/>
      <w:sz w:val="28"/>
      <w:szCs w:val="44"/>
    </w:rPr>
  </w:style>
  <w:style w:type="paragraph" w:customStyle="1" w:styleId="14">
    <w:name w:val="方案正文"/>
    <w:basedOn w:val="1"/>
    <w:autoRedefine/>
    <w:qFormat/>
    <w:uiPriority w:val="0"/>
    <w:pPr>
      <w:overflowPunct w:val="0"/>
      <w:adjustRightInd w:val="0"/>
      <w:snapToGrid w:val="0"/>
      <w:spacing w:before="25" w:beforeLines="25" w:after="25" w:afterLines="25" w:line="360" w:lineRule="auto"/>
      <w:ind w:firstLine="200" w:firstLineChars="200"/>
    </w:pPr>
    <w:rPr>
      <w:rFonts w:ascii="宋体" w:hAnsi="宋体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2020-07-04T00:19:00Z</dcterms:created>
  <dc:creator>Administrator</dc:creator>
  <cp:lastModifiedBy>从头再来</cp:lastModifiedBy>
  <cp:lastPrinted>2022-03-30T19:50:00Z</cp:lastPrinted>
  <dcterms:modified xsi:type="dcterms:W3CDTF">2024-06-02T08:10:06Z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21A645AD58F6F78C5A1E2E6643717B17</vt:lpwstr>
  </property>
</Properties>
</file>