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高龄长寿补贴项目支出绩效自评报告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全面建立高龄生活补贴制度，对高龄老人按月给予生活补贴。将全</w:t>
      </w:r>
      <w:r>
        <w:rPr>
          <w:rFonts w:hint="eastAsia" w:cs="Times New Roman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所有</w:t>
      </w:r>
      <w:r>
        <w:rPr>
          <w:rFonts w:hint="eastAsia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0周岁以上的老人纳入高龄补贴范畴。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ascii="Times New Roman"/>
          <w:szCs w:val="32"/>
        </w:rPr>
        <w:t>根据攀枝</w:t>
      </w:r>
      <w:r>
        <w:rPr>
          <w:rFonts w:hint="eastAsia" w:ascii="Times New Roman"/>
          <w:szCs w:val="32"/>
          <w:lang w:eastAsia="zh-CN"/>
        </w:rPr>
        <w:t>花</w:t>
      </w:r>
      <w:r>
        <w:rPr>
          <w:rFonts w:ascii="Times New Roman"/>
          <w:szCs w:val="32"/>
        </w:rPr>
        <w:t>市人民政府办公室《关于建立80至89岁高龄老人生活津贴制度的通知》（攀府发〔2012〕17号）、攀枝花市人民政府《关于提高我市长寿补贴金标准的通知》（攀府发〔2014〕43号）文件</w:t>
      </w:r>
      <w:r>
        <w:rPr>
          <w:rFonts w:hint="default" w:ascii="Times New Roman"/>
          <w:szCs w:val="32"/>
          <w:lang w:eastAsia="zh-CN"/>
        </w:rPr>
        <w:t>要求</w:t>
      </w:r>
      <w:r>
        <w:rPr>
          <w:rFonts w:hint="eastAsia"/>
          <w:szCs w:val="32"/>
          <w:lang w:eastAsia="zh-CN"/>
        </w:rPr>
        <w:t>发放高龄津贴，</w:t>
      </w:r>
      <w:r>
        <w:rPr>
          <w:rFonts w:hint="eastAsia" w:cs="Times New Roman"/>
          <w:sz w:val="32"/>
          <w:szCs w:val="32"/>
          <w:lang w:val="en-US" w:eastAsia="zh-CN"/>
        </w:rPr>
        <w:t>对符合条件的高龄老人按照80-89周岁50元每人每月发放、90-99周岁200元每人每月发放、100周岁以上800元每人每月发放高龄津贴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为保证此项工作有序运行，需设立</w:t>
      </w:r>
      <w:r>
        <w:rPr>
          <w:rFonts w:hint="eastAsia" w:cs="Times New Roman"/>
          <w:sz w:val="32"/>
          <w:szCs w:val="32"/>
          <w:lang w:val="en-US" w:eastAsia="zh-CN"/>
        </w:rPr>
        <w:t>高龄长寿补贴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项目经费，项目申报与政策和需求相吻合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spacing w:line="353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项目主要内容。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按政策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放</w:t>
      </w:r>
      <w:r>
        <w:rPr>
          <w:rFonts w:hint="eastAsia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符合条件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的</w:t>
      </w:r>
      <w:r>
        <w:rPr>
          <w:rFonts w:hint="eastAsia" w:cs="Times New Roman"/>
          <w:sz w:val="32"/>
          <w:szCs w:val="32"/>
          <w:lang w:eastAsia="zh-CN"/>
        </w:rPr>
        <w:t>高龄老人发放高龄津贴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，解决高龄老人的基本生活问题、提高高龄老人的生活质量。</w:t>
      </w:r>
    </w:p>
    <w:p>
      <w:pPr>
        <w:spacing w:line="353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项目绩效目标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：①项目完成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年发放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高龄津贴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55955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人次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341.7万元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②项目效益。解决高龄老人的基本生活问题、提高高龄老人的生活质量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。③满意度指标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群众满意度达到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95%以上。</w:t>
      </w:r>
    </w:p>
    <w:p>
      <w:pPr>
        <w:spacing w:line="353" w:lineRule="auto"/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绩效申报分析。该项目的设立依据充分，符合政策文件相关要求，立项程序合规，目标设定切实可行，经费安排与工作相适应，资金用途明确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该项目的设立依据充分，符合政策文件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关要求，立项程序合规，目标设定切实可行，经费安排与工作相适应，资金用途明确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年实际到位资金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347.32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万元，上级资金到位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137.32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、区级资金到位210万元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，资金到位率100%，到位及时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截止评价时点，202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高龄长寿补贴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共支出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341.7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当年全部发放到位。资金开支范围、标准及支付进度等符合规定，按实际发生额进行支付，并严格按照财务管理制度审核支付，支付依据合规合法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该项目在财务管理上，按照内部控制建设要求，制定了相关财务管理制度，在资金使用上，严格按照资金使用用途进行审核审批，项目管理规范有序，财务核算及时，会计信息真实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项目属于人头经费范围，项目组织架构与内控管理组织架构一致，主要责任人为单位主要负责人，分管责任人为财务分管领导和业务分管领导，项目实施责任人为业务股室主要负责人。实施流程由业务股室进行退役士兵的接收安置、相关资料收集审核，分管领导复核，单位主要负责人终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发放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高龄津贴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55955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人次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341.7万元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按标准足额及时发放，发放率达到100%，于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年12月31日前按时足额完成补助发放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cs="Times New Roman"/>
          <w:sz w:val="32"/>
          <w:szCs w:val="32"/>
          <w:lang w:eastAsia="zh-CN"/>
        </w:rPr>
        <w:t>高龄长寿津贴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项目实施分配方法制定、分配要素设定、基础数据应用、测算依据选取等方面较为科学合理，分配结果公平合理，并且充分考虑地域条件、经济条件等实际情况。政策实施对象中不存在排他性规定，政策实施后提升了辖区困难残疾人和重度残疾人等群体的满意度，不断增强了困难群体的获得感、幸福感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spacing w:line="353" w:lineRule="auto"/>
        <w:ind w:firstLine="640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部门之间的信息不能达到互通和共享，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尚存在</w:t>
      </w:r>
      <w:r>
        <w:rPr>
          <w:rFonts w:hint="eastAsia" w:cs="Times New Roman"/>
          <w:sz w:val="32"/>
          <w:szCs w:val="32"/>
          <w:lang w:val="en-US" w:eastAsia="zh-CN"/>
        </w:rPr>
        <w:t>高龄老人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自然死亡</w:t>
      </w:r>
      <w:r>
        <w:rPr>
          <w:rFonts w:hint="eastAsia" w:cs="Times New Roman"/>
          <w:sz w:val="32"/>
          <w:szCs w:val="32"/>
          <w:lang w:eastAsia="zh-CN"/>
        </w:rPr>
        <w:t>家属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未及时</w:t>
      </w:r>
      <w:r>
        <w:rPr>
          <w:rFonts w:hint="eastAsia" w:cs="Times New Roman"/>
          <w:sz w:val="32"/>
          <w:szCs w:val="32"/>
          <w:lang w:eastAsia="zh-CN"/>
        </w:rPr>
        <w:t>到社区报备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，只有在得知其死亡信息后，才追回死亡后所发放的补贴。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spacing w:line="353" w:lineRule="auto"/>
        <w:ind w:firstLine="640" w:firstLineChars="20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强化部门沟通。通过加强与公安、人社、卫健等部门的信息互通共享。</w:t>
      </w:r>
    </w:p>
    <w:p>
      <w:pPr>
        <w:ind w:firstLine="640" w:firstLineChars="200"/>
      </w:pP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.加大宣传力度。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督促镇（街道）做好</w:t>
      </w:r>
      <w:r>
        <w:rPr>
          <w:rFonts w:hint="eastAsia" w:cs="Times New Roman"/>
          <w:sz w:val="32"/>
          <w:szCs w:val="32"/>
          <w:lang w:eastAsia="zh-CN"/>
        </w:rPr>
        <w:t>高龄津贴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的政策宣传工作。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jIzMjc3NzgwMDBhMDQ5MWE4NDg4YzVlOGNmMTAifQ=="/>
  </w:docVars>
  <w:rsids>
    <w:rsidRoot w:val="291C455A"/>
    <w:rsid w:val="003414A3"/>
    <w:rsid w:val="00515A0C"/>
    <w:rsid w:val="00866E99"/>
    <w:rsid w:val="0EDB478C"/>
    <w:rsid w:val="169D6AA5"/>
    <w:rsid w:val="1B412C98"/>
    <w:rsid w:val="274D3E1C"/>
    <w:rsid w:val="291C455A"/>
    <w:rsid w:val="317B45D7"/>
    <w:rsid w:val="36926D0C"/>
    <w:rsid w:val="37BF4F82"/>
    <w:rsid w:val="4A091ED0"/>
    <w:rsid w:val="4A2A349D"/>
    <w:rsid w:val="4DAF2BCF"/>
    <w:rsid w:val="4DDB6F66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autoRedefine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从头再来</cp:lastModifiedBy>
  <dcterms:modified xsi:type="dcterms:W3CDTF">2024-06-02T04:20:26Z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5BB1E8F2766D417DB0A8451DBBE08655_13</vt:lpwstr>
  </property>
</Properties>
</file>