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儿童福利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对全区重度残疾儿童发放重度残疾儿童特别关爱帮扶资金、事实无人抚养儿童入住福利院寄养费、孤儿保险费。本级政府配套资金列入财政预算。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按政策标准落实儿童福利一</w:t>
      </w:r>
      <w:r>
        <w:rPr>
          <w:rFonts w:hint="eastAsia" w:ascii="仿宋_GB2312" w:hAnsi="宋体"/>
          <w:lang w:val="zh-CN"/>
        </w:rPr>
        <w:t>重度残疾儿童特别关爱帮扶资金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的发放工作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/>
          <w:lang w:val="zh-CN"/>
        </w:rPr>
        <w:t>事实无人抚养儿童入住福利院寄送费、孤儿保险费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为保证此项工作有序运行，需设立</w:t>
      </w:r>
      <w:r>
        <w:rPr>
          <w:rFonts w:hint="eastAsia" w:cs="Times New Roman"/>
          <w:sz w:val="32"/>
          <w:szCs w:val="32"/>
          <w:lang w:val="en-US" w:eastAsia="zh-CN"/>
        </w:rPr>
        <w:t>儿童福利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项目经费，项目申报与政策和需求相吻合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项目主要内容。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按政策</w:t>
      </w:r>
      <w:r>
        <w:rPr>
          <w:rFonts w:hint="eastAsia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放符合条件的</w:t>
      </w:r>
      <w:r>
        <w:rPr>
          <w:rFonts w:hint="eastAsia" w:ascii="仿宋_GB2312" w:hAnsi="宋体"/>
          <w:lang w:val="zh-CN"/>
        </w:rPr>
        <w:t>重度残疾儿童特别关爱帮扶资金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支付</w:t>
      </w:r>
      <w:r>
        <w:rPr>
          <w:rFonts w:hint="eastAsia" w:ascii="仿宋_GB2312" w:hAnsi="宋体"/>
          <w:lang w:val="zh-CN"/>
        </w:rPr>
        <w:t>事实无人抚养儿童入住福利院寄养费、孤儿保险费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：①项目完成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发放</w:t>
      </w:r>
      <w:r>
        <w:rPr>
          <w:rFonts w:hint="eastAsia" w:ascii="仿宋_GB2312" w:hAnsi="宋体"/>
          <w:lang w:val="zh-CN"/>
        </w:rPr>
        <w:t>重度残疾儿童特别关爱帮扶资金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支付</w:t>
      </w:r>
      <w:r>
        <w:rPr>
          <w:rFonts w:hint="eastAsia" w:ascii="仿宋_GB2312" w:hAnsi="宋体"/>
          <w:lang w:val="zh-CN"/>
        </w:rPr>
        <w:t>事实无人抚养儿童入住福利院寄养费、孤儿保险费共支付</w:t>
      </w:r>
      <w:r>
        <w:rPr>
          <w:rFonts w:hint="eastAsia" w:ascii="仿宋_GB2312" w:hAnsi="宋体"/>
          <w:lang w:val="en-US" w:eastAsia="zh-CN"/>
        </w:rPr>
        <w:t>6.11万元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,于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年12月31日前全部完成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。②项目效益。改善其生活质量，保障其生存发展权益。③满意度指标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群众满意度达到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95%以上。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绩效申报分析。该项目的设立依据充分，符合政策文件相关要求，立项程序合规，目标设定切实可行，经费安排与工作相适应，资金用途明确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年实际到位资金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万元，上级资金到位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、区级资金到位5.64万元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，资金到位率100%，到位及时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儿童福利项目资金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6.11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当年全部发放到位。资金开支范围、标准及支付进度等符合规定，按实际发生额进行支付，并严格按照财务管理制度审核支付，支付依据合规合法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属于人头经费范围，项目组织架构与内控管理组织架构一致，主要责任人为单位主要负责人，分管责任人为财务分管领导和业务分管领导，项目实施责任人为业务股室主要负责人。实施流程由业务股室进行退役士兵的接收安置、相关资料收集审核，分管领导复核，单位主要负责人终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发放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重度残疾儿童帮扶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人次，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为11名孤儿购买人生意外险、支付事实无人抚养儿童1人入住福利院寄养费，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按标准足额及时发放，发放率达到100%，于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年12月31日前按时足额完成补助发放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cs="Times New Roman"/>
          <w:sz w:val="32"/>
          <w:szCs w:val="32"/>
          <w:lang w:eastAsia="zh-CN"/>
        </w:rPr>
        <w:t>儿童福利资金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项目实施分配方法制定、分配要素设定、基础数据应用、测算依据选取等方面较为科学合理，分配结果公平合理，并且充分考虑地域条件、经济条件等实际情况。政策实施对象中不存在排他性规定，儿童福利专项资金解决了孤儿的基本生活问题，同时为孤独的健康成长提供资金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pacing w:line="353" w:lineRule="auto"/>
        <w:ind w:firstLine="640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根据孤儿保障对象阶段存在年龄变动，动态监督有一定的难度;二</w:t>
      </w:r>
      <w:r>
        <w:rPr>
          <w:rFonts w:hint="eastAsia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应保尽保、应退尽退机制需加强。。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针对人员变动问题，业务人员需严格孤儿保障对象的审核程序，确保享受孤儿生活保障对象的真实性。同时，及时掌握人员的动态变化，做到应保尽保、应退尽退的机制。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69D6AA5"/>
    <w:rsid w:val="1B412C98"/>
    <w:rsid w:val="274D3E1C"/>
    <w:rsid w:val="282C40EC"/>
    <w:rsid w:val="291C455A"/>
    <w:rsid w:val="36926D0C"/>
    <w:rsid w:val="37BF4F82"/>
    <w:rsid w:val="38365EC5"/>
    <w:rsid w:val="40BC4452"/>
    <w:rsid w:val="48AB197C"/>
    <w:rsid w:val="4A091ED0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16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2024-06-02T04:21:38Z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744E39FE5AA9497F9FEBFFFFB235368B_13</vt:lpwstr>
  </property>
</Properties>
</file>