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公共文化活动服务体系建设专项资金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highlight w:val="none"/>
          <w:lang w:val="zh-CN"/>
        </w:rPr>
      </w:pPr>
      <w:r>
        <w:rPr>
          <w:rFonts w:hint="eastAsia" w:ascii="仿宋_GB2312" w:hAnsi="宋体"/>
          <w:highlight w:val="none"/>
          <w:lang w:val="zh-CN"/>
        </w:rPr>
        <w:t>为辖区内的居民群众提供优质展览服务。进一步做好公共文化服务工作，丰富和活跃辖区居民群众文化生活，营造更多、更好的文化氛围，促进国家公共文化服务体系示范区的创建。加强基层公共文化服务人才队伍建设，支持馆藏增长等各方面公共服务支出需要。举办普及性文化艺术类培训，公益性讲座、展览宣传活动，组织公益性群众文化活动等，通过这些活动面向群众，面向基层，全力满足人民群众日益增长的精神文化需求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highlight w:val="none"/>
          <w:lang w:val="zh-CN"/>
        </w:rPr>
      </w:pPr>
      <w:r>
        <w:rPr>
          <w:rFonts w:hint="eastAsia" w:ascii="楷体_GB2312" w:hAnsi="宋体" w:eastAsia="楷体_GB2312"/>
          <w:b/>
          <w:highlight w:val="none"/>
          <w:lang w:val="zh-CN"/>
        </w:rPr>
        <w:t>（</w:t>
      </w:r>
      <w:r>
        <w:rPr>
          <w:rFonts w:hint="eastAsia" w:ascii="楷体_GB2312" w:hAnsi="宋体" w:eastAsia="楷体_GB2312"/>
          <w:b/>
          <w:highlight w:val="none"/>
          <w:lang w:val="zh-CN" w:eastAsia="zh-CN"/>
        </w:rPr>
        <w:t>一</w:t>
      </w:r>
      <w:r>
        <w:rPr>
          <w:rFonts w:hint="eastAsia" w:ascii="楷体_GB2312" w:hAnsi="宋体" w:eastAsia="楷体_GB2312"/>
          <w:b/>
          <w:highlight w:val="none"/>
          <w:lang w:val="zh-CN"/>
        </w:rPr>
        <w:t>）项目资金申报及批复情况。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highlight w:val="none"/>
          <w:lang w:val="zh-CN"/>
        </w:rPr>
      </w:pPr>
      <w:r>
        <w:rPr>
          <w:rFonts w:hint="eastAsia" w:ascii="仿宋_GB2312" w:hAnsi="宋体"/>
          <w:lang w:val="en-US" w:eastAsia="zh-CN"/>
        </w:rPr>
        <w:t>2023年收到公共文化活动服务体系建设资金64.47万元</w:t>
      </w:r>
      <w:bookmarkStart w:id="0" w:name="_GoBack"/>
      <w:r>
        <w:rPr>
          <w:rFonts w:hint="eastAsia" w:ascii="仿宋_GB2312" w:hAnsi="宋体"/>
          <w:lang w:val="en-US" w:eastAsia="zh-CN"/>
        </w:rPr>
        <w:t>，</w:t>
      </w:r>
      <w:r>
        <w:rPr>
          <w:rFonts w:hint="eastAsia" w:ascii="仿宋_GB2312" w:hAnsi="宋体"/>
          <w:highlight w:val="none"/>
          <w:lang w:val="en-US" w:eastAsia="zh-CN"/>
        </w:rPr>
        <w:t>其中：中央下达公共文化活动服务体系建设专项资金64.47万元</w:t>
      </w:r>
      <w:bookmarkEnd w:id="0"/>
      <w:r>
        <w:rPr>
          <w:rFonts w:hint="eastAsia" w:ascii="仿宋_GB2312" w:hAnsi="宋体"/>
          <w:highlight w:val="none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highlight w:val="none"/>
          <w:lang w:val="zh-CN"/>
        </w:rPr>
      </w:pPr>
      <w:r>
        <w:rPr>
          <w:rFonts w:hint="eastAsia" w:ascii="楷体_GB2312" w:hAnsi="宋体" w:eastAsia="楷体_GB2312"/>
          <w:b/>
          <w:highlight w:val="none"/>
          <w:lang w:val="zh-CN"/>
        </w:rPr>
        <w:t>（二）项目绩效目标。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持续深耕总分馆制建设，丰富线上线下服务内容，吸引更多群众参与到阅读中来</w:t>
      </w:r>
      <w:r>
        <w:rPr>
          <w:rFonts w:hint="eastAsia" w:ascii="仿宋_GB2312" w:hAnsi="宋体"/>
          <w:lang w:val="zh-CN"/>
        </w:rPr>
        <w:t>。图书馆服务人次实现提升，线上服务人次保持增长态势。实现文化惠民、乐民目标。实现图书馆综合服务人次呈增长趋势。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2023年收到公共文化活动服务体系建设资金64.47万元，到位率100%。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lang w:val="en-US" w:eastAsia="zh-CN"/>
        </w:rPr>
        <w:t>公共文化活动服务体系建设资金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sz w:val="32"/>
          <w:szCs w:val="32"/>
          <w:lang w:val="en-US" w:eastAsia="zh-CN"/>
        </w:rPr>
        <w:t>51.42万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highlight w:val="none"/>
          <w:lang w:val="en-US" w:eastAsia="zh-CN"/>
        </w:rPr>
        <w:t>2023年线上数字资源服务超20余万人次，极大程度方便了群众随手获得丰富的文化资源，组织线下活动40余场，开展流动服务30余场，以群众需求为导向，提供定制化服务。为分馆及馆外阅读点提供读本，便于实现公共文化服务全覆盖，创新发展特色文创产品，获得省级金奖并荣获省级文创文化创意试点单位称号。对照年初目标完成良好，获得传播先进文化作用明显，对于宣传西区三线文化起到了较大的作用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highlight w:val="none"/>
          <w:lang w:val="zh-CN"/>
        </w:rPr>
      </w:pPr>
      <w:r>
        <w:rPr>
          <w:rFonts w:hint="eastAsia" w:ascii="仿宋_GB2312" w:hAnsi="宋体"/>
          <w:highlight w:val="none"/>
          <w:lang w:val="zh-CN"/>
        </w:rPr>
        <w:t>全年线上数字资源服务超20余万人次，极大程度方便了群众随手获得丰富的文化资源，组织线下活动40余场，开展流动服务30余场，以群众需求为导向，提供定制化服务。为分馆及馆外阅读点提供读本，便于实现公共文化服务全覆盖，创新发展特色文创产品，获得省级金奖并荣获省级文创文化创意试点单位称号。提升外界关注度，提升基本公共文化服务水平，为全面建设数字化图书馆，方便群众随时阅读做出努力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highlight w:val="yellow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我馆2023年度较好的完成绩效目标，纳入本次绩效评价范围的专项资金合计64.47万元，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</w:t>
      </w:r>
      <w:r>
        <w:rPr>
          <w:rFonts w:hint="eastAsia" w:ascii="仿宋_GB2312" w:hAnsi="宋体" w:eastAsia="楷体_GB2312"/>
          <w:lang w:val="en-US" w:eastAsia="zh-CN"/>
        </w:rPr>
        <w:t>合计执行51.42万元，执行率为79.76%，资金执行率较低，主要原因一是经济下行，财政资金紧张，二是项目正在走验收程序，待符合条件后拨付资金</w:t>
      </w:r>
      <w:r>
        <w:rPr>
          <w:rFonts w:hint="eastAsia" w:ascii="仿宋_GB2312" w:hAnsi="宋体" w:eastAsia="楷体_GB231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zh-CN"/>
        </w:rPr>
        <w:t>会同财政部门，及时将专项资金按照规范程序进行支付，切实提高专项资金使用效益。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EDB478C"/>
    <w:rsid w:val="1B412C98"/>
    <w:rsid w:val="1BFB4F19"/>
    <w:rsid w:val="1E3D7AF5"/>
    <w:rsid w:val="21E1189F"/>
    <w:rsid w:val="274D3E1C"/>
    <w:rsid w:val="291C455A"/>
    <w:rsid w:val="31FE7144"/>
    <w:rsid w:val="36926D0C"/>
    <w:rsid w:val="3C095063"/>
    <w:rsid w:val="41087CD9"/>
    <w:rsid w:val="42852CB2"/>
    <w:rsid w:val="4A091ED0"/>
    <w:rsid w:val="4DAF2BCF"/>
    <w:rsid w:val="4DDB6F66"/>
    <w:rsid w:val="4F1813ED"/>
    <w:rsid w:val="528A7E67"/>
    <w:rsid w:val="59200CE3"/>
    <w:rsid w:val="5B8B54FE"/>
    <w:rsid w:val="623F5922"/>
    <w:rsid w:val="648C2404"/>
    <w:rsid w:val="68B71CAA"/>
    <w:rsid w:val="694C01BA"/>
    <w:rsid w:val="6C022EBF"/>
    <w:rsid w:val="6F2C4FD9"/>
    <w:rsid w:val="6F755D6A"/>
    <w:rsid w:val="744B11DE"/>
    <w:rsid w:val="792F2AEE"/>
    <w:rsid w:val="7F833DB1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1047</Words>
  <Characters>1159</Characters>
  <Lines>6</Lines>
  <Paragraphs>1</Paragraphs>
  <TotalTime>14</TotalTime>
  <ScaleCrop>false</ScaleCrop>
  <LinksUpToDate>false</LinksUpToDate>
  <CharactersWithSpaces>1161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2024-06-02T07:07:54Z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15E398251B18484F85DAE0B596C9E564</vt:lpwstr>
  </property>
</Properties>
</file>