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96597"/>
      <w:bookmarkStart w:id="3" w:name="_Toc15377193"/>
      <w:bookmarkStart w:id="4" w:name="_Toc15377425"/>
      <w:bookmarkStart w:id="5" w:name="_Toc1537844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06268"/>
      <w:bookmarkStart w:id="9" w:name="_Toc15377426"/>
      <w:bookmarkStart w:id="10" w:name="_Toc15377194"/>
      <w:bookmarkStart w:id="11" w:name="_Toc15378442"/>
      <w:r>
        <w:rPr>
          <w:rFonts w:hint="eastAsia" w:ascii="方正小标宋简体" w:hAnsi="方正小标宋简体" w:eastAsia="方正小标宋简体" w:cs="方正小标宋简体"/>
          <w:sz w:val="72"/>
          <w:szCs w:val="72"/>
        </w:rPr>
        <w:t>中国共产主义青年团攀枝花市西区委员会单位决算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公开时间：2023年10月27日</w:t>
      </w:r>
    </w:p>
    <w:p/>
    <w:p>
      <w:pPr>
        <w:pStyle w:val="13"/>
        <w:adjustRightInd w:val="0"/>
        <w:snapToGrid w:val="0"/>
        <w:spacing w:before="0" w:line="440" w:lineRule="exact"/>
        <w:jc w:val="left"/>
        <w:rPr>
          <w:rFonts w:cstheme="minorBidi"/>
          <w:sz w:val="24"/>
          <w:szCs w:val="24"/>
        </w:rPr>
      </w:pPr>
      <w:r>
        <w:rPr>
          <w:rFonts w:hint="eastAsia"/>
          <w:sz w:val="24"/>
        </w:rPr>
        <w:t>第一部分单位概况</w:t>
      </w:r>
      <w:r>
        <w:rPr>
          <w:rFonts w:cstheme="minorBidi"/>
          <w:sz w:val="24"/>
          <w:szCs w:val="24"/>
        </w:rPr>
        <w:tab/>
      </w:r>
      <w:r>
        <w:rPr>
          <w:rFonts w:hint="eastAsia" w:cstheme="minorBidi"/>
          <w:sz w:val="24"/>
          <w:szCs w:val="24"/>
        </w:rPr>
        <w:t>4</w:t>
      </w:r>
    </w:p>
    <w:p>
      <w:pPr>
        <w:pStyle w:val="14"/>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pPr>
        <w:pStyle w:val="14"/>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5</w:t>
      </w:r>
    </w:p>
    <w:p>
      <w:pPr>
        <w:pStyle w:val="13"/>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rPr>
        <w:tab/>
      </w:r>
      <w:r>
        <w:rPr>
          <w:rFonts w:hint="eastAsia" w:cstheme="minorBidi"/>
          <w:sz w:val="24"/>
        </w:rPr>
        <w:t>6</w:t>
      </w:r>
    </w:p>
    <w:p>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6</w:t>
      </w:r>
    </w:p>
    <w:p>
      <w:pPr>
        <w:pStyle w:val="14"/>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6</w:t>
      </w:r>
    </w:p>
    <w:p>
      <w:pPr>
        <w:pStyle w:val="14"/>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7</w:t>
      </w:r>
    </w:p>
    <w:p>
      <w:pPr>
        <w:pStyle w:val="14"/>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8</w:t>
      </w:r>
    </w:p>
    <w:p>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lang w:val="en-US" w:eastAsia="zh-CN"/>
        </w:rPr>
        <w:t>8</w:t>
      </w:r>
    </w:p>
    <w:p>
      <w:pPr>
        <w:pStyle w:val="14"/>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11</w:t>
      </w:r>
    </w:p>
    <w:p>
      <w:pPr>
        <w:pStyle w:val="14"/>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w:t>
      </w:r>
      <w:r>
        <w:rPr>
          <w:rFonts w:hint="eastAsia" w:cstheme="minorBidi"/>
          <w:sz w:val="24"/>
          <w:lang w:val="en-US" w:eastAsia="zh-CN"/>
        </w:rPr>
        <w:t>1</w:t>
      </w:r>
    </w:p>
    <w:p>
      <w:pPr>
        <w:pStyle w:val="14"/>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w:t>
      </w:r>
      <w:r>
        <w:rPr>
          <w:rFonts w:hint="eastAsia" w:cstheme="minorBidi"/>
          <w:sz w:val="24"/>
          <w:lang w:val="en-US" w:eastAsia="zh-CN"/>
        </w:rPr>
        <w:t>2</w:t>
      </w:r>
    </w:p>
    <w:p>
      <w:pPr>
        <w:pStyle w:val="14"/>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hint="eastAsia" w:cstheme="minorBidi"/>
          <w:sz w:val="24"/>
        </w:rPr>
        <w:t>1</w:t>
      </w:r>
      <w:r>
        <w:rPr>
          <w:rFonts w:hint="eastAsia" w:cstheme="minorBidi"/>
          <w:sz w:val="24"/>
          <w:lang w:val="en-US" w:eastAsia="zh-CN"/>
        </w:rPr>
        <w:t>2</w:t>
      </w:r>
    </w:p>
    <w:p>
      <w:pPr>
        <w:pStyle w:val="14"/>
        <w:adjustRightInd w:val="0"/>
        <w:snapToGrid w:val="0"/>
        <w:spacing w:line="440" w:lineRule="exact"/>
        <w:jc w:val="left"/>
        <w:rPr>
          <w:sz w:val="24"/>
          <w:lang w:val="en-US"/>
        </w:rPr>
      </w:pPr>
      <w:r>
        <w:rPr>
          <w:rFonts w:hint="eastAsia"/>
          <w:sz w:val="24"/>
        </w:rPr>
        <w:t>十、其他重要事项的情况说明</w:t>
      </w:r>
      <w:r>
        <w:rPr>
          <w:rFonts w:cstheme="minorBidi"/>
          <w:sz w:val="24"/>
        </w:rPr>
        <w:tab/>
      </w:r>
      <w:r>
        <w:rPr>
          <w:rFonts w:hint="eastAsia" w:cstheme="minorBidi"/>
          <w:sz w:val="24"/>
        </w:rPr>
        <w:t>1</w:t>
      </w:r>
      <w:r>
        <w:rPr>
          <w:rFonts w:hint="eastAsia" w:cstheme="minorBidi"/>
          <w:sz w:val="24"/>
          <w:lang w:val="en-US" w:eastAsia="zh-CN"/>
        </w:rPr>
        <w:t>2</w:t>
      </w:r>
    </w:p>
    <w:p>
      <w:pPr>
        <w:pStyle w:val="13"/>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rPr>
        <w:tab/>
      </w:r>
      <w:r>
        <w:rPr>
          <w:rFonts w:hint="eastAsia" w:cstheme="minorBidi"/>
          <w:sz w:val="24"/>
        </w:rPr>
        <w:t>1</w:t>
      </w:r>
      <w:r>
        <w:rPr>
          <w:rFonts w:hint="eastAsia" w:cstheme="minorBidi"/>
          <w:sz w:val="24"/>
          <w:lang w:val="en-US" w:eastAsia="zh-CN"/>
        </w:rPr>
        <w:t>4</w:t>
      </w:r>
    </w:p>
    <w:p>
      <w:pPr>
        <w:pStyle w:val="13"/>
        <w:adjustRightInd w:val="0"/>
        <w:snapToGrid w:val="0"/>
        <w:spacing w:before="0" w:line="440" w:lineRule="exact"/>
        <w:jc w:val="left"/>
        <w:rPr>
          <w:rFonts w:hint="eastAsia" w:eastAsia="仿宋" w:cstheme="minorBidi"/>
          <w:sz w:val="24"/>
          <w:szCs w:val="24"/>
          <w:lang w:eastAsia="zh-CN"/>
        </w:rPr>
      </w:pPr>
      <w:r>
        <w:rPr>
          <w:rFonts w:hint="eastAsia"/>
          <w:sz w:val="24"/>
        </w:rPr>
        <w:t>第四部分附件</w:t>
      </w:r>
      <w:r>
        <w:rPr>
          <w:rFonts w:cstheme="minorBidi"/>
          <w:sz w:val="24"/>
        </w:rPr>
        <w:tab/>
      </w:r>
      <w:r>
        <w:rPr>
          <w:rFonts w:hint="eastAsia" w:cstheme="minorBidi"/>
          <w:sz w:val="24"/>
          <w:szCs w:val="24"/>
        </w:rPr>
        <w:t>1</w:t>
      </w:r>
      <w:r>
        <w:rPr>
          <w:rFonts w:hint="eastAsia" w:cstheme="minorBidi"/>
          <w:sz w:val="24"/>
          <w:szCs w:val="24"/>
          <w:lang w:val="en-US" w:eastAsia="zh-CN"/>
        </w:rPr>
        <w:t>7</w:t>
      </w:r>
    </w:p>
    <w:p>
      <w:pPr>
        <w:pStyle w:val="13"/>
        <w:adjustRightInd w:val="0"/>
        <w:snapToGrid w:val="0"/>
        <w:spacing w:before="0" w:line="440" w:lineRule="exact"/>
        <w:jc w:val="left"/>
        <w:rPr>
          <w:rFonts w:hint="eastAsia" w:eastAsia="仿宋" w:cstheme="minorBidi"/>
          <w:sz w:val="24"/>
          <w:szCs w:val="24"/>
          <w:lang w:eastAsia="zh-CN"/>
        </w:rPr>
      </w:pPr>
      <w:r>
        <w:rPr>
          <w:rFonts w:hint="eastAsia"/>
          <w:sz w:val="24"/>
        </w:rPr>
        <w:t>第五部分附表</w:t>
      </w:r>
      <w:r>
        <w:rPr>
          <w:rFonts w:cstheme="minorBidi"/>
          <w:sz w:val="24"/>
        </w:rPr>
        <w:tab/>
      </w:r>
      <w:r>
        <w:rPr>
          <w:rFonts w:hint="eastAsia" w:cstheme="minorBidi"/>
          <w:sz w:val="24"/>
          <w:szCs w:val="24"/>
        </w:rPr>
        <w:t>1</w:t>
      </w:r>
      <w:r>
        <w:rPr>
          <w:rFonts w:hint="eastAsia" w:cstheme="minorBidi"/>
          <w:sz w:val="24"/>
          <w:szCs w:val="24"/>
          <w:lang w:val="en-US" w:eastAsia="zh-CN"/>
        </w:rPr>
        <w:t>8</w:t>
      </w:r>
    </w:p>
    <w:p>
      <w:pPr>
        <w:pStyle w:val="13"/>
        <w:adjustRightInd w:val="0"/>
        <w:snapToGrid w:val="0"/>
        <w:spacing w:before="0" w:line="440" w:lineRule="exact"/>
        <w:jc w:val="left"/>
        <w:rPr>
          <w:rFonts w:hint="eastAsia" w:eastAsia="仿宋"/>
          <w:sz w:val="24"/>
          <w:lang w:eastAsia="zh-CN"/>
        </w:rPr>
      </w:pPr>
      <w:r>
        <w:rPr>
          <w:rFonts w:hint="eastAsia"/>
          <w:sz w:val="24"/>
        </w:rPr>
        <w:t>一、收入支出决算总表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二、收入决算表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三、支出决算表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四、财政拨款收入支出决算总表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五、财政拨款支出决算明细表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六、一般公共预算财政拨款支出决算表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七、一般公共预算财政拨款支出决算明细表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八、一般公共预算财政拨款基本支出决算明细表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九、一般公共预算财政拨款项目支出决算表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十、政府性基金预算财政拨款收入支出决算表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十一、国有资本经营预算财政拨款收入支出决算表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十二、国有资本经营预算财政拨款支出决算表</w:t>
      </w:r>
      <w:r>
        <w:rPr>
          <w:rFonts w:cstheme="minorBidi"/>
          <w:sz w:val="24"/>
        </w:rPr>
        <w:tab/>
      </w:r>
      <w:r>
        <w:rPr>
          <w:rFonts w:hint="eastAsia" w:cstheme="minorBidi"/>
          <w:sz w:val="24"/>
        </w:rPr>
        <w:t>1</w:t>
      </w:r>
      <w:r>
        <w:rPr>
          <w:rFonts w:hint="eastAsia" w:cstheme="minorBidi"/>
          <w:sz w:val="24"/>
          <w:lang w:val="en-US" w:eastAsia="zh-CN"/>
        </w:rPr>
        <w:t>8</w:t>
      </w:r>
    </w:p>
    <w:p>
      <w:pPr>
        <w:pStyle w:val="14"/>
        <w:adjustRightInd w:val="0"/>
        <w:snapToGrid w:val="0"/>
        <w:spacing w:line="440" w:lineRule="exact"/>
        <w:jc w:val="left"/>
        <w:rPr>
          <w:rFonts w:hint="eastAsia" w:eastAsia="宋体"/>
          <w:sz w:val="24"/>
          <w:lang w:eastAsia="zh-CN"/>
        </w:rPr>
      </w:pPr>
      <w:r>
        <w:rPr>
          <w:rFonts w:hint="eastAsia"/>
          <w:sz w:val="24"/>
        </w:rPr>
        <w:t>十三、财政拨款“三公”经费支出决算表</w:t>
      </w:r>
      <w:r>
        <w:rPr>
          <w:rFonts w:cstheme="minorBidi"/>
          <w:sz w:val="24"/>
        </w:rPr>
        <w:tab/>
      </w:r>
      <w:r>
        <w:rPr>
          <w:rFonts w:hint="eastAsia" w:cstheme="minorBidi"/>
          <w:sz w:val="24"/>
        </w:rPr>
        <w:t>1</w:t>
      </w:r>
      <w:r>
        <w:rPr>
          <w:rFonts w:hint="eastAsia" w:cstheme="minorBidi"/>
          <w:sz w:val="24"/>
          <w:lang w:val="en-US" w:eastAsia="zh-CN"/>
        </w:rPr>
        <w:t>8</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6"/>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7"/>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pPr>
        <w:spacing w:line="353" w:lineRule="auto"/>
        <w:ind w:firstLine="640" w:firstLineChars="200"/>
        <w:rPr>
          <w:rFonts w:ascii="仿宋" w:hAnsi="仿宋" w:eastAsia="仿宋"/>
          <w:sz w:val="32"/>
          <w:szCs w:val="32"/>
        </w:rPr>
      </w:pPr>
      <w:r>
        <w:rPr>
          <w:rFonts w:hint="eastAsia" w:ascii="仿宋" w:hAnsi="仿宋" w:eastAsia="仿宋"/>
          <w:sz w:val="32"/>
          <w:szCs w:val="32"/>
        </w:rPr>
        <w:t>1.认真贯彻区委、团市委和有关决议和方针、政策、领导全区共青团、青联、学联和少先队工作，抓好青少年教育工作。</w:t>
      </w:r>
    </w:p>
    <w:p>
      <w:pPr>
        <w:spacing w:line="353" w:lineRule="auto"/>
        <w:ind w:firstLine="640" w:firstLineChars="200"/>
        <w:rPr>
          <w:rFonts w:ascii="仿宋" w:hAnsi="仿宋" w:eastAsia="仿宋"/>
          <w:sz w:val="32"/>
          <w:szCs w:val="32"/>
        </w:rPr>
      </w:pPr>
      <w:r>
        <w:rPr>
          <w:rFonts w:hint="eastAsia" w:ascii="仿宋" w:hAnsi="仿宋" w:eastAsia="仿宋"/>
          <w:sz w:val="32"/>
          <w:szCs w:val="32"/>
        </w:rPr>
        <w:t>2.认真贯彻有关青少年事业的法律、法规、制定我区青少年工作方针和青少年事业发展规划，协助区委、区政府处理、协调与青少年利益相关的事务，维护青少年合法权益。</w:t>
      </w:r>
    </w:p>
    <w:p>
      <w:pPr>
        <w:spacing w:line="353" w:lineRule="auto"/>
        <w:ind w:firstLine="640" w:firstLineChars="200"/>
        <w:rPr>
          <w:rFonts w:ascii="仿宋" w:hAnsi="仿宋" w:eastAsia="仿宋"/>
          <w:sz w:val="32"/>
          <w:szCs w:val="32"/>
        </w:rPr>
      </w:pPr>
      <w:r>
        <w:rPr>
          <w:rFonts w:hint="eastAsia" w:ascii="仿宋" w:hAnsi="仿宋" w:eastAsia="仿宋"/>
          <w:sz w:val="32"/>
          <w:szCs w:val="32"/>
        </w:rPr>
        <w:t>3.负责对全区青少年活动阵地、青少年服务机构的建设进行规划和管理；指导和管理全区性青年社团组织。</w:t>
      </w:r>
    </w:p>
    <w:p>
      <w:pPr>
        <w:spacing w:line="353" w:lineRule="auto"/>
        <w:ind w:firstLine="640" w:firstLineChars="200"/>
        <w:rPr>
          <w:rFonts w:ascii="仿宋" w:hAnsi="仿宋" w:eastAsia="仿宋"/>
          <w:sz w:val="32"/>
          <w:szCs w:val="32"/>
        </w:rPr>
      </w:pPr>
      <w:r>
        <w:rPr>
          <w:rFonts w:hint="eastAsia" w:ascii="仿宋" w:hAnsi="仿宋" w:eastAsia="仿宋"/>
          <w:sz w:val="32"/>
          <w:szCs w:val="32"/>
        </w:rPr>
        <w:t>4.调查青年思想动态和青年工作状况，研究青少年工作理论和新形势下青少年思想教育中出现的新问题，提出相应对策，开展好各种寓教于乐的活动。</w:t>
      </w:r>
    </w:p>
    <w:p>
      <w:pPr>
        <w:spacing w:line="353" w:lineRule="auto"/>
        <w:ind w:firstLine="640" w:firstLineChars="200"/>
        <w:rPr>
          <w:rFonts w:ascii="仿宋" w:hAnsi="仿宋" w:eastAsia="仿宋"/>
          <w:sz w:val="32"/>
          <w:szCs w:val="32"/>
        </w:rPr>
      </w:pPr>
      <w:r>
        <w:rPr>
          <w:rFonts w:hint="eastAsia" w:ascii="仿宋" w:hAnsi="仿宋" w:eastAsia="仿宋"/>
          <w:sz w:val="32"/>
          <w:szCs w:val="32"/>
        </w:rPr>
        <w:t>5.协助教育主管部门做好全区中、小学校学生的教育管理工作，开展好假期社会实践活动，优化青少年成长环境，维护学校稳定和社会安定团结。</w:t>
      </w:r>
    </w:p>
    <w:p>
      <w:pPr>
        <w:spacing w:line="353" w:lineRule="auto"/>
        <w:ind w:firstLine="640" w:firstLineChars="200"/>
        <w:rPr>
          <w:rFonts w:ascii="仿宋" w:hAnsi="仿宋" w:eastAsia="仿宋"/>
          <w:sz w:val="32"/>
          <w:szCs w:val="32"/>
        </w:rPr>
      </w:pPr>
      <w:r>
        <w:rPr>
          <w:rFonts w:hint="eastAsia" w:ascii="仿宋" w:hAnsi="仿宋" w:eastAsia="仿宋"/>
          <w:sz w:val="32"/>
          <w:szCs w:val="32"/>
        </w:rPr>
        <w:t>6.坚持“党建带团建”的基本原则，切实加强共青团的基层组织建设，特别是农村、社区新经济组织团的组织建设，逐步建立与社会主义市场经济相适应的团的工作运行机制。</w:t>
      </w:r>
    </w:p>
    <w:p>
      <w:pPr>
        <w:spacing w:line="353" w:lineRule="auto"/>
        <w:ind w:firstLine="640" w:firstLineChars="200"/>
        <w:rPr>
          <w:rFonts w:ascii="仿宋" w:hAnsi="仿宋" w:eastAsia="仿宋"/>
          <w:sz w:val="32"/>
          <w:szCs w:val="32"/>
        </w:rPr>
      </w:pPr>
      <w:r>
        <w:rPr>
          <w:rFonts w:hint="eastAsia" w:ascii="仿宋" w:hAnsi="仿宋" w:eastAsia="仿宋"/>
          <w:sz w:val="32"/>
          <w:szCs w:val="32"/>
        </w:rPr>
        <w:t>7.在全区青年中继续推进新世纪读书计划、“保护母亲河”行动和青年科技创新行动，深化争得“青年岗位能手”、争创“青年文明号”、“争当青年致富能手”、“争创青年文明户”和创新创效活动，动员和组织青年在推动先进生产力的发展中发挥积极作用。</w:t>
      </w:r>
    </w:p>
    <w:p>
      <w:pPr>
        <w:spacing w:line="353" w:lineRule="auto"/>
        <w:ind w:firstLine="640" w:firstLineChars="200"/>
        <w:rPr>
          <w:rFonts w:ascii="仿宋" w:hAnsi="仿宋" w:eastAsia="仿宋"/>
          <w:sz w:val="32"/>
          <w:szCs w:val="32"/>
        </w:rPr>
      </w:pPr>
      <w:r>
        <w:rPr>
          <w:rFonts w:hint="eastAsia" w:ascii="仿宋" w:hAnsi="仿宋" w:eastAsia="仿宋"/>
          <w:sz w:val="32"/>
          <w:szCs w:val="32"/>
        </w:rPr>
        <w:t>8.认真贯彻实施青年统战工作政策，做好我去青年统战对象的团结教育工作，维护祖国统一和民族团结；协同有关部门抓好全区青少年对外交流、交往工作。</w:t>
      </w:r>
    </w:p>
    <w:p>
      <w:pPr>
        <w:spacing w:line="353" w:lineRule="auto"/>
        <w:ind w:firstLine="640" w:firstLineChars="200"/>
        <w:rPr>
          <w:rFonts w:ascii="仿宋" w:hAnsi="仿宋" w:eastAsia="仿宋"/>
          <w:sz w:val="32"/>
          <w:szCs w:val="32"/>
        </w:rPr>
      </w:pPr>
      <w:r>
        <w:rPr>
          <w:rFonts w:hint="eastAsia" w:ascii="仿宋" w:hAnsi="仿宋" w:eastAsia="仿宋"/>
          <w:sz w:val="32"/>
          <w:szCs w:val="32"/>
        </w:rPr>
        <w:t>9.积极协调配合有关部门做好青少年的教育工作。</w:t>
      </w:r>
    </w:p>
    <w:p>
      <w:r>
        <w:rPr>
          <w:rFonts w:hint="eastAsia" w:ascii="仿宋" w:hAnsi="仿宋" w:eastAsia="仿宋"/>
          <w:sz w:val="32"/>
          <w:szCs w:val="32"/>
        </w:rPr>
        <w:t>10.承办区委、区政府交办的其他事项。</w:t>
      </w:r>
    </w:p>
    <w:p>
      <w:pPr>
        <w:pStyle w:val="7"/>
        <w:rPr>
          <w:rFonts w:ascii="黑体" w:hAnsi="黑体" w:eastAsia="黑体"/>
          <w:b w:val="0"/>
        </w:rPr>
      </w:pPr>
      <w:r>
        <w:rPr>
          <w:rFonts w:hint="eastAsia" w:ascii="黑体" w:hAnsi="黑体" w:eastAsia="黑体"/>
          <w:b w:val="0"/>
        </w:rPr>
        <w:t>二、机构设置</w:t>
      </w:r>
    </w:p>
    <w:bookmarkEnd w:id="14"/>
    <w:bookmarkEnd w:id="15"/>
    <w:p>
      <w:pPr>
        <w:ind w:firstLine="800" w:firstLineChars="250"/>
        <w:rPr>
          <w:rFonts w:ascii="仿宋" w:hAnsi="仿宋" w:eastAsia="仿宋"/>
          <w:sz w:val="32"/>
          <w:szCs w:val="32"/>
        </w:rPr>
      </w:pPr>
      <w:r>
        <w:rPr>
          <w:rFonts w:hint="eastAsia" w:ascii="仿宋" w:hAnsi="仿宋" w:eastAsia="仿宋"/>
          <w:sz w:val="32"/>
          <w:szCs w:val="32"/>
        </w:rPr>
        <w:t>西区团委下属二级单位1个，其中行政单位0个，参照公务员法管理的事业单位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p>
    <w:p>
      <w:pPr>
        <w:pStyle w:val="3"/>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西区团委</w:t>
      </w:r>
      <w:r>
        <w:rPr>
          <w:rFonts w:ascii="仿宋" w:hAnsi="仿宋" w:eastAsia="仿宋"/>
          <w:color w:val="000000"/>
          <w:sz w:val="32"/>
          <w:szCs w:val="32"/>
        </w:rPr>
        <w:t>202</w:t>
      </w:r>
      <w:r>
        <w:rPr>
          <w:rFonts w:hint="eastAsia" w:ascii="仿宋" w:hAnsi="仿宋" w:eastAsia="仿宋"/>
          <w:color w:val="000000"/>
          <w:sz w:val="32"/>
          <w:szCs w:val="32"/>
        </w:rPr>
        <w:t>2年度部门决算编制范围的二级预算单位包括：</w:t>
      </w:r>
    </w:p>
    <w:p>
      <w:pPr>
        <w:pStyle w:val="3"/>
        <w:adjustRightInd w:val="0"/>
        <w:snapToGrid w:val="0"/>
        <w:spacing w:before="93" w:line="600" w:lineRule="exact"/>
        <w:rPr>
          <w:rFonts w:ascii="仿宋" w:hAnsi="仿宋" w:eastAsia="仿宋"/>
          <w:sz w:val="32"/>
          <w:szCs w:val="32"/>
        </w:rPr>
      </w:pPr>
      <w:bookmarkStart w:id="16" w:name="_Toc15377433"/>
      <w:bookmarkStart w:id="17" w:name="_Toc15377202"/>
      <w:bookmarkStart w:id="18" w:name="_Toc15378449"/>
      <w:bookmarkStart w:id="19" w:name="_Toc15306276"/>
      <w:r>
        <w:rPr>
          <w:rFonts w:hint="eastAsia" w:ascii="仿宋" w:hAnsi="仿宋" w:eastAsia="仿宋"/>
          <w:color w:val="000000"/>
          <w:sz w:val="32"/>
          <w:szCs w:val="32"/>
        </w:rPr>
        <w:t>1.攀枝花市西区青少年活动中</w:t>
      </w:r>
      <w:bookmarkEnd w:id="16"/>
      <w:bookmarkEnd w:id="17"/>
      <w:bookmarkEnd w:id="18"/>
      <w:bookmarkEnd w:id="19"/>
      <w:r>
        <w:rPr>
          <w:rFonts w:hint="eastAsia" w:ascii="仿宋" w:hAnsi="仿宋" w:eastAsia="仿宋"/>
          <w:color w:val="000000"/>
          <w:sz w:val="32"/>
          <w:szCs w:val="32"/>
        </w:rPr>
        <w:t>心</w:t>
      </w:r>
    </w:p>
    <w:p>
      <w:pPr>
        <w:widowControl/>
        <w:jc w:val="left"/>
        <w:rPr>
          <w:rFonts w:ascii="仿宋" w:hAnsi="仿宋" w:eastAsia="仿宋"/>
          <w:kern w:val="0"/>
          <w:sz w:val="32"/>
          <w:szCs w:val="32"/>
        </w:rPr>
      </w:pPr>
      <w:r>
        <w:rPr>
          <w:rFonts w:ascii="仿宋" w:hAnsi="仿宋" w:eastAsia="仿宋"/>
          <w:sz w:val="32"/>
          <w:szCs w:val="32"/>
        </w:rPr>
        <w:br w:type="page"/>
      </w:r>
    </w:p>
    <w:p>
      <w:pPr>
        <w:pStyle w:val="6"/>
        <w:ind w:right="440"/>
        <w:jc w:val="center"/>
        <w:rPr>
          <w:rStyle w:val="27"/>
          <w:rFonts w:ascii="黑体" w:hAnsi="黑体" w:eastAsia="黑体"/>
          <w:b w:val="0"/>
          <w:bCs/>
        </w:rPr>
      </w:pPr>
      <w:bookmarkStart w:id="20" w:name="_Toc15377204"/>
      <w:bookmarkStart w:id="21" w:name="_Toc15396602"/>
      <w:r>
        <w:rPr>
          <w:rFonts w:hint="eastAsia" w:ascii="黑体" w:hAnsi="黑体" w:eastAsia="黑体"/>
          <w:b w:val="0"/>
        </w:rPr>
        <w:t>第二部分 2022年度</w:t>
      </w:r>
      <w:r>
        <w:rPr>
          <w:rStyle w:val="27"/>
          <w:rFonts w:hint="eastAsia" w:ascii="黑体" w:hAnsi="黑体" w:eastAsia="黑体"/>
          <w:b w:val="0"/>
          <w:bCs/>
        </w:rPr>
        <w:t>单位决算情况说明</w:t>
      </w:r>
      <w:bookmarkEnd w:id="20"/>
      <w:bookmarkEnd w:id="21"/>
    </w:p>
    <w:p/>
    <w:p>
      <w:pPr>
        <w:pStyle w:val="26"/>
        <w:numPr>
          <w:ilvl w:val="0"/>
          <w:numId w:val="2"/>
        </w:numPr>
        <w:spacing w:line="600" w:lineRule="exact"/>
        <w:ind w:firstLineChars="0"/>
        <w:outlineLvl w:val="1"/>
        <w:rPr>
          <w:rStyle w:val="28"/>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2022年度收、支总计66.14万元。与2021年相比，收、支总计各减少9.38万元，下降12.42</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"C:\\Users\\lenovo\\AppData\\Roaming\\Tencent\\Users\\248301485\\QQ\\WinTemp\\RichOle\\CQN[EJDHC%@G%GWV@LRNWE1.png"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895725" cy="23622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895725" cy="236220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4" w:name="_Toc15396604"/>
      <w:bookmarkStart w:id="25" w:name="_Toc15377206"/>
      <w:r>
        <w:rPr>
          <w:rFonts w:hint="eastAsia" w:ascii="黑体" w:hAnsi="黑体" w:eastAsia="黑体"/>
          <w:sz w:val="32"/>
          <w:szCs w:val="32"/>
        </w:rPr>
        <w:t>收</w:t>
      </w:r>
      <w:r>
        <w:rPr>
          <w:rStyle w:val="28"/>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22年本年收入合计66.14万元，其中：一般公共预算财政拨款收入41.17万元，占62.25</w:t>
      </w:r>
      <w:r>
        <w:rPr>
          <w:rFonts w:ascii="仿宋" w:hAnsi="仿宋" w:eastAsia="仿宋"/>
          <w:sz w:val="32"/>
          <w:szCs w:val="32"/>
        </w:rPr>
        <w:t>%</w:t>
      </w:r>
      <w:r>
        <w:rPr>
          <w:rFonts w:hint="eastAsia" w:ascii="仿宋" w:hAnsi="仿宋" w:eastAsia="仿宋"/>
          <w:sz w:val="32"/>
          <w:szCs w:val="32"/>
        </w:rPr>
        <w:t>；政府性基金预算财政拨款收入24.97万元，占37.75</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"C:\\Users\\lenovo\\AppData\\Roaming\\Tencent\\Users\\248301485\\QQ\\WinTemp\\RichOle\\@KLU`VHV($P@3YRVY`F{4V8.png"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676650" cy="252412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3676650" cy="252412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28"/>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22年本年支出合计66.14万元，其中：基本支出40.69万元，占61.52</w:t>
      </w:r>
      <w:r>
        <w:rPr>
          <w:rFonts w:ascii="仿宋" w:hAnsi="仿宋" w:eastAsia="仿宋"/>
          <w:sz w:val="32"/>
          <w:szCs w:val="32"/>
        </w:rPr>
        <w:t>%</w:t>
      </w:r>
      <w:r>
        <w:rPr>
          <w:rFonts w:hint="eastAsia" w:ascii="仿宋" w:hAnsi="仿宋" w:eastAsia="仿宋"/>
          <w:sz w:val="32"/>
          <w:szCs w:val="32"/>
        </w:rPr>
        <w:t>；项目支出25.45万元，占38.48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"C:\\Users\\lenovo\\AppData\\Roaming\\Tencent\\Users\\248301485\\QQ\\WinTemp\\RichOle\\J}7KZNHA_9@1[`6VBA@JR@9.png"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105150" cy="239077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3105150" cy="239077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22年财政拨款收、支总计66.14万元。与2021年相比，收、支总计各减少9.38万元，下降12.42</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"C:\\Users\\lenovo\\AppData\\Roaming\\Tencent\\Users\\248301485\\QQ\\WinTemp\\RichOle\\DM1NL7O(B_8C%LF)67FGRIN.png"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743325" cy="246697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3743325" cy="246697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30" w:name="_Toc15377209"/>
      <w:bookmarkStart w:id="31"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22年一般公共预算财政拨款支出41.17万元，占本年支出合计的62.25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21年相比，一般公共预算财政拨款支出减少0.46万元，下降1.1</w:t>
      </w:r>
      <w:r>
        <w:rPr>
          <w:rFonts w:ascii="仿宋" w:hAnsi="仿宋" w:eastAsia="仿宋"/>
          <w:sz w:val="32"/>
          <w:szCs w:val="32"/>
        </w:rPr>
        <w:t>%</w:t>
      </w:r>
      <w:r>
        <w:rPr>
          <w:rFonts w:hint="eastAsia" w:ascii="仿宋" w:hAnsi="仿宋" w:eastAsia="仿宋"/>
          <w:sz w:val="32"/>
          <w:szCs w:val="32"/>
        </w:rPr>
        <w:t>。主要变动原因是人员经费减少。</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"C:\\Users\\lenovo\\AppData\\Roaming\\Tencent\\Users\\248301485\\QQ\\WinTemp\\RichOle\\H9D1V[H6XCYB0E`EK[IBEYH.png"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600450" cy="240982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0"/>
                    <a:stretch>
                      <a:fillRect/>
                    </a:stretch>
                  </pic:blipFill>
                  <pic:spPr>
                    <a:xfrm>
                      <a:off x="0" y="0"/>
                      <a:ext cx="3600450" cy="240982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22年一般公共预算财政拨款支出41.17万元，主要用于以下方面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33.24万元，占80.74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1.96万元，占4.76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2.53万元，占6.15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3.44万元，占8.35</w:t>
      </w:r>
      <w:r>
        <w:rPr>
          <w:rFonts w:ascii="仿宋" w:hAnsi="仿宋" w:eastAsia="仿宋"/>
          <w:sz w:val="32"/>
          <w:szCs w:val="32"/>
        </w:rPr>
        <w:t>%</w:t>
      </w:r>
      <w:r>
        <w:rPr>
          <w:rFonts w:hint="eastAsia" w:ascii="仿宋" w:hAnsi="仿宋" w:eastAsia="仿宋"/>
          <w:sz w:val="32"/>
          <w:szCs w:val="32"/>
        </w:rPr>
        <w:t>。</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"C:\\Users\\lenovo\\AppData\\Roaming\\Tencent\\Users\\248301485\\QQ\\WinTemp\\RichOle\\5S(C{0~YLX}9VC(9FYK$`LU.png"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133850" cy="241935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1"/>
                    <a:stretch>
                      <a:fillRect/>
                    </a:stretch>
                  </pic:blipFill>
                  <pic:spPr>
                    <a:xfrm>
                      <a:off x="0" y="0"/>
                      <a:ext cx="4133850" cy="241935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3" w:firstLineChars="200"/>
        <w:outlineLvl w:val="2"/>
        <w:rPr>
          <w:rFonts w:ascii="仿宋" w:hAnsi="仿宋" w:eastAsia="仿宋"/>
          <w:sz w:val="32"/>
          <w:szCs w:val="32"/>
        </w:rPr>
      </w:pPr>
      <w:bookmarkStart w:id="35" w:name="_Toc15377444"/>
      <w:bookmarkStart w:id="36" w:name="_Toc15378460"/>
      <w:bookmarkStart w:id="37" w:name="_Toc15377213"/>
      <w:r>
        <w:rPr>
          <w:rFonts w:hint="eastAsia" w:ascii="仿宋" w:hAnsi="仿宋" w:eastAsia="仿宋"/>
          <w:b/>
          <w:sz w:val="32"/>
          <w:szCs w:val="32"/>
        </w:rPr>
        <w:t>2022年一般公共预算支出决算数为41.17万元</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5"/>
      <w:bookmarkEnd w:id="36"/>
      <w:bookmarkEnd w:id="37"/>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一般公共服务支出（类）群众团体事务（款）行政运行（项）</w:t>
      </w:r>
      <w:r>
        <w:rPr>
          <w:rStyle w:val="17"/>
          <w:rFonts w:ascii="仿宋" w:hAnsi="仿宋" w:eastAsia="仿宋"/>
          <w:bCs/>
          <w:sz w:val="32"/>
          <w:szCs w:val="32"/>
        </w:rPr>
        <w:t>:</w:t>
      </w:r>
      <w:r>
        <w:rPr>
          <w:rStyle w:val="17"/>
          <w:rFonts w:hint="eastAsia" w:ascii="仿宋" w:hAnsi="仿宋" w:eastAsia="仿宋"/>
          <w:b w:val="0"/>
          <w:bCs/>
          <w:sz w:val="32"/>
          <w:szCs w:val="32"/>
        </w:rPr>
        <w:t>支出决算为32.76万元，完成预算100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一般公共服务支出（类）群众团体事务（款）其他群众团体事务支出（项）</w:t>
      </w:r>
      <w:r>
        <w:rPr>
          <w:rStyle w:val="17"/>
          <w:rFonts w:ascii="仿宋" w:hAnsi="仿宋" w:eastAsia="仿宋"/>
          <w:bCs/>
          <w:sz w:val="32"/>
          <w:szCs w:val="32"/>
        </w:rPr>
        <w:t>:</w:t>
      </w:r>
      <w:r>
        <w:rPr>
          <w:rStyle w:val="17"/>
          <w:rFonts w:hint="eastAsia" w:ascii="仿宋" w:hAnsi="仿宋" w:eastAsia="仿宋"/>
          <w:b w:val="0"/>
          <w:bCs/>
          <w:sz w:val="32"/>
          <w:szCs w:val="32"/>
        </w:rPr>
        <w:t>支出决算为0.48万元，完成预算100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社会保障和就业支出（类）行政事业单位养老支出（款）机关事业单位基本养老保险缴费支出（项）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支出决算为1.96万元，完成预算100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bCs/>
          <w:sz w:val="32"/>
          <w:szCs w:val="32"/>
        </w:rPr>
        <w:t>卫生健康支出（类）行政事业单位医疗（款）行政单位医疗（项）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支出决算为2.39万元，完成预算100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Style w:val="17"/>
          <w:rFonts w:hint="eastAsia" w:ascii="仿宋" w:hAnsi="仿宋" w:eastAsia="仿宋"/>
          <w:bCs/>
          <w:sz w:val="32"/>
          <w:szCs w:val="32"/>
        </w:rPr>
        <w:t>卫生健康支出（类）行政事业单位医疗（款）公务员医疗补助（项）</w:t>
      </w:r>
      <w:r>
        <w:rPr>
          <w:rStyle w:val="17"/>
          <w:rFonts w:ascii="仿宋" w:hAnsi="仿宋" w:eastAsia="仿宋"/>
          <w:bCs/>
          <w:sz w:val="32"/>
          <w:szCs w:val="32"/>
        </w:rPr>
        <w:t>:</w:t>
      </w:r>
      <w:r>
        <w:rPr>
          <w:rStyle w:val="17"/>
          <w:rFonts w:hint="eastAsia" w:ascii="仿宋" w:hAnsi="仿宋" w:eastAsia="仿宋"/>
          <w:b w:val="0"/>
          <w:bCs/>
          <w:sz w:val="32"/>
          <w:szCs w:val="32"/>
        </w:rPr>
        <w:t>支出决算为0.13万元，完成预算100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6.</w:t>
      </w:r>
      <w:r>
        <w:rPr>
          <w:rStyle w:val="17"/>
          <w:rFonts w:hint="eastAsia" w:ascii="仿宋" w:hAnsi="仿宋" w:eastAsia="仿宋"/>
          <w:bCs/>
          <w:sz w:val="32"/>
          <w:szCs w:val="32"/>
        </w:rPr>
        <w:t>住房保障支出（类）住房改革支出（款）住房公积金（项）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支出决算为3.44万元，完成预算100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tabs>
          <w:tab w:val="right" w:pos="8306"/>
        </w:tabs>
        <w:spacing w:line="600" w:lineRule="exact"/>
        <w:ind w:firstLine="640"/>
        <w:outlineLvl w:val="1"/>
        <w:rPr>
          <w:rStyle w:val="28"/>
        </w:rPr>
      </w:pPr>
      <w:bookmarkStart w:id="38" w:name="_Toc15377214"/>
      <w:bookmarkStart w:id="3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8"/>
      <w:bookmarkEnd w:id="39"/>
      <w:r>
        <w:rPr>
          <w:rStyle w:val="2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22年一般公共预算财政拨款基本支出40.69万元，其中：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人员经费38.22万元，主要包括：基本工资、津贴补贴、奖金、机关事业单位基本养老保险缴费、职工基本医疗保险缴费、公务员医疗补助缴费、其他社会保障缴费、其他工资福利支出、住房公积金。</w:t>
      </w:r>
      <w:r>
        <w:rPr>
          <w:rFonts w:ascii="仿宋" w:hAnsi="仿宋" w:eastAsia="仿宋"/>
          <w:sz w:val="32"/>
          <w:szCs w:val="32"/>
        </w:rPr>
        <w:br w:type="textWrapping"/>
      </w:r>
      <w:r>
        <w:rPr>
          <w:rFonts w:hint="eastAsia" w:ascii="仿宋" w:hAnsi="仿宋" w:eastAsia="仿宋"/>
          <w:sz w:val="32"/>
          <w:szCs w:val="32"/>
        </w:rPr>
        <w:t>　　公用经费2.47万元，主要包括：办公费、邮电费、工会经费、其他交通费。</w:t>
      </w:r>
    </w:p>
    <w:p>
      <w:pPr>
        <w:spacing w:line="600" w:lineRule="exact"/>
        <w:ind w:firstLine="640"/>
        <w:outlineLvl w:val="1"/>
        <w:rPr>
          <w:rStyle w:val="28"/>
          <w:rFonts w:ascii="黑体" w:hAnsi="黑体" w:eastAsia="黑体"/>
          <w:b w:val="0"/>
        </w:rPr>
      </w:pPr>
      <w:bookmarkStart w:id="40" w:name="_Toc15396609"/>
      <w:bookmarkStart w:id="41"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，与上年数据持平。</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 w:hAnsi="仿宋" w:eastAsia="仿宋"/>
          <w:sz w:val="32"/>
          <w:szCs w:val="32"/>
        </w:rPr>
        <w:t>与上年数据持平</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 w:hAnsi="仿宋" w:eastAsia="仿宋"/>
          <w:sz w:val="32"/>
          <w:szCs w:val="32"/>
        </w:rPr>
        <w:t>与上年数据持平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 w:hAnsi="仿宋" w:eastAsia="仿宋"/>
          <w:sz w:val="32"/>
          <w:szCs w:val="32"/>
        </w:rPr>
        <w:t>与上年数据持平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4" w:name="_Toc15377218"/>
      <w:bookmarkStart w:id="45" w:name="_Toc15396610"/>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22年政府性基金预算财政拨款支出24.97万元。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8"/>
          <w:rFonts w:ascii="黑体" w:hAnsi="黑体" w:eastAsia="黑体"/>
          <w:b w:val="0"/>
        </w:rPr>
      </w:pPr>
      <w:bookmarkStart w:id="46" w:name="_Toc15377219"/>
      <w:bookmarkStart w:id="47" w:name="_Toc15396611"/>
      <w:r>
        <w:rPr>
          <w:rStyle w:val="28"/>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8"/>
          <w:rFonts w:ascii="黑体" w:hAnsi="黑体" w:eastAsia="黑体"/>
          <w:b w:val="0"/>
        </w:rPr>
      </w:pPr>
      <w:bookmarkStart w:id="48" w:name="_Toc15377221"/>
      <w:bookmarkStart w:id="49" w:name="_Toc15396612"/>
      <w:r>
        <w:rPr>
          <w:rStyle w:val="28"/>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Style w:val="33"/>
          <w:rFonts w:hint="default" w:ascii="楷体_GB2312" w:eastAsia="楷体_GB2312"/>
          <w:sz w:val="32"/>
          <w:szCs w:val="32"/>
        </w:rPr>
        <w:t>中国共产主义青年团攀枝花市西区委员会</w:t>
      </w:r>
      <w:r>
        <w:rPr>
          <w:rFonts w:hint="eastAsia" w:ascii="仿宋_GB2312" w:eastAsia="仿宋_GB2312"/>
          <w:sz w:val="32"/>
          <w:szCs w:val="32"/>
        </w:rPr>
        <w:t>机关运行经费支出2.47万元，比</w:t>
      </w:r>
      <w:r>
        <w:rPr>
          <w:rFonts w:ascii="仿宋_GB2312" w:eastAsia="仿宋_GB2312"/>
          <w:sz w:val="32"/>
          <w:szCs w:val="32"/>
        </w:rPr>
        <w:t>20</w:t>
      </w:r>
      <w:r>
        <w:rPr>
          <w:rFonts w:hint="eastAsia" w:ascii="仿宋_GB2312" w:eastAsia="仿宋_GB2312"/>
          <w:sz w:val="32"/>
          <w:szCs w:val="32"/>
        </w:rPr>
        <w:t>21年减少1.27万元，下降33.96</w:t>
      </w:r>
      <w:r>
        <w:rPr>
          <w:rFonts w:ascii="仿宋_GB2312" w:eastAsia="仿宋_GB2312"/>
          <w:sz w:val="32"/>
          <w:szCs w:val="32"/>
        </w:rPr>
        <w:t>%</w:t>
      </w:r>
      <w:r>
        <w:rPr>
          <w:rFonts w:hint="eastAsia" w:ascii="仿宋_GB2312" w:eastAsia="仿宋_GB2312"/>
          <w:sz w:val="32"/>
          <w:szCs w:val="32"/>
        </w:rPr>
        <w:t>。主要原因是</w:t>
      </w:r>
      <w:r>
        <w:rPr>
          <w:rFonts w:ascii="仿宋" w:hAnsi="仿宋" w:eastAsia="仿宋"/>
          <w:sz w:val="32"/>
          <w:szCs w:val="32"/>
        </w:rPr>
        <w:t>厉行节约，压缩开支</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Style w:val="33"/>
          <w:rFonts w:hint="default" w:ascii="楷体_GB2312" w:eastAsia="楷体_GB2312"/>
          <w:sz w:val="32"/>
          <w:szCs w:val="32"/>
        </w:rPr>
        <w:t>中国共产主义青年团攀枝花市西区委员会</w:t>
      </w:r>
      <w:r>
        <w:rPr>
          <w:rFonts w:hint="eastAsia" w:ascii="仿宋_GB2312" w:eastAsia="仿宋_GB2312"/>
          <w:sz w:val="32"/>
          <w:szCs w:val="32"/>
        </w:rPr>
        <w:t>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Style w:val="33"/>
          <w:rFonts w:hint="default" w:ascii="楷体_GB2312" w:eastAsia="楷体_GB2312"/>
          <w:sz w:val="32"/>
          <w:szCs w:val="32"/>
        </w:rPr>
        <w:t>中国共产主义青年团攀枝花市西区委员会</w:t>
      </w:r>
      <w:r>
        <w:rPr>
          <w:rFonts w:hint="eastAsia" w:ascii="仿宋_GB2312" w:eastAsia="仿宋_GB2312"/>
          <w:sz w:val="32"/>
          <w:szCs w:val="32"/>
        </w:rPr>
        <w:t>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3"/>
        <w:spacing w:before="93"/>
        <w:ind w:firstLine="640" w:firstLineChars="200"/>
        <w:rPr>
          <w:highlight w:val="yellow"/>
        </w:rPr>
      </w:pPr>
      <w:r>
        <w:rPr>
          <w:rFonts w:hint="eastAsia" w:hAnsi="仿宋_GB2312" w:cs="仿宋_GB2312"/>
          <w:sz w:val="32"/>
          <w:szCs w:val="32"/>
        </w:rPr>
        <w:t>根据预算绩效管理要求，本单位在2022年度预算编制阶段，</w:t>
      </w:r>
      <w:r>
        <w:rPr>
          <w:rFonts w:hint="eastAsia" w:ascii="仿宋" w:hAnsi="仿宋" w:eastAsia="仿宋"/>
          <w:sz w:val="32"/>
          <w:szCs w:val="32"/>
        </w:rPr>
        <w:t>组织对</w:t>
      </w:r>
      <w:r>
        <w:rPr>
          <w:rFonts w:ascii="仿宋" w:hAnsi="仿宋" w:eastAsia="仿宋"/>
          <w:sz w:val="32"/>
          <w:szCs w:val="32"/>
        </w:rPr>
        <w:t>带薪年休假经费、住房公积金、在职医疗补助</w:t>
      </w:r>
      <w:r>
        <w:rPr>
          <w:rFonts w:hint="eastAsia" w:ascii="仿宋" w:hAnsi="仿宋" w:eastAsia="仿宋"/>
          <w:sz w:val="32"/>
          <w:szCs w:val="32"/>
        </w:rPr>
        <w:t>等</w:t>
      </w:r>
      <w:r>
        <w:rPr>
          <w:rFonts w:hint="eastAsia" w:hAnsi="仿宋_GB2312" w:cs="仿宋_GB2312"/>
          <w:sz w:val="32"/>
          <w:szCs w:val="32"/>
        </w:rPr>
        <w:t>项目开展了预算事前绩效评估，对18个项目编制了绩效目标，预算执行过程中，选取18个项目开展绩效监控，组织对1个项目开展绩效自评，绩效自评表详见第四部分附件。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53" w:name="_Toc15377225"/>
      <w:bookmarkStart w:id="54" w:name="_Toc15396613"/>
      <w:r>
        <w:rPr>
          <w:rFonts w:hint="eastAsia" w:ascii="黑体" w:hAnsi="黑体" w:eastAsia="黑体"/>
          <w:sz w:val="44"/>
          <w:szCs w:val="44"/>
        </w:rPr>
        <w:t>名</w:t>
      </w:r>
      <w:r>
        <w:rPr>
          <w:rStyle w:val="27"/>
          <w:rFonts w:hint="eastAsia" w:ascii="黑体" w:hAnsi="黑体" w:eastAsia="黑体"/>
          <w:b w:val="0"/>
        </w:rPr>
        <w:t>词解释</w:t>
      </w:r>
      <w:bookmarkEnd w:id="53"/>
      <w:bookmarkEnd w:id="54"/>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ind w:firstLine="640" w:firstLineChars="200"/>
        <w:rPr>
          <w:rFonts w:ascii="仿宋_GB2312" w:eastAsia="仿宋_GB2312"/>
          <w:sz w:val="32"/>
          <w:szCs w:val="32"/>
        </w:rPr>
      </w:pPr>
      <w:r>
        <w:rPr>
          <w:rFonts w:ascii="仿宋_GB2312" w:eastAsia="仿宋_GB2312"/>
          <w:color w:val="auto"/>
          <w:sz w:val="32"/>
          <w:szCs w:val="32"/>
        </w:rPr>
        <w:t>2.</w:t>
      </w:r>
      <w:r>
        <w:rPr>
          <w:rFonts w:hint="eastAsia" w:eastAsia="仿宋_GB2312"/>
          <w:sz w:val="32"/>
          <w:szCs w:val="32"/>
        </w:rPr>
        <w:t>一般公共服务支出（类）群众团体事务（款）其他群众团体事务支出（项）：反映除上述项目以外其他用于群众团体事务方面的支出。</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3.</w:t>
      </w:r>
      <w:r>
        <w:rPr>
          <w:rFonts w:hint="eastAsia" w:eastAsia="仿宋_GB2312"/>
          <w:sz w:val="32"/>
          <w:szCs w:val="32"/>
        </w:rPr>
        <w:t>一般公共服务支出（类）群众团体事务（款）行政运行（项）：反映行政单位（包括实行公务员管理的事业单位）的基本支出</w:t>
      </w:r>
      <w:r>
        <w:rPr>
          <w:rFonts w:hint="eastAsia" w:eastAsia="仿宋_GB2312"/>
          <w:sz w:val="32"/>
          <w:szCs w:val="32"/>
          <w:lang w:eastAsia="zh-CN"/>
        </w:rPr>
        <w:t>。</w:t>
      </w:r>
    </w:p>
    <w:p>
      <w:pPr>
        <w:ind w:firstLine="640" w:firstLineChars="200"/>
        <w:rPr>
          <w:rFonts w:ascii="仿宋_GB2312" w:eastAsia="仿宋_GB2312"/>
          <w:sz w:val="32"/>
          <w:szCs w:val="32"/>
        </w:rPr>
      </w:pPr>
      <w:r>
        <w:rPr>
          <w:rFonts w:hint="eastAsia" w:eastAsia="仿宋_GB2312"/>
          <w:sz w:val="32"/>
          <w:szCs w:val="32"/>
          <w:lang w:val="en-US" w:eastAsia="zh-CN"/>
        </w:rPr>
        <w:t>4</w:t>
      </w:r>
      <w:r>
        <w:rPr>
          <w:rFonts w:hint="eastAsia" w:eastAsia="仿宋_GB2312"/>
          <w:sz w:val="32"/>
          <w:szCs w:val="32"/>
        </w:rPr>
        <w:t>.社会保障和就业支出（类）行政事业单位养老支出（款）机关事业单位基本养老保险缴费支出（项）：指机关事业单位实施养老保险制度有单位缴纳的基本养老保险费支出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 w:hAnsi="仿宋" w:eastAsia="仿宋"/>
          <w:sz w:val="32"/>
          <w:szCs w:val="32"/>
        </w:rPr>
        <w:t>卫生健康支出支出（类）行政事业单位医疗支出（款） 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 w:hAnsi="仿宋" w:eastAsia="仿宋"/>
          <w:sz w:val="32"/>
          <w:szCs w:val="32"/>
        </w:rPr>
        <w:t>卫生健康支出支出（类）行政事业单位医疗支出（款）公务员医疗补助：反映财政部门安排的公务员医疗补助经费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 w:hAnsi="仿宋" w:eastAsia="仿宋" w:cs="仿宋"/>
          <w:color w:val="000000"/>
          <w:kern w:val="0"/>
          <w:sz w:val="32"/>
          <w:szCs w:val="32"/>
        </w:rPr>
        <w:t>城乡社区支出(类)国有土地使用权出让收入安排的支出(款)土地开发支出(项):反映新疆生产建设兵团和地方政府用于前期土地开发性支出以及与前期土地开发相关的费用等支出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 w:hAnsi="仿宋" w:eastAsia="仿宋"/>
          <w:sz w:val="32"/>
          <w:szCs w:val="32"/>
        </w:rPr>
        <w:t>住房保障支出（类）住房改革支出（款）住房公积金（项）：指行政事业单位按人力资源和社会保障部、财政部规定的基本工资和津贴补贴以及规定比例为职工缴纳的住房公积金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color w:val="auto"/>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bookmarkStart w:id="71" w:name="_GoBack"/>
      <w:bookmarkEnd w:id="71"/>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7"/>
          <w:rFonts w:ascii="黑体" w:hAnsi="黑体" w:eastAsia="黑体"/>
          <w:b w:val="0"/>
        </w:rPr>
      </w:pPr>
      <w:bookmarkStart w:id="55" w:name="_Toc15377226"/>
      <w:r>
        <w:rPr>
          <w:rFonts w:ascii="宋体"/>
          <w:b/>
          <w:sz w:val="44"/>
          <w:szCs w:val="44"/>
        </w:rPr>
        <w:br w:type="page"/>
      </w:r>
      <w:bookmarkStart w:id="56" w:name="_Toc15396614"/>
      <w:r>
        <w:rPr>
          <w:rFonts w:hint="eastAsia" w:ascii="黑体" w:hAnsi="黑体" w:eastAsia="黑体"/>
          <w:sz w:val="44"/>
          <w:szCs w:val="44"/>
        </w:rPr>
        <w:t>第</w:t>
      </w:r>
      <w:r>
        <w:rPr>
          <w:rStyle w:val="27"/>
          <w:rFonts w:hint="eastAsia" w:ascii="黑体" w:hAnsi="黑体" w:eastAsia="黑体"/>
          <w:b w:val="0"/>
        </w:rPr>
        <w:t>四部分 附件</w:t>
      </w:r>
      <w:bookmarkEnd w:id="56"/>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7" w:name="_Toc15396618"/>
      <w:r>
        <w:rPr>
          <w:rFonts w:hint="eastAsia" w:ascii="宋体" w:hAnsi="宋体" w:cs="宋体"/>
          <w:kern w:val="0"/>
          <w:sz w:val="32"/>
          <w:szCs w:val="32"/>
        </w:rPr>
        <w:t>部门预算项目支出绩效自评表（2022年度）见附件3</w:t>
      </w:r>
    </w:p>
    <w:p>
      <w:pPr>
        <w:spacing w:line="600" w:lineRule="exact"/>
        <w:jc w:val="left"/>
        <w:outlineLvl w:val="0"/>
        <w:rPr>
          <w:rFonts w:ascii="仿宋_GB2312" w:hAnsi="Calibri" w:eastAsia="仿宋_GB2312" w:cs="仿宋"/>
          <w:kern w:val="0"/>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pStyle w:val="3"/>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5"/>
      <w:bookmarkEnd w:id="57"/>
      <w:bookmarkStart w:id="58" w:name="_Toc15396619"/>
    </w:p>
    <w:p>
      <w:pPr>
        <w:pStyle w:val="7"/>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8"/>
    </w:p>
    <w:p>
      <w:pPr>
        <w:pStyle w:val="7"/>
        <w:rPr>
          <w:rFonts w:ascii="仿宋" w:hAnsi="仿宋" w:eastAsia="仿宋"/>
        </w:rPr>
      </w:pPr>
      <w:bookmarkStart w:id="59" w:name="_Toc15396620"/>
      <w:r>
        <w:rPr>
          <w:rFonts w:hint="eastAsia" w:ascii="仿宋" w:hAnsi="仿宋" w:eastAsia="仿宋"/>
          <w:b w:val="0"/>
        </w:rPr>
        <w:t>二、收</w:t>
      </w:r>
      <w:r>
        <w:rPr>
          <w:rStyle w:val="28"/>
          <w:rFonts w:hint="eastAsia" w:ascii="仿宋" w:hAnsi="仿宋" w:eastAsia="仿宋"/>
          <w:b w:val="0"/>
          <w:bCs w:val="0"/>
        </w:rPr>
        <w:t>入决算表</w:t>
      </w:r>
      <w:bookmarkEnd w:id="59"/>
    </w:p>
    <w:p>
      <w:pPr>
        <w:pStyle w:val="7"/>
        <w:rPr>
          <w:rFonts w:ascii="仿宋" w:hAnsi="仿宋" w:eastAsia="仿宋"/>
        </w:rPr>
      </w:pPr>
      <w:bookmarkStart w:id="60"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60"/>
    </w:p>
    <w:p>
      <w:pPr>
        <w:pStyle w:val="7"/>
        <w:rPr>
          <w:rFonts w:ascii="仿宋" w:hAnsi="仿宋" w:eastAsia="仿宋"/>
          <w:b w:val="0"/>
        </w:rPr>
      </w:pPr>
      <w:bookmarkStart w:id="61"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61"/>
    </w:p>
    <w:p>
      <w:pPr>
        <w:pStyle w:val="7"/>
        <w:rPr>
          <w:rStyle w:val="28"/>
          <w:rFonts w:ascii="仿宋" w:hAnsi="仿宋" w:eastAsia="仿宋"/>
          <w:b w:val="0"/>
          <w:bCs w:val="0"/>
        </w:rPr>
      </w:pPr>
      <w:bookmarkStart w:id="62"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62"/>
      <w:bookmarkStart w:id="63" w:name="_Toc15396624"/>
    </w:p>
    <w:p>
      <w:pPr>
        <w:pStyle w:val="7"/>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3"/>
    </w:p>
    <w:p>
      <w:pPr>
        <w:pStyle w:val="7"/>
        <w:rPr>
          <w:rFonts w:ascii="仿宋" w:hAnsi="仿宋" w:eastAsia="仿宋"/>
        </w:rPr>
      </w:pPr>
      <w:bookmarkStart w:id="64"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4"/>
    </w:p>
    <w:p>
      <w:pPr>
        <w:pStyle w:val="7"/>
        <w:rPr>
          <w:rFonts w:ascii="仿宋" w:hAnsi="仿宋" w:eastAsia="仿宋"/>
        </w:rPr>
      </w:pPr>
      <w:bookmarkStart w:id="65"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5"/>
    </w:p>
    <w:p>
      <w:pPr>
        <w:pStyle w:val="7"/>
        <w:rPr>
          <w:rFonts w:ascii="仿宋" w:hAnsi="仿宋" w:eastAsia="仿宋"/>
        </w:rPr>
      </w:pPr>
      <w:bookmarkStart w:id="66"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6"/>
    </w:p>
    <w:p>
      <w:pPr>
        <w:pStyle w:val="7"/>
        <w:rPr>
          <w:rFonts w:ascii="仿宋" w:hAnsi="仿宋" w:eastAsia="仿宋"/>
        </w:rPr>
      </w:pPr>
      <w:bookmarkStart w:id="67" w:name="_Toc15396628"/>
      <w:r>
        <w:rPr>
          <w:rStyle w:val="28"/>
          <w:rFonts w:hint="eastAsia" w:ascii="仿宋" w:hAnsi="仿宋" w:eastAsia="仿宋"/>
          <w:b w:val="0"/>
          <w:bCs w:val="0"/>
        </w:rPr>
        <w:t>十、</w:t>
      </w:r>
      <w:bookmarkEnd w:id="67"/>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7"/>
        <w:rPr>
          <w:rFonts w:ascii="仿宋" w:hAnsi="仿宋" w:eastAsia="仿宋"/>
        </w:rPr>
      </w:pPr>
      <w:bookmarkStart w:id="68" w:name="_Toc15396629"/>
      <w:r>
        <w:rPr>
          <w:rStyle w:val="28"/>
          <w:rFonts w:hint="eastAsia" w:ascii="仿宋" w:hAnsi="仿宋" w:eastAsia="仿宋"/>
          <w:b w:val="0"/>
          <w:bCs w:val="0"/>
        </w:rPr>
        <w:t>十一、</w:t>
      </w:r>
      <w:bookmarkEnd w:id="68"/>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7"/>
        <w:rPr>
          <w:rFonts w:ascii="仿宋" w:hAnsi="仿宋" w:eastAsia="仿宋"/>
        </w:rPr>
      </w:pPr>
      <w:bookmarkStart w:id="69" w:name="_Toc15396630"/>
      <w:r>
        <w:rPr>
          <w:rStyle w:val="28"/>
          <w:rFonts w:hint="eastAsia" w:ascii="仿宋" w:hAnsi="仿宋" w:eastAsia="仿宋"/>
          <w:b w:val="0"/>
          <w:bCs w:val="0"/>
        </w:rPr>
        <w:t>十二、</w:t>
      </w:r>
      <w:bookmarkEnd w:id="69"/>
      <w:r>
        <w:rPr>
          <w:rStyle w:val="28"/>
          <w:rFonts w:hint="eastAsia" w:ascii="仿宋" w:hAnsi="仿宋" w:eastAsia="仿宋"/>
          <w:b w:val="0"/>
          <w:bCs w:val="0"/>
        </w:rPr>
        <w:t>国有资本经营预算财政拨款支出决算表</w:t>
      </w:r>
    </w:p>
    <w:p>
      <w:pPr>
        <w:pStyle w:val="7"/>
        <w:rPr>
          <w:rFonts w:eastAsia="仿宋"/>
        </w:rPr>
      </w:pPr>
      <w:bookmarkStart w:id="70" w:name="_Toc15396631"/>
      <w:r>
        <w:rPr>
          <w:rStyle w:val="28"/>
          <w:rFonts w:hint="eastAsia" w:ascii="仿宋" w:hAnsi="仿宋" w:eastAsia="仿宋"/>
          <w:b w:val="0"/>
          <w:bCs w:val="0"/>
        </w:rPr>
        <w:t>十三、</w:t>
      </w:r>
      <w:bookmarkEnd w:id="70"/>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FjYjIzMjc3NzgwMDBhMDQ5MWE4NDg4YzVlOGNmM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274A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1263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679E"/>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5D112B4"/>
    <w:rsid w:val="0A2032A3"/>
    <w:rsid w:val="0A901034"/>
    <w:rsid w:val="0AED5611"/>
    <w:rsid w:val="0B8A37D8"/>
    <w:rsid w:val="10C055FF"/>
    <w:rsid w:val="118107EC"/>
    <w:rsid w:val="11DD6519"/>
    <w:rsid w:val="16BB723D"/>
    <w:rsid w:val="18015F3F"/>
    <w:rsid w:val="1A9A225A"/>
    <w:rsid w:val="1BE8440E"/>
    <w:rsid w:val="1D155CEE"/>
    <w:rsid w:val="20F57F95"/>
    <w:rsid w:val="240371BF"/>
    <w:rsid w:val="25711CC6"/>
    <w:rsid w:val="25C741E6"/>
    <w:rsid w:val="27842671"/>
    <w:rsid w:val="29FD04D3"/>
    <w:rsid w:val="2ABE7A3E"/>
    <w:rsid w:val="2CA234A8"/>
    <w:rsid w:val="2EFA178C"/>
    <w:rsid w:val="30B46D73"/>
    <w:rsid w:val="313E7364"/>
    <w:rsid w:val="319F7F4E"/>
    <w:rsid w:val="346F03FE"/>
    <w:rsid w:val="383D272C"/>
    <w:rsid w:val="39AE70AB"/>
    <w:rsid w:val="3B207BF5"/>
    <w:rsid w:val="3C0C0783"/>
    <w:rsid w:val="3F9F3A96"/>
    <w:rsid w:val="42C87BE5"/>
    <w:rsid w:val="48BF60AB"/>
    <w:rsid w:val="493C27E9"/>
    <w:rsid w:val="496F39ED"/>
    <w:rsid w:val="49FF41D3"/>
    <w:rsid w:val="4BE068DB"/>
    <w:rsid w:val="4BF6002B"/>
    <w:rsid w:val="4ECE2238"/>
    <w:rsid w:val="51DB4B86"/>
    <w:rsid w:val="55333C3E"/>
    <w:rsid w:val="5898795D"/>
    <w:rsid w:val="64CA39A1"/>
    <w:rsid w:val="6593212C"/>
    <w:rsid w:val="69630AD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Calibri" w:hAnsi="Calibri" w:eastAsia="宋体"/>
      <w:sz w:val="21"/>
    </w:rPr>
  </w:style>
  <w:style w:type="paragraph" w:styleId="3">
    <w:name w:val="Body Text"/>
    <w:basedOn w:val="1"/>
    <w:link w:val="24"/>
    <w:qFormat/>
    <w:uiPriority w:val="99"/>
    <w:pPr>
      <w:spacing w:beforeLines="30"/>
    </w:pPr>
    <w:rPr>
      <w:rFonts w:ascii="仿宋_GB2312" w:eastAsia="仿宋_GB2312"/>
      <w:kern w:val="0"/>
      <w:sz w:val="30"/>
    </w:rPr>
  </w:style>
  <w:style w:type="paragraph" w:styleId="4">
    <w:name w:val="Body Text First Indent 2"/>
    <w:basedOn w:val="5"/>
    <w:unhideWhenUsed/>
    <w:qFormat/>
    <w:uiPriority w:val="99"/>
    <w:pPr>
      <w:ind w:firstLine="420"/>
    </w:pPr>
  </w:style>
  <w:style w:type="paragraph" w:styleId="5">
    <w:name w:val="Body Text Indent"/>
    <w:basedOn w:val="1"/>
    <w:unhideWhenUsed/>
    <w:qFormat/>
    <w:uiPriority w:val="99"/>
    <w:pPr>
      <w:adjustRightInd w:val="0"/>
      <w:snapToGrid w:val="0"/>
      <w:spacing w:line="400" w:lineRule="exact"/>
      <w:ind w:firstLine="480" w:firstLineChars="200"/>
    </w:pPr>
    <w:rPr>
      <w:rFonts w:ascii="宋体" w:hAnsi="宋体" w:cs="宋体"/>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3"/>
    <w:autoRedefine/>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6"/>
    <w:link w:val="6"/>
    <w:qFormat/>
    <w:uiPriority w:val="9"/>
    <w:rPr>
      <w:rFonts w:ascii="Times New Roman" w:hAnsi="Times New Roman"/>
      <w:b/>
      <w:bCs/>
      <w:kern w:val="44"/>
      <w:sz w:val="44"/>
      <w:szCs w:val="44"/>
    </w:rPr>
  </w:style>
  <w:style w:type="character" w:customStyle="1" w:styleId="28">
    <w:name w:val="标题 2 Char"/>
    <w:basedOn w:val="16"/>
    <w:link w:val="7"/>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10"/>
    <w:semiHidden/>
    <w:qFormat/>
    <w:uiPriority w:val="99"/>
    <w:rPr>
      <w:rFonts w:ascii="Times New Roman" w:hAnsi="Times New Roman"/>
      <w:kern w:val="2"/>
      <w:sz w:val="18"/>
      <w:szCs w:val="18"/>
    </w:rPr>
  </w:style>
  <w:style w:type="character" w:customStyle="1" w:styleId="31">
    <w:name w:val="标题 3 Char"/>
    <w:basedOn w:val="16"/>
    <w:link w:val="8"/>
    <w:autoRedefine/>
    <w:qFormat/>
    <w:uiPriority w:val="9"/>
    <w:rPr>
      <w:rFonts w:ascii="Times New Roman" w:hAnsi="Times New Roman"/>
      <w:b/>
      <w:bCs/>
      <w:kern w:val="2"/>
      <w:sz w:val="32"/>
      <w:szCs w:val="32"/>
    </w:rPr>
  </w:style>
  <w:style w:type="paragraph" w:customStyle="1" w:styleId="32">
    <w:name w:val="TOC 标题2"/>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fontstyle01"/>
    <w:qFormat/>
    <w:uiPriority w:val="0"/>
    <w:rPr>
      <w:rFonts w:hint="eastAsia" w:ascii="方正小标宋_GBK" w:eastAsia="方正小标宋_GBK"/>
      <w:color w:val="000000"/>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18</Pages>
  <Words>1041</Words>
  <Characters>5937</Characters>
  <Lines>49</Lines>
  <Paragraphs>13</Paragraphs>
  <TotalTime>7</TotalTime>
  <ScaleCrop>false</ScaleCrop>
  <LinksUpToDate>false</LinksUpToDate>
  <CharactersWithSpaces>6965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从头再来</cp:lastModifiedBy>
  <cp:lastPrinted>2023-07-31T02:35:00Z</cp:lastPrinted>
  <dcterms:modified xsi:type="dcterms:W3CDTF">2024-05-31T02:59:13Z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46250A3C7F81477E9398D00FE0508E05_12</vt:lpwstr>
  </property>
</Properties>
</file>