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rPr>
      </w:pPr>
      <w:bookmarkStart w:id="3" w:name="_GoBack"/>
      <w:bookmarkEnd w:id="3"/>
      <w:r>
        <w:rPr>
          <w:rFonts w:eastAsia="黑体"/>
        </w:rPr>
        <w:t>附件3</w:t>
      </w:r>
    </w:p>
    <w:p>
      <w:pPr>
        <w:tabs>
          <w:tab w:val="left" w:pos="1440"/>
        </w:tabs>
        <w:spacing w:line="560" w:lineRule="exact"/>
        <w:rPr>
          <w:rFonts w:eastAsia="宋体"/>
          <w:sz w:val="30"/>
          <w:szCs w:val="30"/>
        </w:rPr>
      </w:pPr>
    </w:p>
    <w:p>
      <w:pPr>
        <w:pStyle w:val="9"/>
        <w:spacing w:line="560" w:lineRule="exact"/>
        <w:jc w:val="center"/>
        <w:rPr>
          <w:rFonts w:ascii="Times New Roman" w:hAnsi="Times New Roman" w:eastAsia="方正小标宋简体"/>
          <w:sz w:val="44"/>
          <w:szCs w:val="44"/>
        </w:rPr>
      </w:pPr>
      <w:bookmarkStart w:id="0" w:name="_Hlk167460802"/>
      <w:r>
        <w:rPr>
          <w:rFonts w:ascii="Times New Roman" w:hAnsi="Times New Roman" w:eastAsia="方正小标宋简体"/>
          <w:sz w:val="44"/>
          <w:szCs w:val="44"/>
        </w:rPr>
        <w:t>项目支出绩效自评报告</w:t>
      </w:r>
    </w:p>
    <w:p>
      <w:pPr>
        <w:pStyle w:val="9"/>
        <w:spacing w:line="560" w:lineRule="exact"/>
        <w:ind w:firstLine="640"/>
        <w:jc w:val="center"/>
        <w:rPr>
          <w:rFonts w:ascii="Times New Roman" w:hAnsi="Times New Roman"/>
          <w:color w:val="auto"/>
          <w:kern w:val="2"/>
          <w:sz w:val="32"/>
          <w:szCs w:val="32"/>
        </w:rPr>
      </w:pPr>
      <w:r>
        <w:rPr>
          <w:rFonts w:ascii="Times New Roman" w:hAnsi="Times New Roman"/>
          <w:color w:val="auto"/>
          <w:kern w:val="2"/>
          <w:sz w:val="32"/>
          <w:szCs w:val="32"/>
        </w:rPr>
        <w:t>（基本公共卫生服务）</w:t>
      </w:r>
    </w:p>
    <w:bookmarkEnd w:id="0"/>
    <w:p>
      <w:pPr>
        <w:pStyle w:val="9"/>
        <w:spacing w:line="560" w:lineRule="exact"/>
        <w:ind w:firstLine="640"/>
        <w:jc w:val="center"/>
        <w:rPr>
          <w:rFonts w:ascii="Times New Roman" w:hAnsi="Times New Roman"/>
          <w:color w:val="auto"/>
          <w:kern w:val="2"/>
          <w:sz w:val="32"/>
          <w:szCs w:val="32"/>
        </w:rPr>
      </w:pPr>
    </w:p>
    <w:p>
      <w:pPr>
        <w:adjustRightInd w:val="0"/>
        <w:snapToGrid w:val="0"/>
        <w:spacing w:line="353" w:lineRule="auto"/>
        <w:ind w:firstLine="640" w:firstLineChars="200"/>
        <w:rPr>
          <w:rFonts w:eastAsia="黑体"/>
          <w:lang w:val="zh-CN"/>
        </w:rPr>
      </w:pPr>
      <w:r>
        <w:rPr>
          <w:rFonts w:eastAsia="黑体"/>
        </w:rPr>
        <w:t>一、</w:t>
      </w:r>
      <w:r>
        <w:rPr>
          <w:rFonts w:eastAsia="黑体"/>
          <w:lang w:val="zh-CN"/>
        </w:rPr>
        <w:t>项目概况</w:t>
      </w:r>
    </w:p>
    <w:p>
      <w:pPr>
        <w:adjustRightInd w:val="0"/>
        <w:snapToGrid w:val="0"/>
        <w:spacing w:line="353" w:lineRule="auto"/>
        <w:ind w:firstLine="643" w:firstLineChars="200"/>
        <w:rPr>
          <w:rFonts w:eastAsia="楷体_GB2312"/>
          <w:b/>
          <w:lang w:val="zh-CN"/>
        </w:rPr>
      </w:pPr>
      <w:r>
        <w:rPr>
          <w:rFonts w:eastAsia="楷体_GB2312"/>
          <w:b/>
          <w:lang w:val="zh-CN"/>
        </w:rPr>
        <w:t>（一）项目资金申报及批复情况。</w:t>
      </w:r>
    </w:p>
    <w:p>
      <w:pPr>
        <w:adjustRightInd w:val="0"/>
        <w:snapToGrid w:val="0"/>
        <w:spacing w:line="353" w:lineRule="auto"/>
        <w:ind w:firstLine="640" w:firstLineChars="200"/>
        <w:rPr>
          <w:lang w:val="zh-CN"/>
        </w:rPr>
      </w:pPr>
      <w:r>
        <w:t>2023共收到基本公共卫生服务项目资金1045.57万元，其中：中央资金830.6万元、省级资金67.6万元、市级资金73.37万元、区级资金74万元。</w:t>
      </w:r>
      <w:r>
        <w:rPr>
          <w:lang w:val="zh-CN"/>
        </w:rPr>
        <w:t>符合资金管理办法等相关规定。</w:t>
      </w:r>
    </w:p>
    <w:p>
      <w:pPr>
        <w:numPr>
          <w:ilvl w:val="0"/>
          <w:numId w:val="1"/>
        </w:numPr>
        <w:adjustRightInd w:val="0"/>
        <w:snapToGrid w:val="0"/>
        <w:spacing w:line="353" w:lineRule="auto"/>
        <w:ind w:firstLine="643" w:firstLineChars="200"/>
        <w:rPr>
          <w:rFonts w:eastAsia="楷体_GB2312"/>
          <w:b/>
          <w:lang w:val="zh-CN"/>
        </w:rPr>
      </w:pPr>
      <w:r>
        <w:rPr>
          <w:rFonts w:eastAsia="楷体_GB2312"/>
          <w:b/>
          <w:lang w:val="zh-CN"/>
        </w:rPr>
        <w:t>项目绩效目标。</w:t>
      </w:r>
    </w:p>
    <w:p>
      <w:pPr>
        <w:snapToGrid w:val="0"/>
        <w:spacing w:line="353" w:lineRule="auto"/>
        <w:ind w:firstLine="640" w:firstLineChars="200"/>
      </w:pPr>
      <w:r>
        <w:t>2023年国家基本公共卫生服务项目工作均有序开展，坚持“数量质量并重、服务质量优先”，圆满完成各项目的目标任务。</w:t>
      </w:r>
    </w:p>
    <w:p>
      <w:pPr>
        <w:numPr>
          <w:ilvl w:val="0"/>
          <w:numId w:val="1"/>
        </w:numPr>
        <w:adjustRightInd w:val="0"/>
        <w:snapToGrid w:val="0"/>
        <w:spacing w:line="353" w:lineRule="auto"/>
        <w:ind w:firstLine="643" w:firstLineChars="200"/>
        <w:rPr>
          <w:rFonts w:eastAsia="楷体_GB2312"/>
          <w:b/>
          <w:lang w:val="zh-CN"/>
        </w:rPr>
      </w:pPr>
      <w:r>
        <w:rPr>
          <w:rFonts w:eastAsia="楷体_GB2312"/>
          <w:b/>
          <w:lang w:val="zh-CN"/>
        </w:rPr>
        <w:t>项目资金申报相符性。</w:t>
      </w:r>
    </w:p>
    <w:p>
      <w:pPr>
        <w:adjustRightInd w:val="0"/>
        <w:snapToGrid w:val="0"/>
        <w:spacing w:line="353" w:lineRule="auto"/>
        <w:ind w:firstLine="640" w:firstLineChars="200"/>
        <w:rPr>
          <w:lang w:val="zh-CN"/>
        </w:rPr>
      </w:pPr>
      <w:r>
        <w:t>国家基本公共卫生服务补助资金</w:t>
      </w:r>
      <w:r>
        <w:rPr>
          <w:lang w:val="zh-CN"/>
        </w:rPr>
        <w:t>项目申报内容与具体实施内容相符，申报目标合理可行。</w:t>
      </w:r>
    </w:p>
    <w:p>
      <w:pPr>
        <w:adjustRightInd w:val="0"/>
        <w:snapToGrid w:val="0"/>
        <w:spacing w:line="353" w:lineRule="auto"/>
        <w:ind w:firstLine="640" w:firstLineChars="200"/>
        <w:rPr>
          <w:rFonts w:eastAsia="黑体"/>
        </w:rPr>
      </w:pPr>
      <w:r>
        <w:rPr>
          <w:rFonts w:eastAsia="黑体"/>
        </w:rPr>
        <w:t>二、项目实施及管理情况</w:t>
      </w:r>
    </w:p>
    <w:p>
      <w:pPr>
        <w:adjustRightInd w:val="0"/>
        <w:snapToGrid w:val="0"/>
        <w:spacing w:line="353" w:lineRule="auto"/>
        <w:ind w:firstLine="643" w:firstLineChars="200"/>
        <w:rPr>
          <w:rFonts w:eastAsia="楷体_GB2312"/>
          <w:b/>
          <w:lang w:val="zh-CN"/>
        </w:rPr>
      </w:pPr>
      <w:r>
        <w:rPr>
          <w:rFonts w:eastAsia="楷体_GB2312"/>
          <w:b/>
          <w:lang w:val="zh-CN"/>
        </w:rPr>
        <w:t>（一）资金计划、到位及使用情况。</w:t>
      </w:r>
    </w:p>
    <w:p>
      <w:pPr>
        <w:adjustRightInd w:val="0"/>
        <w:snapToGrid w:val="0"/>
        <w:spacing w:line="353" w:lineRule="auto"/>
        <w:ind w:firstLine="640" w:firstLineChars="200"/>
      </w:pPr>
      <w:r>
        <w:rPr>
          <w:rFonts w:eastAsia="楷体_GB2312"/>
        </w:rPr>
        <w:t>1.</w:t>
      </w:r>
      <w:r>
        <w:rPr>
          <w:rFonts w:eastAsia="楷体_GB2312"/>
          <w:lang w:val="zh-CN"/>
        </w:rPr>
        <w:t>资金计划及到位。</w:t>
      </w:r>
      <w:r>
        <w:t>已到位资金1045.57万元，其中中央资金830.6万元，省级67.6万元，市级73.37万元，区级74万元。</w:t>
      </w:r>
    </w:p>
    <w:p>
      <w:pPr>
        <w:adjustRightInd w:val="0"/>
        <w:snapToGrid w:val="0"/>
        <w:spacing w:line="353" w:lineRule="auto"/>
        <w:ind w:firstLine="640" w:firstLineChars="200"/>
      </w:pPr>
      <w:r>
        <w:rPr>
          <w:rFonts w:eastAsia="楷体_GB2312"/>
        </w:rPr>
        <w:t>2.</w:t>
      </w:r>
      <w:r>
        <w:rPr>
          <w:rFonts w:eastAsia="楷体_GB2312"/>
          <w:lang w:val="zh-CN"/>
        </w:rPr>
        <w:t>资金使用。</w:t>
      </w:r>
      <w:r>
        <w:rPr>
          <w:lang w:val="zh-CN"/>
        </w:rPr>
        <w:t>202</w:t>
      </w:r>
      <w:r>
        <w:t>3</w:t>
      </w:r>
      <w:r>
        <w:rPr>
          <w:lang w:val="zh-CN"/>
        </w:rPr>
        <w:t>年项目资金实际支出</w:t>
      </w:r>
      <w:r>
        <w:t>1044.94万元</w:t>
      </w:r>
      <w:r>
        <w:rPr>
          <w:lang w:val="zh-CN"/>
        </w:rPr>
        <w:t>，支付进度</w:t>
      </w:r>
      <w:r>
        <w:t>99.94%，主要原因是2023年区级预算资金为74万元，按照有关要求，2023年县区最低配套为73.37万元，因此只需</w:t>
      </w:r>
      <w:r>
        <w:rPr>
          <w:lang w:val="zh-CN"/>
        </w:rPr>
        <w:t>支付区级资金73.37万元。依据合规合法，资金支付与预算相符。</w:t>
      </w:r>
    </w:p>
    <w:p>
      <w:pPr>
        <w:adjustRightInd w:val="0"/>
        <w:snapToGrid w:val="0"/>
        <w:spacing w:line="353" w:lineRule="auto"/>
        <w:ind w:firstLine="643" w:firstLineChars="200"/>
        <w:rPr>
          <w:rFonts w:eastAsia="楷体_GB2312"/>
          <w:b/>
          <w:lang w:val="zh-CN"/>
        </w:rPr>
      </w:pPr>
      <w:r>
        <w:rPr>
          <w:rFonts w:eastAsia="楷体_GB2312"/>
          <w:b/>
          <w:lang w:val="zh-CN"/>
        </w:rPr>
        <w:t>（二）项目财务管理情况。</w:t>
      </w:r>
    </w:p>
    <w:p>
      <w:pPr>
        <w:adjustRightInd w:val="0"/>
        <w:snapToGrid w:val="0"/>
        <w:spacing w:line="353" w:lineRule="auto"/>
        <w:ind w:firstLine="640" w:firstLineChars="200"/>
        <w:rPr>
          <w:lang w:val="zh-CN"/>
        </w:rPr>
      </w:pPr>
      <w:r>
        <w:rPr>
          <w:lang w:val="zh-CN"/>
        </w:rPr>
        <w:t>加强项目财务管理制度建设、会计核算及账务处理，按照项目资金管理办法，严格执行财务管理制度，财务处理及时，会计核算规范。</w:t>
      </w:r>
    </w:p>
    <w:p>
      <w:pPr>
        <w:adjustRightInd w:val="0"/>
        <w:snapToGrid w:val="0"/>
        <w:spacing w:line="353" w:lineRule="auto"/>
        <w:ind w:firstLine="643" w:firstLineChars="200"/>
        <w:rPr>
          <w:rFonts w:eastAsia="楷体_GB2312"/>
          <w:b/>
          <w:lang w:val="zh-CN"/>
        </w:rPr>
      </w:pPr>
      <w:r>
        <w:rPr>
          <w:rFonts w:eastAsia="楷体_GB2312"/>
          <w:b/>
          <w:lang w:val="zh-CN"/>
        </w:rPr>
        <w:t>（</w:t>
      </w:r>
      <w:r>
        <w:rPr>
          <w:rFonts w:eastAsia="楷体_GB2312"/>
          <w:b/>
        </w:rPr>
        <w:t>三</w:t>
      </w:r>
      <w:r>
        <w:rPr>
          <w:rFonts w:eastAsia="楷体_GB2312"/>
          <w:b/>
          <w:lang w:val="zh-CN"/>
        </w:rPr>
        <w:t>）项目组织实施情况。</w:t>
      </w:r>
    </w:p>
    <w:p>
      <w:pPr>
        <w:adjustRightInd w:val="0"/>
        <w:snapToGrid w:val="0"/>
        <w:spacing w:line="353" w:lineRule="auto"/>
        <w:ind w:firstLine="640" w:firstLineChars="200"/>
        <w:rPr>
          <w:lang w:val="zh-CN"/>
        </w:rPr>
      </w:pPr>
      <w:r>
        <w:t>2023年</w:t>
      </w:r>
      <w:r>
        <w:rPr>
          <w:lang w:val="zh-CN"/>
        </w:rPr>
        <w:t>，西区常住人口数1</w:t>
      </w:r>
      <w:r>
        <w:t>2.92</w:t>
      </w:r>
      <w:r>
        <w:rPr>
          <w:lang w:val="zh-CN"/>
        </w:rPr>
        <w:t>万人，基层医疗卫生机构累计为</w:t>
      </w:r>
      <w:r>
        <w:t>12.8</w:t>
      </w:r>
      <w:r>
        <w:rPr>
          <w:lang w:val="zh-CN"/>
        </w:rPr>
        <w:t>万人提供了基本公共卫生服务。实际到位原基本公共卫生服务项目资金总额</w:t>
      </w:r>
      <w:r>
        <w:t>1039.94</w:t>
      </w:r>
      <w:r>
        <w:rPr>
          <w:lang w:val="zh-CN"/>
        </w:rPr>
        <w:t>万元，人均经费达到</w:t>
      </w:r>
      <w:r>
        <w:t>80.5</w:t>
      </w:r>
      <w:r>
        <w:rPr>
          <w:lang w:val="zh-CN"/>
        </w:rPr>
        <w:t>元；实际到位平移基本公共卫生服务项目5万元，主要用于格里坪镇尘肺站尘肺病人康复运行。格里坪镇卫生院拨付村卫生室</w:t>
      </w:r>
      <w:r>
        <w:t>7.758</w:t>
      </w:r>
      <w:r>
        <w:rPr>
          <w:lang w:val="zh-CN"/>
        </w:rPr>
        <w:t>万</w:t>
      </w:r>
      <w:r>
        <w:t>元</w:t>
      </w:r>
      <w:r>
        <w:rPr>
          <w:lang w:val="zh-CN"/>
        </w:rPr>
        <w:t>，村级金额占乡村两级总经费的比例达到</w:t>
      </w:r>
      <w:r>
        <w:t>45.64</w:t>
      </w:r>
      <w:r>
        <w:rPr>
          <w:lang w:val="zh-CN"/>
        </w:rPr>
        <w:t>%。</w:t>
      </w:r>
    </w:p>
    <w:p>
      <w:pPr>
        <w:adjustRightInd w:val="0"/>
        <w:snapToGrid w:val="0"/>
        <w:spacing w:line="353" w:lineRule="auto"/>
        <w:ind w:firstLine="640" w:firstLineChars="200"/>
        <w:rPr>
          <w:lang w:val="zh-CN"/>
        </w:rPr>
      </w:pPr>
      <w:r>
        <w:rPr>
          <w:rFonts w:eastAsia="黑体"/>
        </w:rPr>
        <w:t>三、项目绩效情况</w:t>
      </w:r>
      <w:r>
        <w:rPr>
          <w:lang w:val="zh-CN"/>
        </w:rPr>
        <w:tab/>
      </w:r>
    </w:p>
    <w:p>
      <w:pPr>
        <w:adjustRightInd w:val="0"/>
        <w:snapToGrid w:val="0"/>
        <w:spacing w:line="353" w:lineRule="auto"/>
        <w:ind w:firstLine="643" w:firstLineChars="200"/>
        <w:rPr>
          <w:rFonts w:eastAsia="楷体_GB2312"/>
          <w:b/>
          <w:lang w:val="zh-CN"/>
        </w:rPr>
      </w:pPr>
      <w:r>
        <w:rPr>
          <w:rFonts w:eastAsia="楷体_GB2312"/>
          <w:b/>
          <w:lang w:val="zh-CN"/>
        </w:rPr>
        <w:t>（一）项目完成情况。</w:t>
      </w:r>
    </w:p>
    <w:p>
      <w:pPr>
        <w:adjustRightInd w:val="0"/>
        <w:snapToGrid w:val="0"/>
        <w:spacing w:line="353" w:lineRule="auto"/>
        <w:ind w:firstLine="640" w:firstLineChars="200"/>
        <w:rPr>
          <w:lang w:val="zh-CN"/>
        </w:rPr>
      </w:pPr>
      <w:r>
        <w:rPr>
          <w:lang w:val="zh-CN"/>
        </w:rPr>
        <w:t>建立电子健康档案</w:t>
      </w:r>
      <w:r>
        <w:t>121025</w:t>
      </w:r>
      <w:r>
        <w:rPr>
          <w:lang w:val="zh-CN"/>
        </w:rPr>
        <w:t>份，电子</w:t>
      </w:r>
      <w:r>
        <w:t>健康档案</w:t>
      </w:r>
      <w:r>
        <w:rPr>
          <w:lang w:val="zh-CN"/>
        </w:rPr>
        <w:t>建档率</w:t>
      </w:r>
      <w:r>
        <w:t>93.67</w:t>
      </w:r>
      <w:r>
        <w:rPr>
          <w:lang w:val="zh-CN"/>
        </w:rPr>
        <w:t>%、</w:t>
      </w:r>
      <w:r>
        <w:t>健康档案</w:t>
      </w:r>
      <w:r>
        <w:rPr>
          <w:lang w:val="zh-CN"/>
        </w:rPr>
        <w:t>使用率</w:t>
      </w:r>
      <w:r>
        <w:t>52.51</w:t>
      </w:r>
      <w:r>
        <w:rPr>
          <w:lang w:val="zh-CN"/>
        </w:rPr>
        <w:t>%，0-6岁儿童健康管理率</w:t>
      </w:r>
      <w:r>
        <w:t>96.94</w:t>
      </w:r>
      <w:r>
        <w:rPr>
          <w:lang w:val="zh-CN"/>
        </w:rPr>
        <w:t>%，早孕建册率</w:t>
      </w:r>
      <w:r>
        <w:t>95.17</w:t>
      </w:r>
      <w:r>
        <w:rPr>
          <w:lang w:val="zh-CN"/>
        </w:rPr>
        <w:t>%，65岁及以上老年人健康管理率</w:t>
      </w:r>
      <w:r>
        <w:t>55.22</w:t>
      </w:r>
      <w:r>
        <w:rPr>
          <w:lang w:val="zh-CN"/>
        </w:rPr>
        <w:t>%，高血压患者</w:t>
      </w:r>
      <w:r>
        <w:t>基层</w:t>
      </w:r>
      <w:r>
        <w:rPr>
          <w:lang w:val="zh-CN"/>
        </w:rPr>
        <w:t>规范管理</w:t>
      </w:r>
      <w:r>
        <w:t>服务</w:t>
      </w:r>
      <w:r>
        <w:rPr>
          <w:lang w:val="zh-CN"/>
        </w:rPr>
        <w:t>率</w:t>
      </w:r>
      <w:r>
        <w:t>72.31</w:t>
      </w:r>
      <w:r>
        <w:rPr>
          <w:lang w:val="zh-CN"/>
        </w:rPr>
        <w:t>%，2型糖尿病患者</w:t>
      </w:r>
      <w:r>
        <w:t>基层</w:t>
      </w:r>
      <w:r>
        <w:rPr>
          <w:lang w:val="zh-CN"/>
        </w:rPr>
        <w:t>规范管理</w:t>
      </w:r>
      <w:r>
        <w:t>服务</w:t>
      </w:r>
      <w:r>
        <w:rPr>
          <w:lang w:val="zh-CN"/>
        </w:rPr>
        <w:t>率</w:t>
      </w:r>
      <w:r>
        <w:t>73.02</w:t>
      </w:r>
      <w:r>
        <w:rPr>
          <w:lang w:val="zh-CN"/>
        </w:rPr>
        <w:t>%，</w:t>
      </w:r>
      <w:r>
        <w:t>社区在册居家</w:t>
      </w:r>
      <w:r>
        <w:rPr>
          <w:lang w:val="zh-CN"/>
        </w:rPr>
        <w:t>严重精神障碍患者</w:t>
      </w:r>
      <w:r>
        <w:t>健康</w:t>
      </w:r>
      <w:r>
        <w:rPr>
          <w:lang w:val="zh-CN"/>
        </w:rPr>
        <w:t>管理率</w:t>
      </w:r>
      <w:r>
        <w:t>87.34</w:t>
      </w:r>
      <w:r>
        <w:rPr>
          <w:lang w:val="zh-CN"/>
        </w:rPr>
        <w:t>%。重点人群签约服务覆盖率</w:t>
      </w:r>
      <w:r>
        <w:t>84.00</w:t>
      </w:r>
      <w:r>
        <w:rPr>
          <w:lang w:val="zh-CN"/>
        </w:rPr>
        <w:t>%，一般人群签约服务覆盖率</w:t>
      </w:r>
      <w:r>
        <w:t>50.00</w:t>
      </w:r>
      <w:r>
        <w:rPr>
          <w:lang w:val="zh-CN"/>
        </w:rPr>
        <w:t>%。在老年人、慢病患者、0-6岁儿童、孕产妇等重点人群中开展的基本公共卫生服务满意度测评，电话访谈满意度达100%。</w:t>
      </w:r>
    </w:p>
    <w:p>
      <w:pPr>
        <w:adjustRightInd w:val="0"/>
        <w:snapToGrid w:val="0"/>
        <w:spacing w:line="353" w:lineRule="auto"/>
        <w:ind w:firstLine="643" w:firstLineChars="200"/>
        <w:rPr>
          <w:rFonts w:eastAsia="楷体_GB2312"/>
          <w:b/>
          <w:lang w:val="zh-CN"/>
        </w:rPr>
      </w:pPr>
      <w:r>
        <w:rPr>
          <w:rFonts w:eastAsia="楷体_GB2312"/>
          <w:b/>
          <w:lang w:val="zh-CN"/>
        </w:rPr>
        <w:t>（二）项目效益情况。</w:t>
      </w:r>
    </w:p>
    <w:p>
      <w:pPr>
        <w:adjustRightInd w:val="0"/>
        <w:snapToGrid w:val="0"/>
        <w:spacing w:line="353" w:lineRule="auto"/>
        <w:ind w:firstLine="640" w:firstLineChars="200"/>
      </w:pPr>
      <w:r>
        <w:t>2023年度国家基本公共卫生服务项目稳步推进。国家扩大免疫规划疫苗全年接种率90%以上，通过对辖区居民健康问题进行干预，减少主要健康危险因素，预防和控制传染病及慢性病的蔓延，传染病发病率控制在较低水平。老年人、慢性病患者、儿童、孕产妇、严重精神障碍患者、家庭医生签约服务的重点人群，得到了基本公共卫生服务免费体检与随访服务，居民逐步享有均等化的基本公共卫生服务。辖区居民对健康知识及健康行为的获得感大大增强，同时对基本公共卫生服务项目知晓率、满意度均达90%以上。</w:t>
      </w:r>
    </w:p>
    <w:p>
      <w:pPr>
        <w:adjustRightInd w:val="0"/>
        <w:snapToGrid w:val="0"/>
        <w:spacing w:line="353" w:lineRule="auto"/>
        <w:ind w:firstLine="640" w:firstLineChars="200"/>
        <w:rPr>
          <w:rFonts w:eastAsia="黑体"/>
        </w:rPr>
      </w:pPr>
      <w:r>
        <w:rPr>
          <w:rFonts w:eastAsia="黑体"/>
        </w:rPr>
        <w:t>四、问题及建议</w:t>
      </w:r>
    </w:p>
    <w:p>
      <w:pPr>
        <w:adjustRightInd w:val="0"/>
        <w:snapToGrid w:val="0"/>
        <w:spacing w:line="353" w:lineRule="auto"/>
        <w:ind w:firstLine="643" w:firstLineChars="200"/>
        <w:rPr>
          <w:rFonts w:eastAsia="楷体_GB2312"/>
          <w:b/>
          <w:lang w:val="zh-CN"/>
        </w:rPr>
      </w:pPr>
      <w:r>
        <w:rPr>
          <w:rFonts w:eastAsia="楷体_GB2312"/>
          <w:b/>
          <w:lang w:val="zh-CN"/>
        </w:rPr>
        <w:t>（一）存在的问题。</w:t>
      </w:r>
    </w:p>
    <w:p>
      <w:pPr>
        <w:adjustRightInd w:val="0"/>
        <w:snapToGrid w:val="0"/>
        <w:spacing w:line="353" w:lineRule="auto"/>
        <w:ind w:firstLine="640" w:firstLineChars="200"/>
      </w:pPr>
      <w:r>
        <w:t>1.部分项目的规范性不够，导致个别项目未完成任务指标。在档案建立、儿童、孕产妇健康管理、慢性病随访等方面，个别信息缺乏真实性、逻辑性，档案存在漏项、缺项、涂改、填写不规范现象；普通人群健康档案使用率较低，存在死档现象。</w:t>
      </w:r>
    </w:p>
    <w:p>
      <w:pPr>
        <w:adjustRightInd w:val="0"/>
        <w:snapToGrid w:val="0"/>
        <w:spacing w:line="353" w:lineRule="auto"/>
        <w:ind w:firstLine="640" w:firstLineChars="200"/>
      </w:pPr>
      <w:r>
        <w:t>2.未能与跨区域数据互联互通，信息系统支撑能力不足，各系统之间互联互通不到位，统计查询功能不完善，需要工作人员重复录入，影响工作效率。</w:t>
      </w:r>
    </w:p>
    <w:p>
      <w:pPr>
        <w:adjustRightInd w:val="0"/>
        <w:snapToGrid w:val="0"/>
        <w:spacing w:line="353" w:lineRule="auto"/>
        <w:ind w:firstLine="643" w:firstLineChars="200"/>
        <w:rPr>
          <w:rFonts w:eastAsia="楷体_GB2312"/>
          <w:b/>
          <w:lang w:val="zh-CN"/>
        </w:rPr>
      </w:pPr>
      <w:r>
        <w:rPr>
          <w:rFonts w:eastAsia="楷体_GB2312"/>
          <w:b/>
          <w:lang w:val="zh-CN"/>
        </w:rPr>
        <w:t>（二）相关建议。</w:t>
      </w:r>
    </w:p>
    <w:p>
      <w:pPr>
        <w:autoSpaceDE w:val="0"/>
        <w:autoSpaceDN w:val="0"/>
        <w:spacing w:line="353" w:lineRule="auto"/>
        <w:ind w:firstLine="640" w:firstLineChars="200"/>
      </w:pPr>
      <w:r>
        <w:t>1.重视人才培养，提升能力建设。持续开展《国家基本公共卫生服务规范（第三版）》培训，完善绩效考核制度。按照中心管站的一体化要求，做好对辖区内社区卫生服务站、村卫生室的业务指导，提高整体服务能力和素质。</w:t>
      </w:r>
    </w:p>
    <w:p>
      <w:pPr>
        <w:snapToGrid w:val="0"/>
        <w:spacing w:line="353" w:lineRule="auto"/>
        <w:ind w:firstLine="640" w:firstLineChars="200"/>
      </w:pPr>
      <w:r>
        <w:t>2.整合信息系统，促进信息共享。加快推进卫生信息一体化建设。有效整合基本公共卫生服务项目与计划免疫、妇幼保健、严重精神障碍、肺结核、慢性病等其他信息系统的融合，减轻基层人员工作量。实现互联互通、资源信息共享。最大化提高基本公共卫生服务项目的工作效率。</w:t>
      </w: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pPr>
    </w:p>
    <w:p>
      <w:pPr>
        <w:pStyle w:val="9"/>
        <w:spacing w:line="560" w:lineRule="exact"/>
        <w:jc w:val="center"/>
        <w:rPr>
          <w:rFonts w:ascii="Times New Roman" w:hAnsi="Times New Roman" w:eastAsia="方正小标宋简体"/>
          <w:sz w:val="44"/>
          <w:szCs w:val="44"/>
        </w:rPr>
      </w:pPr>
      <w:bookmarkStart w:id="1" w:name="_Hlk167460934"/>
      <w:r>
        <w:rPr>
          <w:rFonts w:ascii="Times New Roman" w:hAnsi="Times New Roman" w:eastAsia="方正小标宋简体"/>
          <w:sz w:val="44"/>
          <w:szCs w:val="44"/>
        </w:rPr>
        <w:t>项目支出绩效自评报告</w:t>
      </w:r>
    </w:p>
    <w:p>
      <w:pPr>
        <w:pStyle w:val="9"/>
        <w:spacing w:line="560" w:lineRule="exact"/>
        <w:ind w:firstLine="640"/>
        <w:jc w:val="center"/>
        <w:rPr>
          <w:rFonts w:ascii="Times New Roman" w:hAnsi="Times New Roman"/>
          <w:color w:val="auto"/>
          <w:kern w:val="2"/>
          <w:sz w:val="32"/>
          <w:szCs w:val="32"/>
        </w:rPr>
      </w:pPr>
      <w:r>
        <w:rPr>
          <w:rFonts w:ascii="Times New Roman" w:hAnsi="Times New Roman"/>
          <w:color w:val="auto"/>
          <w:kern w:val="2"/>
          <w:sz w:val="32"/>
          <w:szCs w:val="32"/>
        </w:rPr>
        <w:t>（基本药物制度）</w:t>
      </w:r>
    </w:p>
    <w:bookmarkEnd w:id="1"/>
    <w:p>
      <w:pPr>
        <w:pStyle w:val="9"/>
        <w:spacing w:line="560" w:lineRule="exact"/>
        <w:ind w:firstLine="640"/>
        <w:jc w:val="center"/>
        <w:rPr>
          <w:rFonts w:ascii="Times New Roman" w:hAnsi="Times New Roman"/>
          <w:color w:val="auto"/>
          <w:kern w:val="2"/>
          <w:sz w:val="32"/>
          <w:szCs w:val="32"/>
        </w:rPr>
      </w:pPr>
    </w:p>
    <w:p>
      <w:pPr>
        <w:adjustRightInd w:val="0"/>
        <w:snapToGrid w:val="0"/>
        <w:spacing w:line="353" w:lineRule="auto"/>
        <w:ind w:firstLine="640" w:firstLineChars="200"/>
        <w:rPr>
          <w:rFonts w:eastAsia="黑体"/>
          <w:lang w:val="zh-CN"/>
        </w:rPr>
      </w:pPr>
      <w:r>
        <w:rPr>
          <w:rFonts w:eastAsia="黑体"/>
        </w:rPr>
        <w:t>一、</w:t>
      </w:r>
      <w:r>
        <w:rPr>
          <w:rFonts w:eastAsia="黑体"/>
          <w:lang w:val="zh-CN"/>
        </w:rPr>
        <w:t>项目概况</w:t>
      </w:r>
    </w:p>
    <w:p>
      <w:pPr>
        <w:adjustRightInd w:val="0"/>
        <w:snapToGrid w:val="0"/>
        <w:spacing w:line="353" w:lineRule="auto"/>
        <w:ind w:firstLine="643" w:firstLineChars="200"/>
        <w:rPr>
          <w:rFonts w:eastAsia="楷体_GB2312"/>
          <w:b/>
          <w:lang w:val="zh-CN"/>
        </w:rPr>
      </w:pPr>
      <w:r>
        <w:rPr>
          <w:rFonts w:eastAsia="楷体_GB2312"/>
          <w:b/>
          <w:lang w:val="zh-CN"/>
        </w:rPr>
        <w:t>（一）项目资金申报及批复情况。</w:t>
      </w:r>
    </w:p>
    <w:p>
      <w:pPr>
        <w:adjustRightInd w:val="0"/>
        <w:snapToGrid w:val="0"/>
        <w:spacing w:line="353" w:lineRule="auto"/>
        <w:ind w:firstLine="640" w:firstLineChars="200"/>
        <w:rPr>
          <w:lang w:val="zh-CN"/>
        </w:rPr>
      </w:pPr>
      <w:r>
        <w:t>2023年，共收到基本药物制度补助资金179.66万元，其中：中央资金81.75万元、省级资金22.11万元，市级资金25.8万元，区级资金50万元。</w:t>
      </w:r>
      <w:r>
        <w:rPr>
          <w:lang w:val="zh-CN"/>
        </w:rPr>
        <w:t>符合资金管理办法等相关规定。</w:t>
      </w:r>
    </w:p>
    <w:p>
      <w:pPr>
        <w:adjustRightInd w:val="0"/>
        <w:snapToGrid w:val="0"/>
        <w:spacing w:line="353" w:lineRule="auto"/>
        <w:ind w:firstLine="643" w:firstLineChars="200"/>
        <w:rPr>
          <w:rFonts w:eastAsia="楷体_GB2312"/>
          <w:b/>
          <w:lang w:val="zh-CN"/>
        </w:rPr>
      </w:pPr>
      <w:r>
        <w:rPr>
          <w:rFonts w:eastAsia="楷体_GB2312"/>
          <w:b/>
          <w:lang w:val="zh-CN"/>
        </w:rPr>
        <w:t>（二）项目绩效目标。</w:t>
      </w:r>
    </w:p>
    <w:p>
      <w:pPr>
        <w:adjustRightInd w:val="0"/>
        <w:snapToGrid w:val="0"/>
        <w:spacing w:line="353" w:lineRule="auto"/>
        <w:ind w:firstLine="640" w:firstLineChars="200"/>
      </w:pPr>
      <w:r>
        <w:t>1.基层医疗卫生机构按要求实施基本药物制度。</w:t>
      </w:r>
    </w:p>
    <w:p>
      <w:pPr>
        <w:adjustRightInd w:val="0"/>
        <w:snapToGrid w:val="0"/>
        <w:spacing w:line="353" w:lineRule="auto"/>
        <w:ind w:firstLine="640" w:firstLineChars="200"/>
      </w:pPr>
      <w:r>
        <w:t>2.基本药物制度在村卫生室顺利实施。</w:t>
      </w:r>
    </w:p>
    <w:p>
      <w:pPr>
        <w:adjustRightInd w:val="0"/>
        <w:snapToGrid w:val="0"/>
        <w:spacing w:line="353" w:lineRule="auto"/>
        <w:ind w:firstLine="640" w:firstLineChars="200"/>
      </w:pPr>
      <w:r>
        <w:t>3.基层医疗卫生机构服务质量进一步提高。</w:t>
      </w:r>
    </w:p>
    <w:p>
      <w:pPr>
        <w:adjustRightInd w:val="0"/>
        <w:snapToGrid w:val="0"/>
        <w:spacing w:line="353" w:lineRule="auto"/>
        <w:ind w:firstLine="640" w:firstLineChars="200"/>
        <w:rPr>
          <w:lang w:val="zh-CN"/>
        </w:rPr>
      </w:pPr>
      <w:r>
        <w:t>4.服务对象对基本药物制度补助满意度进一步提高。</w:t>
      </w:r>
    </w:p>
    <w:p>
      <w:pPr>
        <w:adjustRightInd w:val="0"/>
        <w:snapToGrid w:val="0"/>
        <w:spacing w:line="353" w:lineRule="auto"/>
        <w:ind w:firstLine="643" w:firstLineChars="200"/>
        <w:rPr>
          <w:rFonts w:eastAsia="楷体_GB2312"/>
          <w:b/>
          <w:lang w:val="zh-CN"/>
        </w:rPr>
      </w:pPr>
      <w:r>
        <w:rPr>
          <w:rFonts w:eastAsia="楷体_GB2312"/>
          <w:b/>
          <w:lang w:val="zh-CN"/>
        </w:rPr>
        <w:t>（三）项目资金申报相符性。</w:t>
      </w:r>
    </w:p>
    <w:p>
      <w:pPr>
        <w:adjustRightInd w:val="0"/>
        <w:snapToGrid w:val="0"/>
        <w:spacing w:line="353" w:lineRule="auto"/>
        <w:ind w:firstLine="640" w:firstLineChars="200"/>
        <w:rPr>
          <w:lang w:val="zh-CN"/>
        </w:rPr>
      </w:pPr>
      <w:r>
        <w:t>基本药物制度补助资金</w:t>
      </w:r>
      <w:r>
        <w:rPr>
          <w:lang w:val="zh-CN"/>
        </w:rPr>
        <w:t>项目申报内容与具体实施内容相符，申报目标合理可行。</w:t>
      </w:r>
    </w:p>
    <w:p>
      <w:pPr>
        <w:adjustRightInd w:val="0"/>
        <w:snapToGrid w:val="0"/>
        <w:spacing w:line="353" w:lineRule="auto"/>
        <w:ind w:firstLine="640" w:firstLineChars="200"/>
        <w:rPr>
          <w:rFonts w:eastAsia="黑体"/>
        </w:rPr>
      </w:pPr>
      <w:r>
        <w:rPr>
          <w:rFonts w:eastAsia="黑体"/>
        </w:rPr>
        <w:t>二、项目实施及管理情况</w:t>
      </w:r>
    </w:p>
    <w:p>
      <w:pPr>
        <w:adjustRightInd w:val="0"/>
        <w:snapToGrid w:val="0"/>
        <w:spacing w:line="353" w:lineRule="auto"/>
        <w:ind w:firstLine="643" w:firstLineChars="200"/>
        <w:rPr>
          <w:rFonts w:eastAsia="楷体_GB2312"/>
          <w:b/>
          <w:lang w:val="zh-CN"/>
        </w:rPr>
      </w:pPr>
      <w:r>
        <w:rPr>
          <w:rFonts w:eastAsia="楷体_GB2312"/>
          <w:b/>
          <w:lang w:val="zh-CN"/>
        </w:rPr>
        <w:t>（一）资金计划、到位及使用情况。</w:t>
      </w:r>
    </w:p>
    <w:p>
      <w:pPr>
        <w:adjustRightInd w:val="0"/>
        <w:snapToGrid w:val="0"/>
        <w:spacing w:line="353" w:lineRule="auto"/>
        <w:ind w:firstLine="640" w:firstLineChars="200"/>
        <w:rPr>
          <w:lang w:val="zh-CN"/>
        </w:rPr>
      </w:pPr>
      <w:r>
        <w:rPr>
          <w:rFonts w:eastAsia="楷体_GB2312"/>
        </w:rPr>
        <w:t>1.</w:t>
      </w:r>
      <w:r>
        <w:rPr>
          <w:rFonts w:eastAsia="楷体_GB2312"/>
          <w:lang w:val="zh-CN"/>
        </w:rPr>
        <w:t>资金计划及到位。</w:t>
      </w:r>
      <w:r>
        <w:rPr>
          <w:lang w:val="zh-CN"/>
        </w:rPr>
        <w:t>202</w:t>
      </w:r>
      <w:r>
        <w:t>3</w:t>
      </w:r>
      <w:r>
        <w:rPr>
          <w:lang w:val="zh-CN"/>
        </w:rPr>
        <w:t>年，实际到位</w:t>
      </w:r>
      <w:r>
        <w:t>179.66</w:t>
      </w:r>
      <w:r>
        <w:rPr>
          <w:lang w:val="zh-CN"/>
        </w:rPr>
        <w:t>万元，其中，中央资金</w:t>
      </w:r>
      <w:r>
        <w:t>81.75</w:t>
      </w:r>
      <w:r>
        <w:rPr>
          <w:lang w:val="zh-CN"/>
        </w:rPr>
        <w:t>万元，省级资金22.11万元，</w:t>
      </w:r>
      <w:r>
        <w:t>市级资金25.8万元，</w:t>
      </w:r>
      <w:r>
        <w:rPr>
          <w:lang w:val="zh-CN"/>
        </w:rPr>
        <w:t>区级资金</w:t>
      </w:r>
      <w:r>
        <w:t>50</w:t>
      </w:r>
      <w:r>
        <w:rPr>
          <w:lang w:val="zh-CN"/>
        </w:rPr>
        <w:t>万元，资金到位率100%。</w:t>
      </w:r>
    </w:p>
    <w:p>
      <w:pPr>
        <w:adjustRightInd w:val="0"/>
        <w:snapToGrid w:val="0"/>
        <w:spacing w:line="353" w:lineRule="auto"/>
        <w:ind w:firstLine="640" w:firstLineChars="200"/>
        <w:rPr>
          <w:rFonts w:eastAsia="楷体_GB2312"/>
          <w:lang w:val="zh-CN"/>
        </w:rPr>
      </w:pPr>
      <w:r>
        <w:rPr>
          <w:rFonts w:eastAsia="楷体_GB2312"/>
        </w:rPr>
        <w:t>2.</w:t>
      </w:r>
      <w:r>
        <w:rPr>
          <w:rFonts w:eastAsia="楷体_GB2312"/>
          <w:lang w:val="zh-CN"/>
        </w:rPr>
        <w:t>资金使用。</w:t>
      </w:r>
    </w:p>
    <w:p>
      <w:pPr>
        <w:adjustRightInd w:val="0"/>
        <w:snapToGrid w:val="0"/>
        <w:spacing w:line="353" w:lineRule="auto"/>
        <w:ind w:firstLine="640" w:firstLineChars="200"/>
      </w:pPr>
      <w:r>
        <w:t>西区加强基本药物制度补助资金管理，按时拨付给基层医疗卫生机构及村卫生室。</w:t>
      </w:r>
      <w:r>
        <w:rPr>
          <w:lang w:val="zh-CN"/>
        </w:rPr>
        <w:t>202</w:t>
      </w:r>
      <w:r>
        <w:t>3</w:t>
      </w:r>
      <w:r>
        <w:rPr>
          <w:lang w:val="zh-CN"/>
        </w:rPr>
        <w:t>年项目资金的实际支出</w:t>
      </w:r>
      <w:r>
        <w:t>179.66万元</w:t>
      </w:r>
      <w:r>
        <w:rPr>
          <w:lang w:val="zh-CN"/>
        </w:rPr>
        <w:t>，支付进度</w:t>
      </w:r>
      <w:r>
        <w:t>100%</w:t>
      </w:r>
      <w:r>
        <w:rPr>
          <w:lang w:val="zh-CN"/>
        </w:rPr>
        <w:t>，支付依据合规合法，资金支付与预算相符。</w:t>
      </w:r>
    </w:p>
    <w:p>
      <w:pPr>
        <w:adjustRightInd w:val="0"/>
        <w:snapToGrid w:val="0"/>
        <w:spacing w:line="353" w:lineRule="auto"/>
        <w:ind w:firstLine="643" w:firstLineChars="200"/>
        <w:rPr>
          <w:rFonts w:eastAsia="楷体_GB2312"/>
          <w:b/>
          <w:lang w:val="zh-CN"/>
        </w:rPr>
      </w:pPr>
      <w:r>
        <w:rPr>
          <w:rFonts w:eastAsia="楷体_GB2312"/>
          <w:b/>
          <w:lang w:val="zh-CN"/>
        </w:rPr>
        <w:t>（二）项目财务管理情况。</w:t>
      </w:r>
    </w:p>
    <w:p>
      <w:pPr>
        <w:adjustRightInd w:val="0"/>
        <w:snapToGrid w:val="0"/>
        <w:spacing w:line="353" w:lineRule="auto"/>
        <w:ind w:firstLine="640" w:firstLineChars="200"/>
        <w:rPr>
          <w:lang w:val="zh-CN"/>
        </w:rPr>
      </w:pPr>
      <w:r>
        <w:rPr>
          <w:lang w:val="zh-CN"/>
        </w:rPr>
        <w:t>加强项目财务管理制度建设、会计核算及账务处理，按照项目资金管理办法，严格执行财务管理制度，财务处理及时，会计核算规范。</w:t>
      </w:r>
    </w:p>
    <w:p>
      <w:pPr>
        <w:adjustRightInd w:val="0"/>
        <w:snapToGrid w:val="0"/>
        <w:spacing w:line="353" w:lineRule="auto"/>
        <w:ind w:firstLine="643" w:firstLineChars="200"/>
        <w:rPr>
          <w:rFonts w:eastAsia="楷体_GB2312"/>
          <w:b/>
          <w:lang w:val="zh-CN"/>
        </w:rPr>
      </w:pPr>
      <w:r>
        <w:rPr>
          <w:rFonts w:eastAsia="楷体_GB2312"/>
          <w:b/>
          <w:lang w:val="zh-CN"/>
        </w:rPr>
        <w:t>（三）项目组织实施情况。</w:t>
      </w:r>
    </w:p>
    <w:p>
      <w:pPr>
        <w:spacing w:line="353" w:lineRule="auto"/>
        <w:ind w:firstLine="640" w:firstLineChars="200"/>
        <w:rPr>
          <w:lang w:val="zh-CN"/>
        </w:rPr>
      </w:pPr>
      <w:r>
        <w:t>根据《关于印发&lt;攀枝花市基层医疗卫生机构实施国家基本药物制度经费补偿方案&gt;的通知》（攀财社〔2010〕11号）、《攀枝花市人民政府关于实施基本药物制度推进基层医药卫生体制综合改革的意见》（攀府发〔2010〕18号）文件精神，按照实际实施国家基本药物制度的基层医疗卫生机构服务人口安排预算。加强</w:t>
      </w:r>
      <w:r>
        <w:rPr>
          <w:lang w:val="zh-CN"/>
        </w:rPr>
        <w:t>项目组织管理，</w:t>
      </w:r>
      <w:r>
        <w:t>制定基本药物制度实施方案，明确职责分工，指导促进项目实施。严格资金管理和规范使用，及时下拨项目补助资金，按要求做到专款专用，厉行节约、精打细算，资金全部用于实施基本药物制度的各项支出。</w:t>
      </w:r>
    </w:p>
    <w:p>
      <w:pPr>
        <w:adjustRightInd w:val="0"/>
        <w:snapToGrid w:val="0"/>
        <w:spacing w:line="353" w:lineRule="auto"/>
        <w:ind w:firstLine="640" w:firstLineChars="200"/>
        <w:rPr>
          <w:lang w:val="zh-CN"/>
        </w:rPr>
      </w:pPr>
      <w:r>
        <w:rPr>
          <w:rFonts w:eastAsia="黑体"/>
        </w:rPr>
        <w:t>三、项目绩效情况</w:t>
      </w:r>
      <w:r>
        <w:rPr>
          <w:lang w:val="zh-CN"/>
        </w:rPr>
        <w:tab/>
      </w:r>
    </w:p>
    <w:p>
      <w:pPr>
        <w:adjustRightInd w:val="0"/>
        <w:snapToGrid w:val="0"/>
        <w:spacing w:line="353" w:lineRule="auto"/>
        <w:ind w:firstLine="643" w:firstLineChars="200"/>
        <w:rPr>
          <w:rFonts w:eastAsia="楷体_GB2312"/>
          <w:b/>
          <w:lang w:val="zh-CN"/>
        </w:rPr>
      </w:pPr>
      <w:r>
        <w:rPr>
          <w:rFonts w:eastAsia="楷体_GB2312"/>
          <w:b/>
          <w:lang w:val="zh-CN"/>
        </w:rPr>
        <w:t>（一）项目完成情况。</w:t>
      </w:r>
    </w:p>
    <w:p>
      <w:pPr>
        <w:pStyle w:val="6"/>
        <w:widowControl/>
        <w:shd w:val="clear" w:color="auto" w:fill="FFFFFF"/>
        <w:spacing w:before="0" w:beforeAutospacing="0" w:after="0" w:afterAutospacing="0" w:line="353" w:lineRule="auto"/>
        <w:ind w:firstLine="640" w:firstLineChars="200"/>
        <w:jc w:val="both"/>
        <w:rPr>
          <w:kern w:val="2"/>
          <w:sz w:val="32"/>
        </w:rPr>
      </w:pPr>
      <w:r>
        <w:rPr>
          <w:kern w:val="2"/>
          <w:sz w:val="32"/>
        </w:rPr>
        <w:t>全区1家镇卫生院、4家社区卫生服务中心和5家村卫生室均严格落实基本药物制度相关政策，严格执行财务管理制度，资金使用规范。</w:t>
      </w:r>
      <w:r>
        <w:rPr>
          <w:kern w:val="2"/>
          <w:sz w:val="32"/>
          <w:lang w:val="zh-CN"/>
        </w:rPr>
        <w:t>对照项目计划的任务量、质量标准和进度计划，稳步实施，</w:t>
      </w:r>
      <w:r>
        <w:rPr>
          <w:kern w:val="2"/>
          <w:sz w:val="32"/>
        </w:rPr>
        <w:t>无违规使用</w:t>
      </w:r>
      <w:r>
        <w:rPr>
          <w:kern w:val="2"/>
          <w:sz w:val="32"/>
          <w:lang w:val="zh-CN"/>
        </w:rPr>
        <w:t>等情况</w:t>
      </w:r>
      <w:r>
        <w:rPr>
          <w:kern w:val="2"/>
          <w:sz w:val="32"/>
        </w:rPr>
        <w:t>。</w:t>
      </w:r>
    </w:p>
    <w:p>
      <w:pPr>
        <w:pStyle w:val="6"/>
        <w:widowControl/>
        <w:shd w:val="clear" w:color="auto" w:fill="FFFFFF"/>
        <w:spacing w:before="0" w:beforeAutospacing="0" w:after="0" w:afterAutospacing="0" w:line="353" w:lineRule="auto"/>
        <w:ind w:firstLine="643" w:firstLineChars="200"/>
        <w:jc w:val="both"/>
        <w:rPr>
          <w:rFonts w:eastAsia="楷体_GB2312"/>
          <w:b/>
          <w:kern w:val="2"/>
          <w:sz w:val="32"/>
          <w:lang w:val="zh-CN"/>
        </w:rPr>
      </w:pPr>
      <w:r>
        <w:rPr>
          <w:rFonts w:eastAsia="楷体_GB2312"/>
          <w:b/>
          <w:kern w:val="2"/>
          <w:sz w:val="32"/>
          <w:lang w:val="zh-CN"/>
        </w:rPr>
        <w:t>（二）项目效益情况。</w:t>
      </w:r>
    </w:p>
    <w:p>
      <w:pPr>
        <w:adjustRightInd w:val="0"/>
        <w:snapToGrid w:val="0"/>
        <w:spacing w:line="353" w:lineRule="auto"/>
        <w:ind w:firstLine="640" w:firstLineChars="200"/>
        <w:rPr>
          <w:rFonts w:eastAsia="楷体_GB2312"/>
          <w:b/>
          <w:lang w:val="zh-CN"/>
        </w:rPr>
      </w:pPr>
      <w:r>
        <w:t>全区1家镇卫生院、4家社区卫生服务中心和5家村卫生室</w:t>
      </w:r>
      <w:r>
        <w:rPr>
          <w:color w:val="000000"/>
        </w:rPr>
        <w:t>实施国家基本药物制度覆盖率均达100%，药品质量合格率达100%，切实保障了国家基本药物制度政策的有效实施，提高了基层医疗卫生机构服务水平，服务对象满意度较高。</w:t>
      </w:r>
    </w:p>
    <w:p>
      <w:pPr>
        <w:adjustRightInd w:val="0"/>
        <w:snapToGrid w:val="0"/>
        <w:spacing w:line="353" w:lineRule="auto"/>
        <w:ind w:firstLine="640" w:firstLineChars="200"/>
        <w:rPr>
          <w:rFonts w:eastAsia="黑体"/>
        </w:rPr>
      </w:pPr>
      <w:r>
        <w:rPr>
          <w:rFonts w:eastAsia="黑体"/>
        </w:rPr>
        <w:t>四、问题及建议</w:t>
      </w:r>
    </w:p>
    <w:p>
      <w:pPr>
        <w:adjustRightInd w:val="0"/>
        <w:snapToGrid w:val="0"/>
        <w:spacing w:line="353" w:lineRule="auto"/>
        <w:ind w:firstLine="643" w:firstLineChars="200"/>
        <w:rPr>
          <w:rFonts w:eastAsia="楷体_GB2312"/>
          <w:b/>
          <w:lang w:val="zh-CN"/>
        </w:rPr>
      </w:pPr>
      <w:r>
        <w:rPr>
          <w:rFonts w:eastAsia="楷体_GB2312"/>
          <w:b/>
          <w:lang w:val="zh-CN"/>
        </w:rPr>
        <w:t>（一）存在的问题。</w:t>
      </w:r>
    </w:p>
    <w:p>
      <w:pPr>
        <w:adjustRightInd w:val="0"/>
        <w:snapToGrid w:val="0"/>
        <w:spacing w:line="353" w:lineRule="auto"/>
        <w:ind w:firstLine="640" w:firstLineChars="200"/>
        <w:rPr>
          <w:lang w:val="zh-CN"/>
        </w:rPr>
      </w:pPr>
      <w:r>
        <w:rPr>
          <w:lang w:val="zh-CN"/>
        </w:rPr>
        <w:t>无。</w:t>
      </w:r>
    </w:p>
    <w:p>
      <w:pPr>
        <w:adjustRightInd w:val="0"/>
        <w:snapToGrid w:val="0"/>
        <w:spacing w:line="353" w:lineRule="auto"/>
        <w:ind w:firstLine="643" w:firstLineChars="200"/>
        <w:rPr>
          <w:rFonts w:eastAsia="楷体_GB2312"/>
          <w:b/>
          <w:lang w:val="zh-CN"/>
        </w:rPr>
      </w:pPr>
      <w:r>
        <w:rPr>
          <w:rFonts w:eastAsia="楷体_GB2312"/>
          <w:b/>
          <w:lang w:val="zh-CN"/>
        </w:rPr>
        <w:t>（二）相关建议。</w:t>
      </w:r>
    </w:p>
    <w:p>
      <w:pPr>
        <w:adjustRightInd w:val="0"/>
        <w:snapToGrid w:val="0"/>
        <w:spacing w:line="353" w:lineRule="auto"/>
        <w:ind w:firstLine="640" w:firstLineChars="200"/>
        <w:rPr>
          <w:color w:val="000000"/>
        </w:rPr>
      </w:pPr>
      <w:r>
        <w:rPr>
          <w:color w:val="000000"/>
        </w:rPr>
        <w:t>严格资金管理和规范使用，及时下拨项目补助资金。完善绩效评价机制和监管协调机制，坚定实施国家基本药物制度，惠及辖区群众，使群众药费负担明显减轻，受益的程度不断增加。</w:t>
      </w: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pStyle w:val="9"/>
        <w:spacing w:line="560" w:lineRule="exact"/>
        <w:jc w:val="center"/>
        <w:rPr>
          <w:rFonts w:ascii="Times New Roman" w:hAnsi="Times New Roman" w:eastAsia="方正小标宋简体"/>
          <w:sz w:val="44"/>
          <w:szCs w:val="44"/>
        </w:rPr>
      </w:pPr>
      <w:bookmarkStart w:id="2" w:name="_Hlk167461000"/>
      <w:r>
        <w:rPr>
          <w:rFonts w:ascii="Times New Roman" w:hAnsi="Times New Roman" w:eastAsia="方正小标宋简体"/>
          <w:sz w:val="44"/>
          <w:szCs w:val="44"/>
        </w:rPr>
        <w:t>项目支出绩效自评报告</w:t>
      </w:r>
    </w:p>
    <w:p>
      <w:pPr>
        <w:pStyle w:val="9"/>
        <w:spacing w:line="560" w:lineRule="exact"/>
        <w:ind w:firstLine="640"/>
        <w:jc w:val="center"/>
        <w:rPr>
          <w:rFonts w:ascii="Times New Roman" w:hAnsi="Times New Roman"/>
          <w:color w:val="auto"/>
          <w:kern w:val="2"/>
          <w:sz w:val="32"/>
          <w:szCs w:val="32"/>
        </w:rPr>
      </w:pPr>
      <w:r>
        <w:rPr>
          <w:rFonts w:ascii="Times New Roman" w:hAnsi="Times New Roman"/>
          <w:color w:val="auto"/>
          <w:kern w:val="2"/>
          <w:sz w:val="32"/>
          <w:szCs w:val="32"/>
        </w:rPr>
        <w:t>（从业人员体检费）</w:t>
      </w:r>
    </w:p>
    <w:bookmarkEnd w:id="2"/>
    <w:p>
      <w:pPr>
        <w:pStyle w:val="9"/>
        <w:spacing w:line="560" w:lineRule="exact"/>
        <w:ind w:firstLine="640"/>
        <w:jc w:val="center"/>
        <w:rPr>
          <w:rFonts w:ascii="Times New Roman" w:hAnsi="Times New Roman"/>
          <w:color w:val="auto"/>
          <w:kern w:val="2"/>
          <w:sz w:val="32"/>
          <w:szCs w:val="32"/>
        </w:rPr>
      </w:pPr>
    </w:p>
    <w:p>
      <w:pPr>
        <w:adjustRightInd w:val="0"/>
        <w:snapToGrid w:val="0"/>
        <w:spacing w:line="560" w:lineRule="exact"/>
        <w:ind w:firstLine="720"/>
        <w:rPr>
          <w:rFonts w:eastAsia="黑体"/>
          <w:lang w:val="zh-CN"/>
        </w:rPr>
      </w:pPr>
      <w:r>
        <w:rPr>
          <w:rFonts w:eastAsia="黑体"/>
        </w:rPr>
        <w:t>一、</w:t>
      </w:r>
      <w:r>
        <w:rPr>
          <w:rFonts w:eastAsia="黑体"/>
          <w:lang w:val="zh-CN"/>
        </w:rPr>
        <w:t>项目概况</w:t>
      </w:r>
    </w:p>
    <w:p>
      <w:pPr>
        <w:adjustRightInd w:val="0"/>
        <w:snapToGrid w:val="0"/>
        <w:spacing w:line="560" w:lineRule="exact"/>
        <w:ind w:firstLine="720"/>
        <w:rPr>
          <w:rFonts w:eastAsia="楷体_GB2312"/>
          <w:b/>
          <w:lang w:val="zh-CN"/>
        </w:rPr>
      </w:pPr>
      <w:r>
        <w:rPr>
          <w:rFonts w:eastAsia="楷体_GB2312"/>
          <w:b/>
          <w:lang w:val="zh-CN"/>
        </w:rPr>
        <w:t>（一）项目资金申报及批复情况。</w:t>
      </w:r>
    </w:p>
    <w:p>
      <w:pPr>
        <w:adjustRightInd w:val="0"/>
        <w:snapToGrid w:val="0"/>
        <w:spacing w:line="560" w:lineRule="exact"/>
        <w:ind w:firstLine="720"/>
        <w:rPr>
          <w:lang w:val="zh-CN"/>
        </w:rPr>
      </w:pPr>
      <w:r>
        <w:rPr>
          <w:lang w:val="zh-CN"/>
        </w:rPr>
        <w:t>年初申报项目资金</w:t>
      </w:r>
      <w:r>
        <w:t>70万元（区级70万元）</w:t>
      </w:r>
      <w:r>
        <w:rPr>
          <w:lang w:val="zh-CN"/>
        </w:rPr>
        <w:t>、批复</w:t>
      </w:r>
      <w:r>
        <w:t>70万元。</w:t>
      </w:r>
      <w:r>
        <w:rPr>
          <w:lang w:val="zh-CN"/>
        </w:rPr>
        <w:t>该项目符合资金管理办法等相关规定。</w:t>
      </w:r>
    </w:p>
    <w:p>
      <w:pPr>
        <w:adjustRightInd w:val="0"/>
        <w:snapToGrid w:val="0"/>
        <w:spacing w:line="560" w:lineRule="exact"/>
        <w:ind w:firstLine="720"/>
        <w:rPr>
          <w:rFonts w:eastAsia="楷体_GB2312"/>
          <w:b/>
          <w:lang w:val="zh-CN"/>
        </w:rPr>
      </w:pPr>
      <w:r>
        <w:rPr>
          <w:rFonts w:eastAsia="楷体_GB2312"/>
          <w:b/>
          <w:lang w:val="zh-CN"/>
        </w:rPr>
        <w:t>（二）项目绩效目标。</w:t>
      </w:r>
    </w:p>
    <w:p>
      <w:pPr>
        <w:adjustRightInd w:val="0"/>
        <w:snapToGrid w:val="0"/>
        <w:spacing w:line="560" w:lineRule="exact"/>
        <w:ind w:firstLine="720"/>
        <w:rPr>
          <w:lang w:val="zh-CN"/>
        </w:rPr>
      </w:pPr>
      <w:r>
        <w:rPr>
          <w:lang w:val="zh-CN"/>
        </w:rPr>
        <w:t>通过减免从业人员健康体检收费，切实减轻企业和个人负担，促进实体经济发展。</w:t>
      </w:r>
    </w:p>
    <w:p>
      <w:pPr>
        <w:adjustRightInd w:val="0"/>
        <w:snapToGrid w:val="0"/>
        <w:spacing w:line="560" w:lineRule="exact"/>
        <w:ind w:firstLine="720"/>
        <w:rPr>
          <w:rFonts w:eastAsia="楷体_GB2312"/>
          <w:b/>
          <w:lang w:val="zh-CN"/>
        </w:rPr>
      </w:pPr>
      <w:r>
        <w:rPr>
          <w:rFonts w:eastAsia="楷体_GB2312"/>
          <w:b/>
          <w:lang w:val="zh-CN"/>
        </w:rPr>
        <w:t>（三）项目资金申报相符性。</w:t>
      </w:r>
    </w:p>
    <w:p>
      <w:pPr>
        <w:adjustRightInd w:val="0"/>
        <w:snapToGrid w:val="0"/>
        <w:spacing w:line="560" w:lineRule="exact"/>
        <w:ind w:firstLine="720"/>
        <w:rPr>
          <w:lang w:val="zh-CN"/>
        </w:rPr>
      </w:pPr>
      <w:r>
        <w:rPr>
          <w:lang w:val="zh-CN"/>
        </w:rPr>
        <w:t>从业人员预防性体检项目申报内容与具体实施内容相符、申报目标合理可行。</w:t>
      </w:r>
    </w:p>
    <w:p>
      <w:pPr>
        <w:adjustRightInd w:val="0"/>
        <w:snapToGrid w:val="0"/>
        <w:spacing w:line="560" w:lineRule="exact"/>
        <w:ind w:firstLine="720"/>
        <w:rPr>
          <w:rFonts w:eastAsia="黑体"/>
        </w:rPr>
      </w:pPr>
      <w:r>
        <w:rPr>
          <w:rFonts w:eastAsia="黑体"/>
        </w:rPr>
        <w:t>二、项目实施及管理情况</w:t>
      </w:r>
    </w:p>
    <w:p>
      <w:pPr>
        <w:adjustRightInd w:val="0"/>
        <w:snapToGrid w:val="0"/>
        <w:spacing w:line="560" w:lineRule="exact"/>
        <w:ind w:firstLine="720"/>
        <w:rPr>
          <w:rFonts w:eastAsia="楷体_GB2312"/>
          <w:b/>
          <w:lang w:val="zh-CN"/>
        </w:rPr>
      </w:pPr>
      <w:r>
        <w:rPr>
          <w:lang w:val="zh-CN"/>
        </w:rPr>
        <w:tab/>
      </w:r>
      <w:r>
        <w:rPr>
          <w:rFonts w:eastAsia="楷体_GB2312"/>
          <w:b/>
          <w:lang w:val="zh-CN"/>
        </w:rPr>
        <w:t>（一）资金计划、到位及使用情况。</w:t>
      </w:r>
    </w:p>
    <w:p>
      <w:pPr>
        <w:adjustRightInd w:val="0"/>
        <w:snapToGrid w:val="0"/>
        <w:spacing w:line="560" w:lineRule="exact"/>
        <w:ind w:firstLine="720"/>
        <w:rPr>
          <w:lang w:val="zh-CN"/>
        </w:rPr>
      </w:pPr>
      <w:r>
        <w:rPr>
          <w:rFonts w:eastAsia="楷体_GB2312"/>
          <w:lang w:val="zh-CN"/>
        </w:rPr>
        <w:t>1．资金计划及到位。</w:t>
      </w:r>
      <w:r>
        <w:rPr>
          <w:lang w:val="zh-CN"/>
        </w:rPr>
        <w:t>预估需进行从业人员预防性体检数量，根据体检项目收费价格制订资金计划。截至评价时点，实际到位资金</w:t>
      </w:r>
      <w:r>
        <w:t>0</w:t>
      </w:r>
      <w:r>
        <w:rPr>
          <w:lang w:val="zh-CN"/>
        </w:rPr>
        <w:t>元。</w:t>
      </w:r>
    </w:p>
    <w:p>
      <w:pPr>
        <w:adjustRightInd w:val="0"/>
        <w:snapToGrid w:val="0"/>
        <w:spacing w:line="560" w:lineRule="exact"/>
        <w:ind w:firstLine="720"/>
      </w:pPr>
      <w:r>
        <w:rPr>
          <w:rFonts w:eastAsia="楷体_GB2312"/>
          <w:lang w:val="zh-CN"/>
        </w:rPr>
        <w:t>2．资金使用。</w:t>
      </w:r>
      <w:r>
        <w:rPr>
          <w:lang w:val="zh-CN"/>
        </w:rPr>
        <w:t>因资金困难，资金未到位，实际支出为</w:t>
      </w:r>
      <w:r>
        <w:t>0元。</w:t>
      </w:r>
    </w:p>
    <w:p>
      <w:pPr>
        <w:adjustRightInd w:val="0"/>
        <w:snapToGrid w:val="0"/>
        <w:spacing w:line="560" w:lineRule="exact"/>
        <w:ind w:firstLine="720"/>
        <w:rPr>
          <w:rFonts w:eastAsia="楷体_GB2312"/>
          <w:b/>
          <w:lang w:val="zh-CN"/>
        </w:rPr>
      </w:pPr>
      <w:r>
        <w:rPr>
          <w:rFonts w:eastAsia="楷体_GB2312"/>
          <w:b/>
          <w:lang w:val="zh-CN"/>
        </w:rPr>
        <w:t>（二）项目财务管理情况。</w:t>
      </w:r>
    </w:p>
    <w:p>
      <w:pPr>
        <w:adjustRightInd w:val="0"/>
        <w:snapToGrid w:val="0"/>
        <w:spacing w:line="560" w:lineRule="exact"/>
        <w:ind w:firstLine="720"/>
        <w:rPr>
          <w:lang w:val="zh-CN"/>
        </w:rPr>
      </w:pPr>
      <w:r>
        <w:rPr>
          <w:lang w:val="zh-CN"/>
        </w:rPr>
        <w:t>项目严格执行财务管理制度、财务处理及时、会计核算规范等。</w:t>
      </w:r>
    </w:p>
    <w:p>
      <w:pPr>
        <w:adjustRightInd w:val="0"/>
        <w:snapToGrid w:val="0"/>
        <w:spacing w:line="560" w:lineRule="exact"/>
        <w:ind w:firstLine="720"/>
        <w:rPr>
          <w:rFonts w:eastAsia="楷体_GB2312"/>
          <w:b/>
          <w:lang w:val="zh-CN"/>
        </w:rPr>
      </w:pPr>
      <w:r>
        <w:rPr>
          <w:rFonts w:eastAsia="楷体_GB2312"/>
          <w:b/>
          <w:lang w:val="zh-CN"/>
        </w:rPr>
        <w:t>（三）项目组织实施情况。</w:t>
      </w:r>
    </w:p>
    <w:p>
      <w:pPr>
        <w:pStyle w:val="3"/>
        <w:ind w:firstLine="640" w:firstLineChars="200"/>
        <w:rPr>
          <w:rFonts w:ascii="Times New Roman" w:hAnsi="Times New Roman" w:cs="Times New Roman"/>
          <w:lang w:val="zh-CN"/>
        </w:rPr>
      </w:pPr>
      <w:r>
        <w:rPr>
          <w:rFonts w:ascii="Times New Roman" w:hAnsi="Times New Roman" w:cs="Times New Roman"/>
          <w:lang w:val="zh-CN"/>
        </w:rPr>
        <w:t>执行《关于进一步做好从业人员预防性体检工作的通知》（川卫规</w:t>
      </w:r>
      <w:r>
        <w:rPr>
          <w:rFonts w:ascii="Times New Roman" w:hAnsi="Times New Roman" w:cs="Times New Roman"/>
          <w:szCs w:val="32"/>
        </w:rPr>
        <w:t>〔2023〕</w:t>
      </w:r>
      <w:r>
        <w:rPr>
          <w:rFonts w:ascii="Times New Roman" w:hAnsi="Times New Roman" w:cs="Times New Roman"/>
        </w:rPr>
        <w:t>2</w:t>
      </w:r>
      <w:r>
        <w:rPr>
          <w:rFonts w:ascii="Times New Roman" w:hAnsi="Times New Roman" w:cs="Times New Roman"/>
          <w:lang w:val="zh-CN"/>
        </w:rPr>
        <w:t>号）、《</w:t>
      </w:r>
      <w:r>
        <w:rPr>
          <w:rFonts w:ascii="Times New Roman" w:hAnsi="Times New Roman" w:cs="Times New Roman"/>
          <w:spacing w:val="-4"/>
          <w:szCs w:val="32"/>
        </w:rPr>
        <w:t>攀枝花市卫生健康委员会等 4 部门 关于进一步做好从业人员预防性体检工作的通知》（攀卫办〔2023〕18 号 ）文件</w:t>
      </w:r>
      <w:r>
        <w:rPr>
          <w:rFonts w:ascii="Times New Roman" w:hAnsi="Times New Roman" w:cs="Times New Roman"/>
          <w:lang w:val="zh-CN"/>
        </w:rPr>
        <w:t>精神，提供辖区内从业人员免费体检，并办理四川省从业人员预防性体检合格证。</w:t>
      </w:r>
    </w:p>
    <w:p>
      <w:pPr>
        <w:adjustRightInd w:val="0"/>
        <w:snapToGrid w:val="0"/>
        <w:spacing w:line="560" w:lineRule="exact"/>
        <w:ind w:firstLine="720"/>
        <w:rPr>
          <w:lang w:val="zh-CN"/>
        </w:rPr>
      </w:pPr>
      <w:r>
        <w:rPr>
          <w:rFonts w:eastAsia="黑体"/>
        </w:rPr>
        <w:t>三、项目绩效情况</w:t>
      </w:r>
      <w:r>
        <w:rPr>
          <w:lang w:val="zh-CN"/>
        </w:rPr>
        <w:tab/>
      </w:r>
    </w:p>
    <w:p>
      <w:pPr>
        <w:adjustRightInd w:val="0"/>
        <w:snapToGrid w:val="0"/>
        <w:spacing w:line="560" w:lineRule="exact"/>
        <w:ind w:firstLine="720"/>
        <w:rPr>
          <w:rFonts w:eastAsia="楷体_GB2312"/>
          <w:b/>
          <w:lang w:val="zh-CN"/>
        </w:rPr>
      </w:pPr>
      <w:r>
        <w:rPr>
          <w:rFonts w:eastAsia="楷体_GB2312"/>
          <w:b/>
          <w:lang w:val="zh-CN"/>
        </w:rPr>
        <w:t>（一）项目完成情况。</w:t>
      </w:r>
    </w:p>
    <w:p>
      <w:pPr>
        <w:adjustRightInd w:val="0"/>
        <w:snapToGrid w:val="0"/>
        <w:spacing w:line="560" w:lineRule="exact"/>
        <w:ind w:firstLine="720"/>
      </w:pPr>
      <w:r>
        <w:rPr>
          <w:lang w:val="zh-CN"/>
        </w:rPr>
        <w:t>完成</w:t>
      </w:r>
      <w:r>
        <w:t>6910人免费体检工作。</w:t>
      </w:r>
      <w:r>
        <w:rPr>
          <w:lang w:val="zh-CN"/>
        </w:rPr>
        <w:t>截至评价时点，质量标准、进度计划目标已实现，任务量完成</w:t>
      </w:r>
      <w:r>
        <w:t>94.66%，未完成原因是预算时对2023年度需要接受从业人员预防性体检的人数估算不准确。</w:t>
      </w:r>
    </w:p>
    <w:p>
      <w:pPr>
        <w:adjustRightInd w:val="0"/>
        <w:snapToGrid w:val="0"/>
        <w:spacing w:line="560" w:lineRule="exact"/>
        <w:ind w:firstLine="720"/>
        <w:rPr>
          <w:rFonts w:eastAsia="楷体_GB2312"/>
          <w:b/>
          <w:lang w:val="zh-CN"/>
        </w:rPr>
      </w:pPr>
      <w:r>
        <w:rPr>
          <w:rFonts w:eastAsia="楷体_GB2312"/>
          <w:b/>
          <w:lang w:val="zh-CN"/>
        </w:rPr>
        <w:t>（二）项目效益情况。</w:t>
      </w:r>
    </w:p>
    <w:p>
      <w:pPr>
        <w:adjustRightInd w:val="0"/>
        <w:snapToGrid w:val="0"/>
        <w:spacing w:line="560" w:lineRule="exact"/>
        <w:ind w:firstLine="720"/>
      </w:pPr>
      <w:r>
        <w:rPr>
          <w:lang w:val="zh-CN"/>
        </w:rPr>
        <w:t>通过实施该项目</w:t>
      </w:r>
      <w:r>
        <w:t>提高从业人员健康水平，特别是与传染病传播风险相关的健康问题，保障食品安全和公共卫生安全，有效预防传染病流行，社会效益和可持续效益以及服务对象满意度提升，项目实施总体较好。</w:t>
      </w:r>
    </w:p>
    <w:p>
      <w:pPr>
        <w:adjustRightInd w:val="0"/>
        <w:snapToGrid w:val="0"/>
        <w:spacing w:line="560" w:lineRule="exact"/>
        <w:ind w:firstLine="720"/>
        <w:rPr>
          <w:rFonts w:eastAsia="黑体"/>
        </w:rPr>
      </w:pPr>
      <w:r>
        <w:rPr>
          <w:rFonts w:eastAsia="黑体"/>
        </w:rPr>
        <w:t>四、问题及建议</w:t>
      </w:r>
    </w:p>
    <w:p>
      <w:pPr>
        <w:adjustRightInd w:val="0"/>
        <w:snapToGrid w:val="0"/>
        <w:spacing w:line="560" w:lineRule="exact"/>
        <w:ind w:firstLine="720"/>
        <w:rPr>
          <w:rFonts w:eastAsia="楷体_GB2312"/>
          <w:b/>
          <w:lang w:val="zh-CN"/>
        </w:rPr>
      </w:pPr>
      <w:r>
        <w:rPr>
          <w:rFonts w:eastAsia="楷体_GB2312"/>
          <w:b/>
          <w:lang w:val="zh-CN"/>
        </w:rPr>
        <w:t>（一）存在的问题。</w:t>
      </w:r>
    </w:p>
    <w:p>
      <w:pPr>
        <w:adjustRightInd w:val="0"/>
        <w:snapToGrid w:val="0"/>
        <w:spacing w:line="560" w:lineRule="exact"/>
        <w:ind w:firstLine="720"/>
      </w:pPr>
      <w:r>
        <w:rPr>
          <w:b/>
          <w:bCs/>
        </w:rPr>
        <w:t>一是</w:t>
      </w:r>
      <w:r>
        <w:t>由于资金未到位，不能及时支付因从业人员预防性体检工作产生的检验费、办公经费等支出；</w:t>
      </w:r>
      <w:r>
        <w:rPr>
          <w:b/>
          <w:bCs/>
        </w:rPr>
        <w:t>二是</w:t>
      </w:r>
      <w:r>
        <w:t>由于资金未到位，不能按照</w:t>
      </w:r>
      <w:r>
        <w:rPr>
          <w:lang w:val="zh-CN"/>
        </w:rPr>
        <w:t>《关于进一步做好从业人员预防性体检工作的通知》（川卫规</w:t>
      </w:r>
      <w:r>
        <w:t>〔2023〕2</w:t>
      </w:r>
      <w:r>
        <w:rPr>
          <w:lang w:val="zh-CN"/>
        </w:rPr>
        <w:t>号）文件要求进行信息化改造。</w:t>
      </w:r>
    </w:p>
    <w:p>
      <w:pPr>
        <w:adjustRightInd w:val="0"/>
        <w:snapToGrid w:val="0"/>
        <w:spacing w:line="560" w:lineRule="exact"/>
        <w:ind w:firstLine="720"/>
        <w:rPr>
          <w:rFonts w:eastAsia="楷体_GB2312"/>
          <w:b/>
          <w:lang w:val="zh-CN"/>
        </w:rPr>
      </w:pPr>
      <w:r>
        <w:rPr>
          <w:rFonts w:eastAsia="楷体_GB2312"/>
          <w:b/>
          <w:lang w:val="zh-CN"/>
        </w:rPr>
        <w:t>（二）相关建议。</w:t>
      </w:r>
    </w:p>
    <w:p>
      <w:pPr>
        <w:pStyle w:val="3"/>
        <w:ind w:firstLine="640" w:firstLineChars="200"/>
        <w:rPr>
          <w:rFonts w:ascii="Times New Roman" w:hAnsi="Times New Roman" w:cs="Times New Roman"/>
        </w:rPr>
      </w:pPr>
      <w:r>
        <w:rPr>
          <w:rFonts w:ascii="Times New Roman" w:hAnsi="Times New Roman" w:cs="Times New Roman"/>
          <w:lang w:val="zh-CN"/>
        </w:rPr>
        <w:t>建议及时全额拨付项目资金，确保从业人员预防性体检项目工作正常开展，保障全区食品安全和公共卫生安全。</w:t>
      </w: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p>
      <w:pPr>
        <w:pStyle w:val="9"/>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项目支出绩效自评报告</w:t>
      </w:r>
    </w:p>
    <w:p>
      <w:pPr>
        <w:pStyle w:val="9"/>
        <w:spacing w:line="560" w:lineRule="exact"/>
        <w:jc w:val="center"/>
        <w:rPr>
          <w:rFonts w:ascii="Times New Roman" w:hAnsi="Times New Roman" w:eastAsia="方正小标宋简体"/>
          <w:sz w:val="44"/>
          <w:szCs w:val="44"/>
        </w:rPr>
      </w:pPr>
      <w:r>
        <w:rPr>
          <w:rFonts w:ascii="Times New Roman" w:hAnsi="Times New Roman"/>
          <w:color w:val="auto"/>
          <w:kern w:val="2"/>
          <w:sz w:val="32"/>
          <w:szCs w:val="32"/>
        </w:rPr>
        <w:t>（医疗服务与保障能力提升）</w:t>
      </w:r>
    </w:p>
    <w:p>
      <w:pPr>
        <w:adjustRightInd w:val="0"/>
        <w:snapToGrid w:val="0"/>
        <w:spacing w:line="560" w:lineRule="exact"/>
        <w:ind w:firstLine="720"/>
        <w:rPr>
          <w:rFonts w:eastAsia="黑体"/>
        </w:rPr>
      </w:pPr>
    </w:p>
    <w:p>
      <w:pPr>
        <w:adjustRightInd w:val="0"/>
        <w:snapToGrid w:val="0"/>
        <w:spacing w:line="560" w:lineRule="exact"/>
        <w:ind w:firstLine="720"/>
        <w:rPr>
          <w:rFonts w:eastAsia="黑体"/>
          <w:lang w:val="zh-CN"/>
        </w:rPr>
      </w:pPr>
      <w:r>
        <w:rPr>
          <w:rFonts w:eastAsia="黑体"/>
        </w:rPr>
        <w:t>一、</w:t>
      </w:r>
      <w:r>
        <w:rPr>
          <w:rFonts w:eastAsia="黑体"/>
          <w:lang w:val="zh-CN"/>
        </w:rPr>
        <w:t>项目概况</w:t>
      </w:r>
    </w:p>
    <w:p>
      <w:pPr>
        <w:pStyle w:val="13"/>
        <w:spacing w:line="353" w:lineRule="auto"/>
        <w:ind w:firstLine="680" w:firstLineChars="200"/>
        <w:rPr>
          <w:lang w:val="zh-CN"/>
        </w:rPr>
      </w:pPr>
      <w:r>
        <w:rPr>
          <w:spacing w:val="10"/>
        </w:rPr>
        <w:t>按照《关于印发2022年四川省社区医养服务能力提升项目实施方案的通知》(川卫老龄函〔2022〕139号)文件要求，开展</w:t>
      </w:r>
      <w:r>
        <w:rPr>
          <w:lang w:val="zh-CN"/>
        </w:rPr>
        <w:t>攀枝花市西区苏铁西路</w:t>
      </w:r>
      <w:r>
        <w:t>986号34栋</w:t>
      </w:r>
      <w:r>
        <w:rPr>
          <w:lang w:val="zh-CN"/>
        </w:rPr>
        <w:t>“攀枝花市西区格里坪镇卫生院—医养服务中心”项目建设，该项目建设实施单位为攀枝花市西区格里坪镇卫生院，项目主管单位为攀枝花市西区卫生健康局。</w:t>
      </w:r>
    </w:p>
    <w:p>
      <w:pPr>
        <w:pStyle w:val="13"/>
        <w:spacing w:line="353" w:lineRule="auto"/>
        <w:ind w:firstLine="640" w:firstLineChars="200"/>
      </w:pPr>
      <w:r>
        <w:rPr>
          <w:lang w:val="zh-CN"/>
        </w:rPr>
        <w:t>目前医养服务中心规划</w:t>
      </w:r>
      <w:r>
        <w:t>业务用房4200余平方米及户外活动区域，设医养服务床位50张（医疗床位5张，康复床位8张、养护床位37张），主要功能区域为：医养生活区、医养康复区、医养治疗区、医养附属设施区域等。</w:t>
      </w:r>
    </w:p>
    <w:p>
      <w:pPr>
        <w:adjustRightInd w:val="0"/>
        <w:snapToGrid w:val="0"/>
        <w:spacing w:line="353" w:lineRule="auto"/>
        <w:ind w:firstLine="720"/>
      </w:pPr>
      <w:r>
        <w:rPr>
          <w:lang w:val="zh-CN"/>
        </w:rPr>
        <w:t>按照</w:t>
      </w:r>
      <w:r>
        <w:t>《攀枝花市卫生健康委员会 关于印发攀枝花市2023基层卫生人才能力提升培训项目实施方案的通知》文件精神，加强卫生健康人才培训力度，完成乡村医生规范化培训。</w:t>
      </w:r>
    </w:p>
    <w:p>
      <w:pPr>
        <w:adjustRightInd w:val="0"/>
        <w:snapToGrid w:val="0"/>
        <w:spacing w:line="560" w:lineRule="exact"/>
        <w:ind w:firstLine="720"/>
        <w:rPr>
          <w:rFonts w:eastAsia="楷体_GB2312"/>
          <w:b/>
          <w:lang w:val="zh-CN"/>
        </w:rPr>
      </w:pPr>
      <w:r>
        <w:rPr>
          <w:rFonts w:eastAsia="楷体_GB2312"/>
          <w:b/>
          <w:lang w:val="zh-CN"/>
        </w:rPr>
        <w:t>（一）项目资金申报及批复情况。</w:t>
      </w:r>
    </w:p>
    <w:p>
      <w:pPr>
        <w:adjustRightInd w:val="0"/>
        <w:snapToGrid w:val="0"/>
        <w:spacing w:line="560" w:lineRule="exact"/>
        <w:ind w:firstLine="680" w:firstLineChars="200"/>
      </w:pPr>
      <w:r>
        <w:rPr>
          <w:spacing w:val="10"/>
        </w:rPr>
        <w:t>1.按照《四川省社区医养服务中心建设指南(试行)》设置要求进行项目申报</w:t>
      </w:r>
      <w:r>
        <w:rPr>
          <w:lang w:val="zh-CN"/>
        </w:rPr>
        <w:t>，由</w:t>
      </w:r>
      <w:r>
        <w:t>攀枝花市西区</w:t>
      </w:r>
      <w:r>
        <w:rPr>
          <w:lang w:val="zh-CN"/>
        </w:rPr>
        <w:t>格里坪镇卫生院向区卫生健康局提交</w:t>
      </w:r>
      <w:r>
        <w:rPr>
          <w:spacing w:val="10"/>
        </w:rPr>
        <w:t>项目申报报告，由</w:t>
      </w:r>
      <w:r>
        <w:t>市卫生健康委向省卫生健康委申报。</w:t>
      </w:r>
    </w:p>
    <w:p>
      <w:pPr>
        <w:adjustRightInd w:val="0"/>
        <w:snapToGrid w:val="0"/>
        <w:spacing w:line="560" w:lineRule="exact"/>
        <w:ind w:firstLine="680" w:firstLineChars="200"/>
      </w:pPr>
      <w:r>
        <w:rPr>
          <w:spacing w:val="10"/>
        </w:rPr>
        <w:t>根据《</w:t>
      </w:r>
      <w:r>
        <w:t xml:space="preserve">四川省卫生健康委 </w:t>
      </w:r>
      <w:r>
        <w:rPr>
          <w:spacing w:val="10"/>
        </w:rPr>
        <w:t>关于印发2022年四川省社区医养服务能力提升项目实施方案的通知》(川卫老龄函〔2022〕139号)文件，批准拨付攀枝花市西区格里坪镇卫生院</w:t>
      </w:r>
      <w:r>
        <w:t>医养服务中心</w:t>
      </w:r>
      <w:r>
        <w:rPr>
          <w:spacing w:val="10"/>
        </w:rPr>
        <w:t>建设项目100万元，由于资金紧张，2022年拨付40万元，2023年拨付结余60万元用于项目建设</w:t>
      </w:r>
      <w:r>
        <w:t>。</w:t>
      </w:r>
    </w:p>
    <w:p>
      <w:pPr>
        <w:adjustRightInd w:val="0"/>
        <w:spacing w:line="353" w:lineRule="auto"/>
        <w:ind w:firstLine="720"/>
        <w:contextualSpacing/>
        <w:rPr>
          <w:rFonts w:eastAsia="楷体_GB2312"/>
          <w:b/>
          <w:lang w:val="zh-CN"/>
        </w:rPr>
      </w:pPr>
      <w:r>
        <w:t>2.</w:t>
      </w:r>
      <w:r>
        <w:rPr>
          <w:lang w:val="zh-CN"/>
        </w:rPr>
        <w:t>202</w:t>
      </w:r>
      <w:r>
        <w:t>3</w:t>
      </w:r>
      <w:r>
        <w:rPr>
          <w:lang w:val="zh-CN"/>
        </w:rPr>
        <w:t>年共收到医疗服务与保障能力提升中央资金</w:t>
      </w:r>
      <w:r>
        <w:t>0.36</w:t>
      </w:r>
      <w:r>
        <w:rPr>
          <w:lang w:val="zh-CN"/>
        </w:rPr>
        <w:t>万元，符合资金管理办法等相关规定。</w:t>
      </w:r>
    </w:p>
    <w:p>
      <w:pPr>
        <w:numPr>
          <w:ilvl w:val="0"/>
          <w:numId w:val="2"/>
        </w:numPr>
        <w:adjustRightInd w:val="0"/>
        <w:spacing w:line="560" w:lineRule="exact"/>
        <w:ind w:firstLine="720"/>
        <w:contextualSpacing/>
        <w:rPr>
          <w:rFonts w:eastAsia="楷体_GB2312"/>
          <w:b/>
          <w:lang w:val="zh-CN"/>
        </w:rPr>
      </w:pPr>
      <w:r>
        <w:rPr>
          <w:rFonts w:eastAsia="楷体_GB2312"/>
          <w:b/>
          <w:lang w:val="zh-CN"/>
        </w:rPr>
        <w:t>项目绩效目标。</w:t>
      </w:r>
    </w:p>
    <w:p>
      <w:pPr>
        <w:pStyle w:val="2"/>
        <w:ind w:firstLine="640"/>
        <w:contextualSpacing/>
        <w:rPr>
          <w:lang w:val="zh-CN"/>
        </w:rPr>
      </w:pPr>
      <w:r>
        <w:rPr>
          <w:lang w:val="zh-CN"/>
        </w:rPr>
        <w:t>1.紧紧围绕省卫生健康委员会确定的社区医养服务中心建设要求，根据老年人的身心特点和安全要求，以卫生、经济、环保的原则对环境布局、业务用房、生活用房、养护服务区域进行分区合规、流程合理、院感可控进行打造。为老年人提供医疗、护理、中医药保健、生活照料等服务。以推进医疗卫生和养老服务融合发展，使社区居民能够就近享受医疗、康复、健康体检、养老等各项医养服务，提升了辖区部分老年人的生活质量，实现以医带养、以养促医、医养结合的工作目标。</w:t>
      </w:r>
    </w:p>
    <w:p>
      <w:pPr>
        <w:pStyle w:val="2"/>
        <w:ind w:firstLine="640"/>
        <w:rPr>
          <w:lang w:val="zh-CN"/>
        </w:rPr>
      </w:pPr>
      <w:r>
        <w:rPr>
          <w:lang w:val="zh-CN"/>
        </w:rPr>
        <w:t>2. 支持基层医疗卫生机构</w:t>
      </w:r>
      <w:r>
        <w:t>能力提升，</w:t>
      </w:r>
      <w:r>
        <w:rPr>
          <w:lang w:val="zh-CN"/>
        </w:rPr>
        <w:t>加强卫生健康人才培养培训力度，进一步提高基层卫生人员对常见病、多发病的诊疗能力以及实操能力，不断提高群众的获得感和满意度。</w:t>
      </w:r>
    </w:p>
    <w:p>
      <w:pPr>
        <w:numPr>
          <w:ilvl w:val="0"/>
          <w:numId w:val="2"/>
        </w:numPr>
        <w:adjustRightInd w:val="0"/>
        <w:snapToGrid w:val="0"/>
        <w:spacing w:line="560" w:lineRule="exact"/>
        <w:ind w:firstLine="720"/>
        <w:rPr>
          <w:rFonts w:eastAsia="楷体_GB2312"/>
          <w:b/>
          <w:lang w:val="zh-CN"/>
        </w:rPr>
      </w:pPr>
      <w:r>
        <w:rPr>
          <w:rFonts w:eastAsia="楷体_GB2312"/>
          <w:b/>
          <w:lang w:val="zh-CN"/>
        </w:rPr>
        <w:t>项目资金申报相符性。</w:t>
      </w:r>
    </w:p>
    <w:p>
      <w:pPr>
        <w:adjustRightInd w:val="0"/>
        <w:spacing w:line="560" w:lineRule="exact"/>
        <w:ind w:firstLine="640" w:firstLineChars="200"/>
        <w:contextualSpacing/>
        <w:rPr>
          <w:lang w:val="zh-CN"/>
        </w:rPr>
      </w:pPr>
      <w:r>
        <w:rPr>
          <w:lang w:val="zh-CN"/>
        </w:rPr>
        <w:t>1.社区</w:t>
      </w:r>
      <w:r>
        <w:rPr>
          <w:spacing w:val="10"/>
        </w:rPr>
        <w:t>医养服务中心建设</w:t>
      </w:r>
      <w:r>
        <w:rPr>
          <w:lang w:val="zh-CN"/>
        </w:rPr>
        <w:t>与具体实施内容一致，目标合理可行。</w:t>
      </w:r>
    </w:p>
    <w:p>
      <w:pPr>
        <w:adjustRightInd w:val="0"/>
        <w:spacing w:line="353" w:lineRule="auto"/>
        <w:ind w:firstLine="640" w:firstLineChars="200"/>
        <w:contextualSpacing/>
        <w:rPr>
          <w:lang w:val="zh-CN"/>
        </w:rPr>
      </w:pPr>
      <w:r>
        <w:rPr>
          <w:lang w:val="zh-CN"/>
        </w:rPr>
        <w:t>2.医疗服务与能力提升项目资金申报内容与具体实施内容相符，申报目标合理可行。</w:t>
      </w:r>
    </w:p>
    <w:p>
      <w:pPr>
        <w:adjustRightInd w:val="0"/>
        <w:spacing w:line="560" w:lineRule="exact"/>
        <w:ind w:firstLine="720"/>
        <w:contextualSpacing/>
        <w:rPr>
          <w:rFonts w:eastAsia="黑体"/>
        </w:rPr>
      </w:pPr>
      <w:r>
        <w:rPr>
          <w:rFonts w:eastAsia="黑体"/>
        </w:rPr>
        <w:t>二、项目实施及管理情况</w:t>
      </w:r>
    </w:p>
    <w:p>
      <w:pPr>
        <w:adjustRightInd w:val="0"/>
        <w:snapToGrid w:val="0"/>
        <w:spacing w:line="560" w:lineRule="exact"/>
        <w:ind w:firstLine="720"/>
        <w:rPr>
          <w:rFonts w:eastAsia="楷体_GB2312"/>
          <w:b/>
          <w:lang w:val="zh-CN"/>
        </w:rPr>
      </w:pPr>
      <w:r>
        <w:rPr>
          <w:lang w:val="zh-CN"/>
        </w:rPr>
        <w:tab/>
      </w:r>
      <w:r>
        <w:rPr>
          <w:rFonts w:eastAsia="楷体_GB2312"/>
          <w:b/>
          <w:lang w:val="zh-CN"/>
        </w:rPr>
        <w:t>（一）资金计划、到位及使用情况。</w:t>
      </w:r>
    </w:p>
    <w:p>
      <w:pPr>
        <w:adjustRightInd w:val="0"/>
        <w:snapToGrid w:val="0"/>
        <w:spacing w:line="560" w:lineRule="exact"/>
        <w:ind w:firstLine="640" w:firstLineChars="200"/>
      </w:pPr>
      <w:r>
        <w:rPr>
          <w:rFonts w:eastAsia="楷体_GB2312"/>
          <w:lang w:val="zh-CN"/>
        </w:rPr>
        <w:t>1．资金计划及到位。</w:t>
      </w:r>
      <w:r>
        <w:t>按照</w:t>
      </w:r>
      <w:r>
        <w:rPr>
          <w:spacing w:val="10"/>
        </w:rPr>
        <w:t>《</w:t>
      </w:r>
      <w:r>
        <w:t xml:space="preserve">四川省卫生健康委 </w:t>
      </w:r>
      <w:r>
        <w:rPr>
          <w:spacing w:val="10"/>
        </w:rPr>
        <w:t>关于印发2022年四川省社区医养服务能力提升项目实施方案的通知》(川卫老龄函〔2022〕139号)文件要求拨付100万元省级资金用于西区格里坪镇卫生院</w:t>
      </w:r>
      <w:r>
        <w:t>医养服务中心</w:t>
      </w:r>
      <w:r>
        <w:rPr>
          <w:spacing w:val="10"/>
        </w:rPr>
        <w:t>建设，</w:t>
      </w:r>
      <w:r>
        <w:t xml:space="preserve"> 2022年12月拨付40万元、2023年7月拨付60万元，资金拨付率100%。</w:t>
      </w:r>
    </w:p>
    <w:p>
      <w:pPr>
        <w:adjustRightInd w:val="0"/>
        <w:snapToGrid w:val="0"/>
        <w:spacing w:line="560" w:lineRule="exact"/>
        <w:ind w:firstLine="640" w:firstLineChars="200"/>
      </w:pPr>
      <w:r>
        <w:t>乡村医生规范化培训已到位资金</w:t>
      </w:r>
      <w:r>
        <w:rPr>
          <w:kern w:val="0"/>
        </w:rPr>
        <w:t>0.36万元，</w:t>
      </w:r>
      <w:r>
        <w:rPr>
          <w:lang w:val="zh-CN"/>
        </w:rPr>
        <w:t>全部为中央资金。</w:t>
      </w:r>
    </w:p>
    <w:p>
      <w:pPr>
        <w:pStyle w:val="2"/>
        <w:ind w:firstLine="640" w:firstLineChars="200"/>
      </w:pPr>
      <w:r>
        <w:rPr>
          <w:rFonts w:eastAsia="楷体_GB2312"/>
          <w:lang w:val="zh-CN"/>
        </w:rPr>
        <w:t>2．资金使用。</w:t>
      </w:r>
      <w:r>
        <w:rPr>
          <w:lang w:val="zh-CN"/>
        </w:rPr>
        <w:t>按照“四川省社区医养服务中心建设指南要求”对室内医养用房、附属设施等建设</w:t>
      </w:r>
      <w:r>
        <w:t>改造工程款81.6万元，医养房间床上用品购置6.99万元、医养医疗康复设备购置11.41万元。已拨付资金100万元，已100%全额支出。</w:t>
      </w:r>
    </w:p>
    <w:p>
      <w:pPr>
        <w:spacing w:line="353" w:lineRule="auto"/>
        <w:ind w:firstLine="640" w:firstLineChars="200"/>
        <w:contextualSpacing/>
        <w:outlineLvl w:val="0"/>
        <w:rPr>
          <w:lang w:val="zh-CN"/>
        </w:rPr>
      </w:pPr>
      <w:r>
        <w:t>乡村医生规范化培训资金实际支出0.36万元，经费已全部划拨给攀枝花市第二人民医院，</w:t>
      </w:r>
      <w:r>
        <w:rPr>
          <w:lang w:val="zh-CN"/>
        </w:rPr>
        <w:t>支付进度100%。</w:t>
      </w:r>
    </w:p>
    <w:p>
      <w:pPr>
        <w:adjustRightInd w:val="0"/>
        <w:spacing w:line="560" w:lineRule="exact"/>
        <w:ind w:firstLine="643" w:firstLineChars="200"/>
        <w:contextualSpacing/>
        <w:rPr>
          <w:rFonts w:eastAsia="楷体_GB2312"/>
          <w:b/>
          <w:lang w:val="zh-CN"/>
        </w:rPr>
      </w:pPr>
      <w:r>
        <w:rPr>
          <w:rFonts w:eastAsia="楷体_GB2312"/>
          <w:b/>
          <w:lang w:val="zh-CN"/>
        </w:rPr>
        <w:t>（二）项目财务管理情况。</w:t>
      </w:r>
    </w:p>
    <w:p>
      <w:pPr>
        <w:pStyle w:val="2"/>
        <w:ind w:firstLine="640" w:firstLineChars="200"/>
        <w:rPr>
          <w:lang w:val="zh-CN"/>
        </w:rPr>
      </w:pPr>
      <w:r>
        <w:t>资金支付按照合同约定对已完成施工项目支付进度款、所采购物资验收后，按照资金支付审核流程完成支付。</w:t>
      </w:r>
    </w:p>
    <w:p>
      <w:pPr>
        <w:adjustRightInd w:val="0"/>
        <w:snapToGrid w:val="0"/>
        <w:spacing w:line="560" w:lineRule="exact"/>
        <w:ind w:firstLine="720"/>
        <w:rPr>
          <w:rFonts w:eastAsia="楷体_GB2312"/>
          <w:b/>
          <w:lang w:val="zh-CN"/>
        </w:rPr>
      </w:pPr>
      <w:r>
        <w:rPr>
          <w:rFonts w:eastAsia="楷体_GB2312"/>
          <w:b/>
          <w:lang w:val="zh-CN"/>
        </w:rPr>
        <w:t>（三）项目组织实施情况。</w:t>
      </w:r>
    </w:p>
    <w:p>
      <w:pPr>
        <w:adjustRightInd w:val="0"/>
        <w:snapToGrid w:val="0"/>
        <w:spacing w:line="560" w:lineRule="exact"/>
        <w:ind w:firstLine="720"/>
        <w:rPr>
          <w:lang w:val="zh-CN"/>
        </w:rPr>
      </w:pPr>
      <w:r>
        <w:t>项目实施方案和资金使用已通过卫生院理事会审议，因该项目资金使用未在政府采购目录中，采购项目由物资招标采购评审小组对物资采购和环境改造招标项目进行评审。</w:t>
      </w:r>
    </w:p>
    <w:p>
      <w:pPr>
        <w:adjustRightInd w:val="0"/>
        <w:snapToGrid w:val="0"/>
        <w:spacing w:line="560" w:lineRule="exact"/>
        <w:ind w:firstLine="720"/>
        <w:rPr>
          <w:lang w:val="zh-CN"/>
        </w:rPr>
      </w:pPr>
      <w:r>
        <w:rPr>
          <w:rFonts w:eastAsia="黑体"/>
        </w:rPr>
        <w:t>三、项目绩效情况</w:t>
      </w:r>
      <w:r>
        <w:rPr>
          <w:lang w:val="zh-CN"/>
        </w:rPr>
        <w:tab/>
      </w:r>
    </w:p>
    <w:p>
      <w:pPr>
        <w:adjustRightInd w:val="0"/>
        <w:snapToGrid w:val="0"/>
        <w:spacing w:line="560" w:lineRule="exact"/>
        <w:ind w:firstLine="720"/>
        <w:rPr>
          <w:rFonts w:eastAsia="楷体_GB2312"/>
          <w:b/>
          <w:lang w:val="zh-CN"/>
        </w:rPr>
      </w:pPr>
      <w:r>
        <w:rPr>
          <w:rFonts w:eastAsia="楷体_GB2312"/>
          <w:b/>
          <w:lang w:val="zh-CN"/>
        </w:rPr>
        <w:t>（一）项目完成情况。</w:t>
      </w:r>
    </w:p>
    <w:p>
      <w:pPr>
        <w:adjustRightInd w:val="0"/>
        <w:snapToGrid w:val="0"/>
        <w:spacing w:line="560" w:lineRule="exact"/>
        <w:ind w:firstLine="720"/>
        <w:rPr>
          <w:rFonts w:eastAsia="楷体_GB2312"/>
          <w:b/>
          <w:lang w:val="zh-CN"/>
        </w:rPr>
      </w:pPr>
      <w:r>
        <w:rPr>
          <w:b/>
          <w:bCs/>
        </w:rPr>
        <w:t>1.目前已完成医养中心项目建设工作：</w:t>
      </w:r>
    </w:p>
    <w:p>
      <w:pPr>
        <w:pStyle w:val="2"/>
        <w:ind w:firstLine="643" w:firstLineChars="200"/>
      </w:pPr>
      <w:r>
        <w:rPr>
          <w:b/>
          <w:bCs/>
        </w:rPr>
        <w:t>（1）室外医养中心运动环境改造</w:t>
      </w:r>
      <w:r>
        <w:t>：绿化场地树木移栽，土方回填1200立方，场地平整1400平方；无障碍停车场场地平整外运土方1300立方，挡墙及基础75平方，地平夯实960平，废水池拆除建渣外运，人行道及梯步修建，完成率100%。</w:t>
      </w:r>
    </w:p>
    <w:p>
      <w:pPr>
        <w:pStyle w:val="2"/>
        <w:ind w:firstLine="643" w:firstLineChars="200"/>
      </w:pPr>
      <w:r>
        <w:rPr>
          <w:b/>
          <w:bCs/>
        </w:rPr>
        <w:t>（2）室内医养中心房间设施建设：</w:t>
      </w:r>
      <w:r>
        <w:t>医养房间电源设施排查、清洗间修建、康复运动室、配餐室、多功能会议室等打造，完成率100%。</w:t>
      </w:r>
    </w:p>
    <w:p>
      <w:pPr>
        <w:pStyle w:val="2"/>
        <w:ind w:firstLine="643" w:firstLineChars="200"/>
        <w:contextualSpacing/>
      </w:pPr>
      <w:r>
        <w:rPr>
          <w:b/>
          <w:bCs/>
        </w:rPr>
        <w:t>（3）医养中心物资采购：</w:t>
      </w:r>
      <w:r>
        <w:t>购置褥垫、褥芯、夏凉被、三件套等床上用品，完成100%。购置中医体质辨识仪、电子套筒式血压仪、抢救转运车、急救推车、治疗车、理疗仪等，完成率100%。</w:t>
      </w:r>
    </w:p>
    <w:p>
      <w:pPr>
        <w:pStyle w:val="2"/>
        <w:ind w:firstLine="643" w:firstLineChars="200"/>
        <w:contextualSpacing/>
        <w:rPr>
          <w:lang w:val="zh-CN"/>
        </w:rPr>
      </w:pPr>
      <w:r>
        <w:rPr>
          <w:b/>
          <w:bCs/>
        </w:rPr>
        <w:t>2.</w:t>
      </w:r>
      <w:r>
        <w:t>严格按照《攀枝花市卫生健康委员会 关于印发攀枝花市2023基层卫生人才能力提升培训项目实施方案的通知》文件精神，</w:t>
      </w:r>
      <w:r>
        <w:rPr>
          <w:lang w:val="zh-CN"/>
        </w:rPr>
        <w:t>开展</w:t>
      </w:r>
      <w:r>
        <w:t>基层卫生人才</w:t>
      </w:r>
      <w:r>
        <w:rPr>
          <w:lang w:val="zh-CN"/>
        </w:rPr>
        <w:t>人员培训、</w:t>
      </w:r>
      <w:r>
        <w:t>提高</w:t>
      </w:r>
      <w:r>
        <w:rPr>
          <w:lang w:val="zh-CN"/>
        </w:rPr>
        <w:t>技术服务</w:t>
      </w:r>
      <w:r>
        <w:t xml:space="preserve">。  </w:t>
      </w:r>
    </w:p>
    <w:p>
      <w:pPr>
        <w:adjustRightInd w:val="0"/>
        <w:spacing w:line="560" w:lineRule="exact"/>
        <w:ind w:firstLine="720"/>
        <w:contextualSpacing/>
        <w:rPr>
          <w:rFonts w:eastAsia="楷体_GB2312"/>
          <w:b/>
          <w:lang w:val="zh-CN"/>
        </w:rPr>
      </w:pPr>
      <w:r>
        <w:rPr>
          <w:rFonts w:eastAsia="楷体_GB2312"/>
          <w:b/>
          <w:lang w:val="zh-CN"/>
        </w:rPr>
        <w:t>（二）项目效益情况。</w:t>
      </w:r>
    </w:p>
    <w:p>
      <w:pPr>
        <w:adjustRightInd w:val="0"/>
        <w:snapToGrid w:val="0"/>
        <w:spacing w:line="560" w:lineRule="exact"/>
        <w:ind w:firstLine="720"/>
        <w:rPr>
          <w:lang w:val="zh-CN"/>
        </w:rPr>
      </w:pPr>
      <w:r>
        <w:rPr>
          <w:lang w:val="zh-CN"/>
        </w:rPr>
        <w:t>通过医养服务中心硬件设施的改造、服务水平的提升，为辖区老年人提供更全面、更优质的服务，为老年人提供健康、舒适、温馨、安全的养老环境，使他们老有所养、老有所医。</w:t>
      </w:r>
    </w:p>
    <w:p>
      <w:pPr>
        <w:adjustRightInd w:val="0"/>
        <w:snapToGrid w:val="0"/>
        <w:spacing w:line="560" w:lineRule="exact"/>
        <w:ind w:firstLine="720"/>
        <w:rPr>
          <w:rFonts w:eastAsia="黑体"/>
        </w:rPr>
      </w:pPr>
      <w:r>
        <w:rPr>
          <w:rFonts w:eastAsia="黑体"/>
        </w:rPr>
        <w:t>四、问题及建议</w:t>
      </w:r>
    </w:p>
    <w:p>
      <w:pPr>
        <w:adjustRightInd w:val="0"/>
        <w:snapToGrid w:val="0"/>
        <w:spacing w:line="560" w:lineRule="exact"/>
        <w:ind w:firstLine="720"/>
        <w:rPr>
          <w:rFonts w:eastAsia="楷体_GB2312"/>
          <w:b/>
          <w:lang w:val="zh-CN"/>
        </w:rPr>
      </w:pPr>
      <w:r>
        <w:rPr>
          <w:rFonts w:eastAsia="楷体_GB2312"/>
          <w:b/>
          <w:lang w:val="zh-CN"/>
        </w:rPr>
        <w:t>（一）存在的问题。</w:t>
      </w:r>
    </w:p>
    <w:p>
      <w:pPr>
        <w:pStyle w:val="2"/>
        <w:ind w:firstLine="960" w:firstLineChars="300"/>
        <w:rPr>
          <w:bCs/>
          <w:lang w:val="zh-CN"/>
        </w:rPr>
      </w:pPr>
      <w:r>
        <w:rPr>
          <w:lang w:val="zh-CN"/>
        </w:rPr>
        <w:t>无</w:t>
      </w:r>
    </w:p>
    <w:p>
      <w:pPr>
        <w:numPr>
          <w:ilvl w:val="0"/>
          <w:numId w:val="3"/>
        </w:numPr>
        <w:adjustRightInd w:val="0"/>
        <w:snapToGrid w:val="0"/>
        <w:spacing w:line="560" w:lineRule="exact"/>
        <w:ind w:firstLine="720"/>
        <w:rPr>
          <w:rFonts w:eastAsia="楷体_GB2312"/>
          <w:b/>
          <w:lang w:val="zh-CN"/>
        </w:rPr>
      </w:pPr>
      <w:r>
        <w:rPr>
          <w:rFonts w:eastAsia="楷体_GB2312"/>
          <w:b/>
          <w:lang w:val="zh-CN"/>
        </w:rPr>
        <w:t>相关建议。</w:t>
      </w:r>
    </w:p>
    <w:p>
      <w:pPr>
        <w:adjustRightInd w:val="0"/>
        <w:snapToGrid w:val="0"/>
        <w:spacing w:line="560" w:lineRule="exact"/>
        <w:ind w:left="720" w:firstLine="320" w:firstLineChars="100"/>
        <w:rPr>
          <w:rFonts w:eastAsia="楷体_GB2312"/>
          <w:b/>
          <w:lang w:val="zh-CN"/>
        </w:rPr>
      </w:pPr>
      <w:r>
        <w:rPr>
          <w:lang w:val="zh-CN"/>
        </w:rPr>
        <w:t>无</w:t>
      </w:r>
    </w:p>
    <w:p>
      <w:pPr>
        <w:adjustRightInd w:val="0"/>
        <w:snapToGrid w:val="0"/>
        <w:spacing w:line="560" w:lineRule="exact"/>
        <w:ind w:firstLine="720"/>
      </w:pPr>
    </w:p>
    <w:p>
      <w:pPr>
        <w:pStyle w:val="9"/>
        <w:spacing w:line="560" w:lineRule="exact"/>
        <w:jc w:val="cente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54829"/>
    <w:multiLevelType w:val="singleLevel"/>
    <w:tmpl w:val="86054829"/>
    <w:lvl w:ilvl="0" w:tentative="0">
      <w:start w:val="2"/>
      <w:numFmt w:val="chineseCounting"/>
      <w:suff w:val="nothing"/>
      <w:lvlText w:val="（%1）"/>
      <w:lvlJc w:val="left"/>
      <w:rPr>
        <w:rFonts w:hint="eastAsia"/>
      </w:rPr>
    </w:lvl>
  </w:abstractNum>
  <w:abstractNum w:abstractNumId="1">
    <w:nsid w:val="C13D88A7"/>
    <w:multiLevelType w:val="singleLevel"/>
    <w:tmpl w:val="C13D88A7"/>
    <w:lvl w:ilvl="0" w:tentative="0">
      <w:start w:val="2"/>
      <w:numFmt w:val="chineseCounting"/>
      <w:suff w:val="nothing"/>
      <w:lvlText w:val="（%1）"/>
      <w:lvlJc w:val="left"/>
      <w:rPr>
        <w:rFonts w:hint="eastAsia"/>
      </w:rPr>
    </w:lvl>
  </w:abstractNum>
  <w:abstractNum w:abstractNumId="2">
    <w:nsid w:val="14DF5CE4"/>
    <w:multiLevelType w:val="singleLevel"/>
    <w:tmpl w:val="14DF5CE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0302A7"/>
    <w:rsid w:val="00053EEB"/>
    <w:rsid w:val="00166E7A"/>
    <w:rsid w:val="001B0C8F"/>
    <w:rsid w:val="0026310D"/>
    <w:rsid w:val="002D7850"/>
    <w:rsid w:val="00323923"/>
    <w:rsid w:val="003323E3"/>
    <w:rsid w:val="003414A3"/>
    <w:rsid w:val="0040175C"/>
    <w:rsid w:val="00470153"/>
    <w:rsid w:val="005003C3"/>
    <w:rsid w:val="00502C96"/>
    <w:rsid w:val="00515A0C"/>
    <w:rsid w:val="00657890"/>
    <w:rsid w:val="0079354D"/>
    <w:rsid w:val="00866E99"/>
    <w:rsid w:val="00A038E5"/>
    <w:rsid w:val="00A07C55"/>
    <w:rsid w:val="00A21E8C"/>
    <w:rsid w:val="00AB67C9"/>
    <w:rsid w:val="00AC526B"/>
    <w:rsid w:val="00AF269B"/>
    <w:rsid w:val="00AF6197"/>
    <w:rsid w:val="00B53214"/>
    <w:rsid w:val="00C20928"/>
    <w:rsid w:val="00CD0F5F"/>
    <w:rsid w:val="00D85E27"/>
    <w:rsid w:val="00D936CC"/>
    <w:rsid w:val="00DB3783"/>
    <w:rsid w:val="00E800FC"/>
    <w:rsid w:val="00FB0A74"/>
    <w:rsid w:val="0EDB478C"/>
    <w:rsid w:val="274D3E1C"/>
    <w:rsid w:val="291C455A"/>
    <w:rsid w:val="36926D0C"/>
    <w:rsid w:val="4A091ED0"/>
    <w:rsid w:val="4DAF2BCF"/>
    <w:rsid w:val="4DDB6F66"/>
    <w:rsid w:val="6F50054F"/>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Plain Text"/>
    <w:basedOn w:val="1"/>
    <w:link w:val="12"/>
    <w:qFormat/>
    <w:uiPriority w:val="0"/>
    <w:rPr>
      <w:rFonts w:ascii="宋体" w:hAnsi="Courier New" w:cs="Courier New"/>
      <w:szCs w:val="21"/>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四号正文"/>
    <w:basedOn w:val="1"/>
    <w:qFormat/>
    <w:uiPriority w:val="0"/>
    <w:pPr>
      <w:spacing w:line="360" w:lineRule="auto"/>
    </w:pPr>
    <w:rPr>
      <w:rFonts w:ascii="??" w:hAnsi="??" w:eastAsia="宋体"/>
      <w:color w:val="000000"/>
      <w:kern w:val="0"/>
      <w:sz w:val="28"/>
      <w:szCs w:val="21"/>
      <w:lang w:val="zh-CN"/>
    </w:rPr>
  </w:style>
  <w:style w:type="character" w:customStyle="1" w:styleId="10">
    <w:name w:val="页眉 字符"/>
    <w:basedOn w:val="7"/>
    <w:link w:val="5"/>
    <w:qFormat/>
    <w:uiPriority w:val="0"/>
    <w:rPr>
      <w:rFonts w:ascii="Times New Roman" w:hAnsi="Times New Roman" w:eastAsia="仿宋_GB2312" w:cs="Times New Roman"/>
      <w:kern w:val="2"/>
      <w:sz w:val="18"/>
      <w:szCs w:val="18"/>
    </w:rPr>
  </w:style>
  <w:style w:type="character" w:customStyle="1" w:styleId="11">
    <w:name w:val="页脚 字符"/>
    <w:basedOn w:val="7"/>
    <w:link w:val="4"/>
    <w:qFormat/>
    <w:uiPriority w:val="0"/>
    <w:rPr>
      <w:rFonts w:ascii="Times New Roman" w:hAnsi="Times New Roman" w:eastAsia="仿宋_GB2312" w:cs="Times New Roman"/>
      <w:kern w:val="2"/>
      <w:sz w:val="18"/>
      <w:szCs w:val="18"/>
    </w:rPr>
  </w:style>
  <w:style w:type="character" w:customStyle="1" w:styleId="12">
    <w:name w:val="纯文本 字符"/>
    <w:basedOn w:val="7"/>
    <w:link w:val="3"/>
    <w:qFormat/>
    <w:uiPriority w:val="0"/>
    <w:rPr>
      <w:rFonts w:ascii="宋体" w:hAnsi="Courier New" w:eastAsia="仿宋_GB2312" w:cs="Courier New"/>
      <w:kern w:val="2"/>
      <w:sz w:val="32"/>
      <w:szCs w:val="21"/>
    </w:rPr>
  </w:style>
  <w:style w:type="paragraph" w:customStyle="1" w:styleId="13">
    <w:name w:val="列出段落1"/>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874</Words>
  <Characters>4986</Characters>
  <Lines>41</Lines>
  <Paragraphs>11</Paragraphs>
  <TotalTime>69</TotalTime>
  <ScaleCrop>false</ScaleCrop>
  <LinksUpToDate>false</LinksUpToDate>
  <CharactersWithSpaces>5849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杨馨</cp:lastModifiedBy>
  <cp:lastPrinted>2024-05-30T07:39:00Z</cp:lastPrinted>
  <dcterms:modified xsi:type="dcterms:W3CDTF">2024-05-31T09:47:02Z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A67A0F40A37E44B3BEDEC024FCC26567_12</vt:lpwstr>
  </property>
</Properties>
</file>