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hint="default" w:ascii="Times New Roman" w:hAnsi="Times New Roman" w:eastAsia="方正小标宋简体" w:cs="Times New Roman"/>
          <w:sz w:val="72"/>
          <w:szCs w:val="72"/>
        </w:rPr>
      </w:pPr>
      <w:bookmarkStart w:id="0" w:name="_Toc15377193"/>
      <w:bookmarkStart w:id="1" w:name="_Toc15396597"/>
      <w:bookmarkStart w:id="2" w:name="_Toc15378441"/>
      <w:bookmarkStart w:id="3" w:name="_Toc15377425"/>
      <w:bookmarkStart w:id="4" w:name="_Toc15396475"/>
      <w:bookmarkStart w:id="5" w:name="_Toc15306267"/>
    </w:p>
    <w:p>
      <w:pPr>
        <w:adjustRightInd w:val="0"/>
        <w:snapToGrid w:val="0"/>
        <w:spacing w:line="360" w:lineRule="auto"/>
        <w:jc w:val="center"/>
        <w:outlineLvl w:val="0"/>
        <w:rPr>
          <w:rFonts w:hint="default" w:ascii="Times New Roman" w:hAnsi="Times New Roman" w:eastAsia="方正小标宋简体" w:cs="Times New Roman"/>
          <w:sz w:val="56"/>
          <w:szCs w:val="56"/>
        </w:rPr>
      </w:pPr>
    </w:p>
    <w:p>
      <w:pPr>
        <w:adjustRightInd w:val="0"/>
        <w:snapToGrid w:val="0"/>
        <w:spacing w:line="360" w:lineRule="auto"/>
        <w:jc w:val="center"/>
        <w:outlineLvl w:val="0"/>
        <w:rPr>
          <w:rFonts w:hint="default" w:ascii="Times New Roman" w:hAnsi="Times New Roman" w:eastAsia="方正小标宋简体" w:cs="Times New Roman"/>
          <w:sz w:val="56"/>
          <w:szCs w:val="56"/>
        </w:rPr>
      </w:pPr>
    </w:p>
    <w:p>
      <w:pPr>
        <w:adjustRightInd w:val="0"/>
        <w:snapToGrid w:val="0"/>
        <w:spacing w:line="360" w:lineRule="auto"/>
        <w:jc w:val="center"/>
        <w:outlineLvl w:val="0"/>
        <w:rPr>
          <w:rFonts w:hint="default" w:ascii="Times New Roman" w:hAnsi="Times New Roman" w:eastAsia="方正小标宋简体" w:cs="Times New Roman"/>
          <w:sz w:val="56"/>
          <w:szCs w:val="56"/>
        </w:rPr>
      </w:pPr>
    </w:p>
    <w:p>
      <w:pPr>
        <w:adjustRightInd w:val="0"/>
        <w:snapToGrid w:val="0"/>
        <w:spacing w:line="360" w:lineRule="auto"/>
        <w:jc w:val="center"/>
        <w:outlineLvl w:val="0"/>
        <w:rPr>
          <w:rFonts w:hint="default" w:ascii="Times New Roman" w:hAnsi="Times New Roman" w:eastAsia="方正小标宋简体" w:cs="Times New Roman"/>
          <w:sz w:val="56"/>
          <w:szCs w:val="56"/>
        </w:rPr>
      </w:pPr>
      <w:r>
        <w:rPr>
          <w:rFonts w:hint="default" w:ascii="Times New Roman" w:hAnsi="Times New Roman" w:eastAsia="方正小标宋简体" w:cs="Times New Roman"/>
          <w:sz w:val="56"/>
          <w:szCs w:val="56"/>
        </w:rPr>
        <w:t>2022年度</w:t>
      </w:r>
      <w:bookmarkEnd w:id="0"/>
      <w:bookmarkEnd w:id="1"/>
      <w:bookmarkEnd w:id="2"/>
      <w:bookmarkEnd w:id="3"/>
      <w:bookmarkEnd w:id="4"/>
    </w:p>
    <w:bookmarkEnd w:id="5"/>
    <w:p>
      <w:pPr>
        <w:adjustRightInd w:val="0"/>
        <w:snapToGrid w:val="0"/>
        <w:spacing w:line="360" w:lineRule="auto"/>
        <w:jc w:val="center"/>
        <w:outlineLvl w:val="0"/>
        <w:rPr>
          <w:rFonts w:hint="default" w:ascii="Times New Roman" w:hAnsi="Times New Roman" w:eastAsia="方正小标宋简体" w:cs="Times New Roman"/>
          <w:sz w:val="56"/>
          <w:szCs w:val="56"/>
        </w:rPr>
      </w:pPr>
      <w:bookmarkStart w:id="6" w:name="_Toc15377426"/>
      <w:bookmarkStart w:id="7" w:name="_Toc15377194"/>
      <w:bookmarkStart w:id="8" w:name="_Toc15378442"/>
      <w:bookmarkStart w:id="9" w:name="_Toc15396598"/>
      <w:bookmarkStart w:id="10" w:name="_Toc15396476"/>
      <w:bookmarkStart w:id="11" w:name="_Toc15306268"/>
      <w:r>
        <w:rPr>
          <w:rFonts w:hint="default" w:ascii="Times New Roman" w:hAnsi="Times New Roman" w:eastAsia="方正小标宋简体" w:cs="Times New Roman"/>
          <w:sz w:val="56"/>
          <w:szCs w:val="56"/>
        </w:rPr>
        <w:t>攀枝花市西区商务局部门决算</w:t>
      </w:r>
      <w:bookmarkEnd w:id="6"/>
      <w:bookmarkEnd w:id="7"/>
      <w:bookmarkEnd w:id="8"/>
      <w:bookmarkEnd w:id="9"/>
      <w:bookmarkEnd w:id="10"/>
      <w:bookmarkEnd w:id="11"/>
    </w:p>
    <w:p>
      <w:pPr>
        <w:pStyle w:val="2"/>
        <w:rPr>
          <w:rFonts w:hint="default" w:ascii="Times New Roman" w:hAnsi="Times New Roman" w:eastAsia="方正小标宋简体" w:cs="Times New Roman"/>
          <w:lang w:val="en-US" w:eastAsia="zh-CN"/>
        </w:rPr>
      </w:pPr>
      <w:r>
        <w:rPr>
          <w:rFonts w:hint="default" w:ascii="Times New Roman" w:hAnsi="Times New Roman" w:eastAsia="方正小标宋简体" w:cs="Times New Roman"/>
          <w:sz w:val="56"/>
          <w:szCs w:val="56"/>
          <w:lang w:val="en-US" w:eastAsia="zh-CN"/>
        </w:rPr>
        <w:t xml:space="preserve">           编制说明</w:t>
      </w:r>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2"/>
        <w:rPr>
          <w:rFonts w:hint="default" w:ascii="Times New Roman" w:hAnsi="Times New Roman" w:cs="Times New Roman"/>
        </w:rPr>
      </w:pPr>
      <w:r>
        <w:rPr>
          <w:rFonts w:hint="default" w:ascii="Times New Roman" w:hAnsi="Times New Roman" w:cs="Times New Roman"/>
        </w:rPr>
        <w:t>公开时间：2023年10月31日</w:t>
      </w:r>
    </w:p>
    <w:p>
      <w:pPr>
        <w:rPr>
          <w:rFonts w:hint="default" w:ascii="Times New Roman" w:hAnsi="Times New Roman" w:cs="Times New Roman"/>
        </w:rPr>
      </w:pPr>
    </w:p>
    <w:p>
      <w:pPr>
        <w:pStyle w:val="12"/>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第一部分部门概况</w:t>
      </w:r>
      <w:r>
        <w:rPr>
          <w:rFonts w:hint="default" w:ascii="Times New Roman" w:hAnsi="Times New Roman" w:cs="Times New Roman"/>
          <w:sz w:val="24"/>
        </w:rPr>
        <w:tab/>
      </w:r>
      <w:r>
        <w:rPr>
          <w:rFonts w:hint="default" w:ascii="Times New Roman" w:hAnsi="Times New Roman" w:cs="Times New Roman"/>
          <w:sz w:val="24"/>
          <w:szCs w:val="24"/>
        </w:rPr>
        <w:t>4</w:t>
      </w:r>
    </w:p>
    <w:p>
      <w:pPr>
        <w:pStyle w:val="13"/>
        <w:numPr>
          <w:ilvl w:val="0"/>
          <w:numId w:val="0"/>
        </w:numPr>
        <w:adjustRightInd w:val="0"/>
        <w:snapToGrid w:val="0"/>
        <w:spacing w:line="440" w:lineRule="exact"/>
        <w:ind w:left="420" w:leftChars="0"/>
        <w:jc w:val="left"/>
        <w:rPr>
          <w:rFonts w:hint="default" w:ascii="Times New Roman" w:hAnsi="Times New Roman" w:cs="Times New Roman"/>
          <w:sz w:val="24"/>
        </w:rPr>
      </w:pPr>
      <w:r>
        <w:rPr>
          <w:rFonts w:hint="default" w:ascii="Times New Roman" w:hAnsi="Times New Roman" w:cs="Times New Roman"/>
          <w:sz w:val="24"/>
          <w:lang w:eastAsia="zh-CN"/>
        </w:rPr>
        <w:t>一、</w:t>
      </w:r>
      <w:r>
        <w:rPr>
          <w:rFonts w:hint="default" w:ascii="Times New Roman" w:hAnsi="Times New Roman" w:cs="Times New Roman"/>
          <w:sz w:val="24"/>
        </w:rPr>
        <w:t>部门职责</w:t>
      </w:r>
      <w:r>
        <w:rPr>
          <w:rFonts w:hint="default" w:ascii="Times New Roman" w:hAnsi="Times New Roman" w:cs="Times New Roman"/>
          <w:sz w:val="24"/>
        </w:rPr>
        <w:tab/>
      </w:r>
      <w:r>
        <w:rPr>
          <w:rFonts w:hint="default" w:ascii="Times New Roman" w:hAnsi="Times New Roman" w:cs="Times New Roman"/>
          <w:sz w:val="24"/>
        </w:rPr>
        <w:t>4</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二、机构设置</w:t>
      </w:r>
      <w:r>
        <w:rPr>
          <w:rFonts w:hint="default" w:ascii="Times New Roman" w:hAnsi="Times New Roman" w:cs="Times New Roman"/>
          <w:sz w:val="24"/>
        </w:rPr>
        <w:tab/>
      </w:r>
      <w:r>
        <w:rPr>
          <w:rFonts w:hint="default" w:ascii="Times New Roman" w:hAnsi="Times New Roman" w:cs="Times New Roman"/>
          <w:sz w:val="24"/>
        </w:rPr>
        <w:t>5</w:t>
      </w:r>
    </w:p>
    <w:p>
      <w:pPr>
        <w:pStyle w:val="12"/>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第二部分 2022年度部门决算情况说明</w:t>
      </w:r>
      <w:r>
        <w:rPr>
          <w:rFonts w:hint="default" w:ascii="Times New Roman" w:hAnsi="Times New Roman" w:cs="Times New Roman"/>
          <w:sz w:val="24"/>
        </w:rPr>
        <w:tab/>
      </w:r>
      <w:r>
        <w:rPr>
          <w:rFonts w:hint="default" w:ascii="Times New Roman" w:hAnsi="Times New Roman" w:cs="Times New Roman"/>
          <w:sz w:val="24"/>
        </w:rPr>
        <w:t>6</w:t>
      </w:r>
    </w:p>
    <w:p>
      <w:pPr>
        <w:pStyle w:val="13"/>
        <w:numPr>
          <w:ilvl w:val="0"/>
          <w:numId w:val="0"/>
        </w:numPr>
        <w:adjustRightInd w:val="0"/>
        <w:snapToGrid w:val="0"/>
        <w:spacing w:line="440" w:lineRule="exact"/>
        <w:ind w:left="420" w:leftChars="0"/>
        <w:jc w:val="left"/>
        <w:rPr>
          <w:rFonts w:hint="default" w:ascii="Times New Roman" w:hAnsi="Times New Roman" w:cs="Times New Roman"/>
          <w:sz w:val="24"/>
        </w:rPr>
      </w:pPr>
      <w:r>
        <w:rPr>
          <w:rFonts w:hint="default" w:ascii="Times New Roman" w:hAnsi="Times New Roman" w:cs="Times New Roman"/>
          <w:sz w:val="24"/>
          <w:lang w:eastAsia="zh-CN"/>
        </w:rPr>
        <w:t>一、</w:t>
      </w:r>
      <w:r>
        <w:rPr>
          <w:rFonts w:hint="default" w:ascii="Times New Roman" w:hAnsi="Times New Roman" w:cs="Times New Roman"/>
          <w:sz w:val="24"/>
        </w:rPr>
        <w:t>收入支出决算总体情况说明</w:t>
      </w:r>
      <w:r>
        <w:rPr>
          <w:rFonts w:hint="default" w:ascii="Times New Roman" w:hAnsi="Times New Roman" w:cs="Times New Roman"/>
          <w:sz w:val="24"/>
        </w:rPr>
        <w:tab/>
      </w:r>
      <w:r>
        <w:rPr>
          <w:rFonts w:hint="default" w:ascii="Times New Roman" w:hAnsi="Times New Roman" w:cs="Times New Roman"/>
          <w:sz w:val="24"/>
        </w:rPr>
        <w:t>6</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二、收入决算情况说明</w:t>
      </w:r>
      <w:r>
        <w:rPr>
          <w:rFonts w:hint="default" w:ascii="Times New Roman" w:hAnsi="Times New Roman" w:cs="Times New Roman"/>
          <w:sz w:val="24"/>
        </w:rPr>
        <w:tab/>
      </w:r>
      <w:r>
        <w:rPr>
          <w:rFonts w:hint="default" w:ascii="Times New Roman" w:hAnsi="Times New Roman" w:cs="Times New Roman"/>
          <w:sz w:val="24"/>
        </w:rPr>
        <w:t>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三、支出决算情况说明</w:t>
      </w:r>
      <w:r>
        <w:rPr>
          <w:rFonts w:hint="default" w:ascii="Times New Roman" w:hAnsi="Times New Roman" w:cs="Times New Roman"/>
          <w:sz w:val="24"/>
        </w:rPr>
        <w:tab/>
      </w:r>
      <w:r>
        <w:rPr>
          <w:rFonts w:hint="default" w:ascii="Times New Roman" w:hAnsi="Times New Roman" w:cs="Times New Roman"/>
          <w:sz w:val="24"/>
        </w:rPr>
        <w:t>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四、财政拨款收入支出决算总体情况说明</w:t>
      </w:r>
      <w:r>
        <w:rPr>
          <w:rFonts w:hint="default" w:ascii="Times New Roman" w:hAnsi="Times New Roman" w:cs="Times New Roman"/>
          <w:sz w:val="24"/>
        </w:rPr>
        <w:tab/>
      </w:r>
      <w:r>
        <w:rPr>
          <w:rFonts w:hint="default" w:ascii="Times New Roman" w:hAnsi="Times New Roman" w:cs="Times New Roman"/>
          <w:sz w:val="24"/>
        </w:rPr>
        <w:t>8</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五、一般公共预算财政拨款支出决算情况说明</w:t>
      </w:r>
      <w:r>
        <w:rPr>
          <w:rFonts w:hint="default" w:ascii="Times New Roman" w:hAnsi="Times New Roman" w:cs="Times New Roman"/>
          <w:sz w:val="24"/>
        </w:rPr>
        <w:tab/>
      </w:r>
      <w:r>
        <w:rPr>
          <w:rFonts w:hint="default" w:ascii="Times New Roman" w:hAnsi="Times New Roman" w:cs="Times New Roman"/>
          <w:sz w:val="24"/>
        </w:rPr>
        <w:t>9</w:t>
      </w:r>
    </w:p>
    <w:p>
      <w:pPr>
        <w:pStyle w:val="13"/>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sz w:val="24"/>
        </w:rPr>
        <w:tab/>
      </w:r>
      <w:r>
        <w:rPr>
          <w:rFonts w:hint="default" w:ascii="Times New Roman" w:hAnsi="Times New Roman" w:cs="Times New Roman" w:eastAsiaTheme="minorEastAsia"/>
          <w:sz w:val="24"/>
        </w:rPr>
        <w:t>11</w:t>
      </w:r>
    </w:p>
    <w:p>
      <w:pPr>
        <w:pStyle w:val="13"/>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七、财政拨款“三公”经费财政拨款支出决算情况说明</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12</w:t>
      </w:r>
    </w:p>
    <w:p>
      <w:pPr>
        <w:pStyle w:val="13"/>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八、政府性基金预算支出决算情况说明 </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12</w:t>
      </w:r>
    </w:p>
    <w:p>
      <w:pPr>
        <w:pStyle w:val="13"/>
        <w:adjustRightInd w:val="0"/>
        <w:snapToGrid w:val="0"/>
        <w:spacing w:line="440" w:lineRule="exact"/>
        <w:ind w:leftChars="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九、国有资本经营预算支出决算情况说明 </w:t>
      </w:r>
      <w:r>
        <w:rPr>
          <w:rFonts w:hint="default" w:ascii="Times New Roman" w:hAnsi="Times New Roman" w:cs="Times New Roman"/>
          <w:sz w:val="24"/>
        </w:rPr>
        <w:tab/>
      </w:r>
      <w:r>
        <w:rPr>
          <w:rFonts w:hint="default" w:ascii="Times New Roman" w:hAnsi="Times New Roman" w:cs="Times New Roman" w:eastAsiaTheme="minorEastAsia"/>
          <w:sz w:val="24"/>
        </w:rPr>
        <w:t>12</w:t>
      </w:r>
    </w:p>
    <w:p>
      <w:pPr>
        <w:pStyle w:val="12"/>
        <w:adjustRightInd w:val="0"/>
        <w:snapToGrid w:val="0"/>
        <w:spacing w:before="0" w:line="440" w:lineRule="exact"/>
        <w:jc w:val="left"/>
        <w:rPr>
          <w:rFonts w:hint="default" w:ascii="Times New Roman" w:hAnsi="Times New Roman" w:cs="Times New Roman"/>
          <w:sz w:val="24"/>
          <w:szCs w:val="24"/>
        </w:rPr>
      </w:pPr>
      <w:r>
        <w:rPr>
          <w:rStyle w:val="17"/>
          <w:rFonts w:hint="default" w:ascii="Times New Roman" w:hAnsi="Times New Roman" w:cs="Times New Roman" w:eastAsiaTheme="minorEastAsia"/>
          <w:color w:val="auto"/>
          <w:sz w:val="24"/>
          <w:u w:val="none"/>
        </w:rPr>
        <w:t xml:space="preserve">    十、</w:t>
      </w:r>
      <w:r>
        <w:rPr>
          <w:rFonts w:hint="default" w:ascii="Times New Roman" w:hAnsi="Times New Roman" w:cs="Times New Roman" w:eastAsiaTheme="minorEastAsia"/>
          <w:sz w:val="24"/>
        </w:rPr>
        <w:t>其他重要事项的情况说明</w:t>
      </w:r>
      <w:r>
        <w:rPr>
          <w:rFonts w:hint="default" w:ascii="Times New Roman" w:hAnsi="Times New Roman" w:cs="Times New Roman"/>
          <w:sz w:val="24"/>
        </w:rPr>
        <w:tab/>
      </w:r>
      <w:r>
        <w:rPr>
          <w:rFonts w:hint="default" w:ascii="Times New Roman" w:hAnsi="Times New Roman" w:cs="Times New Roman"/>
          <w:sz w:val="24"/>
        </w:rPr>
        <w:t>13</w:t>
      </w:r>
    </w:p>
    <w:p>
      <w:pPr>
        <w:pStyle w:val="12"/>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第三部分名词解释</w:t>
      </w:r>
      <w:r>
        <w:rPr>
          <w:rFonts w:hint="default" w:ascii="Times New Roman" w:hAnsi="Times New Roman" w:cs="Times New Roman"/>
          <w:sz w:val="24"/>
        </w:rPr>
        <w:tab/>
      </w:r>
      <w:r>
        <w:rPr>
          <w:rFonts w:hint="default" w:ascii="Times New Roman" w:hAnsi="Times New Roman" w:cs="Times New Roman"/>
          <w:sz w:val="24"/>
        </w:rPr>
        <w:t>15</w:t>
      </w:r>
    </w:p>
    <w:p>
      <w:pPr>
        <w:pStyle w:val="12"/>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第四部分附件</w:t>
      </w:r>
      <w:r>
        <w:rPr>
          <w:rFonts w:hint="default" w:ascii="Times New Roman" w:hAnsi="Times New Roman" w:cs="Times New Roman"/>
          <w:sz w:val="24"/>
        </w:rPr>
        <w:tab/>
      </w:r>
      <w:r>
        <w:rPr>
          <w:rFonts w:hint="default" w:ascii="Times New Roman" w:hAnsi="Times New Roman" w:cs="Times New Roman"/>
          <w:sz w:val="24"/>
        </w:rPr>
        <w:t>18</w:t>
      </w:r>
    </w:p>
    <w:p>
      <w:pPr>
        <w:pStyle w:val="12"/>
        <w:adjustRightInd w:val="0"/>
        <w:snapToGrid w:val="0"/>
        <w:spacing w:before="0" w:line="440" w:lineRule="exact"/>
        <w:jc w:val="left"/>
        <w:rPr>
          <w:rFonts w:hint="default" w:ascii="Times New Roman" w:hAnsi="Times New Roman" w:cs="Times New Roman"/>
          <w:sz w:val="24"/>
        </w:rPr>
      </w:pPr>
      <w:r>
        <w:rPr>
          <w:rFonts w:hint="default" w:ascii="Times New Roman" w:hAnsi="Times New Roman" w:cs="Times New Roman"/>
          <w:sz w:val="24"/>
        </w:rPr>
        <w:t>第五部分附表</w:t>
      </w:r>
      <w:r>
        <w:rPr>
          <w:rFonts w:hint="default" w:ascii="Times New Roman" w:hAnsi="Times New Roman" w:cs="Times New Roman"/>
          <w:sz w:val="24"/>
        </w:rPr>
        <w:tab/>
      </w:r>
      <w:r>
        <w:rPr>
          <w:rFonts w:hint="default" w:ascii="Times New Roman" w:hAnsi="Times New Roman" w:cs="Times New Roman"/>
          <w:sz w:val="24"/>
        </w:rPr>
        <w:t>30</w:t>
      </w:r>
    </w:p>
    <w:p>
      <w:pPr>
        <w:pStyle w:val="12"/>
        <w:adjustRightInd w:val="0"/>
        <w:snapToGrid w:val="0"/>
        <w:spacing w:before="0" w:line="44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eastAsiaTheme="minorEastAsia"/>
          <w:sz w:val="24"/>
        </w:rPr>
        <w:t>一、收入支出决算总表</w:t>
      </w:r>
      <w:r>
        <w:rPr>
          <w:rFonts w:hint="default" w:ascii="Times New Roman" w:hAnsi="Times New Roman" w:cs="Times New Roman"/>
          <w:sz w:val="24"/>
        </w:rPr>
        <w:tab/>
      </w:r>
      <w:r>
        <w:rPr>
          <w:rFonts w:hint="default" w:ascii="Times New Roman" w:hAnsi="Times New Roman" w:cs="Times New Roman"/>
          <w:sz w:val="24"/>
        </w:rPr>
        <w:t>30</w:t>
      </w:r>
    </w:p>
    <w:p>
      <w:pPr>
        <w:pStyle w:val="13"/>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二、收入决算表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3"/>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三、支出决算表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3"/>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四、财政拨款收入支出决算总表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3"/>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五、财政拨款支出决算明细表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3"/>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六、一般公共预算财政拨款支出决算表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3"/>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七、一般公共预算财政拨款支出决算明细表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3"/>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八、一般公共预算财政拨款基本支出决算表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3"/>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九、一般公共预算财政拨款项目支出决算表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3"/>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十、政府性基金预算财政拨款收入支出决算表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3"/>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十一、国有资本经营预算财政拨款收入支出决算表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3"/>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十二、国有资本经营预算财政拨款支出决算表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3"/>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十三、财政拨款“三公”经费支出决算表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rPr>
          <w:rFonts w:hint="default" w:ascii="Times New Roman" w:hAnsi="Times New Roman" w:cs="Times New Roman"/>
        </w:rPr>
      </w:pPr>
    </w:p>
    <w:p>
      <w:pPr>
        <w:pStyle w:val="3"/>
        <w:jc w:val="center"/>
        <w:rPr>
          <w:rFonts w:hint="default" w:ascii="Times New Roman" w:hAnsi="Times New Roman" w:eastAsia="黑体" w:cs="Times New Roman"/>
          <w:b w:val="0"/>
        </w:rPr>
      </w:pPr>
      <w:bookmarkStart w:id="12" w:name="_Toc15377196"/>
      <w:bookmarkStart w:id="13" w:name="_Toc15396599"/>
    </w:p>
    <w:p>
      <w:pPr>
        <w:pStyle w:val="3"/>
        <w:jc w:val="center"/>
        <w:rPr>
          <w:rFonts w:hint="default" w:ascii="Times New Roman" w:hAnsi="Times New Roman" w:eastAsia="黑体" w:cs="Times New Roman"/>
          <w:b w:val="0"/>
        </w:rPr>
      </w:pPr>
    </w:p>
    <w:p>
      <w:pPr>
        <w:pStyle w:val="3"/>
        <w:jc w:val="center"/>
        <w:rPr>
          <w:rFonts w:hint="default" w:ascii="Times New Roman" w:hAnsi="Times New Roman" w:eastAsia="黑体" w:cs="Times New Roman"/>
          <w:b w:val="0"/>
        </w:rPr>
      </w:pPr>
    </w:p>
    <w:p>
      <w:pPr>
        <w:pStyle w:val="3"/>
        <w:jc w:val="center"/>
        <w:rPr>
          <w:rFonts w:hint="default" w:ascii="Times New Roman" w:hAnsi="Times New Roman" w:eastAsia="黑体" w:cs="Times New Roman"/>
          <w:b w:val="0"/>
        </w:rPr>
      </w:pPr>
    </w:p>
    <w:p>
      <w:pPr>
        <w:pStyle w:val="3"/>
        <w:rPr>
          <w:rFonts w:hint="default" w:ascii="Times New Roman" w:hAnsi="Times New Roman" w:eastAsia="黑体" w:cs="Times New Roman"/>
          <w:b w:val="0"/>
        </w:rPr>
      </w:pPr>
    </w:p>
    <w:p>
      <w:pPr>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3"/>
        <w:jc w:val="center"/>
        <w:rPr>
          <w:rStyle w:val="26"/>
          <w:rFonts w:hint="default" w:ascii="Times New Roman" w:hAnsi="Times New Roman" w:eastAsia="黑体" w:cs="Times New Roman"/>
          <w:b w:val="0"/>
          <w:bCs w:val="0"/>
        </w:rPr>
      </w:pPr>
      <w:r>
        <w:rPr>
          <w:rFonts w:hint="default" w:ascii="Times New Roman" w:hAnsi="Times New Roman" w:eastAsia="黑体" w:cs="Times New Roman"/>
          <w:b w:val="0"/>
        </w:rPr>
        <w:t>第一部分</w:t>
      </w:r>
      <w:r>
        <w:rPr>
          <w:rStyle w:val="26"/>
          <w:rFonts w:hint="default" w:ascii="Times New Roman" w:hAnsi="Times New Roman" w:eastAsia="黑体" w:cs="Times New Roman"/>
          <w:b w:val="0"/>
          <w:bCs w:val="0"/>
        </w:rPr>
        <w:t>部门概况</w:t>
      </w:r>
      <w:bookmarkEnd w:id="12"/>
      <w:bookmarkEnd w:id="13"/>
      <w:bookmarkStart w:id="14" w:name="_Toc15396600"/>
      <w:bookmarkStart w:id="15" w:name="_Toc15377197"/>
    </w:p>
    <w:p>
      <w:pPr>
        <w:pStyle w:val="3"/>
        <w:jc w:val="left"/>
        <w:rPr>
          <w:rStyle w:val="27"/>
          <w:rFonts w:hint="default" w:ascii="Times New Roman" w:hAnsi="Times New Roman" w:eastAsia="黑体" w:cs="Times New Roman"/>
          <w:b/>
          <w:bCs w:val="0"/>
          <w:kern w:val="44"/>
        </w:rPr>
      </w:pPr>
      <w:r>
        <w:rPr>
          <w:rFonts w:hint="default" w:ascii="Times New Roman" w:hAnsi="Times New Roman" w:eastAsia="黑体" w:cs="Times New Roman"/>
          <w:b w:val="0"/>
          <w:sz w:val="32"/>
          <w:szCs w:val="32"/>
        </w:rPr>
        <w:t xml:space="preserve">    一、</w:t>
      </w:r>
      <w:bookmarkEnd w:id="14"/>
      <w:bookmarkEnd w:id="15"/>
      <w:bookmarkStart w:id="16" w:name="_Toc15378445"/>
      <w:bookmarkStart w:id="17" w:name="_Toc15377198"/>
      <w:r>
        <w:rPr>
          <w:rFonts w:hint="default" w:ascii="Times New Roman" w:hAnsi="Times New Roman" w:eastAsia="黑体" w:cs="Times New Roman"/>
          <w:b w:val="0"/>
          <w:sz w:val="32"/>
          <w:szCs w:val="32"/>
        </w:rPr>
        <w:t>部门职责</w:t>
      </w:r>
    </w:p>
    <w:p>
      <w:pPr>
        <w:pStyle w:val="4"/>
        <w:rPr>
          <w:rFonts w:hint="default" w:ascii="Times New Roman" w:hAnsi="Times New Roman" w:eastAsia="黑体" w:cs="Times New Roman"/>
          <w:b w:val="0"/>
          <w:bCs w:val="0"/>
        </w:rPr>
      </w:pPr>
      <w:r>
        <w:rPr>
          <w:rStyle w:val="27"/>
          <w:rFonts w:hint="default" w:ascii="Times New Roman" w:hAnsi="Times New Roman" w:eastAsia="黑体" w:cs="Times New Roman"/>
          <w:b w:val="0"/>
          <w:bCs w:val="0"/>
        </w:rPr>
        <w:t xml:space="preserve">   </w:t>
      </w:r>
      <w:r>
        <w:rPr>
          <w:rStyle w:val="27"/>
          <w:rFonts w:hint="default" w:ascii="Times New Roman" w:hAnsi="Times New Roman" w:eastAsia="仿宋_GB2312" w:cs="Times New Roman"/>
          <w:b/>
          <w:bCs w:val="0"/>
        </w:rPr>
        <w:t xml:space="preserve"> </w:t>
      </w:r>
      <w:r>
        <w:rPr>
          <w:rStyle w:val="27"/>
          <w:rFonts w:hint="default" w:ascii="Times New Roman" w:hAnsi="Times New Roman" w:eastAsia="仿宋_GB2312" w:cs="Times New Roman"/>
          <w:b w:val="0"/>
          <w:bCs w:val="0"/>
        </w:rPr>
        <w:t>攀枝花市西区商务局</w:t>
      </w:r>
      <w:r>
        <w:rPr>
          <w:rFonts w:hint="default" w:ascii="Times New Roman" w:hAnsi="Times New Roman" w:eastAsia="仿宋_GB2312" w:cs="Times New Roman"/>
          <w:b w:val="0"/>
        </w:rPr>
        <w:t>主要有以下部门职</w:t>
      </w:r>
      <w:bookmarkEnd w:id="16"/>
      <w:bookmarkEnd w:id="17"/>
      <w:r>
        <w:rPr>
          <w:rFonts w:hint="default" w:ascii="Times New Roman" w:hAnsi="Times New Roman" w:eastAsia="仿宋_GB2312" w:cs="Times New Roman"/>
          <w:b w:val="0"/>
        </w:rPr>
        <w:t>责:</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1.贯彻执行国家、省、市、区有关内外贸易、对外经济合作的法律法规和方针政策，拟订并组织实施全区商务发展规划、计划和相关政策措施。</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承担指导和协调全区服务业发展的职责。推进流通产业结构调整，指导流通企业改革，加快商贸服务业、社区商业和第三方物流发展，推动流通标准化和连锁经营、商业特许经营、物流配送、电子商务等现代流通方式的发展。</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3.指导城市商业网点规划和商业体系建设工作，推进农村市场体系建设，组织实施农村现代流通网络工程，促进城乡市场一体化发展。</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4.组织开展商务领域行政综合执法，推动商务领域信用建设。按规定对拍卖、直销和旧货流通行业等进行监督管理。指导流通领域节能降耗和再生资源回收管理工作。</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5.负责重要消费品市场调控和重要商品流通管理，建立健全生活必需品市场供应应急管理机制，监测分析市场运行和商品供求状况，提出调控建议。调查分析商品价格信息，进行预测预警和信息引导。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贯彻落实电子商务的法律法规和方针政策，推动全区电子商务服务体系建设。指导电子商务公共服务平台建设。推进电子商务与产业融合，支持中小电子商务企业发展。推进电子商务进农村、进企业、进社区；发展平台经济、共享经济等数字经济新业态新模式。</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贯彻执行国家对外贸易、服务贸易和对外经济合作方针政策。指导协调全区进出口、外商投资企业进出口工作，负责加工贸易管理和服务。指导全区国际服务贸易，促进服务贸易出口，管理技术贸易工作。组织企业开展境外贸易和国内涉外贸易促进活动。依法指导、管理和监督全区对外承包工程、对外劳务合作等对外经济合作业务。</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8.负责区委、区政府交办的区内外会展活动的组织协调，指导和监督在西区辖区内举办的各种商贸交易会、展览会、展销会等活动。</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9.组织实施对街道、镇、各有关部门商贸及服务业发展目标和项目年度考核。</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10.负责职责范围内的安全生产和职业健康、生态环境保护、审批服务便民化等工作。</w:t>
      </w:r>
    </w:p>
    <w:p>
      <w:pPr>
        <w:pStyle w:val="2"/>
        <w:adjustRightInd w:val="0"/>
        <w:snapToGrid w:val="0"/>
        <w:spacing w:before="93" w:line="600" w:lineRule="exact"/>
        <w:ind w:firstLine="672" w:firstLineChars="210"/>
        <w:outlineLvl w:val="2"/>
        <w:rPr>
          <w:rFonts w:hint="default" w:ascii="Times New Roman" w:hAnsi="Times New Roman" w:eastAsia="仿宋" w:cs="Times New Roman"/>
          <w:bCs/>
          <w:sz w:val="32"/>
          <w:szCs w:val="32"/>
        </w:rPr>
      </w:pPr>
      <w:r>
        <w:rPr>
          <w:rFonts w:hint="default" w:ascii="Times New Roman" w:hAnsi="Times New Roman" w:eastAsia="仿宋" w:cs="Times New Roman"/>
          <w:sz w:val="32"/>
          <w:szCs w:val="32"/>
        </w:rPr>
        <w:t>11.完成区委和区政府交办的其他任务。</w:t>
      </w:r>
    </w:p>
    <w:p>
      <w:pPr>
        <w:pStyle w:val="4"/>
        <w:rPr>
          <w:rStyle w:val="27"/>
          <w:rFonts w:hint="default" w:ascii="Times New Roman" w:hAnsi="Times New Roman" w:cs="Times New Roman"/>
          <w:b w:val="0"/>
          <w:bCs w:val="0"/>
        </w:rPr>
      </w:pPr>
      <w:bookmarkStart w:id="18" w:name="_Toc15377200"/>
      <w:bookmarkStart w:id="19" w:name="_Toc15396601"/>
      <w:r>
        <w:rPr>
          <w:rFonts w:hint="default" w:ascii="Times New Roman" w:hAnsi="Times New Roman" w:eastAsia="黑体" w:cs="Times New Roman"/>
          <w:b w:val="0"/>
        </w:rPr>
        <w:t xml:space="preserve">    二、机</w:t>
      </w:r>
      <w:r>
        <w:rPr>
          <w:rStyle w:val="27"/>
          <w:rFonts w:hint="default" w:ascii="Times New Roman" w:hAnsi="Times New Roman" w:eastAsia="黑体" w:cs="Times New Roman"/>
          <w:b w:val="0"/>
          <w:bCs w:val="0"/>
        </w:rPr>
        <w:t>构设置</w:t>
      </w:r>
      <w:bookmarkEnd w:id="18"/>
      <w:bookmarkEnd w:id="19"/>
    </w:p>
    <w:p>
      <w:pPr>
        <w:ind w:firstLine="640" w:firstLineChars="200"/>
        <w:rPr>
          <w:rFonts w:hint="default" w:ascii="Times New Roman" w:hAnsi="Times New Roman" w:eastAsia="仿宋" w:cs="Times New Roman"/>
          <w:sz w:val="32"/>
          <w:szCs w:val="32"/>
        </w:rPr>
      </w:pPr>
      <w:bookmarkStart w:id="20" w:name="_Toc15377201"/>
      <w:bookmarkStart w:id="21" w:name="_Toc15378448"/>
      <w:bookmarkStart w:id="22" w:name="_Toc15306275"/>
      <w:bookmarkStart w:id="23" w:name="_Toc15377432"/>
      <w:r>
        <w:rPr>
          <w:rFonts w:hint="default" w:ascii="Times New Roman" w:hAnsi="Times New Roman" w:eastAsia="仿宋" w:cs="Times New Roman"/>
          <w:sz w:val="32"/>
          <w:szCs w:val="32"/>
        </w:rPr>
        <w:t>（一）攀枝花市西区商务局下属二级单位2个，其中行政单位0个，参照公务员法管理的事业单位1个</w:t>
      </w:r>
      <w:r>
        <w:rPr>
          <w:rFonts w:hint="default" w:ascii="Times New Roman" w:hAnsi="Times New Roman" w:eastAsia="仿宋_GB2312" w:cs="Times New Roman"/>
          <w:sz w:val="32"/>
          <w:szCs w:val="32"/>
        </w:rPr>
        <w:t>（西区商贸执法队）</w:t>
      </w:r>
      <w:r>
        <w:rPr>
          <w:rFonts w:hint="default" w:ascii="Times New Roman" w:hAnsi="Times New Roman" w:eastAsia="仿宋" w:cs="Times New Roman"/>
          <w:sz w:val="32"/>
          <w:szCs w:val="32"/>
        </w:rPr>
        <w:t>，其他事业单位1个（西区现代服务业发展促进中心）。</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（二）纳入攀枝花市西区商务局2022年度部门决算编制范围的二级预算单位0个。</w:t>
      </w:r>
      <w:bookmarkEnd w:id="20"/>
      <w:bookmarkEnd w:id="21"/>
      <w:bookmarkEnd w:id="22"/>
      <w:bookmarkEnd w:id="23"/>
      <w:bookmarkStart w:id="24" w:name="_Toc15377204"/>
      <w:bookmarkStart w:id="25" w:name="_Toc15396602"/>
    </w:p>
    <w:p>
      <w:pPr>
        <w:pStyle w:val="2"/>
        <w:rPr>
          <w:rFonts w:hint="default"/>
        </w:rPr>
      </w:pPr>
    </w:p>
    <w:p>
      <w:pPr>
        <w:ind w:firstLine="880" w:firstLineChars="200"/>
        <w:rPr>
          <w:rStyle w:val="26"/>
          <w:rFonts w:hint="default" w:ascii="Times New Roman" w:hAnsi="Times New Roman" w:eastAsia="黑体" w:cs="Times New Roman"/>
          <w:b w:val="0"/>
          <w:bCs w:val="0"/>
          <w:kern w:val="2"/>
        </w:rPr>
      </w:pPr>
      <w:r>
        <w:rPr>
          <w:rFonts w:hint="default" w:ascii="Times New Roman" w:hAnsi="Times New Roman" w:eastAsia="黑体" w:cs="Times New Roman"/>
          <w:sz w:val="44"/>
          <w:szCs w:val="44"/>
        </w:rPr>
        <w:t>第二部分2022年度</w:t>
      </w:r>
      <w:r>
        <w:rPr>
          <w:rStyle w:val="26"/>
          <w:rFonts w:hint="default" w:ascii="Times New Roman" w:hAnsi="Times New Roman" w:eastAsia="黑体" w:cs="Times New Roman"/>
          <w:b w:val="0"/>
        </w:rPr>
        <w:t>部门决算情况说明</w:t>
      </w:r>
      <w:bookmarkEnd w:id="24"/>
      <w:bookmarkEnd w:id="25"/>
    </w:p>
    <w:p>
      <w:pPr>
        <w:rPr>
          <w:rFonts w:hint="default" w:ascii="Times New Roman" w:hAnsi="Times New Roman" w:eastAsia="黑体" w:cs="Times New Roman"/>
          <w:sz w:val="44"/>
          <w:szCs w:val="44"/>
        </w:rPr>
      </w:pPr>
    </w:p>
    <w:p>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26" w:name="_Toc15377205"/>
      <w:bookmarkStart w:id="27" w:name="_Toc15396603"/>
      <w:r>
        <w:rPr>
          <w:rFonts w:hint="default" w:ascii="Times New Roman" w:hAnsi="Times New Roman" w:eastAsia="黑体" w:cs="Times New Roman"/>
          <w:sz w:val="32"/>
          <w:szCs w:val="32"/>
        </w:rPr>
        <w:t>收</w:t>
      </w:r>
      <w:r>
        <w:rPr>
          <w:rStyle w:val="27"/>
          <w:rFonts w:hint="default" w:ascii="Times New Roman" w:hAnsi="Times New Roman" w:eastAsia="黑体" w:cs="Times New Roman"/>
          <w:b w:val="0"/>
        </w:rPr>
        <w:t>入支出决算总体情况说明</w:t>
      </w:r>
      <w:bookmarkEnd w:id="26"/>
      <w:bookmarkEnd w:id="27"/>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w:t>
      </w:r>
      <w:r>
        <w:rPr>
          <w:rFonts w:hint="default" w:ascii="Times New Roman" w:hAnsi="Times New Roman" w:eastAsia="仿宋" w:cs="Times New Roman"/>
          <w:sz w:val="32"/>
          <w:szCs w:val="32"/>
        </w:rPr>
        <w:t>年度收入总计282.36万元、支出总计332.36万元。与</w:t>
      </w:r>
      <w:r>
        <w:rPr>
          <w:rFonts w:hint="default" w:ascii="Times New Roman" w:hAnsi="Times New Roman" w:eastAsia="仿宋" w:cs="Times New Roman"/>
          <w:sz w:val="32"/>
          <w:szCs w:val="32"/>
        </w:rPr>
        <w:t>2021</w:t>
      </w:r>
      <w:r>
        <w:rPr>
          <w:rFonts w:hint="default" w:ascii="Times New Roman" w:hAnsi="Times New Roman" w:eastAsia="仿宋" w:cs="Times New Roman"/>
          <w:sz w:val="32"/>
          <w:szCs w:val="32"/>
        </w:rPr>
        <w:t>年相比，收入减少总计30.27万元，下降9.68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；支出总计减少130.33万元，下降28.17</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。主要变动原因是项目收入财政拨款减少，项目建设支出减少。</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t>：收、支决算总计变动情况图）（柱状图）</w:t>
      </w:r>
    </w:p>
    <w:p>
      <w:pPr>
        <w:pStyle w:val="2"/>
        <w:keepNext/>
        <w:spacing w:before="93"/>
        <w:jc w:val="center"/>
        <w:rPr>
          <w:rFonts w:hint="default" w:ascii="Times New Roman" w:hAnsi="Times New Roman" w:cs="Times New Roman"/>
        </w:rPr>
      </w:pPr>
      <w:r>
        <w:rPr>
          <w:rFonts w:hint="default" w:ascii="Times New Roman" w:hAnsi="Times New Roman" w:cs="Times New Roman"/>
        </w:rPr>
        <w:drawing>
          <wp:inline distT="0" distB="0" distL="0" distR="0">
            <wp:extent cx="4744085" cy="2545715"/>
            <wp:effectExtent l="19050" t="0" r="18415" b="698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6"/>
        <w:jc w:val="center"/>
        <w:rPr>
          <w:rFonts w:hint="default" w:ascii="Times New Roman" w:hAnsi="Times New Roman" w:cs="Times New Roman"/>
        </w:rPr>
      </w:pPr>
      <w:r>
        <w:rPr>
          <w:rFonts w:hint="default" w:ascii="Times New Roman" w:hAnsi="Times New Roman" w:cs="Times New Roman"/>
        </w:rPr>
        <w:t xml:space="preserve">图表 </w:t>
      </w:r>
      <w:r>
        <w:rPr>
          <w:rFonts w:hint="default" w:ascii="Times New Roman" w:hAnsi="Times New Roman" w:cs="Times New Roman"/>
        </w:rPr>
        <w:fldChar w:fldCharType="begin"/>
      </w:r>
      <w:r>
        <w:rPr>
          <w:rFonts w:hint="default" w:ascii="Times New Roman" w:hAnsi="Times New Roman" w:cs="Times New Roman"/>
        </w:rPr>
        <w:instrText xml:space="preserve"> </w:instrText>
      </w:r>
      <w:r>
        <w:rPr>
          <w:rFonts w:hint="default" w:ascii="Times New Roman" w:hAnsi="Times New Roman" w:cs="Times New Roman"/>
        </w:rPr>
        <w:instrText xml:space="preserve">SEQ 图表 \* ARABIC</w:instrText>
      </w:r>
      <w:r>
        <w:rPr>
          <w:rFonts w:hint="default" w:ascii="Times New Roman" w:hAnsi="Times New Roman" w:cs="Times New Roman"/>
        </w:rPr>
        <w:instrText xml:space="preserve">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单位：万元</w:t>
      </w:r>
    </w:p>
    <w:p>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28" w:name="_Toc15396604"/>
      <w:bookmarkStart w:id="29" w:name="_Toc15377206"/>
      <w:r>
        <w:rPr>
          <w:rFonts w:hint="default" w:ascii="Times New Roman" w:hAnsi="Times New Roman" w:eastAsia="黑体" w:cs="Times New Roman"/>
          <w:sz w:val="32"/>
          <w:szCs w:val="32"/>
        </w:rPr>
        <w:t>收</w:t>
      </w:r>
      <w:r>
        <w:rPr>
          <w:rStyle w:val="27"/>
          <w:rFonts w:hint="default" w:ascii="Times New Roman" w:hAnsi="Times New Roman" w:eastAsia="黑体" w:cs="Times New Roman"/>
          <w:b w:val="0"/>
        </w:rPr>
        <w:t>入决算情况说明</w:t>
      </w:r>
      <w:bookmarkEnd w:id="28"/>
      <w:bookmarkEnd w:id="29"/>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w:t>
      </w:r>
      <w:r>
        <w:rPr>
          <w:rFonts w:hint="default" w:ascii="Times New Roman" w:hAnsi="Times New Roman" w:eastAsia="仿宋" w:cs="Times New Roman"/>
          <w:sz w:val="32"/>
          <w:szCs w:val="32"/>
        </w:rPr>
        <w:t>年本年收入合计282.36万元，其中：一般公共预算财政拨款收入270.59万元，占95.83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；政府性基金预算财政拨款收入11.77万元，占4.17</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；上级补助收入</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；事业收入</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；经营收入</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；附属单位上缴收入</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；其他收入0万元，占0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（图2：收入决算结构图）（饼状图）</w:t>
      </w:r>
    </w:p>
    <w:p>
      <w:pPr>
        <w:pStyle w:val="2"/>
        <w:keepNext/>
        <w:spacing w:before="93"/>
        <w:jc w:val="center"/>
        <w:rPr>
          <w:rFonts w:hint="default" w:ascii="Times New Roman" w:hAnsi="Times New Roman" w:cs="Times New Roman"/>
        </w:rPr>
      </w:pPr>
      <w:r>
        <w:rPr>
          <w:rFonts w:hint="default" w:ascii="Times New Roman" w:hAnsi="Times New Roman" w:cs="Times New Roman"/>
        </w:rPr>
        <w:drawing>
          <wp:inline distT="0" distB="0" distL="0" distR="0">
            <wp:extent cx="3792855" cy="2186305"/>
            <wp:effectExtent l="4445" t="4445" r="12700" b="63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6"/>
        <w:jc w:val="center"/>
        <w:rPr>
          <w:rFonts w:hint="default" w:ascii="Times New Roman" w:hAnsi="Times New Roman" w:cs="Times New Roman"/>
        </w:rPr>
      </w:pPr>
      <w:r>
        <w:rPr>
          <w:rFonts w:hint="default" w:ascii="Times New Roman" w:hAnsi="Times New Roman" w:cs="Times New Roman"/>
        </w:rPr>
        <w:t>图表 3   单位：万元</w:t>
      </w:r>
    </w:p>
    <w:p>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30" w:name="_Toc15377207"/>
      <w:bookmarkStart w:id="31" w:name="_Toc15396605"/>
      <w:r>
        <w:rPr>
          <w:rFonts w:hint="default" w:ascii="Times New Roman" w:hAnsi="Times New Roman" w:eastAsia="黑体" w:cs="Times New Roman"/>
          <w:sz w:val="32"/>
          <w:szCs w:val="32"/>
        </w:rPr>
        <w:t>支</w:t>
      </w:r>
      <w:r>
        <w:rPr>
          <w:rStyle w:val="27"/>
          <w:rFonts w:hint="default" w:ascii="Times New Roman" w:hAnsi="Times New Roman" w:eastAsia="黑体" w:cs="Times New Roman"/>
          <w:b w:val="0"/>
        </w:rPr>
        <w:t>出决算情况说明</w:t>
      </w:r>
      <w:bookmarkEnd w:id="30"/>
      <w:bookmarkEnd w:id="31"/>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w:t>
      </w:r>
      <w:r>
        <w:rPr>
          <w:rFonts w:hint="default" w:ascii="Times New Roman" w:hAnsi="Times New Roman" w:eastAsia="仿宋" w:cs="Times New Roman"/>
          <w:sz w:val="32"/>
          <w:szCs w:val="32"/>
        </w:rPr>
        <w:t>年本年支出合计332.36万元，其中：基本支出270.59万元，占81.41</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；项目支出61.77万元，占18.59</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；上缴上级支出</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；经营支出</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；对附属单位补助支出</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（图3：支出决算结构图）（饼状图）</w:t>
      </w:r>
    </w:p>
    <w:p>
      <w:pPr>
        <w:pStyle w:val="2"/>
        <w:keepNext/>
        <w:spacing w:before="93"/>
        <w:jc w:val="center"/>
        <w:rPr>
          <w:rFonts w:hint="default" w:ascii="Times New Roman" w:hAnsi="Times New Roman" w:cs="Times New Roman"/>
        </w:rPr>
      </w:pPr>
      <w:r>
        <w:rPr>
          <w:rFonts w:hint="default" w:ascii="Times New Roman" w:hAnsi="Times New Roman" w:cs="Times New Roman"/>
        </w:rPr>
        <w:drawing>
          <wp:inline distT="0" distB="0" distL="0" distR="0">
            <wp:extent cx="4616450" cy="2514600"/>
            <wp:effectExtent l="19050" t="0" r="1270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6"/>
        <w:jc w:val="center"/>
        <w:rPr>
          <w:rFonts w:hint="default" w:ascii="Times New Roman" w:hAnsi="Times New Roman" w:cs="Times New Roman"/>
        </w:rPr>
      </w:pPr>
      <w:r>
        <w:rPr>
          <w:rFonts w:hint="default" w:ascii="Times New Roman" w:hAnsi="Times New Roman" w:cs="Times New Roman"/>
        </w:rPr>
        <w:t>图表 3   单位：万元</w:t>
      </w:r>
    </w:p>
    <w:p>
      <w:pPr>
        <w:spacing w:line="600" w:lineRule="exact"/>
        <w:ind w:firstLine="640" w:firstLineChars="200"/>
        <w:outlineLvl w:val="1"/>
        <w:rPr>
          <w:rStyle w:val="27"/>
          <w:rFonts w:hint="default" w:ascii="Times New Roman" w:hAnsi="Times New Roman" w:eastAsia="黑体" w:cs="Times New Roman"/>
          <w:b w:val="0"/>
        </w:rPr>
      </w:pPr>
      <w:bookmarkStart w:id="32" w:name="_Toc15396606"/>
      <w:bookmarkStart w:id="33" w:name="_Toc15377208"/>
      <w:r>
        <w:rPr>
          <w:rFonts w:hint="default" w:ascii="Times New Roman" w:hAnsi="Times New Roman" w:eastAsia="黑体" w:cs="Times New Roman"/>
          <w:sz w:val="32"/>
          <w:szCs w:val="32"/>
        </w:rPr>
        <w:t>四、财</w:t>
      </w:r>
      <w:r>
        <w:rPr>
          <w:rStyle w:val="27"/>
          <w:rFonts w:hint="default" w:ascii="Times New Roman" w:hAnsi="Times New Roman" w:eastAsia="黑体" w:cs="Times New Roman"/>
          <w:b w:val="0"/>
        </w:rPr>
        <w:t>政拨款收入支出决算总体情况说明</w:t>
      </w:r>
      <w:bookmarkEnd w:id="32"/>
      <w:bookmarkEnd w:id="33"/>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w:t>
      </w:r>
      <w:r>
        <w:rPr>
          <w:rFonts w:hint="default" w:ascii="Times New Roman" w:hAnsi="Times New Roman" w:eastAsia="仿宋" w:cs="Times New Roman"/>
          <w:sz w:val="32"/>
          <w:szCs w:val="32"/>
        </w:rPr>
        <w:t>年财政拨款收入总计282.36万元、支出总计332.36万元。与</w:t>
      </w:r>
      <w:r>
        <w:rPr>
          <w:rFonts w:hint="default" w:ascii="Times New Roman" w:hAnsi="Times New Roman" w:eastAsia="仿宋" w:cs="Times New Roman"/>
          <w:sz w:val="32"/>
          <w:szCs w:val="32"/>
        </w:rPr>
        <w:t>2021</w:t>
      </w:r>
      <w:r>
        <w:rPr>
          <w:rFonts w:hint="default" w:ascii="Times New Roman" w:hAnsi="Times New Roman" w:eastAsia="仿宋" w:cs="Times New Roman"/>
          <w:sz w:val="32"/>
          <w:szCs w:val="32"/>
        </w:rPr>
        <w:t>年相比，财政拨款收入减少总计30.27万元，下降9.68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；支出总计减少130.33万元，下降28.17</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。主要变动原因是项目收入减少，支出减少。</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（图4：财政拨款收、支决算总计变动情况）（柱状图）</w:t>
      </w:r>
    </w:p>
    <w:p>
      <w:pPr>
        <w:pStyle w:val="2"/>
        <w:keepNext/>
        <w:spacing w:before="93"/>
        <w:jc w:val="center"/>
        <w:rPr>
          <w:rFonts w:hint="default" w:ascii="Times New Roman" w:hAnsi="Times New Roman" w:cs="Times New Roman"/>
        </w:rPr>
      </w:pPr>
      <w:r>
        <w:rPr>
          <w:rFonts w:hint="default" w:ascii="Times New Roman" w:hAnsi="Times New Roman" w:cs="Times New Roman"/>
        </w:rPr>
        <w:drawing>
          <wp:inline distT="0" distB="0" distL="0" distR="0">
            <wp:extent cx="4613275" cy="2383790"/>
            <wp:effectExtent l="4445" t="5080" r="5080" b="1143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6"/>
        <w:jc w:val="center"/>
        <w:rPr>
          <w:rFonts w:hint="default" w:ascii="Times New Roman" w:hAnsi="Times New Roman" w:cs="Times New Roman"/>
        </w:rPr>
      </w:pPr>
      <w:r>
        <w:rPr>
          <w:rFonts w:hint="default" w:ascii="Times New Roman" w:hAnsi="Times New Roman" w:cs="Times New Roman"/>
        </w:rPr>
        <w:t>图表 4  单位：万元</w:t>
      </w:r>
    </w:p>
    <w:p>
      <w:pPr>
        <w:spacing w:line="600" w:lineRule="exact"/>
        <w:ind w:firstLine="640" w:firstLineChars="200"/>
        <w:outlineLvl w:val="1"/>
        <w:rPr>
          <w:rStyle w:val="27"/>
          <w:rFonts w:hint="default" w:ascii="Times New Roman" w:hAnsi="Times New Roman" w:eastAsia="黑体" w:cs="Times New Roman"/>
          <w:b w:val="0"/>
        </w:rPr>
      </w:pPr>
      <w:bookmarkStart w:id="34" w:name="_Toc15377209"/>
      <w:bookmarkStart w:id="35" w:name="_Toc15396607"/>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7"/>
          <w:rFonts w:hint="default" w:ascii="Times New Roman" w:hAnsi="Times New Roman" w:eastAsia="黑体" w:cs="Times New Roman"/>
          <w:b w:val="0"/>
        </w:rPr>
        <w:t>般公共预算财政拨款支出决算情况说明</w:t>
      </w:r>
      <w:bookmarkEnd w:id="34"/>
      <w:bookmarkEnd w:id="35"/>
    </w:p>
    <w:p>
      <w:pPr>
        <w:spacing w:line="600" w:lineRule="exact"/>
        <w:ind w:firstLine="643" w:firstLineChars="200"/>
        <w:outlineLvl w:val="2"/>
        <w:rPr>
          <w:rFonts w:hint="default" w:ascii="Times New Roman" w:hAnsi="Times New Roman" w:eastAsia="仿宋" w:cs="Times New Roman"/>
          <w:b/>
          <w:sz w:val="32"/>
          <w:szCs w:val="32"/>
        </w:rPr>
      </w:pPr>
      <w:bookmarkStart w:id="36" w:name="_Toc15377210"/>
      <w:r>
        <w:rPr>
          <w:rFonts w:hint="default" w:ascii="Times New Roman" w:hAnsi="Times New Roman" w:eastAsia="仿宋" w:cs="Times New Roman"/>
          <w:b/>
          <w:sz w:val="32"/>
          <w:szCs w:val="32"/>
        </w:rPr>
        <w:t>（一）一般公共预算财政拨款支出决算总体情况</w:t>
      </w:r>
      <w:bookmarkEnd w:id="36"/>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w:t>
      </w:r>
      <w:r>
        <w:rPr>
          <w:rFonts w:hint="default" w:ascii="Times New Roman" w:hAnsi="Times New Roman" w:eastAsia="仿宋" w:cs="Times New Roman"/>
          <w:sz w:val="32"/>
          <w:szCs w:val="32"/>
        </w:rPr>
        <w:t>年一般公共预算财政拨款支出270.59万元，占本年支出合计的81.41</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。与</w:t>
      </w:r>
      <w:r>
        <w:rPr>
          <w:rFonts w:hint="default" w:ascii="Times New Roman" w:hAnsi="Times New Roman" w:eastAsia="仿宋" w:cs="Times New Roman"/>
          <w:sz w:val="32"/>
          <w:szCs w:val="32"/>
        </w:rPr>
        <w:t>2021</w:t>
      </w:r>
      <w:r>
        <w:rPr>
          <w:rFonts w:hint="default" w:ascii="Times New Roman" w:hAnsi="Times New Roman" w:eastAsia="仿宋" w:cs="Times New Roman"/>
          <w:sz w:val="32"/>
          <w:szCs w:val="32"/>
        </w:rPr>
        <w:t>年相比，一般公共预算财政拨款支出增加13.53万元，增长5.26</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。主要变动原因是人员增加导致一般公共预算财政拨款支出增加。</w:t>
      </w:r>
    </w:p>
    <w:p>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（图5：一般公共预算财政拨款支出决算变动情况）（柱状图）</w:t>
      </w:r>
    </w:p>
    <w:p>
      <w:pPr>
        <w:pStyle w:val="2"/>
        <w:keepNext/>
        <w:spacing w:before="93"/>
        <w:jc w:val="center"/>
        <w:rPr>
          <w:rFonts w:hint="default" w:ascii="Times New Roman" w:hAnsi="Times New Roman" w:cs="Times New Roman"/>
        </w:rPr>
      </w:pPr>
      <w:bookmarkStart w:id="76" w:name="_GoBack"/>
      <w:r>
        <w:rPr>
          <w:rFonts w:hint="default" w:ascii="Times New Roman" w:hAnsi="Times New Roman" w:cs="Times New Roman"/>
        </w:rPr>
        <w:drawing>
          <wp:inline distT="0" distB="0" distL="0" distR="0">
            <wp:extent cx="3662680" cy="1586230"/>
            <wp:effectExtent l="4445" t="4445" r="1587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76"/>
    </w:p>
    <w:p>
      <w:pPr>
        <w:pStyle w:val="6"/>
        <w:jc w:val="center"/>
        <w:rPr>
          <w:rFonts w:hint="default" w:ascii="Times New Roman" w:hAnsi="Times New Roman" w:cs="Times New Roman"/>
        </w:rPr>
      </w:pPr>
      <w:r>
        <w:rPr>
          <w:rFonts w:hint="default" w:ascii="Times New Roman" w:hAnsi="Times New Roman" w:cs="Times New Roman"/>
        </w:rPr>
        <w:t>图表 5   单位：万元</w:t>
      </w:r>
    </w:p>
    <w:p>
      <w:pPr>
        <w:spacing w:line="600" w:lineRule="exact"/>
        <w:ind w:firstLine="643" w:firstLineChars="200"/>
        <w:outlineLvl w:val="2"/>
        <w:rPr>
          <w:rFonts w:hint="default" w:ascii="Times New Roman" w:hAnsi="Times New Roman" w:eastAsia="仿宋" w:cs="Times New Roman"/>
          <w:b/>
          <w:sz w:val="32"/>
          <w:szCs w:val="32"/>
        </w:rPr>
      </w:pPr>
      <w:bookmarkStart w:id="37" w:name="_Toc15377211"/>
      <w:r>
        <w:rPr>
          <w:rFonts w:hint="default" w:ascii="Times New Roman" w:hAnsi="Times New Roman" w:eastAsia="仿宋" w:cs="Times New Roman"/>
          <w:b/>
          <w:sz w:val="32"/>
          <w:szCs w:val="32"/>
        </w:rPr>
        <w:t>（二）一般公共预算财政拨款支出决算结构情况</w:t>
      </w:r>
      <w:bookmarkEnd w:id="37"/>
    </w:p>
    <w:p>
      <w:pPr>
        <w:widowControl/>
        <w:spacing w:line="600" w:lineRule="atLeast"/>
        <w:ind w:firstLine="640"/>
        <w:jc w:val="left"/>
        <w:rPr>
          <w:rFonts w:hint="default" w:ascii="Times New Roman" w:hAnsi="Times New Roman" w:eastAsia="仿宋" w:cs="Times New Roman"/>
          <w:kern w:val="0"/>
          <w:sz w:val="24"/>
        </w:rPr>
      </w:pPr>
      <w:r>
        <w:rPr>
          <w:rFonts w:hint="default" w:ascii="Times New Roman" w:hAnsi="Times New Roman" w:eastAsia="仿宋" w:cs="Times New Roman"/>
          <w:sz w:val="32"/>
          <w:szCs w:val="32"/>
        </w:rPr>
        <w:t>2022</w:t>
      </w:r>
      <w:r>
        <w:rPr>
          <w:rFonts w:hint="default" w:ascii="Times New Roman" w:hAnsi="Times New Roman" w:eastAsia="仿宋" w:cs="Times New Roman"/>
          <w:sz w:val="32"/>
          <w:szCs w:val="32"/>
        </w:rPr>
        <w:t>年</w:t>
      </w:r>
      <w:r>
        <w:rPr>
          <w:rFonts w:hint="default" w:ascii="Times New Roman" w:hAnsi="Times New Roman" w:eastAsia="仿宋" w:cs="Times New Roman"/>
          <w:color w:val="000000"/>
          <w:kern w:val="0"/>
          <w:sz w:val="32"/>
          <w:szCs w:val="32"/>
        </w:rPr>
        <w:t>一般公共预算财政拨款支出270.59万元，主要用于以下方面</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bCs/>
          <w:color w:val="000000"/>
          <w:kern w:val="0"/>
          <w:sz w:val="32"/>
        </w:rPr>
        <w:t>一般公共服务（类）</w:t>
      </w:r>
      <w:r>
        <w:rPr>
          <w:rFonts w:hint="default" w:ascii="Times New Roman" w:hAnsi="Times New Roman" w:eastAsia="仿宋" w:cs="Times New Roman"/>
          <w:color w:val="000000"/>
          <w:kern w:val="0"/>
          <w:sz w:val="32"/>
          <w:szCs w:val="32"/>
        </w:rPr>
        <w:t>支出215.65万元，占79.70</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bCs/>
          <w:color w:val="000000"/>
          <w:kern w:val="0"/>
          <w:sz w:val="32"/>
        </w:rPr>
        <w:t>社会保障和就业（类）</w:t>
      </w:r>
      <w:r>
        <w:rPr>
          <w:rFonts w:hint="default" w:ascii="Times New Roman" w:hAnsi="Times New Roman" w:eastAsia="仿宋" w:cs="Times New Roman"/>
          <w:color w:val="000000"/>
          <w:kern w:val="0"/>
          <w:sz w:val="32"/>
          <w:szCs w:val="32"/>
        </w:rPr>
        <w:t>支出18.22万元，占6.73</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bCs/>
          <w:color w:val="000000"/>
          <w:kern w:val="0"/>
          <w:sz w:val="32"/>
        </w:rPr>
        <w:t>卫生健康（类）</w:t>
      </w:r>
      <w:r>
        <w:rPr>
          <w:rFonts w:hint="default" w:ascii="Times New Roman" w:hAnsi="Times New Roman" w:eastAsia="仿宋" w:cs="Times New Roman"/>
          <w:color w:val="000000"/>
          <w:kern w:val="0"/>
          <w:sz w:val="32"/>
          <w:szCs w:val="32"/>
        </w:rPr>
        <w:t>支出16.02万元，占5.92</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bCs/>
          <w:color w:val="000000"/>
          <w:kern w:val="0"/>
          <w:sz w:val="32"/>
        </w:rPr>
        <w:t>住房保障（类）</w:t>
      </w:r>
      <w:r>
        <w:rPr>
          <w:rFonts w:hint="default" w:ascii="Times New Roman" w:hAnsi="Times New Roman" w:eastAsia="仿宋" w:cs="Times New Roman"/>
          <w:color w:val="000000"/>
          <w:kern w:val="0"/>
          <w:sz w:val="32"/>
          <w:szCs w:val="32"/>
        </w:rPr>
        <w:t>支出20.70万元，占7.65</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color w:val="000000"/>
          <w:kern w:val="0"/>
          <w:sz w:val="32"/>
          <w:szCs w:val="32"/>
        </w:rPr>
        <w:t>。</w:t>
      </w:r>
    </w:p>
    <w:p>
      <w:pPr>
        <w:spacing w:line="600" w:lineRule="exact"/>
        <w:jc w:val="center"/>
        <w:rPr>
          <w:rFonts w:hint="default" w:ascii="Times New Roman" w:hAnsi="Times New Roman" w:eastAsia="仿宋" w:cs="Times New Roman"/>
          <w:sz w:val="32"/>
          <w:szCs w:val="32"/>
        </w:rPr>
      </w:pPr>
    </w:p>
    <w:p>
      <w:pPr>
        <w:spacing w:line="6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（图6：一般公共预算财政拨款支出决算结构）（饼状图）</w:t>
      </w:r>
    </w:p>
    <w:p>
      <w:pPr>
        <w:pStyle w:val="2"/>
        <w:keepNext/>
        <w:spacing w:before="93"/>
        <w:rPr>
          <w:rFonts w:hint="default" w:ascii="Times New Roman" w:hAnsi="Times New Roman" w:cs="Times New Roman"/>
        </w:rPr>
      </w:pPr>
      <w:r>
        <w:rPr>
          <w:rFonts w:hint="default" w:ascii="Times New Roman" w:hAnsi="Times New Roman" w:cs="Times New Roman"/>
        </w:rPr>
        <w:drawing>
          <wp:inline distT="0" distB="0" distL="0" distR="0">
            <wp:extent cx="4826000" cy="2628900"/>
            <wp:effectExtent l="19050" t="0" r="1270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6"/>
        <w:jc w:val="center"/>
        <w:rPr>
          <w:rFonts w:hint="default" w:ascii="Times New Roman" w:hAnsi="Times New Roman" w:cs="Times New Roman"/>
        </w:rPr>
      </w:pPr>
      <w:r>
        <w:rPr>
          <w:rFonts w:hint="default" w:ascii="Times New Roman" w:hAnsi="Times New Roman" w:cs="Times New Roman"/>
        </w:rPr>
        <w:t>图表 6    单位：万元</w:t>
      </w:r>
    </w:p>
    <w:p>
      <w:pPr>
        <w:spacing w:line="600" w:lineRule="exact"/>
        <w:ind w:firstLine="643" w:firstLineChars="200"/>
        <w:outlineLvl w:val="2"/>
        <w:rPr>
          <w:rFonts w:hint="default" w:ascii="Times New Roman" w:hAnsi="Times New Roman" w:eastAsia="仿宋" w:cs="Times New Roman"/>
          <w:b/>
          <w:sz w:val="32"/>
          <w:szCs w:val="32"/>
        </w:rPr>
      </w:pPr>
      <w:bookmarkStart w:id="38" w:name="_Toc15377212"/>
    </w:p>
    <w:p>
      <w:pPr>
        <w:spacing w:line="600" w:lineRule="exact"/>
        <w:ind w:firstLine="643" w:firstLineChars="200"/>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（三）一般公共预算财政拨款支出决算具体情况</w:t>
      </w:r>
      <w:bookmarkEnd w:id="38"/>
    </w:p>
    <w:p>
      <w:pPr>
        <w:spacing w:line="600" w:lineRule="exact"/>
        <w:ind w:firstLine="643" w:firstLineChars="200"/>
        <w:outlineLvl w:val="2"/>
        <w:rPr>
          <w:rFonts w:hint="default" w:ascii="Times New Roman" w:hAnsi="Times New Roman" w:eastAsia="仿宋" w:cs="Times New Roman"/>
          <w:sz w:val="32"/>
          <w:szCs w:val="32"/>
        </w:rPr>
      </w:pPr>
      <w:bookmarkStart w:id="39" w:name="_Toc15377444"/>
      <w:bookmarkStart w:id="40" w:name="_Toc15378460"/>
      <w:bookmarkStart w:id="41" w:name="_Toc15377213"/>
      <w:r>
        <w:rPr>
          <w:rFonts w:hint="default" w:ascii="Times New Roman" w:hAnsi="Times New Roman" w:eastAsia="仿宋" w:cs="Times New Roman"/>
          <w:b/>
          <w:sz w:val="32"/>
          <w:szCs w:val="32"/>
        </w:rPr>
        <w:t>2022年一般公共预算支出决算数为270.59万元</w:t>
      </w:r>
      <w:r>
        <w:rPr>
          <w:rFonts w:hint="default" w:ascii="Times New Roman" w:hAnsi="Times New Roman" w:eastAsia="仿宋" w:cs="Times New Roman"/>
          <w:sz w:val="32"/>
          <w:szCs w:val="32"/>
        </w:rPr>
        <w:t>，</w:t>
      </w:r>
      <w:r>
        <w:rPr>
          <w:rStyle w:val="16"/>
          <w:rFonts w:hint="default" w:ascii="Times New Roman" w:hAnsi="Times New Roman" w:eastAsia="仿宋" w:cs="Times New Roman"/>
          <w:bCs/>
          <w:sz w:val="32"/>
          <w:szCs w:val="32"/>
        </w:rPr>
        <w:t>完成预算100</w:t>
      </w:r>
      <w:r>
        <w:rPr>
          <w:rStyle w:val="16"/>
          <w:rFonts w:hint="default" w:ascii="Times New Roman" w:hAnsi="Times New Roman" w:eastAsia="仿宋" w:cs="Times New Roman"/>
          <w:bCs/>
          <w:sz w:val="32"/>
          <w:szCs w:val="32"/>
        </w:rPr>
        <w:t>%</w:t>
      </w:r>
      <w:r>
        <w:rPr>
          <w:rStyle w:val="16"/>
          <w:rFonts w:hint="default" w:ascii="Times New Roman" w:hAnsi="Times New Roman" w:eastAsia="仿宋" w:cs="Times New Roman"/>
          <w:bCs/>
          <w:sz w:val="32"/>
          <w:szCs w:val="32"/>
        </w:rPr>
        <w:t>。其中：</w:t>
      </w:r>
      <w:bookmarkEnd w:id="39"/>
      <w:bookmarkEnd w:id="40"/>
      <w:bookmarkEnd w:id="41"/>
    </w:p>
    <w:p>
      <w:pPr>
        <w:spacing w:line="600" w:lineRule="exact"/>
        <w:ind w:firstLine="643" w:firstLineChars="200"/>
        <w:rPr>
          <w:rStyle w:val="16"/>
          <w:rFonts w:hint="default" w:ascii="Times New Roman" w:hAnsi="Times New Roman" w:eastAsia="仿宋" w:cs="Times New Roman"/>
          <w:b w:val="0"/>
          <w:bCs/>
          <w:sz w:val="32"/>
          <w:szCs w:val="32"/>
        </w:rPr>
      </w:pPr>
      <w:r>
        <w:rPr>
          <w:rStyle w:val="16"/>
          <w:rFonts w:hint="default" w:ascii="Times New Roman" w:hAnsi="Times New Roman" w:eastAsia="仿宋" w:cs="Times New Roman"/>
          <w:bCs/>
          <w:sz w:val="32"/>
          <w:szCs w:val="32"/>
        </w:rPr>
        <w:t>1.</w:t>
      </w:r>
      <w:r>
        <w:rPr>
          <w:rFonts w:hint="default" w:ascii="Times New Roman" w:hAnsi="Times New Roman" w:eastAsia="仿宋" w:cs="Times New Roman"/>
          <w:b/>
          <w:bCs/>
          <w:sz w:val="32"/>
          <w:szCs w:val="32"/>
        </w:rPr>
        <w:t>一般公共服务（类）商贸事务（款）行政运行（项）</w:t>
      </w:r>
      <w:r>
        <w:rPr>
          <w:rStyle w:val="16"/>
          <w:rFonts w:hint="default" w:ascii="Times New Roman" w:hAnsi="Times New Roman" w:eastAsia="仿宋" w:cs="Times New Roman"/>
          <w:bCs/>
          <w:sz w:val="32"/>
          <w:szCs w:val="32"/>
        </w:rPr>
        <w:t>:</w:t>
      </w:r>
      <w:r>
        <w:rPr>
          <w:rStyle w:val="16"/>
          <w:rFonts w:hint="default" w:ascii="Times New Roman" w:hAnsi="Times New Roman" w:eastAsia="仿宋" w:cs="Times New Roman"/>
          <w:b w:val="0"/>
          <w:bCs/>
          <w:sz w:val="32"/>
          <w:szCs w:val="32"/>
        </w:rPr>
        <w:t>支出决算为215.65万元，完成预算106.06</w:t>
      </w:r>
      <w:r>
        <w:rPr>
          <w:rStyle w:val="16"/>
          <w:rFonts w:hint="default" w:ascii="Times New Roman" w:hAnsi="Times New Roman" w:eastAsia="仿宋" w:cs="Times New Roman"/>
          <w:b w:val="0"/>
          <w:bCs/>
          <w:sz w:val="32"/>
          <w:szCs w:val="32"/>
        </w:rPr>
        <w:t>%</w:t>
      </w:r>
      <w:r>
        <w:rPr>
          <w:rStyle w:val="16"/>
          <w:rFonts w:hint="default" w:ascii="Times New Roman" w:hAnsi="Times New Roman" w:eastAsia="仿宋" w:cs="Times New Roman"/>
          <w:b w:val="0"/>
          <w:bCs/>
          <w:sz w:val="32"/>
          <w:szCs w:val="32"/>
        </w:rPr>
        <w:t>，决算数大于预算数</w:t>
      </w:r>
      <w:r>
        <w:rPr>
          <w:rFonts w:hint="default" w:ascii="Times New Roman" w:hAnsi="Times New Roman" w:eastAsia="仿宋" w:cs="Times New Roman"/>
          <w:kern w:val="0"/>
          <w:sz w:val="32"/>
          <w:szCs w:val="32"/>
        </w:rPr>
        <w:t>，主要原因是人员增减变动</w:t>
      </w:r>
      <w:r>
        <w:rPr>
          <w:rStyle w:val="16"/>
          <w:rFonts w:hint="default" w:ascii="Times New Roman" w:hAnsi="Times New Roman" w:eastAsia="仿宋" w:cs="Times New Roman"/>
          <w:b w:val="0"/>
          <w:bCs/>
          <w:sz w:val="32"/>
          <w:szCs w:val="32"/>
        </w:rPr>
        <w:t>。</w:t>
      </w:r>
    </w:p>
    <w:p>
      <w:pPr>
        <w:widowControl/>
        <w:spacing w:line="221" w:lineRule="atLeast"/>
        <w:ind w:firstLine="643"/>
        <w:jc w:val="left"/>
        <w:rPr>
          <w:rFonts w:hint="default" w:ascii="Times New Roman" w:hAnsi="Times New Roman" w:eastAsia="仿宋" w:cs="Times New Roman"/>
          <w:kern w:val="0"/>
          <w:sz w:val="24"/>
        </w:rPr>
      </w:pPr>
      <w:r>
        <w:rPr>
          <w:rFonts w:hint="default" w:ascii="Times New Roman" w:hAnsi="Times New Roman" w:eastAsia="仿宋" w:cs="Times New Roman"/>
          <w:b/>
          <w:bCs/>
          <w:color w:val="000000"/>
          <w:kern w:val="0"/>
          <w:sz w:val="32"/>
        </w:rPr>
        <w:t>2.社会保障和就业支出（类）行政事业单位离退休（款）机关事业单位基本养老保险缴费支出（项）</w:t>
      </w:r>
      <w:r>
        <w:rPr>
          <w:rFonts w:hint="default" w:ascii="Times New Roman" w:hAnsi="Times New Roman" w:cs="Times New Roman"/>
          <w:b/>
          <w:bCs/>
          <w:color w:val="000000"/>
          <w:kern w:val="0"/>
          <w:sz w:val="32"/>
        </w:rPr>
        <w:t>:</w:t>
      </w:r>
      <w:r>
        <w:rPr>
          <w:rFonts w:hint="default" w:ascii="Times New Roman" w:hAnsi="Times New Roman" w:eastAsia="仿宋" w:cs="Times New Roman"/>
          <w:color w:val="000000"/>
          <w:kern w:val="0"/>
          <w:sz w:val="32"/>
          <w:szCs w:val="32"/>
        </w:rPr>
        <w:t>支出决算</w:t>
      </w:r>
      <w:r>
        <w:rPr>
          <w:rFonts w:hint="default" w:ascii="Times New Roman" w:hAnsi="Times New Roman" w:eastAsia="仿宋" w:cs="Times New Roman"/>
          <w:color w:val="000000"/>
          <w:kern w:val="0"/>
          <w:sz w:val="32"/>
          <w:szCs w:val="32"/>
        </w:rPr>
        <w:t>18.22</w:t>
      </w:r>
      <w:r>
        <w:rPr>
          <w:rFonts w:hint="default" w:ascii="Times New Roman" w:hAnsi="Times New Roman" w:eastAsia="仿宋" w:cs="Times New Roman"/>
          <w:color w:val="000000"/>
          <w:kern w:val="0"/>
          <w:sz w:val="32"/>
          <w:szCs w:val="32"/>
        </w:rPr>
        <w:t>万元，完成预算</w:t>
      </w:r>
      <w:r>
        <w:rPr>
          <w:rFonts w:hint="default" w:ascii="Times New Roman" w:hAnsi="Times New Roman" w:eastAsia="仿宋" w:cs="Times New Roman"/>
          <w:color w:val="000000"/>
          <w:kern w:val="0"/>
          <w:sz w:val="32"/>
          <w:szCs w:val="32"/>
        </w:rPr>
        <w:t>100</w:t>
      </w:r>
      <w:r>
        <w:rPr>
          <w:rFonts w:hint="default" w:ascii="Times New Roman" w:hAnsi="Times New Roman" w:eastAsia="仿宋" w:cs="Times New Roman"/>
          <w:color w:val="000000"/>
          <w:kern w:val="0"/>
          <w:sz w:val="32"/>
          <w:szCs w:val="32"/>
        </w:rPr>
        <w:t>.94</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kern w:val="0"/>
          <w:sz w:val="32"/>
          <w:szCs w:val="32"/>
        </w:rPr>
        <w:t>，决算数大于预算数，主要原因是缴费基数变动</w:t>
      </w:r>
      <w:r>
        <w:rPr>
          <w:rFonts w:hint="default" w:ascii="Times New Roman" w:hAnsi="Times New Roman" w:eastAsia="仿宋" w:cs="Times New Roman"/>
          <w:color w:val="000000"/>
          <w:kern w:val="0"/>
          <w:sz w:val="32"/>
          <w:szCs w:val="32"/>
        </w:rPr>
        <w:t>。</w:t>
      </w:r>
    </w:p>
    <w:p>
      <w:pPr>
        <w:spacing w:line="600" w:lineRule="exact"/>
        <w:ind w:firstLine="643" w:firstLineChars="200"/>
        <w:rPr>
          <w:rFonts w:hint="default" w:ascii="Times New Roman" w:hAnsi="Times New Roman" w:eastAsia="仿宋" w:cs="Times New Roman"/>
          <w:sz w:val="32"/>
          <w:szCs w:val="32"/>
        </w:rPr>
      </w:pPr>
      <w:r>
        <w:rPr>
          <w:rStyle w:val="16"/>
          <w:rFonts w:hint="default" w:ascii="Times New Roman" w:hAnsi="Times New Roman" w:eastAsia="仿宋" w:cs="Times New Roman"/>
          <w:bCs/>
          <w:sz w:val="32"/>
          <w:szCs w:val="32"/>
        </w:rPr>
        <w:t>3</w:t>
      </w:r>
      <w:r>
        <w:rPr>
          <w:rStyle w:val="16"/>
          <w:rFonts w:hint="default" w:ascii="Times New Roman" w:hAnsi="Times New Roman" w:eastAsia="仿宋" w:cs="Times New Roman"/>
          <w:bCs/>
          <w:sz w:val="32"/>
          <w:szCs w:val="32"/>
        </w:rPr>
        <w:t>.</w:t>
      </w:r>
      <w:r>
        <w:rPr>
          <w:rFonts w:hint="default" w:ascii="Times New Roman" w:hAnsi="Times New Roman" w:eastAsia="仿宋" w:cs="Times New Roman"/>
          <w:b/>
          <w:bCs/>
          <w:sz w:val="32"/>
          <w:szCs w:val="32"/>
        </w:rPr>
        <w:t>卫生健康支出（类）行政事业单位医疗（款）行政单位医疗（项）</w:t>
      </w:r>
      <w:r>
        <w:rPr>
          <w:rFonts w:hint="default" w:ascii="Times New Roman" w:hAnsi="Times New Roman" w:eastAsia="仿宋" w:cs="Times New Roman"/>
          <w:b/>
          <w:bCs/>
          <w:sz w:val="32"/>
          <w:szCs w:val="32"/>
        </w:rPr>
        <w:t>:</w:t>
      </w:r>
      <w:r>
        <w:rPr>
          <w:rFonts w:hint="default" w:ascii="Times New Roman" w:hAnsi="Times New Roman" w:eastAsia="仿宋" w:cs="Times New Roman"/>
          <w:bCs/>
          <w:sz w:val="32"/>
          <w:szCs w:val="32"/>
        </w:rPr>
        <w:t>支出决算为6.25万元，完成预算95.71</w:t>
      </w:r>
      <w:r>
        <w:rPr>
          <w:rFonts w:hint="default" w:ascii="Times New Roman" w:hAnsi="Times New Roman" w:eastAsia="仿宋" w:cs="Times New Roman"/>
          <w:bCs/>
          <w:sz w:val="32"/>
          <w:szCs w:val="32"/>
        </w:rPr>
        <w:t>%</w:t>
      </w:r>
      <w:r>
        <w:rPr>
          <w:rFonts w:hint="default" w:ascii="Times New Roman" w:hAnsi="Times New Roman" w:eastAsia="仿宋" w:cs="Times New Roman"/>
          <w:bCs/>
          <w:sz w:val="32"/>
          <w:szCs w:val="32"/>
        </w:rPr>
        <w:t>，决算数</w:t>
      </w:r>
      <w:r>
        <w:rPr>
          <w:rFonts w:hint="default" w:ascii="Times New Roman" w:hAnsi="Times New Roman" w:eastAsia="仿宋" w:cs="Times New Roman"/>
          <w:kern w:val="0"/>
          <w:sz w:val="32"/>
          <w:szCs w:val="32"/>
        </w:rPr>
        <w:t>小于</w:t>
      </w:r>
      <w:r>
        <w:rPr>
          <w:rFonts w:hint="default" w:ascii="Times New Roman" w:hAnsi="Times New Roman" w:eastAsia="仿宋" w:cs="Times New Roman"/>
          <w:bCs/>
          <w:sz w:val="32"/>
          <w:szCs w:val="32"/>
        </w:rPr>
        <w:t>预算数，</w:t>
      </w:r>
      <w:r>
        <w:rPr>
          <w:rFonts w:hint="default" w:ascii="Times New Roman" w:hAnsi="Times New Roman" w:eastAsia="仿宋" w:cs="Times New Roman"/>
          <w:kern w:val="0"/>
          <w:sz w:val="32"/>
          <w:szCs w:val="32"/>
        </w:rPr>
        <w:t>主要原因是缴费基数变动</w:t>
      </w:r>
      <w:r>
        <w:rPr>
          <w:rFonts w:hint="default" w:ascii="Times New Roman" w:hAnsi="Times New Roman" w:eastAsia="仿宋" w:cs="Times New Roman"/>
          <w:color w:val="000000"/>
          <w:kern w:val="0"/>
          <w:sz w:val="32"/>
          <w:szCs w:val="32"/>
        </w:rPr>
        <w:t>。</w:t>
      </w:r>
    </w:p>
    <w:p>
      <w:pPr>
        <w:spacing w:line="600" w:lineRule="exact"/>
        <w:ind w:firstLine="643" w:firstLineChars="200"/>
        <w:rPr>
          <w:rFonts w:hint="default" w:ascii="Times New Roman" w:hAnsi="Times New Roman" w:eastAsia="仿宋" w:cs="Times New Roman"/>
          <w:b/>
          <w:bCs/>
          <w:sz w:val="32"/>
          <w:szCs w:val="32"/>
        </w:rPr>
      </w:pPr>
      <w:r>
        <w:rPr>
          <w:rStyle w:val="16"/>
          <w:rFonts w:hint="default" w:ascii="Times New Roman" w:hAnsi="Times New Roman" w:eastAsia="仿宋" w:cs="Times New Roman"/>
          <w:bCs/>
          <w:sz w:val="32"/>
          <w:szCs w:val="32"/>
        </w:rPr>
        <w:t>4</w:t>
      </w:r>
      <w:r>
        <w:rPr>
          <w:rStyle w:val="16"/>
          <w:rFonts w:hint="default" w:ascii="Times New Roman" w:hAnsi="Times New Roman" w:eastAsia="仿宋" w:cs="Times New Roman"/>
          <w:bCs/>
          <w:sz w:val="32"/>
          <w:szCs w:val="32"/>
        </w:rPr>
        <w:t>.</w:t>
      </w:r>
      <w:r>
        <w:rPr>
          <w:rFonts w:hint="default" w:ascii="Times New Roman" w:hAnsi="Times New Roman" w:eastAsia="仿宋" w:cs="Times New Roman"/>
          <w:b/>
          <w:bCs/>
          <w:sz w:val="32"/>
          <w:szCs w:val="32"/>
        </w:rPr>
        <w:t>卫生健康支出（类）行政事业单位医疗（款）事业单位医疗（项）</w:t>
      </w:r>
      <w:r>
        <w:rPr>
          <w:rFonts w:hint="default" w:ascii="Times New Roman" w:hAnsi="Times New Roman" w:eastAsia="仿宋" w:cs="Times New Roman"/>
          <w:b/>
          <w:bCs/>
          <w:sz w:val="32"/>
          <w:szCs w:val="32"/>
        </w:rPr>
        <w:t>:</w:t>
      </w:r>
      <w:r>
        <w:rPr>
          <w:rFonts w:hint="default" w:ascii="Times New Roman" w:hAnsi="Times New Roman" w:eastAsia="仿宋" w:cs="Times New Roman"/>
          <w:bCs/>
          <w:sz w:val="32"/>
          <w:szCs w:val="32"/>
        </w:rPr>
        <w:t>支出决算为8.52万元，完成预算</w:t>
      </w:r>
      <w:r>
        <w:rPr>
          <w:rFonts w:hint="default" w:ascii="Times New Roman" w:hAnsi="Times New Roman" w:eastAsia="仿宋" w:cs="Times New Roman"/>
          <w:bCs/>
          <w:sz w:val="32"/>
          <w:szCs w:val="32"/>
        </w:rPr>
        <w:t>1</w:t>
      </w:r>
      <w:r>
        <w:rPr>
          <w:rFonts w:hint="default" w:ascii="Times New Roman" w:hAnsi="Times New Roman" w:eastAsia="仿宋" w:cs="Times New Roman"/>
          <w:bCs/>
          <w:sz w:val="32"/>
          <w:szCs w:val="32"/>
        </w:rPr>
        <w:t>15.29</w:t>
      </w:r>
      <w:r>
        <w:rPr>
          <w:rFonts w:hint="default" w:ascii="Times New Roman" w:hAnsi="Times New Roman" w:eastAsia="仿宋" w:cs="Times New Roman"/>
          <w:bCs/>
          <w:sz w:val="32"/>
          <w:szCs w:val="32"/>
        </w:rPr>
        <w:t>%</w:t>
      </w:r>
      <w:r>
        <w:rPr>
          <w:rFonts w:hint="default" w:ascii="Times New Roman" w:hAnsi="Times New Roman" w:eastAsia="仿宋" w:cs="Times New Roman"/>
          <w:bCs/>
          <w:sz w:val="32"/>
          <w:szCs w:val="32"/>
        </w:rPr>
        <w:t>，决算数大于预算数，</w:t>
      </w:r>
      <w:r>
        <w:rPr>
          <w:rFonts w:hint="default" w:ascii="Times New Roman" w:hAnsi="Times New Roman" w:eastAsia="仿宋" w:cs="Times New Roman"/>
          <w:kern w:val="0"/>
          <w:sz w:val="32"/>
          <w:szCs w:val="32"/>
        </w:rPr>
        <w:t>主要原因是缴费基数变动</w:t>
      </w:r>
      <w:r>
        <w:rPr>
          <w:rFonts w:hint="default" w:ascii="Times New Roman" w:hAnsi="Times New Roman" w:eastAsia="仿宋" w:cs="Times New Roman"/>
          <w:color w:val="000000"/>
          <w:kern w:val="0"/>
          <w:sz w:val="32"/>
          <w:szCs w:val="32"/>
        </w:rPr>
        <w:t>。</w:t>
      </w:r>
    </w:p>
    <w:p>
      <w:pPr>
        <w:widowControl/>
        <w:spacing w:line="221" w:lineRule="atLeast"/>
        <w:ind w:firstLine="643"/>
        <w:jc w:val="left"/>
        <w:rPr>
          <w:rFonts w:hint="default" w:ascii="Times New Roman" w:hAnsi="Times New Roman" w:eastAsia="仿宋" w:cs="Times New Roman"/>
          <w:color w:val="000000"/>
          <w:kern w:val="0"/>
          <w:sz w:val="32"/>
          <w:szCs w:val="32"/>
        </w:rPr>
      </w:pPr>
      <w:r>
        <w:rPr>
          <w:rStyle w:val="16"/>
          <w:rFonts w:hint="default" w:ascii="Times New Roman" w:hAnsi="Times New Roman" w:eastAsia="仿宋" w:cs="Times New Roman"/>
          <w:bCs/>
          <w:sz w:val="32"/>
          <w:szCs w:val="32"/>
        </w:rPr>
        <w:t>5</w:t>
      </w:r>
      <w:r>
        <w:rPr>
          <w:rStyle w:val="16"/>
          <w:rFonts w:hint="default" w:ascii="Times New Roman" w:hAnsi="Times New Roman" w:eastAsia="仿宋" w:cs="Times New Roman"/>
          <w:bCs/>
          <w:sz w:val="32"/>
          <w:szCs w:val="32"/>
        </w:rPr>
        <w:t>.</w:t>
      </w:r>
      <w:r>
        <w:rPr>
          <w:rFonts w:hint="default" w:ascii="Times New Roman" w:hAnsi="Times New Roman" w:eastAsia="仿宋" w:cs="Times New Roman"/>
          <w:b/>
          <w:bCs/>
          <w:color w:val="000000"/>
          <w:kern w:val="0"/>
          <w:sz w:val="32"/>
        </w:rPr>
        <w:t xml:space="preserve"> 卫生健康支出（类）行政事业单位医疗（款）公务员医疗补助（项）</w:t>
      </w:r>
      <w:r>
        <w:rPr>
          <w:rFonts w:hint="default" w:ascii="Times New Roman" w:hAnsi="Times New Roman" w:cs="Times New Roman"/>
          <w:b/>
          <w:bCs/>
          <w:color w:val="000000"/>
          <w:kern w:val="0"/>
          <w:sz w:val="32"/>
        </w:rPr>
        <w:t>:</w:t>
      </w:r>
      <w:r>
        <w:rPr>
          <w:rFonts w:hint="default" w:ascii="Times New Roman" w:hAnsi="Times New Roman" w:eastAsia="仿宋" w:cs="Times New Roman"/>
          <w:color w:val="000000"/>
          <w:kern w:val="0"/>
          <w:sz w:val="32"/>
          <w:szCs w:val="32"/>
        </w:rPr>
        <w:t>支出决算为0.52万元，完成预算92.86</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kern w:val="0"/>
          <w:sz w:val="32"/>
          <w:szCs w:val="32"/>
        </w:rPr>
        <w:t>，决算数小于预算数</w:t>
      </w:r>
      <w:r>
        <w:rPr>
          <w:rFonts w:hint="default" w:ascii="Times New Roman" w:hAnsi="Times New Roman" w:eastAsia="仿宋" w:cs="Times New Roman"/>
          <w:bCs/>
          <w:sz w:val="32"/>
          <w:szCs w:val="32"/>
        </w:rPr>
        <w:t>，</w:t>
      </w:r>
      <w:r>
        <w:rPr>
          <w:rFonts w:hint="default" w:ascii="Times New Roman" w:hAnsi="Times New Roman" w:eastAsia="仿宋" w:cs="Times New Roman"/>
          <w:kern w:val="0"/>
          <w:sz w:val="32"/>
          <w:szCs w:val="32"/>
        </w:rPr>
        <w:t>主要原因是缴费基数变动</w:t>
      </w:r>
      <w:r>
        <w:rPr>
          <w:rFonts w:hint="default" w:ascii="Times New Roman" w:hAnsi="Times New Roman" w:eastAsia="仿宋" w:cs="Times New Roman"/>
          <w:color w:val="000000"/>
          <w:kern w:val="0"/>
          <w:sz w:val="32"/>
          <w:szCs w:val="32"/>
        </w:rPr>
        <w:t>。</w:t>
      </w:r>
    </w:p>
    <w:p>
      <w:pPr>
        <w:widowControl/>
        <w:spacing w:line="221" w:lineRule="atLeast"/>
        <w:ind w:firstLine="643"/>
        <w:jc w:val="left"/>
        <w:rPr>
          <w:rFonts w:hint="default" w:ascii="Times New Roman" w:hAnsi="Times New Roman" w:eastAsia="仿宋" w:cs="Times New Roman"/>
          <w:color w:val="000000"/>
          <w:kern w:val="0"/>
          <w:sz w:val="32"/>
          <w:szCs w:val="32"/>
        </w:rPr>
      </w:pPr>
      <w:r>
        <w:rPr>
          <w:rStyle w:val="16"/>
          <w:rFonts w:hint="default" w:ascii="Times New Roman" w:hAnsi="Times New Roman" w:eastAsia="仿宋" w:cs="Times New Roman"/>
          <w:bCs/>
          <w:sz w:val="32"/>
          <w:szCs w:val="32"/>
        </w:rPr>
        <w:t>6</w:t>
      </w:r>
      <w:r>
        <w:rPr>
          <w:rStyle w:val="16"/>
          <w:rFonts w:hint="default" w:ascii="Times New Roman" w:hAnsi="Times New Roman" w:eastAsia="仿宋" w:cs="Times New Roman"/>
          <w:bCs/>
          <w:sz w:val="32"/>
          <w:szCs w:val="32"/>
        </w:rPr>
        <w:t>.</w:t>
      </w:r>
      <w:r>
        <w:rPr>
          <w:rFonts w:hint="default" w:ascii="Times New Roman" w:hAnsi="Times New Roman" w:eastAsia="仿宋" w:cs="Times New Roman"/>
          <w:b/>
          <w:bCs/>
          <w:color w:val="000000"/>
          <w:kern w:val="0"/>
          <w:sz w:val="32"/>
        </w:rPr>
        <w:t xml:space="preserve"> 卫生健康支出（类）行政事业单位医疗（款）其他行政事业单位医疗支出（项）</w:t>
      </w:r>
      <w:r>
        <w:rPr>
          <w:rFonts w:hint="default" w:ascii="Times New Roman" w:hAnsi="Times New Roman" w:cs="Times New Roman"/>
          <w:b/>
          <w:bCs/>
          <w:color w:val="000000"/>
          <w:kern w:val="0"/>
          <w:sz w:val="32"/>
        </w:rPr>
        <w:t>:</w:t>
      </w:r>
      <w:r>
        <w:rPr>
          <w:rFonts w:hint="default" w:ascii="Times New Roman" w:hAnsi="Times New Roman" w:eastAsia="仿宋" w:cs="Times New Roman"/>
          <w:color w:val="000000"/>
          <w:kern w:val="0"/>
          <w:sz w:val="32"/>
          <w:szCs w:val="32"/>
        </w:rPr>
        <w:t>支出决算为0.73万元，完成预算101.39</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kern w:val="0"/>
          <w:sz w:val="32"/>
          <w:szCs w:val="32"/>
        </w:rPr>
        <w:t>，决算数大于预算数</w:t>
      </w:r>
      <w:r>
        <w:rPr>
          <w:rFonts w:hint="default" w:ascii="Times New Roman" w:hAnsi="Times New Roman" w:eastAsia="仿宋" w:cs="Times New Roman"/>
          <w:bCs/>
          <w:sz w:val="32"/>
          <w:szCs w:val="32"/>
        </w:rPr>
        <w:t>，</w:t>
      </w:r>
      <w:r>
        <w:rPr>
          <w:rFonts w:hint="default" w:ascii="Times New Roman" w:hAnsi="Times New Roman" w:eastAsia="仿宋" w:cs="Times New Roman"/>
          <w:kern w:val="0"/>
          <w:sz w:val="32"/>
          <w:szCs w:val="32"/>
        </w:rPr>
        <w:t>主要原因是缴费基数变动</w:t>
      </w:r>
      <w:r>
        <w:rPr>
          <w:rFonts w:hint="default" w:ascii="Times New Roman" w:hAnsi="Times New Roman" w:eastAsia="仿宋" w:cs="Times New Roman"/>
          <w:color w:val="000000"/>
          <w:kern w:val="0"/>
          <w:sz w:val="32"/>
          <w:szCs w:val="32"/>
        </w:rPr>
        <w:t>。</w:t>
      </w:r>
    </w:p>
    <w:p>
      <w:pPr>
        <w:widowControl/>
        <w:spacing w:line="221" w:lineRule="atLeast"/>
        <w:ind w:firstLine="643"/>
        <w:jc w:val="left"/>
        <w:rPr>
          <w:rFonts w:hint="default" w:ascii="Times New Roman" w:hAnsi="Times New Roman" w:eastAsia="仿宋" w:cs="Times New Roman"/>
          <w:bCs/>
          <w:sz w:val="32"/>
          <w:szCs w:val="32"/>
        </w:rPr>
      </w:pPr>
      <w:r>
        <w:rPr>
          <w:rFonts w:hint="default" w:ascii="Times New Roman" w:hAnsi="Times New Roman" w:eastAsia="仿宋" w:cs="Times New Roman"/>
          <w:b/>
          <w:bCs/>
          <w:color w:val="000000"/>
          <w:kern w:val="0"/>
          <w:sz w:val="32"/>
        </w:rPr>
        <w:t>7</w:t>
      </w:r>
      <w:r>
        <w:rPr>
          <w:rFonts w:hint="default" w:ascii="Times New Roman" w:hAnsi="Times New Roman" w:eastAsia="仿宋" w:cs="Times New Roman"/>
          <w:b/>
          <w:bCs/>
          <w:color w:val="000000"/>
          <w:kern w:val="0"/>
          <w:sz w:val="32"/>
        </w:rPr>
        <w:t>.</w:t>
      </w:r>
      <w:r>
        <w:rPr>
          <w:rFonts w:hint="default" w:ascii="Times New Roman" w:hAnsi="Times New Roman" w:eastAsia="仿宋" w:cs="Times New Roman"/>
          <w:b/>
          <w:bCs/>
          <w:color w:val="000000"/>
          <w:kern w:val="0"/>
          <w:sz w:val="32"/>
        </w:rPr>
        <w:t>住房保障支出</w:t>
      </w:r>
      <w:r>
        <w:rPr>
          <w:rFonts w:hint="default" w:ascii="Times New Roman" w:hAnsi="Times New Roman" w:eastAsia="仿宋" w:cs="Times New Roman"/>
          <w:b/>
          <w:bCs/>
          <w:color w:val="000000"/>
          <w:kern w:val="0"/>
          <w:sz w:val="32"/>
        </w:rPr>
        <w:t>（类）住房改革支出（款）住房公积金（项）</w:t>
      </w:r>
      <w:r>
        <w:rPr>
          <w:rFonts w:hint="default" w:ascii="Times New Roman" w:hAnsi="Times New Roman" w:cs="Times New Roman"/>
          <w:b/>
          <w:bCs/>
          <w:color w:val="000000"/>
          <w:kern w:val="0"/>
          <w:sz w:val="32"/>
        </w:rPr>
        <w:t>:</w:t>
      </w:r>
      <w:r>
        <w:rPr>
          <w:rFonts w:hint="default" w:ascii="Times New Roman" w:hAnsi="Times New Roman" w:eastAsia="仿宋" w:cs="Times New Roman"/>
          <w:color w:val="000000"/>
          <w:kern w:val="0"/>
          <w:sz w:val="32"/>
          <w:szCs w:val="32"/>
        </w:rPr>
        <w:t>支出决算为20.70万元，完成预算</w:t>
      </w:r>
      <w:r>
        <w:rPr>
          <w:rFonts w:hint="default" w:ascii="Times New Roman" w:hAnsi="Times New Roman" w:eastAsia="仿宋" w:cs="Times New Roman"/>
          <w:color w:val="000000"/>
          <w:kern w:val="0"/>
          <w:sz w:val="32"/>
          <w:szCs w:val="32"/>
        </w:rPr>
        <w:t>10</w:t>
      </w:r>
      <w:r>
        <w:rPr>
          <w:rFonts w:hint="default" w:ascii="Times New Roman" w:hAnsi="Times New Roman" w:eastAsia="仿宋" w:cs="Times New Roman"/>
          <w:color w:val="000000"/>
          <w:kern w:val="0"/>
          <w:sz w:val="32"/>
          <w:szCs w:val="32"/>
        </w:rPr>
        <w:t>4.22</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kern w:val="0"/>
          <w:sz w:val="32"/>
          <w:szCs w:val="32"/>
        </w:rPr>
        <w:t>，决算数大于预算数</w:t>
      </w:r>
      <w:bookmarkStart w:id="42" w:name="_Toc15396608"/>
      <w:bookmarkStart w:id="43" w:name="_Toc15377214"/>
      <w:r>
        <w:rPr>
          <w:rFonts w:hint="default" w:ascii="Times New Roman" w:hAnsi="Times New Roman" w:eastAsia="仿宋" w:cs="Times New Roman"/>
          <w:bCs/>
          <w:sz w:val="32"/>
          <w:szCs w:val="32"/>
        </w:rPr>
        <w:t>，</w:t>
      </w:r>
      <w:r>
        <w:rPr>
          <w:rFonts w:hint="default" w:ascii="Times New Roman" w:hAnsi="Times New Roman" w:eastAsia="仿宋" w:cs="Times New Roman"/>
          <w:kern w:val="0"/>
          <w:sz w:val="32"/>
          <w:szCs w:val="32"/>
        </w:rPr>
        <w:t>主要原因是缴费基数变动</w:t>
      </w:r>
      <w:r>
        <w:rPr>
          <w:rFonts w:hint="default" w:ascii="Times New Roman" w:hAnsi="Times New Roman" w:eastAsia="仿宋" w:cs="Times New Roman"/>
          <w:color w:val="000000"/>
          <w:kern w:val="0"/>
          <w:sz w:val="32"/>
          <w:szCs w:val="32"/>
        </w:rPr>
        <w:t>。</w:t>
      </w:r>
    </w:p>
    <w:p>
      <w:pPr>
        <w:widowControl/>
        <w:spacing w:line="221" w:lineRule="atLeast"/>
        <w:ind w:firstLine="643"/>
        <w:jc w:val="left"/>
        <w:rPr>
          <w:rStyle w:val="27"/>
          <w:rFonts w:hint="default" w:ascii="Times New Roman" w:hAnsi="Times New Roman" w:cs="Times New Roman"/>
        </w:rPr>
      </w:pPr>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w:t>
      </w:r>
      <w:r>
        <w:rPr>
          <w:rFonts w:hint="default" w:ascii="Times New Roman" w:hAnsi="Times New Roman" w:eastAsia="黑体" w:cs="Times New Roman"/>
          <w:b/>
          <w:sz w:val="32"/>
          <w:szCs w:val="32"/>
        </w:rPr>
        <w:t>一</w:t>
      </w:r>
      <w:r>
        <w:rPr>
          <w:rStyle w:val="27"/>
          <w:rFonts w:hint="default" w:ascii="Times New Roman" w:hAnsi="Times New Roman" w:eastAsia="黑体" w:cs="Times New Roman"/>
          <w:b w:val="0"/>
        </w:rPr>
        <w:t>般公共预算财政拨款基本支出决算情况说明</w:t>
      </w:r>
      <w:bookmarkEnd w:id="42"/>
      <w:bookmarkEnd w:id="43"/>
      <w:r>
        <w:rPr>
          <w:rStyle w:val="27"/>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w:t>
      </w:r>
      <w:r>
        <w:rPr>
          <w:rFonts w:hint="default" w:ascii="Times New Roman" w:hAnsi="Times New Roman" w:eastAsia="仿宋" w:cs="Times New Roman"/>
          <w:sz w:val="32"/>
          <w:szCs w:val="32"/>
        </w:rPr>
        <w:t>年一般公共预算财政拨款基本支出270.59万元，其中：</w:t>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人员经费252.67万元，主要包括：基本工资、津贴补贴、奖金、绩效工资、机关事业单位基本养老保险缴费、职工基本医疗保险缴费、公务员医疗补助缴费、其他社会保障缴费、其他工资福利支出、住房公积金等。</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公用经费17.92万元，主要包括：办公费、差旅费、工会经费、福利费、其他交通费、其他商品和服务支出等。</w:t>
      </w:r>
    </w:p>
    <w:p>
      <w:pPr>
        <w:spacing w:line="600" w:lineRule="exact"/>
        <w:ind w:firstLine="640"/>
        <w:rPr>
          <w:rFonts w:hint="default" w:ascii="Times New Roman" w:hAnsi="Times New Roman" w:eastAsia="仿宋" w:cs="Times New Roman"/>
          <w:b/>
          <w:sz w:val="32"/>
          <w:szCs w:val="32"/>
        </w:rPr>
      </w:pPr>
    </w:p>
    <w:p>
      <w:pPr>
        <w:pStyle w:val="2"/>
        <w:spacing w:before="93"/>
        <w:rPr>
          <w:rFonts w:hint="default" w:ascii="Times New Roman" w:hAnsi="Times New Roman" w:cs="Times New Roman"/>
        </w:rPr>
      </w:pPr>
    </w:p>
    <w:p>
      <w:pPr>
        <w:spacing w:line="600" w:lineRule="exact"/>
        <w:ind w:firstLine="640"/>
        <w:outlineLvl w:val="1"/>
        <w:rPr>
          <w:rStyle w:val="27"/>
          <w:rFonts w:hint="default" w:ascii="Times New Roman" w:hAnsi="Times New Roman" w:eastAsia="黑体" w:cs="Times New Roman"/>
          <w:b w:val="0"/>
        </w:rPr>
      </w:pPr>
      <w:bookmarkStart w:id="44" w:name="_Toc15377215"/>
      <w:bookmarkStart w:id="45" w:name="_Toc15396609"/>
      <w:r>
        <w:rPr>
          <w:rFonts w:hint="default" w:ascii="Times New Roman" w:hAnsi="Times New Roman" w:eastAsia="黑体" w:cs="Times New Roman"/>
          <w:sz w:val="32"/>
          <w:szCs w:val="32"/>
        </w:rPr>
        <w:t>七、</w:t>
      </w:r>
      <w:r>
        <w:rPr>
          <w:rStyle w:val="27"/>
          <w:rFonts w:hint="default" w:ascii="Times New Roman" w:hAnsi="Times New Roman" w:eastAsia="黑体" w:cs="Times New Roman"/>
        </w:rPr>
        <w:t>“</w:t>
      </w:r>
      <w:r>
        <w:rPr>
          <w:rStyle w:val="27"/>
          <w:rFonts w:hint="default" w:ascii="Times New Roman" w:hAnsi="Times New Roman" w:eastAsia="黑体" w:cs="Times New Roman"/>
          <w:b w:val="0"/>
        </w:rPr>
        <w:t>三公”经费财政拨款支出决算情况说明</w:t>
      </w:r>
      <w:bookmarkEnd w:id="44"/>
      <w:bookmarkEnd w:id="45"/>
    </w:p>
    <w:p>
      <w:pPr>
        <w:spacing w:line="600" w:lineRule="exact"/>
        <w:ind w:firstLine="640"/>
        <w:outlineLvl w:val="2"/>
        <w:rPr>
          <w:rFonts w:hint="default" w:ascii="Times New Roman" w:hAnsi="Times New Roman" w:eastAsia="仿宋" w:cs="Times New Roman"/>
          <w:b/>
          <w:sz w:val="32"/>
          <w:szCs w:val="32"/>
        </w:rPr>
      </w:pPr>
      <w:bookmarkStart w:id="46" w:name="_Toc15377216"/>
      <w:r>
        <w:rPr>
          <w:rFonts w:hint="default" w:ascii="Times New Roman" w:hAnsi="Times New Roman" w:eastAsia="仿宋" w:cs="Times New Roman"/>
          <w:b/>
          <w:sz w:val="32"/>
          <w:szCs w:val="32"/>
        </w:rPr>
        <w:t>（一）“三公”经费财政拨款支出决算总体情况说明</w:t>
      </w:r>
      <w:bookmarkEnd w:id="46"/>
    </w:p>
    <w:p>
      <w:pPr>
        <w:spacing w:line="600" w:lineRule="exact"/>
        <w:ind w:firstLine="640"/>
        <w:outlineLvl w:val="2"/>
        <w:rPr>
          <w:rFonts w:hint="default" w:ascii="Times New Roman" w:hAnsi="Times New Roman" w:eastAsia="仿宋" w:cs="Times New Roman"/>
          <w:sz w:val="32"/>
          <w:szCs w:val="32"/>
        </w:rPr>
      </w:pPr>
      <w:bookmarkStart w:id="47" w:name="_Toc15377217"/>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rPr>
        <w:t>22年“三公”经费财政拨款支出决算为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万元，完成预算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，较上年增加/减少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万元，增长/下降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w:t>
      </w:r>
    </w:p>
    <w:p>
      <w:pPr>
        <w:spacing w:line="600" w:lineRule="exact"/>
        <w:ind w:firstLine="640"/>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（二）“三公”经费财政拨款支出决算具体情况说明</w:t>
      </w:r>
      <w:bookmarkEnd w:id="47"/>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w:t>
      </w:r>
      <w:r>
        <w:rPr>
          <w:rFonts w:hint="default" w:ascii="Times New Roman" w:hAnsi="Times New Roman" w:eastAsia="仿宋" w:cs="Times New Roman"/>
          <w:sz w:val="32"/>
          <w:szCs w:val="32"/>
        </w:rPr>
        <w:t>年“三公”经费财政拨款支出决算中，因公出国（境）费支出决算0万元，占0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；公务用车购置及运行维护费支出决算0万元，占0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；公务接待费支出决算0万元，占0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。与去年相比持平，具体情况如下：</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w:t>
      </w:r>
      <w:r>
        <w:rPr>
          <w:rFonts w:hint="default" w:ascii="Times New Roman" w:hAnsi="Times New Roman" w:eastAsia="仿宋_GB2312" w:cs="Times New Roman"/>
          <w:b/>
          <w:sz w:val="32"/>
          <w:szCs w:val="32"/>
        </w:rPr>
        <w:t>因公出国（境）经费支出</w:t>
      </w:r>
      <w:r>
        <w:rPr>
          <w:rFonts w:hint="default" w:ascii="Times New Roman" w:hAnsi="Times New Roman" w:eastAsia="仿宋_GB2312" w:cs="Times New Roman"/>
          <w:sz w:val="32"/>
          <w:szCs w:val="32"/>
        </w:rPr>
        <w:t>0万元</w:t>
      </w:r>
      <w:r>
        <w:rPr>
          <w:rStyle w:val="16"/>
          <w:rFonts w:hint="default" w:ascii="Times New Roman" w:hAnsi="Times New Roman" w:eastAsia="仿宋" w:cs="Times New Roman"/>
          <w:b w:val="0"/>
          <w:bCs/>
          <w:sz w:val="32"/>
          <w:szCs w:val="32"/>
        </w:rPr>
        <w:t>。</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w:t>
      </w:r>
      <w:r>
        <w:rPr>
          <w:rFonts w:hint="default" w:ascii="Times New Roman" w:hAnsi="Times New Roman" w:eastAsia="仿宋_GB2312" w:cs="Times New Roman"/>
          <w:b/>
          <w:sz w:val="32"/>
          <w:szCs w:val="32"/>
        </w:rPr>
        <w:t>公务用车购置及运行维护费支出</w:t>
      </w:r>
      <w:r>
        <w:rPr>
          <w:rFonts w:hint="default" w:ascii="Times New Roman" w:hAnsi="Times New Roman" w:eastAsia="仿宋_GB2312" w:cs="Times New Roman"/>
          <w:sz w:val="32"/>
          <w:szCs w:val="32"/>
        </w:rPr>
        <w:t>0万元。</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rPr>
        <w:t>公务接待费支出</w:t>
      </w:r>
      <w:r>
        <w:rPr>
          <w:rFonts w:hint="default" w:ascii="Times New Roman" w:hAnsi="Times New Roman" w:eastAsia="仿宋_GB2312" w:cs="Times New Roman"/>
          <w:sz w:val="32"/>
          <w:szCs w:val="32"/>
        </w:rPr>
        <w:t>0万元。</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国内公务接待支出</w:t>
      </w:r>
      <w:r>
        <w:rPr>
          <w:rFonts w:hint="default" w:ascii="Times New Roman" w:hAnsi="Times New Roman" w:eastAsia="仿宋" w:cs="Times New Roman"/>
          <w:sz w:val="32"/>
          <w:szCs w:val="32"/>
        </w:rPr>
        <w:t>0</w:t>
      </w:r>
      <w:r>
        <w:rPr>
          <w:rFonts w:hint="default" w:ascii="Times New Roman" w:hAnsi="Times New Roman" w:eastAsia="仿宋_GB2312" w:cs="Times New Roman"/>
          <w:sz w:val="32"/>
          <w:szCs w:val="32"/>
        </w:rPr>
        <w:t>万元。</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外事接待支出</w:t>
      </w:r>
      <w:r>
        <w:rPr>
          <w:rFonts w:hint="default" w:ascii="Times New Roman" w:hAnsi="Times New Roman" w:eastAsia="仿宋" w:cs="Times New Roman"/>
          <w:sz w:val="32"/>
          <w:szCs w:val="32"/>
        </w:rPr>
        <w:t>0</w:t>
      </w:r>
      <w:r>
        <w:rPr>
          <w:rFonts w:hint="default" w:ascii="Times New Roman" w:hAnsi="Times New Roman" w:eastAsia="仿宋_GB2312" w:cs="Times New Roman"/>
          <w:sz w:val="32"/>
          <w:szCs w:val="32"/>
        </w:rPr>
        <w:t>万元。</w:t>
      </w:r>
      <w:bookmarkStart w:id="48" w:name="_Toc15396610"/>
      <w:bookmarkStart w:id="49" w:name="_Toc15377218"/>
    </w:p>
    <w:p>
      <w:pPr>
        <w:spacing w:line="600" w:lineRule="exact"/>
        <w:ind w:firstLine="640"/>
        <w:outlineLvl w:val="1"/>
        <w:rPr>
          <w:rStyle w:val="27"/>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7"/>
          <w:rFonts w:hint="default" w:ascii="Times New Roman" w:hAnsi="Times New Roman" w:eastAsia="黑体" w:cs="Times New Roman"/>
          <w:b w:val="0"/>
        </w:rPr>
        <w:t>政府性基金预算支出决算情况说明</w:t>
      </w:r>
      <w:bookmarkEnd w:id="48"/>
      <w:bookmarkEnd w:id="49"/>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rPr>
        <w:t>年政府性基金预算财政拨款支出61.77万元，其中用于2022年会展服务业发展项目经费工作经费支出0.03万元，2022年执法办案经费3.12万元，2022年项目协调经费2.70万元，2022年重点服务业及商贸企业升规入库培育项目经费5.92万元，对企业补助50万元。</w:t>
      </w:r>
    </w:p>
    <w:p>
      <w:pPr>
        <w:pStyle w:val="2"/>
        <w:spacing w:before="93"/>
        <w:rPr>
          <w:rFonts w:hint="default" w:ascii="Times New Roman" w:hAnsi="Times New Roman" w:cs="Times New Roman"/>
        </w:rPr>
      </w:pPr>
    </w:p>
    <w:p>
      <w:pPr>
        <w:numPr>
          <w:ilvl w:val="0"/>
          <w:numId w:val="2"/>
        </w:numPr>
        <w:spacing w:line="600" w:lineRule="exact"/>
        <w:ind w:firstLine="640"/>
        <w:outlineLvl w:val="1"/>
        <w:rPr>
          <w:rStyle w:val="27"/>
          <w:rFonts w:hint="default" w:ascii="Times New Roman" w:hAnsi="Times New Roman" w:eastAsia="黑体" w:cs="Times New Roman"/>
          <w:b w:val="0"/>
        </w:rPr>
      </w:pPr>
      <w:bookmarkStart w:id="50" w:name="_Toc15377219"/>
      <w:bookmarkStart w:id="51" w:name="_Toc15396611"/>
      <w:r>
        <w:rPr>
          <w:rStyle w:val="27"/>
          <w:rFonts w:hint="default" w:ascii="Times New Roman" w:hAnsi="Times New Roman" w:eastAsia="黑体" w:cs="Times New Roman"/>
          <w:b w:val="0"/>
        </w:rPr>
        <w:t>国有资本经营预算支出决算情况说明</w:t>
      </w:r>
      <w:bookmarkEnd w:id="50"/>
      <w:bookmarkEnd w:id="51"/>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rPr>
        <w:t>年国有资本经营预算财政拨款支出0万元。</w:t>
      </w:r>
    </w:p>
    <w:p>
      <w:pPr>
        <w:numPr>
          <w:ilvl w:val="0"/>
          <w:numId w:val="2"/>
        </w:numPr>
        <w:spacing w:line="600" w:lineRule="exact"/>
        <w:ind w:firstLine="640"/>
        <w:outlineLvl w:val="1"/>
        <w:rPr>
          <w:rStyle w:val="27"/>
          <w:rFonts w:hint="default" w:ascii="Times New Roman" w:hAnsi="Times New Roman" w:eastAsia="黑体" w:cs="Times New Roman"/>
          <w:b w:val="0"/>
        </w:rPr>
      </w:pPr>
      <w:bookmarkStart w:id="52" w:name="_Toc15396612"/>
      <w:bookmarkStart w:id="53" w:name="_Toc15377221"/>
      <w:r>
        <w:rPr>
          <w:rStyle w:val="27"/>
          <w:rFonts w:hint="default" w:ascii="Times New Roman" w:hAnsi="Times New Roman" w:eastAsia="黑体" w:cs="Times New Roman"/>
          <w:b w:val="0"/>
        </w:rPr>
        <w:t>其他重要事项的情况说明</w:t>
      </w:r>
      <w:bookmarkEnd w:id="52"/>
      <w:bookmarkEnd w:id="53"/>
    </w:p>
    <w:p>
      <w:pPr>
        <w:spacing w:line="600" w:lineRule="exact"/>
        <w:ind w:firstLine="643" w:firstLineChars="200"/>
        <w:outlineLvl w:val="2"/>
        <w:rPr>
          <w:rFonts w:hint="default" w:ascii="Times New Roman" w:hAnsi="Times New Roman" w:eastAsia="仿宋" w:cs="Times New Roman"/>
          <w:sz w:val="32"/>
          <w:szCs w:val="32"/>
        </w:rPr>
      </w:pPr>
      <w:bookmarkStart w:id="54" w:name="_Toc15377222"/>
      <w:r>
        <w:rPr>
          <w:rFonts w:hint="default" w:ascii="Times New Roman" w:hAnsi="Times New Roman" w:eastAsia="仿宋" w:cs="Times New Roman"/>
          <w:b/>
          <w:sz w:val="32"/>
          <w:szCs w:val="32"/>
        </w:rPr>
        <w:t>（一）机关运行经费支出情况</w:t>
      </w:r>
      <w:bookmarkEnd w:id="54"/>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rPr>
        <w:t>年，攀枝花市西区商务局机关运行经费支出17.92万元，比</w:t>
      </w:r>
      <w:r>
        <w:rPr>
          <w:rFonts w:hint="default" w:ascii="Times New Roman" w:hAnsi="Times New Roman" w:eastAsia="仿宋_GB2312" w:cs="Times New Roman"/>
          <w:sz w:val="32"/>
          <w:szCs w:val="32"/>
        </w:rPr>
        <w:t>2021</w:t>
      </w:r>
      <w:r>
        <w:rPr>
          <w:rFonts w:hint="default" w:ascii="Times New Roman" w:hAnsi="Times New Roman" w:eastAsia="仿宋_GB2312" w:cs="Times New Roman"/>
          <w:sz w:val="32"/>
          <w:szCs w:val="32"/>
        </w:rPr>
        <w:t>年增加2.77万元，上升17.30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。主要原因是创文工作支出、征订报刊杂志、支持社区制作创文广告支出等。</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55" w:name="_Toc15377223"/>
      <w:r>
        <w:rPr>
          <w:rFonts w:hint="default" w:ascii="Times New Roman" w:hAnsi="Times New Roman" w:eastAsia="仿宋" w:cs="Times New Roman"/>
          <w:b/>
          <w:sz w:val="32"/>
          <w:szCs w:val="32"/>
        </w:rPr>
        <w:t>（二）政府采购支出情况</w:t>
      </w:r>
      <w:bookmarkEnd w:id="55"/>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rPr>
        <w:t>年，攀枝花市西区商务局政府采购支出总额0.41万元，与2021年相比减少60.81%，其中：政府采购货物支出0.41万元、政府采购工程支出0万元、政府采购服务支出0万元。主要用于日常办公使用。授予中小企业合同金额0.41万元，占政府采购支出总额的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，其中：授予小微企业合同金额0.41万元，占政府采购支出总额的100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56" w:name="_Toc15377224"/>
      <w:r>
        <w:rPr>
          <w:rFonts w:hint="default" w:ascii="Times New Roman" w:hAnsi="Times New Roman" w:eastAsia="仿宋" w:cs="Times New Roman"/>
          <w:b/>
          <w:sz w:val="32"/>
          <w:szCs w:val="32"/>
        </w:rPr>
        <w:t>（三）国有资产占有使用情况</w:t>
      </w:r>
      <w:bookmarkEnd w:id="56"/>
    </w:p>
    <w:p>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w:t>
      </w: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rPr>
        <w:t>日，攀枝花市西区商务局共有车辆0辆。</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（四）预算绩效管理情况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根据预算绩效管理要求，本部门在2022年度预算编制阶段，组织对2022年</w:t>
      </w:r>
      <w:r>
        <w:rPr>
          <w:rFonts w:hint="default" w:ascii="Times New Roman" w:hAnsi="Times New Roman" w:eastAsia="仿宋_GB2312" w:cs="Times New Roman"/>
          <w:color w:val="000000"/>
          <w:kern w:val="0"/>
          <w:sz w:val="32"/>
          <w:szCs w:val="32"/>
        </w:rPr>
        <w:t>会展服务业发展项目经费、</w:t>
      </w:r>
      <w:r>
        <w:rPr>
          <w:rFonts w:hint="default" w:ascii="Times New Roman" w:hAnsi="Times New Roman" w:eastAsia="仿宋_GB2312" w:cs="Times New Roman"/>
          <w:sz w:val="32"/>
          <w:szCs w:val="32"/>
        </w:rPr>
        <w:t>2022年</w:t>
      </w:r>
      <w:r>
        <w:rPr>
          <w:rFonts w:hint="default" w:ascii="Times New Roman" w:hAnsi="Times New Roman" w:eastAsia="仿宋_GB2312" w:cs="Times New Roman"/>
          <w:color w:val="000000"/>
          <w:kern w:val="0"/>
          <w:sz w:val="32"/>
          <w:szCs w:val="32"/>
        </w:rPr>
        <w:t>项目协调经费、</w:t>
      </w:r>
      <w:r>
        <w:rPr>
          <w:rFonts w:hint="default" w:ascii="Times New Roman" w:hAnsi="Times New Roman" w:eastAsia="仿宋_GB2312" w:cs="Times New Roman"/>
          <w:sz w:val="32"/>
          <w:szCs w:val="32"/>
        </w:rPr>
        <w:t>2022年</w:t>
      </w:r>
      <w:r>
        <w:rPr>
          <w:rFonts w:hint="default" w:ascii="Times New Roman" w:hAnsi="Times New Roman" w:eastAsia="仿宋_GB2312" w:cs="Times New Roman"/>
          <w:color w:val="000000"/>
          <w:kern w:val="0"/>
          <w:sz w:val="32"/>
          <w:szCs w:val="32"/>
        </w:rPr>
        <w:t>重点服务业及商贸企业升规入库培训经费、</w:t>
      </w:r>
      <w:r>
        <w:rPr>
          <w:rFonts w:hint="default" w:ascii="Times New Roman" w:hAnsi="Times New Roman" w:eastAsia="仿宋_GB2312" w:cs="Times New Roman"/>
          <w:sz w:val="32"/>
          <w:szCs w:val="32"/>
        </w:rPr>
        <w:t>2022年</w:t>
      </w:r>
      <w:r>
        <w:rPr>
          <w:rFonts w:hint="default" w:ascii="Times New Roman" w:hAnsi="Times New Roman" w:eastAsia="仿宋_GB2312" w:cs="Times New Roman"/>
          <w:color w:val="000000"/>
          <w:kern w:val="0"/>
          <w:sz w:val="32"/>
          <w:szCs w:val="32"/>
        </w:rPr>
        <w:t>执法办案经费、</w:t>
      </w:r>
      <w:r>
        <w:rPr>
          <w:rFonts w:hint="default" w:ascii="Times New Roman" w:hAnsi="Times New Roman" w:eastAsia="仿宋_GB2312" w:cs="Times New Roman"/>
          <w:sz w:val="32"/>
          <w:szCs w:val="32"/>
        </w:rPr>
        <w:t>2022年下达商贸流通市场改造补助等5个项目开展了预算事前绩效评估，对5个项目编制了绩效目标，预算执行过程中，选取5个项目开展绩效监控，年终执行完毕后，对5个项目开展了绩效自评。</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同时，本部门组织</w:t>
      </w: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rPr>
        <w:t>度一般公共预算、政府性基金预算、国有资本经营预算、社会保险基金预算以及资本资产等全面开展绩效自评，形成攀枝花市西区</w:t>
      </w:r>
      <w:r>
        <w:rPr>
          <w:rFonts w:hint="default" w:ascii="Times New Roman" w:hAnsi="Times New Roman" w:eastAsia="仿宋_GB2312" w:cs="Times New Roman"/>
          <w:sz w:val="32"/>
          <w:szCs w:val="32"/>
        </w:rPr>
        <w:t>商务</w:t>
      </w:r>
      <w:r>
        <w:rPr>
          <w:rFonts w:hint="default" w:ascii="Times New Roman" w:hAnsi="Times New Roman" w:eastAsia="仿宋_GB2312" w:cs="Times New Roman"/>
          <w:sz w:val="32"/>
          <w:szCs w:val="32"/>
        </w:rPr>
        <w:t>局部门整体（含部门预算项目）绩效自评报告、攀枝花市西区</w:t>
      </w:r>
      <w:r>
        <w:rPr>
          <w:rFonts w:hint="default" w:ascii="Times New Roman" w:hAnsi="Times New Roman" w:eastAsia="仿宋_GB2312" w:cs="Times New Roman"/>
          <w:sz w:val="32"/>
          <w:szCs w:val="32"/>
        </w:rPr>
        <w:t>商务局2022年项目协调经费</w:t>
      </w:r>
      <w:r>
        <w:rPr>
          <w:rFonts w:hint="default" w:ascii="Times New Roman" w:hAnsi="Times New Roman" w:eastAsia="仿宋_GB2312" w:cs="Times New Roman"/>
          <w:sz w:val="32"/>
          <w:szCs w:val="32"/>
        </w:rPr>
        <w:t>等专项预算项目绩效自评报告，其中，攀枝花市西区</w:t>
      </w:r>
      <w:r>
        <w:rPr>
          <w:rFonts w:hint="default" w:ascii="Times New Roman" w:hAnsi="Times New Roman" w:eastAsia="仿宋_GB2312" w:cs="Times New Roman"/>
          <w:sz w:val="32"/>
          <w:szCs w:val="32"/>
        </w:rPr>
        <w:t>商务</w:t>
      </w:r>
      <w:r>
        <w:rPr>
          <w:rFonts w:hint="default" w:ascii="Times New Roman" w:hAnsi="Times New Roman" w:eastAsia="仿宋_GB2312" w:cs="Times New Roman"/>
          <w:sz w:val="32"/>
          <w:szCs w:val="32"/>
        </w:rPr>
        <w:t>局部门整体（含部门预算项目）绩效自评得分为95分，绩效自评综述：2022 年,</w:t>
      </w:r>
      <w:r>
        <w:rPr>
          <w:rFonts w:hint="default" w:ascii="Times New Roman" w:hAnsi="Times New Roman" w:eastAsia="仿宋_GB2312" w:cs="Times New Roman"/>
          <w:sz w:val="32"/>
          <w:szCs w:val="32"/>
        </w:rPr>
        <w:t>西</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rPr>
        <w:t>商务</w:t>
      </w:r>
      <w:r>
        <w:rPr>
          <w:rFonts w:hint="default" w:ascii="Times New Roman" w:hAnsi="Times New Roman" w:eastAsia="仿宋_GB2312" w:cs="Times New Roman"/>
          <w:sz w:val="32"/>
          <w:szCs w:val="32"/>
        </w:rPr>
        <w:t>局在项目实施过程中,项目资金预算编制准确,部门整体绩效目标编制完整、合理,项目绩效目标编制明确,执行预算制度到位,取得了良好的经济、社会和生态效益,有力助推了攀枝花市西区</w:t>
      </w:r>
      <w:r>
        <w:rPr>
          <w:rFonts w:hint="default" w:ascii="Times New Roman" w:hAnsi="Times New Roman" w:eastAsia="仿宋_GB2312" w:cs="Times New Roman"/>
          <w:sz w:val="32"/>
          <w:szCs w:val="32"/>
        </w:rPr>
        <w:t>商务</w:t>
      </w:r>
      <w:r>
        <w:rPr>
          <w:rFonts w:hint="default" w:ascii="Times New Roman" w:hAnsi="Times New Roman" w:eastAsia="仿宋_GB2312" w:cs="Times New Roman"/>
          <w:sz w:val="32"/>
          <w:szCs w:val="32"/>
        </w:rPr>
        <w:t>工作的持续高效开展。绩效自评报告详见附件。</w:t>
      </w:r>
    </w:p>
    <w:p>
      <w:pPr>
        <w:widowControl/>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p>
    <w:p>
      <w:pPr>
        <w:numPr>
          <w:ilvl w:val="0"/>
          <w:numId w:val="3"/>
        </w:numPr>
        <w:spacing w:line="600" w:lineRule="exact"/>
        <w:ind w:firstLine="660" w:firstLineChars="150"/>
        <w:jc w:val="center"/>
        <w:outlineLvl w:val="0"/>
        <w:rPr>
          <w:rStyle w:val="26"/>
          <w:rFonts w:hint="default" w:ascii="Times New Roman" w:hAnsi="Times New Roman" w:eastAsia="黑体" w:cs="Times New Roman"/>
          <w:b w:val="0"/>
        </w:rPr>
      </w:pPr>
      <w:bookmarkStart w:id="57" w:name="_Toc15377225"/>
      <w:bookmarkStart w:id="58" w:name="_Toc15396613"/>
      <w:r>
        <w:rPr>
          <w:rFonts w:hint="default" w:ascii="Times New Roman" w:hAnsi="Times New Roman" w:eastAsia="黑体" w:cs="Times New Roman"/>
          <w:sz w:val="44"/>
          <w:szCs w:val="44"/>
        </w:rPr>
        <w:t>名</w:t>
      </w:r>
      <w:r>
        <w:rPr>
          <w:rStyle w:val="26"/>
          <w:rFonts w:hint="default" w:ascii="Times New Roman" w:hAnsi="Times New Roman" w:eastAsia="黑体" w:cs="Times New Roman"/>
          <w:b w:val="0"/>
        </w:rPr>
        <w:t>词解释</w:t>
      </w:r>
      <w:bookmarkEnd w:id="57"/>
      <w:bookmarkEnd w:id="58"/>
    </w:p>
    <w:p>
      <w:pPr>
        <w:spacing w:line="600" w:lineRule="exact"/>
        <w:jc w:val="left"/>
        <w:rPr>
          <w:rFonts w:hint="default" w:ascii="Times New Roman" w:hAnsi="Times New Roman" w:cs="Times New Roman"/>
          <w:b/>
          <w:sz w:val="44"/>
          <w:szCs w:val="44"/>
        </w:rPr>
      </w:pP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color w:val="000000"/>
          <w:kern w:val="0"/>
          <w:sz w:val="32"/>
          <w:szCs w:val="32"/>
        </w:rPr>
        <w:t>1.</w:t>
      </w:r>
      <w:r>
        <w:rPr>
          <w:rFonts w:hint="default" w:ascii="Times New Roman" w:hAnsi="Times New Roman" w:eastAsia="仿宋_GB2312" w:cs="Times New Roman"/>
          <w:color w:val="000000"/>
          <w:kern w:val="0"/>
          <w:sz w:val="32"/>
          <w:szCs w:val="32"/>
        </w:rPr>
        <w:t>财政拨款收入：指单位从同级财政部门取得的财政预算资金。</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color w:val="000000"/>
          <w:kern w:val="0"/>
          <w:sz w:val="32"/>
          <w:szCs w:val="32"/>
        </w:rPr>
        <w:t>2</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color w:val="000000"/>
          <w:kern w:val="0"/>
          <w:sz w:val="32"/>
          <w:szCs w:val="32"/>
        </w:rPr>
        <w:t>年初结转和结余：指以前年度尚未完成、结转到本年按有关规定继续使用的资金。</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color w:val="000000"/>
          <w:kern w:val="0"/>
          <w:sz w:val="32"/>
          <w:szCs w:val="32"/>
        </w:rPr>
        <w:t>3</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color w:val="000000"/>
          <w:kern w:val="0"/>
          <w:sz w:val="32"/>
          <w:szCs w:val="32"/>
        </w:rPr>
        <w:t>结余分配：指事业单位按照事业单位会计制度的规定从非财政补助结余中分配的事业基金和职工福利基金等。</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color w:val="000000"/>
          <w:kern w:val="0"/>
          <w:sz w:val="32"/>
          <w:szCs w:val="32"/>
        </w:rPr>
        <w:t>4</w:t>
      </w:r>
      <w:r>
        <w:rPr>
          <w:rFonts w:hint="default" w:ascii="Times New Roman" w:hAnsi="Times New Roman" w:eastAsia="仿宋_GB2312" w:cs="Times New Roman"/>
          <w:color w:val="000000"/>
          <w:kern w:val="0"/>
          <w:sz w:val="32"/>
          <w:szCs w:val="32"/>
        </w:rPr>
        <w:t>、年末结转和结余：指单位按有关规定结转到下年或以后年度继续使用的资金。</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color w:val="000000"/>
          <w:kern w:val="0"/>
          <w:sz w:val="32"/>
          <w:szCs w:val="32"/>
        </w:rPr>
        <w:t>5</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color w:val="000000"/>
          <w:kern w:val="0"/>
          <w:sz w:val="32"/>
          <w:szCs w:val="32"/>
        </w:rPr>
        <w:t>一般公共服务：行政运行（</w:t>
      </w:r>
      <w:r>
        <w:rPr>
          <w:rFonts w:hint="default" w:ascii="Times New Roman" w:hAnsi="Times New Roman" w:eastAsia="仿宋_GB2312" w:cs="Times New Roman"/>
          <w:color w:val="000000"/>
          <w:kern w:val="0"/>
          <w:sz w:val="32"/>
          <w:szCs w:val="32"/>
        </w:rPr>
        <w:t>2011301</w:t>
      </w:r>
      <w:r>
        <w:rPr>
          <w:rFonts w:hint="default" w:ascii="Times New Roman" w:hAnsi="Times New Roman" w:eastAsia="仿宋_GB2312" w:cs="Times New Roman"/>
          <w:color w:val="000000"/>
          <w:kern w:val="0"/>
          <w:sz w:val="32"/>
          <w:szCs w:val="32"/>
        </w:rPr>
        <w:t>）：指反映行政单位（包括实行公务员管理的事业单位）的基本支出；一般行政管理事务（</w:t>
      </w:r>
      <w:r>
        <w:rPr>
          <w:rFonts w:hint="default" w:ascii="Times New Roman" w:hAnsi="Times New Roman" w:eastAsia="仿宋_GB2312" w:cs="Times New Roman"/>
          <w:color w:val="000000"/>
          <w:kern w:val="0"/>
          <w:sz w:val="32"/>
          <w:szCs w:val="32"/>
        </w:rPr>
        <w:t>2011302</w:t>
      </w:r>
      <w:r>
        <w:rPr>
          <w:rFonts w:hint="default" w:ascii="Times New Roman" w:hAnsi="Times New Roman" w:eastAsia="仿宋_GB2312" w:cs="Times New Roman"/>
          <w:color w:val="000000"/>
          <w:kern w:val="0"/>
          <w:sz w:val="32"/>
          <w:szCs w:val="32"/>
        </w:rPr>
        <w:t>）：指反映行政单位（包括实行公务员管理的事业单位）未单独设置项级科目的其他项目支出；招商引资（</w:t>
      </w:r>
      <w:r>
        <w:rPr>
          <w:rFonts w:hint="default" w:ascii="Times New Roman" w:hAnsi="Times New Roman" w:eastAsia="仿宋_GB2312" w:cs="Times New Roman"/>
          <w:color w:val="000000"/>
          <w:kern w:val="0"/>
          <w:sz w:val="32"/>
          <w:szCs w:val="32"/>
        </w:rPr>
        <w:t>2011308</w:t>
      </w:r>
      <w:r>
        <w:rPr>
          <w:rFonts w:hint="default" w:ascii="Times New Roman" w:hAnsi="Times New Roman" w:eastAsia="仿宋_GB2312" w:cs="Times New Roman"/>
          <w:color w:val="000000"/>
          <w:kern w:val="0"/>
          <w:sz w:val="32"/>
          <w:szCs w:val="32"/>
        </w:rPr>
        <w:t>）：指反映用于招商引资、优化经济环境等方面的支出；事业运行（</w:t>
      </w:r>
      <w:r>
        <w:rPr>
          <w:rFonts w:hint="default" w:ascii="Times New Roman" w:hAnsi="Times New Roman" w:eastAsia="仿宋_GB2312" w:cs="Times New Roman"/>
          <w:color w:val="000000"/>
          <w:kern w:val="0"/>
          <w:sz w:val="32"/>
          <w:szCs w:val="32"/>
        </w:rPr>
        <w:t>2011350</w:t>
      </w:r>
      <w:r>
        <w:rPr>
          <w:rFonts w:hint="default" w:ascii="Times New Roman" w:hAnsi="Times New Roman" w:eastAsia="仿宋_GB2312" w:cs="Times New Roman"/>
          <w:color w:val="000000"/>
          <w:kern w:val="0"/>
          <w:sz w:val="32"/>
          <w:szCs w:val="32"/>
        </w:rPr>
        <w:t>）：指反映事业单位的基本支出，不包括行政单位（包括实行公务员管理的事业单位）后勤服务中心、医务室等附属事业单位；其他商贸事务支出（</w:t>
      </w:r>
      <w:r>
        <w:rPr>
          <w:rFonts w:hint="default" w:ascii="Times New Roman" w:hAnsi="Times New Roman" w:eastAsia="仿宋_GB2312" w:cs="Times New Roman"/>
          <w:color w:val="000000"/>
          <w:kern w:val="0"/>
          <w:sz w:val="32"/>
          <w:szCs w:val="32"/>
        </w:rPr>
        <w:t>2011399</w:t>
      </w:r>
      <w:r>
        <w:rPr>
          <w:rFonts w:hint="default" w:ascii="Times New Roman" w:hAnsi="Times New Roman" w:eastAsia="仿宋_GB2312" w:cs="Times New Roman"/>
          <w:color w:val="000000"/>
          <w:kern w:val="0"/>
          <w:sz w:val="32"/>
          <w:szCs w:val="32"/>
        </w:rPr>
        <w:t>）：反映除上述项目以外其他用于商贸事务方面的支出。</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color w:val="000000"/>
          <w:kern w:val="0"/>
          <w:sz w:val="32"/>
          <w:szCs w:val="32"/>
        </w:rPr>
        <w:t>6</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color w:val="000000"/>
          <w:kern w:val="0"/>
          <w:sz w:val="32"/>
          <w:szCs w:val="32"/>
        </w:rPr>
        <w:t>社会保障和就业：机关事业单位基本养老保险缴费支出（</w:t>
      </w:r>
      <w:r>
        <w:rPr>
          <w:rFonts w:hint="default" w:ascii="Times New Roman" w:hAnsi="Times New Roman" w:eastAsia="仿宋_GB2312" w:cs="Times New Roman"/>
          <w:color w:val="000000"/>
          <w:kern w:val="0"/>
          <w:sz w:val="32"/>
          <w:szCs w:val="32"/>
        </w:rPr>
        <w:t>2080505</w:t>
      </w:r>
      <w:r>
        <w:rPr>
          <w:rFonts w:hint="default" w:ascii="Times New Roman" w:hAnsi="Times New Roman" w:eastAsia="仿宋_GB2312" w:cs="Times New Roman"/>
          <w:color w:val="000000"/>
          <w:kern w:val="0"/>
          <w:sz w:val="32"/>
          <w:szCs w:val="32"/>
        </w:rPr>
        <w:t>）：指反映机关事业单位实施养老保险制度由单位缴纳的基本养老保险费支出。</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color w:val="000000"/>
          <w:kern w:val="0"/>
          <w:sz w:val="32"/>
          <w:szCs w:val="32"/>
        </w:rPr>
        <w:t>7</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color w:val="000000"/>
          <w:kern w:val="0"/>
          <w:sz w:val="32"/>
          <w:szCs w:val="32"/>
        </w:rPr>
        <w:t>住房保障：住房公积金（</w:t>
      </w:r>
      <w:r>
        <w:rPr>
          <w:rFonts w:hint="default" w:ascii="Times New Roman" w:hAnsi="Times New Roman" w:eastAsia="仿宋_GB2312" w:cs="Times New Roman"/>
          <w:color w:val="000000"/>
          <w:kern w:val="0"/>
          <w:sz w:val="32"/>
          <w:szCs w:val="32"/>
        </w:rPr>
        <w:t>2210201</w:t>
      </w:r>
      <w:r>
        <w:rPr>
          <w:rFonts w:hint="default" w:ascii="Times New Roman" w:hAnsi="Times New Roman" w:eastAsia="仿宋_GB2312" w:cs="Times New Roman"/>
          <w:color w:val="000000"/>
          <w:kern w:val="0"/>
          <w:sz w:val="32"/>
          <w:szCs w:val="32"/>
        </w:rPr>
        <w:t>）：指反映行政事业单位按人力资源和社会保障部、财政部规定的基本工资和津贴补贴以及规定比例为职工缴纳的住房公积金。</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color w:val="000000"/>
          <w:kern w:val="0"/>
          <w:sz w:val="32"/>
          <w:szCs w:val="32"/>
        </w:rPr>
        <w:t>8</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color w:val="000000"/>
          <w:kern w:val="0"/>
          <w:sz w:val="32"/>
          <w:szCs w:val="32"/>
        </w:rPr>
        <w:t>基本支出：指为保障机构正常运转、完成日常工作任务而发生的人员支出和公用支出。</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color w:val="000000"/>
          <w:kern w:val="0"/>
          <w:sz w:val="32"/>
          <w:szCs w:val="32"/>
        </w:rPr>
        <w:t>9</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color w:val="000000"/>
          <w:kern w:val="0"/>
          <w:sz w:val="32"/>
          <w:szCs w:val="32"/>
        </w:rPr>
        <w:t>项目支出：指在基本支出之外为完成特定行政任务和事业发展目标所发生的支出。 </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color w:val="000000"/>
          <w:kern w:val="0"/>
          <w:sz w:val="32"/>
          <w:szCs w:val="32"/>
        </w:rPr>
        <w:t>1</w:t>
      </w:r>
      <w:r>
        <w:rPr>
          <w:rFonts w:hint="default" w:ascii="Times New Roman" w:hAnsi="Times New Roman" w:cs="Times New Roman"/>
          <w:color w:val="000000"/>
          <w:kern w:val="0"/>
          <w:sz w:val="32"/>
          <w:szCs w:val="32"/>
        </w:rPr>
        <w:t>0</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color w:val="000000"/>
          <w:kern w:val="0"/>
          <w:sz w:val="32"/>
          <w:szCs w:val="32"/>
        </w:rPr>
        <w:t>三公</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color w:val="000000"/>
          <w:kern w:val="0"/>
          <w:sz w:val="32"/>
          <w:szCs w:val="32"/>
        </w:rPr>
        <w:t> 1</w:t>
      </w:r>
      <w:r>
        <w:rPr>
          <w:rFonts w:hint="default" w:ascii="Times New Roman" w:hAnsi="Times New Roman" w:cs="Times New Roman"/>
          <w:color w:val="000000"/>
          <w:kern w:val="0"/>
          <w:sz w:val="32"/>
          <w:szCs w:val="32"/>
        </w:rPr>
        <w:t>1</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color w:val="000000"/>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300" w:lineRule="atLeast"/>
        <w:ind w:firstLine="640"/>
        <w:jc w:val="left"/>
        <w:rPr>
          <w:rFonts w:hint="default" w:ascii="Times New Roman" w:hAnsi="Times New Roman" w:cs="Times New Roman"/>
          <w:kern w:val="0"/>
          <w:sz w:val="24"/>
        </w:rPr>
      </w:pPr>
      <w:r>
        <w:rPr>
          <w:rFonts w:hint="default" w:ascii="Times New Roman" w:hAnsi="Times New Roman" w:cs="Times New Roman"/>
          <w:color w:val="000000"/>
          <w:kern w:val="0"/>
          <w:sz w:val="32"/>
          <w:szCs w:val="32"/>
        </w:rPr>
        <w:t>1</w:t>
      </w:r>
      <w:r>
        <w:rPr>
          <w:rFonts w:hint="default" w:ascii="Times New Roman" w:hAnsi="Times New Roman" w:cs="Times New Roman"/>
          <w:color w:val="000000"/>
          <w:kern w:val="0"/>
          <w:sz w:val="32"/>
          <w:szCs w:val="32"/>
        </w:rPr>
        <w:t>2</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color w:val="000000"/>
          <w:kern w:val="0"/>
          <w:sz w:val="32"/>
          <w:szCs w:val="32"/>
        </w:rPr>
        <w:t>基本支出：指为保障机构正常运转、完成日常工作任务而发生的人员支出和公用支出。</w:t>
      </w:r>
    </w:p>
    <w:p>
      <w:pPr>
        <w:widowControl/>
        <w:spacing w:line="300" w:lineRule="atLeast"/>
        <w:ind w:firstLine="640"/>
        <w:jc w:val="left"/>
        <w:rPr>
          <w:rFonts w:hint="default" w:ascii="Times New Roman" w:hAnsi="Times New Roman" w:cs="Times New Roman"/>
          <w:kern w:val="0"/>
          <w:sz w:val="24"/>
        </w:rPr>
      </w:pPr>
      <w:r>
        <w:rPr>
          <w:rFonts w:hint="default" w:ascii="Times New Roman" w:hAnsi="Times New Roman" w:cs="Times New Roman"/>
          <w:color w:val="000000"/>
          <w:kern w:val="0"/>
          <w:sz w:val="32"/>
          <w:szCs w:val="32"/>
        </w:rPr>
        <w:t>1</w:t>
      </w:r>
      <w:r>
        <w:rPr>
          <w:rFonts w:hint="default" w:ascii="Times New Roman" w:hAnsi="Times New Roman" w:cs="Times New Roman"/>
          <w:color w:val="000000"/>
          <w:kern w:val="0"/>
          <w:sz w:val="32"/>
          <w:szCs w:val="32"/>
        </w:rPr>
        <w:t>3</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color w:val="000000"/>
          <w:kern w:val="0"/>
          <w:sz w:val="32"/>
          <w:szCs w:val="32"/>
        </w:rPr>
        <w:t>项目支出：指在基本支出之外为完成特定行政任务和事业发展目标所发生的支出。</w:t>
      </w:r>
    </w:p>
    <w:p>
      <w:pPr>
        <w:spacing w:line="600" w:lineRule="exact"/>
        <w:jc w:val="center"/>
        <w:outlineLvl w:val="0"/>
        <w:rPr>
          <w:rStyle w:val="26"/>
          <w:rFonts w:hint="default" w:ascii="Times New Roman" w:hAnsi="Times New Roman" w:eastAsia="黑体" w:cs="Times New Roman"/>
          <w:b w:val="0"/>
        </w:rPr>
      </w:pPr>
      <w:bookmarkStart w:id="59" w:name="_Toc15377226"/>
      <w:r>
        <w:rPr>
          <w:rFonts w:hint="default" w:ascii="Times New Roman" w:hAnsi="Times New Roman" w:cs="Times New Roman"/>
          <w:b/>
          <w:sz w:val="44"/>
          <w:szCs w:val="44"/>
        </w:rPr>
        <w:br w:type="page"/>
      </w:r>
      <w:bookmarkStart w:id="60" w:name="_Toc15396614"/>
      <w:r>
        <w:rPr>
          <w:rFonts w:hint="default" w:ascii="Times New Roman" w:hAnsi="Times New Roman" w:eastAsia="黑体" w:cs="Times New Roman"/>
          <w:sz w:val="44"/>
          <w:szCs w:val="44"/>
        </w:rPr>
        <w:t>第</w:t>
      </w:r>
      <w:r>
        <w:rPr>
          <w:rStyle w:val="26"/>
          <w:rFonts w:hint="default" w:ascii="Times New Roman" w:hAnsi="Times New Roman" w:eastAsia="黑体" w:cs="Times New Roman"/>
          <w:b w:val="0"/>
        </w:rPr>
        <w:t>四部分附件</w:t>
      </w:r>
      <w:bookmarkEnd w:id="60"/>
    </w:p>
    <w:p>
      <w:pPr>
        <w:spacing w:line="572" w:lineRule="exact"/>
        <w:jc w:val="lef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spacing w:line="572" w:lineRule="exact"/>
        <w:jc w:val="center"/>
        <w:rPr>
          <w:rFonts w:hint="default" w:ascii="Times New Roman" w:hAnsi="Times New Roman" w:eastAsia="方正小标宋简体" w:cs="Times New Roman"/>
          <w:kern w:val="0"/>
          <w:sz w:val="40"/>
          <w:szCs w:val="44"/>
        </w:rPr>
      </w:pPr>
      <w:r>
        <w:rPr>
          <w:rFonts w:hint="default" w:ascii="Times New Roman" w:hAnsi="Times New Roman" w:eastAsia="方正小标宋简体" w:cs="Times New Roman"/>
          <w:kern w:val="0"/>
          <w:sz w:val="40"/>
          <w:szCs w:val="44"/>
        </w:rPr>
        <w:t>2022年攀枝花市西区商务局</w:t>
      </w:r>
    </w:p>
    <w:p>
      <w:pPr>
        <w:spacing w:line="572" w:lineRule="exact"/>
        <w:jc w:val="center"/>
        <w:rPr>
          <w:rFonts w:hint="default" w:ascii="Times New Roman" w:hAnsi="Times New Roman" w:eastAsia="方正小标宋简体" w:cs="Times New Roman"/>
          <w:kern w:val="0"/>
          <w:sz w:val="40"/>
          <w:szCs w:val="44"/>
          <w:lang w:val="zh-CN"/>
        </w:rPr>
      </w:pPr>
      <w:r>
        <w:rPr>
          <w:rFonts w:hint="default" w:ascii="Times New Roman" w:hAnsi="Times New Roman" w:eastAsia="方正小标宋简体" w:cs="Times New Roman"/>
          <w:kern w:val="0"/>
          <w:sz w:val="40"/>
          <w:szCs w:val="44"/>
        </w:rPr>
        <w:t>部门整体绩效评价报告</w:t>
      </w:r>
    </w:p>
    <w:p>
      <w:pPr>
        <w:widowControl/>
        <w:spacing w:line="572" w:lineRule="exact"/>
        <w:ind w:firstLine="640" w:firstLineChars="200"/>
        <w:contextualSpacing/>
        <w:jc w:val="center"/>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（报告范围包括机关和下属单位）</w:t>
      </w:r>
    </w:p>
    <w:p>
      <w:pPr>
        <w:widowControl/>
        <w:adjustRightInd w:val="0"/>
        <w:snapToGrid w:val="0"/>
        <w:spacing w:line="572" w:lineRule="exact"/>
        <w:ind w:firstLine="480" w:firstLineChars="200"/>
        <w:contextualSpacing/>
        <w:jc w:val="left"/>
        <w:rPr>
          <w:rFonts w:hint="default" w:ascii="Times New Roman" w:hAnsi="Times New Roman" w:eastAsia="黑体" w:cs="Times New Roman"/>
          <w:kern w:val="0"/>
          <w:sz w:val="24"/>
          <w:szCs w:val="32"/>
          <w:shd w:val="clear" w:color="auto" w:fill="FFFFFF"/>
        </w:rPr>
      </w:pPr>
    </w:p>
    <w:p>
      <w:pPr>
        <w:widowControl/>
        <w:adjustRightInd w:val="0"/>
        <w:snapToGrid w:val="0"/>
        <w:spacing w:line="572" w:lineRule="exact"/>
        <w:ind w:firstLine="640" w:firstLineChars="200"/>
        <w:contextualSpacing/>
        <w:jc w:val="left"/>
        <w:rPr>
          <w:rFonts w:hint="default" w:ascii="Times New Roman" w:hAnsi="Times New Roman" w:eastAsia="黑体" w:cs="Times New Roman"/>
          <w:kern w:val="0"/>
          <w:sz w:val="32"/>
          <w:szCs w:val="32"/>
          <w:shd w:val="clear" w:color="auto" w:fill="FFFFFF"/>
          <w:lang w:val="zh-CN"/>
        </w:rPr>
      </w:pPr>
      <w:r>
        <w:rPr>
          <w:rFonts w:hint="default" w:ascii="Times New Roman" w:hAnsi="Times New Roman" w:eastAsia="黑体" w:cs="Times New Roman"/>
          <w:kern w:val="0"/>
          <w:sz w:val="32"/>
          <w:szCs w:val="32"/>
          <w:shd w:val="clear" w:color="auto" w:fill="FFFFFF"/>
        </w:rPr>
        <w:t>一、</w:t>
      </w:r>
      <w:r>
        <w:rPr>
          <w:rFonts w:hint="default" w:ascii="Times New Roman" w:hAnsi="Times New Roman" w:eastAsia="黑体" w:cs="Times New Roman"/>
          <w:kern w:val="0"/>
          <w:sz w:val="32"/>
          <w:szCs w:val="32"/>
          <w:shd w:val="clear" w:color="auto" w:fill="FFFFFF"/>
          <w:lang w:val="zh-CN"/>
        </w:rPr>
        <w:t>部门（单位）基本情况</w:t>
      </w:r>
    </w:p>
    <w:p>
      <w:pPr>
        <w:widowControl/>
        <w:adjustRightInd w:val="0"/>
        <w:snapToGrid w:val="0"/>
        <w:spacing w:line="572" w:lineRule="exact"/>
        <w:ind w:firstLine="643" w:firstLineChars="200"/>
        <w:contextualSpacing/>
        <w:jc w:val="left"/>
        <w:rPr>
          <w:rFonts w:hint="default" w:ascii="Times New Roman" w:hAnsi="Times New Roman" w:eastAsia="仿宋_GB2312" w:cs="Times New Roman"/>
          <w:b/>
          <w:kern w:val="0"/>
          <w:sz w:val="32"/>
          <w:szCs w:val="32"/>
          <w:shd w:val="clear" w:color="auto" w:fill="FFFFFF"/>
          <w:lang w:val="zh-CN"/>
        </w:rPr>
      </w:pPr>
      <w:r>
        <w:rPr>
          <w:rFonts w:hint="default" w:ascii="Times New Roman" w:hAnsi="Times New Roman" w:eastAsia="方正楷体_GBK" w:cs="Times New Roman"/>
          <w:b/>
          <w:kern w:val="0"/>
          <w:sz w:val="32"/>
          <w:szCs w:val="32"/>
          <w:shd w:val="clear" w:color="auto" w:fill="FFFFFF"/>
          <w:lang w:val="zh-CN"/>
        </w:rPr>
        <w:t>（一）机构组成</w:t>
      </w:r>
      <w:r>
        <w:rPr>
          <w:rFonts w:hint="default" w:ascii="Times New Roman" w:hAnsi="Times New Roman" w:eastAsia="仿宋_GB2312" w:cs="Times New Roman"/>
          <w:b/>
          <w:kern w:val="0"/>
          <w:sz w:val="32"/>
          <w:szCs w:val="32"/>
          <w:shd w:val="clear" w:color="auto" w:fill="FFFFFF"/>
          <w:lang w:val="zh-CN"/>
        </w:rPr>
        <w:t>。</w:t>
      </w:r>
    </w:p>
    <w:p>
      <w:pPr>
        <w:pStyle w:val="2"/>
        <w:spacing w:before="93"/>
        <w:ind w:firstLine="640" w:firstLineChars="200"/>
        <w:rPr>
          <w:rFonts w:hint="default" w:ascii="Times New Roman" w:hAnsi="Times New Roman" w:cs="Times New Roman"/>
          <w:sz w:val="32"/>
          <w:szCs w:val="32"/>
          <w:lang w:val="zh-CN"/>
        </w:rPr>
      </w:pPr>
      <w:r>
        <w:rPr>
          <w:rFonts w:hint="default" w:ascii="Times New Roman" w:hAnsi="Times New Roman" w:cs="Times New Roman"/>
          <w:sz w:val="32"/>
          <w:szCs w:val="32"/>
        </w:rPr>
        <w:t>攀枝花市西区商务局内设机构3个，包括办公室、</w:t>
      </w:r>
      <w:r>
        <w:rPr>
          <w:rFonts w:hint="default" w:ascii="Times New Roman" w:hAnsi="Times New Roman" w:cs="Times New Roman"/>
          <w:spacing w:val="-6"/>
          <w:sz w:val="32"/>
          <w:szCs w:val="32"/>
        </w:rPr>
        <w:t>服务业促进中心</w:t>
      </w:r>
      <w:r>
        <w:rPr>
          <w:rFonts w:hint="default" w:ascii="Times New Roman" w:hAnsi="Times New Roman" w:cs="Times New Roman"/>
          <w:spacing w:val="-6"/>
          <w:sz w:val="32"/>
          <w:szCs w:val="32"/>
        </w:rPr>
        <w:t>、</w:t>
      </w:r>
      <w:r>
        <w:rPr>
          <w:rFonts w:hint="default" w:ascii="Times New Roman" w:hAnsi="Times New Roman" w:cs="Times New Roman"/>
          <w:spacing w:val="-6"/>
          <w:sz w:val="32"/>
          <w:szCs w:val="32"/>
        </w:rPr>
        <w:t>商</w:t>
      </w:r>
      <w:r>
        <w:rPr>
          <w:rFonts w:hint="default" w:ascii="Times New Roman" w:hAnsi="Times New Roman" w:cs="Times New Roman"/>
          <w:spacing w:val="-6"/>
          <w:sz w:val="32"/>
          <w:szCs w:val="32"/>
        </w:rPr>
        <w:t>务</w:t>
      </w:r>
      <w:r>
        <w:rPr>
          <w:rFonts w:hint="default" w:ascii="Times New Roman" w:hAnsi="Times New Roman" w:cs="Times New Roman"/>
          <w:spacing w:val="-6"/>
          <w:sz w:val="32"/>
          <w:szCs w:val="32"/>
        </w:rPr>
        <w:t>管理股</w:t>
      </w:r>
      <w:r>
        <w:rPr>
          <w:rFonts w:hint="default" w:ascii="Times New Roman" w:hAnsi="Times New Roman" w:cs="Times New Roman"/>
          <w:spacing w:val="-6"/>
          <w:sz w:val="32"/>
          <w:szCs w:val="32"/>
        </w:rPr>
        <w:t>；</w:t>
      </w:r>
      <w:r>
        <w:rPr>
          <w:rFonts w:hint="default" w:ascii="Times New Roman" w:hAnsi="Times New Roman" w:cs="Times New Roman"/>
          <w:sz w:val="32"/>
          <w:szCs w:val="32"/>
        </w:rPr>
        <w:t>下属二级单位2个，其中：参照公务员法管理的事业单位1个（西区商贸执法队），其他事业单位1个（西区现代服务业发展促进中心）。</w:t>
      </w:r>
    </w:p>
    <w:p>
      <w:pPr>
        <w:widowControl/>
        <w:adjustRightInd w:val="0"/>
        <w:snapToGrid w:val="0"/>
        <w:spacing w:line="572" w:lineRule="exact"/>
        <w:ind w:firstLine="643" w:firstLineChars="200"/>
        <w:contextualSpacing/>
        <w:jc w:val="left"/>
        <w:rPr>
          <w:rFonts w:hint="default" w:ascii="Times New Roman" w:hAnsi="Times New Roman" w:eastAsia="方正楷体_GBK" w:cs="Times New Roman"/>
          <w:b/>
          <w:kern w:val="0"/>
          <w:sz w:val="32"/>
          <w:szCs w:val="32"/>
          <w:shd w:val="clear" w:color="auto" w:fill="FFFFFF"/>
          <w:lang w:val="zh-CN"/>
        </w:rPr>
      </w:pPr>
      <w:r>
        <w:rPr>
          <w:rFonts w:hint="default" w:ascii="Times New Roman" w:hAnsi="Times New Roman" w:eastAsia="方正楷体_GBK" w:cs="Times New Roman"/>
          <w:b/>
          <w:kern w:val="0"/>
          <w:sz w:val="32"/>
          <w:szCs w:val="32"/>
          <w:shd w:val="clear" w:color="auto" w:fill="FFFFFF"/>
          <w:lang w:val="zh-CN"/>
        </w:rPr>
        <w:t>（二）机构职能和人员概况</w:t>
      </w:r>
    </w:p>
    <w:p>
      <w:pPr>
        <w:widowControl/>
        <w:adjustRightInd w:val="0"/>
        <w:snapToGrid w:val="0"/>
        <w:spacing w:line="572" w:lineRule="exact"/>
        <w:ind w:firstLine="643" w:firstLineChars="200"/>
        <w:contextualSpacing/>
        <w:jc w:val="left"/>
        <w:rPr>
          <w:rFonts w:hint="default" w:ascii="Times New Roman" w:hAnsi="Times New Roman" w:eastAsia="仿宋_GB2312" w:cs="Times New Roman"/>
          <w:b/>
          <w:kern w:val="0"/>
          <w:sz w:val="32"/>
          <w:szCs w:val="32"/>
          <w:shd w:val="clear" w:color="auto" w:fill="FFFFFF"/>
          <w:lang w:val="zh-CN"/>
        </w:rPr>
      </w:pPr>
      <w:r>
        <w:rPr>
          <w:rFonts w:hint="default" w:ascii="Times New Roman" w:hAnsi="Times New Roman" w:eastAsia="仿宋_GB2312" w:cs="Times New Roman"/>
          <w:b/>
          <w:kern w:val="0"/>
          <w:sz w:val="32"/>
          <w:szCs w:val="32"/>
          <w:shd w:val="clear" w:color="auto" w:fill="FFFFFF"/>
          <w:lang w:val="zh-CN"/>
        </w:rPr>
        <w:t>1.机构职能。</w:t>
      </w:r>
    </w:p>
    <w:p>
      <w:pPr>
        <w:widowControl/>
        <w:adjustRightInd w:val="0"/>
        <w:snapToGrid w:val="0"/>
        <w:spacing w:line="572"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攀枝花市</w:t>
      </w:r>
      <w:r>
        <w:rPr>
          <w:rFonts w:hint="default" w:ascii="Times New Roman" w:hAnsi="Times New Roman" w:eastAsia="仿宋_GB2312" w:cs="Times New Roman"/>
          <w:kern w:val="0"/>
          <w:sz w:val="32"/>
          <w:szCs w:val="32"/>
        </w:rPr>
        <w:t>西区商务局作为全区商贸服务业经济运行监管的行业主管部门，主要承担指导、引导全区商贸服务业经济发展、行业管理、安全环保及全区重大商贸服务业项目的推进工作;负责商贸流通、市场体系建设、电子商务、现代物流、内外贸易及指导和协调全区服务业发展等职责。</w:t>
      </w:r>
    </w:p>
    <w:p>
      <w:pPr>
        <w:widowControl/>
        <w:adjustRightInd w:val="0"/>
        <w:snapToGrid w:val="0"/>
        <w:spacing w:line="572" w:lineRule="exact"/>
        <w:ind w:firstLine="643" w:firstLineChars="200"/>
        <w:contextualSpacing/>
        <w:jc w:val="left"/>
        <w:rPr>
          <w:rFonts w:hint="default" w:ascii="Times New Roman" w:hAnsi="Times New Roman" w:eastAsia="仿宋_GB2312" w:cs="Times New Roman"/>
          <w:b/>
          <w:kern w:val="0"/>
          <w:sz w:val="32"/>
          <w:szCs w:val="32"/>
          <w:shd w:val="clear" w:color="auto" w:fill="FFFFFF"/>
          <w:lang w:val="zh-CN"/>
        </w:rPr>
      </w:pPr>
      <w:r>
        <w:rPr>
          <w:rFonts w:hint="default" w:ascii="Times New Roman" w:hAnsi="Times New Roman" w:eastAsia="仿宋_GB2312" w:cs="Times New Roman"/>
          <w:b/>
          <w:kern w:val="0"/>
          <w:sz w:val="32"/>
          <w:szCs w:val="32"/>
          <w:shd w:val="clear" w:color="auto" w:fill="FFFFFF"/>
          <w:lang w:val="zh-CN"/>
        </w:rPr>
        <w:t>2.人员概况。</w:t>
      </w:r>
    </w:p>
    <w:p>
      <w:pPr>
        <w:spacing w:line="353" w:lineRule="auto"/>
        <w:ind w:firstLine="640" w:firstLineChars="200"/>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攀枝花市</w:t>
      </w:r>
      <w:r>
        <w:rPr>
          <w:rFonts w:hint="default" w:ascii="Times New Roman" w:hAnsi="Times New Roman" w:eastAsia="仿宋_GB2312" w:cs="Times New Roman"/>
          <w:kern w:val="0"/>
          <w:sz w:val="32"/>
          <w:szCs w:val="32"/>
        </w:rPr>
        <w:t>西区商务局2022年末</w:t>
      </w:r>
      <w:r>
        <w:rPr>
          <w:rFonts w:hint="default" w:ascii="Times New Roman" w:hAnsi="Times New Roman" w:eastAsia="仿宋_GB2312" w:cs="Times New Roman"/>
          <w:sz w:val="32"/>
          <w:szCs w:val="32"/>
        </w:rPr>
        <w:t>西区人员编制情况：行政编制4名、参公编制5人、事业编制7名，聘用人员编制6名，实有人员21人。</w:t>
      </w:r>
    </w:p>
    <w:p>
      <w:pPr>
        <w:pStyle w:val="2"/>
        <w:spacing w:before="93"/>
        <w:rPr>
          <w:rFonts w:hint="default" w:ascii="Times New Roman" w:hAnsi="Times New Roman" w:eastAsia="方正楷体_GBK" w:cs="Times New Roman"/>
          <w:b/>
          <w:color w:val="000000" w:themeColor="text1"/>
        </w:rPr>
      </w:pPr>
      <w:r>
        <w:rPr>
          <w:rFonts w:hint="default" w:ascii="Times New Roman" w:hAnsi="Times New Roman" w:cs="Times New Roman"/>
        </w:rPr>
        <w:t xml:space="preserve">    </w:t>
      </w:r>
      <w:r>
        <w:rPr>
          <w:rFonts w:hint="default" w:ascii="Times New Roman" w:hAnsi="Times New Roman" w:eastAsia="方正楷体_GBK" w:cs="Times New Roman"/>
          <w:b/>
          <w:color w:val="000000" w:themeColor="text1"/>
        </w:rPr>
        <w:t>（三）年度主要工作任务。</w:t>
      </w:r>
    </w:p>
    <w:p>
      <w:pPr>
        <w:rPr>
          <w:rFonts w:hint="default" w:ascii="Times New Roman" w:hAnsi="Times New Roman" w:eastAsia="方正仿宋_GBK" w:cs="Times New Roman"/>
          <w:spacing w:val="-4"/>
          <w:sz w:val="33"/>
          <w:szCs w:val="33"/>
        </w:rPr>
      </w:pPr>
      <w:r>
        <w:rPr>
          <w:rFonts w:hint="default" w:ascii="Times New Roman" w:hAnsi="Times New Roman" w:eastAsia="方正楷体_GBK" w:cs="Times New Roman"/>
          <w:b/>
          <w:color w:val="FF0000"/>
        </w:rPr>
        <w:t xml:space="preserve">     </w:t>
      </w:r>
      <w:r>
        <w:rPr>
          <w:rFonts w:hint="default" w:ascii="Times New Roman" w:hAnsi="Times New Roman" w:eastAsia="方正仿宋_GBK" w:cs="Times New Roman"/>
          <w:spacing w:val="-4"/>
          <w:sz w:val="33"/>
          <w:szCs w:val="33"/>
        </w:rPr>
        <w:t>全力</w:t>
      </w:r>
      <w:bookmarkStart w:id="61" w:name="_Hlk88033481"/>
      <w:r>
        <w:rPr>
          <w:rFonts w:hint="default" w:ascii="Times New Roman" w:hAnsi="Times New Roman" w:eastAsia="方正仿宋_GBK" w:cs="Times New Roman"/>
          <w:spacing w:val="-4"/>
          <w:sz w:val="33"/>
          <w:szCs w:val="33"/>
        </w:rPr>
        <w:t>聚焦市委“三个圈层”联动发展战略及区委“攀西工业强区”和“山水灵秀新城”建设目标，紧扣“六个提升、六个变革”重点任务</w:t>
      </w:r>
      <w:bookmarkEnd w:id="61"/>
      <w:r>
        <w:rPr>
          <w:rFonts w:hint="default" w:ascii="Times New Roman" w:hAnsi="Times New Roman" w:eastAsia="方正仿宋_GBK" w:cs="Times New Roman"/>
          <w:spacing w:val="-4"/>
          <w:sz w:val="33"/>
          <w:szCs w:val="33"/>
        </w:rPr>
        <w:t>，着力抓好以下工作。</w:t>
      </w:r>
    </w:p>
    <w:p>
      <w:pPr>
        <w:ind w:firstLine="485" w:firstLineChars="150"/>
        <w:rPr>
          <w:rFonts w:hint="default" w:ascii="Times New Roman" w:hAnsi="Times New Roman" w:eastAsia="方正仿宋_GBK" w:cs="Times New Roman"/>
          <w:spacing w:val="-4"/>
          <w:sz w:val="33"/>
          <w:szCs w:val="33"/>
        </w:rPr>
      </w:pPr>
      <w:r>
        <w:rPr>
          <w:rFonts w:hint="default" w:ascii="Times New Roman" w:hAnsi="Times New Roman" w:eastAsia="方正楷体_GBK" w:cs="Times New Roman"/>
          <w:b/>
          <w:spacing w:val="-4"/>
          <w:sz w:val="33"/>
          <w:szCs w:val="33"/>
        </w:rPr>
        <w:t>（一）全面促进消费提质升级。</w:t>
      </w:r>
      <w:r>
        <w:rPr>
          <w:rFonts w:hint="default" w:ascii="Times New Roman" w:hAnsi="Times New Roman" w:eastAsia="方正仿宋_GBK" w:cs="Times New Roman"/>
          <w:spacing w:val="-4"/>
          <w:sz w:val="33"/>
          <w:szCs w:val="33"/>
        </w:rPr>
        <w:t>围绕“三个圈层”联动发展思路，着力在提升社会消费水平上加大工作力度。打造特色商业街区，提升改造星瑞时代广场、福广金城等传统消费商圈，持续打造一批消费网红店、打卡点，大力拓展线上线下融合的消费新模式，加速发展夜间经济、共享经济、网络经济等，不断提升消费体验，实现消费促增长。</w:t>
      </w:r>
    </w:p>
    <w:p>
      <w:pPr>
        <w:ind w:firstLine="485" w:firstLineChars="150"/>
        <w:rPr>
          <w:rFonts w:hint="default" w:ascii="Times New Roman" w:hAnsi="Times New Roman" w:eastAsia="方正仿宋_GBK" w:cs="Times New Roman"/>
          <w:spacing w:val="-4"/>
          <w:sz w:val="33"/>
          <w:szCs w:val="33"/>
        </w:rPr>
      </w:pPr>
      <w:r>
        <w:rPr>
          <w:rFonts w:hint="default" w:ascii="Times New Roman" w:hAnsi="Times New Roman" w:eastAsia="方正楷体_GBK" w:cs="Times New Roman"/>
          <w:b/>
          <w:spacing w:val="-4"/>
          <w:sz w:val="33"/>
          <w:szCs w:val="33"/>
        </w:rPr>
        <w:t>（二）狠抓服务业发展建设。</w:t>
      </w:r>
      <w:r>
        <w:rPr>
          <w:rFonts w:hint="default" w:ascii="Times New Roman" w:hAnsi="Times New Roman" w:eastAsia="方正仿宋_GBK" w:cs="Times New Roman"/>
          <w:b/>
          <w:spacing w:val="-4"/>
          <w:sz w:val="33"/>
          <w:szCs w:val="33"/>
        </w:rPr>
        <w:t>一是</w:t>
      </w:r>
      <w:r>
        <w:rPr>
          <w:rFonts w:hint="default" w:ascii="Times New Roman" w:hAnsi="Times New Roman" w:eastAsia="方正仿宋_GBK" w:cs="Times New Roman"/>
          <w:spacing w:val="-4"/>
          <w:sz w:val="33"/>
          <w:szCs w:val="33"/>
        </w:rPr>
        <w:t>提前谋划好2022年一季度指标。加强弱势指标分析、挖掘，加强与区级相关部门对接和上级对口分配指标的部门沟通协调，提前发力，确保实现“开门红”。</w:t>
      </w:r>
      <w:r>
        <w:rPr>
          <w:rFonts w:hint="default" w:ascii="Times New Roman" w:hAnsi="Times New Roman" w:eastAsia="方正仿宋_GBK" w:cs="Times New Roman"/>
          <w:b/>
          <w:spacing w:val="-4"/>
          <w:sz w:val="33"/>
          <w:szCs w:val="33"/>
        </w:rPr>
        <w:t>二是</w:t>
      </w:r>
      <w:r>
        <w:rPr>
          <w:rFonts w:hint="default" w:ascii="Times New Roman" w:hAnsi="Times New Roman" w:eastAsia="方正仿宋_GBK" w:cs="Times New Roman"/>
          <w:spacing w:val="-4"/>
          <w:sz w:val="33"/>
          <w:szCs w:val="33"/>
        </w:rPr>
        <w:t>抢抓攀枝花市生产服务型国家物流枢纽建设机遇，加快</w:t>
      </w:r>
      <w:r>
        <w:rPr>
          <w:rFonts w:hint="default" w:ascii="Times New Roman" w:hAnsi="Times New Roman" w:eastAsia="方正仿宋_GBK" w:cs="Times New Roman"/>
          <w:spacing w:val="-4"/>
          <w:sz w:val="33"/>
          <w:szCs w:val="33"/>
        </w:rPr>
        <w:t>推动</w:t>
      </w:r>
      <w:r>
        <w:rPr>
          <w:rFonts w:hint="default" w:ascii="Times New Roman" w:hAnsi="Times New Roman" w:eastAsia="方正仿宋_GBK" w:cs="Times New Roman"/>
          <w:spacing w:val="-4"/>
          <w:sz w:val="33"/>
          <w:szCs w:val="33"/>
        </w:rPr>
        <w:t>现代物流园项目建设，引导传统物流企业进行现代化改造升级，着力打造川滇黔钢材、煤炭、石灰石、木材等大宗商品物流交易中心。</w:t>
      </w:r>
    </w:p>
    <w:p>
      <w:pPr>
        <w:ind w:firstLine="485" w:firstLineChars="150"/>
        <w:rPr>
          <w:rFonts w:hint="default" w:ascii="Times New Roman" w:hAnsi="Times New Roman" w:eastAsia="方正仿宋_GBK" w:cs="Times New Roman"/>
          <w:color w:val="FF0000"/>
          <w:spacing w:val="-4"/>
          <w:sz w:val="33"/>
          <w:szCs w:val="33"/>
        </w:rPr>
      </w:pPr>
      <w:r>
        <w:rPr>
          <w:rFonts w:hint="default" w:ascii="Times New Roman" w:hAnsi="Times New Roman" w:eastAsia="方正楷体_GBK" w:cs="Times New Roman"/>
          <w:b/>
          <w:spacing w:val="-4"/>
          <w:sz w:val="33"/>
          <w:szCs w:val="33"/>
        </w:rPr>
        <w:t>（三）着力促进外贸结构优化。</w:t>
      </w:r>
      <w:r>
        <w:rPr>
          <w:rFonts w:hint="default" w:ascii="Times New Roman" w:hAnsi="Times New Roman" w:eastAsia="方正仿宋_GBK" w:cs="Times New Roman"/>
          <w:spacing w:val="-4"/>
          <w:sz w:val="33"/>
          <w:szCs w:val="33"/>
        </w:rPr>
        <w:t>鼓励企业与周边国家进行经贸往来，拓展国际市场，加大优势产品出口，做大外贸规模。积极协调企业参与西博会、昆交会、广交会等平台活动，持续提升合作层次，扩大合作范围，优化外贸结构，着力在培育外贸新增长点上下功夫，不断提升外贸发展质量和水平。</w:t>
      </w:r>
    </w:p>
    <w:p>
      <w:pPr>
        <w:ind w:firstLine="485" w:firstLineChars="150"/>
        <w:rPr>
          <w:rFonts w:hint="default" w:ascii="Times New Roman" w:hAnsi="Times New Roman" w:eastAsia="方正仿宋_GBK" w:cs="Times New Roman"/>
          <w:spacing w:val="-4"/>
          <w:sz w:val="33"/>
          <w:szCs w:val="33"/>
        </w:rPr>
      </w:pPr>
      <w:r>
        <w:rPr>
          <w:rFonts w:hint="default" w:ascii="Times New Roman" w:hAnsi="Times New Roman" w:eastAsia="方正楷体_GBK" w:cs="Times New Roman"/>
          <w:b/>
          <w:spacing w:val="-4"/>
          <w:sz w:val="33"/>
          <w:szCs w:val="33"/>
        </w:rPr>
        <w:t>（四）加大“四上”企业培育力度。</w:t>
      </w:r>
      <w:r>
        <w:rPr>
          <w:rFonts w:hint="default" w:ascii="Times New Roman" w:hAnsi="Times New Roman" w:eastAsia="方正仿宋_GBK" w:cs="Times New Roman"/>
          <w:spacing w:val="-4"/>
          <w:sz w:val="33"/>
          <w:szCs w:val="33"/>
        </w:rPr>
        <w:t>按照统计要求，完善各企业升规入库申报资料，确保顺利通过市级、省级审核和国家最终确认。同时，积极培育潜在目标企业，对临规达规的企业做好政策宣讲和业务指导，不断壮大企业纳统“蓄水池”。</w:t>
      </w:r>
    </w:p>
    <w:p>
      <w:pPr>
        <w:pStyle w:val="2"/>
        <w:spacing w:before="93"/>
        <w:rPr>
          <w:rFonts w:hint="default" w:ascii="Times New Roman" w:hAnsi="Times New Roman" w:eastAsia="方正仿宋_GBK" w:cs="Times New Roman"/>
          <w:spacing w:val="-4"/>
          <w:sz w:val="33"/>
          <w:szCs w:val="33"/>
        </w:rPr>
      </w:pPr>
      <w:r>
        <w:rPr>
          <w:rFonts w:hint="default" w:ascii="Times New Roman" w:hAnsi="Times New Roman" w:eastAsia="方正楷体_GBK" w:cs="Times New Roman"/>
          <w:b/>
          <w:spacing w:val="-4"/>
          <w:sz w:val="33"/>
          <w:szCs w:val="33"/>
        </w:rPr>
        <w:t xml:space="preserve">    </w:t>
      </w:r>
      <w:r>
        <w:rPr>
          <w:rFonts w:hint="default" w:ascii="Times New Roman" w:hAnsi="Times New Roman" w:eastAsia="方正楷体_GBK" w:cs="Times New Roman"/>
          <w:b/>
          <w:spacing w:val="-4"/>
          <w:sz w:val="33"/>
          <w:szCs w:val="33"/>
        </w:rPr>
        <w:t>（五）统筹抓好其他重点工作。</w:t>
      </w:r>
      <w:r>
        <w:rPr>
          <w:rFonts w:hint="default" w:ascii="Times New Roman" w:hAnsi="Times New Roman" w:eastAsia="方正仿宋_GBK" w:cs="Times New Roman"/>
          <w:b/>
          <w:spacing w:val="-4"/>
          <w:sz w:val="33"/>
          <w:szCs w:val="33"/>
        </w:rPr>
        <w:t>一是</w:t>
      </w:r>
      <w:r>
        <w:rPr>
          <w:rFonts w:hint="default" w:ascii="Times New Roman" w:hAnsi="Times New Roman" w:eastAsia="方正仿宋_GBK" w:cs="Times New Roman"/>
          <w:spacing w:val="-4"/>
          <w:sz w:val="33"/>
          <w:szCs w:val="33"/>
        </w:rPr>
        <w:t>毫不松懈抓疫情防控。持续抓好商务领域重点场所、重点人群常态化疫情防控。落实生活必需品保供稳价各项措施，确保市场供应充足稳定。</w:t>
      </w:r>
      <w:r>
        <w:rPr>
          <w:rFonts w:hint="default" w:ascii="Times New Roman" w:hAnsi="Times New Roman" w:eastAsia="方正仿宋_GBK" w:cs="Times New Roman"/>
          <w:b/>
          <w:spacing w:val="-4"/>
          <w:sz w:val="33"/>
          <w:szCs w:val="33"/>
        </w:rPr>
        <w:t>二是</w:t>
      </w:r>
      <w:r>
        <w:rPr>
          <w:rFonts w:hint="default" w:ascii="Times New Roman" w:hAnsi="Times New Roman" w:eastAsia="方正仿宋_GBK" w:cs="Times New Roman"/>
          <w:spacing w:val="-4"/>
          <w:sz w:val="33"/>
          <w:szCs w:val="33"/>
        </w:rPr>
        <w:t>树牢安全环保发展理念，扎实抓好安全生产、生态环境保护等工作，深入开展行业隐患排查整治，坚决遏制较大事故发生。</w:t>
      </w:r>
    </w:p>
    <w:p>
      <w:pPr>
        <w:pStyle w:val="2"/>
        <w:spacing w:before="93"/>
        <w:rPr>
          <w:rFonts w:hint="default" w:ascii="Times New Roman" w:hAnsi="Times New Roman" w:eastAsia="方正楷体_GBK" w:cs="Times New Roman"/>
          <w:b/>
        </w:rPr>
      </w:pPr>
      <w:r>
        <w:rPr>
          <w:rFonts w:hint="default" w:ascii="Times New Roman" w:hAnsi="Times New Roman" w:eastAsia="方正楷体_GBK" w:cs="Times New Roman"/>
          <w:b/>
        </w:rPr>
        <w:t xml:space="preserve">    （四）部门整体支出绩效目标</w:t>
      </w:r>
    </w:p>
    <w:p>
      <w:pPr>
        <w:pStyle w:val="2"/>
        <w:spacing w:before="93"/>
        <w:rPr>
          <w:rFonts w:hint="default" w:ascii="Times New Roman" w:hAnsi="Times New Roman" w:eastAsia="方正仿宋_GBK" w:cs="Times New Roman"/>
          <w:spacing w:val="-4"/>
          <w:sz w:val="33"/>
          <w:szCs w:val="33"/>
        </w:rPr>
      </w:pPr>
      <w:r>
        <w:rPr>
          <w:rFonts w:hint="default" w:ascii="Times New Roman" w:hAnsi="Times New Roman" w:eastAsia="方正楷体_GBK" w:cs="Times New Roman"/>
          <w:b/>
        </w:rPr>
        <w:t xml:space="preserve">    </w:t>
      </w:r>
      <w:r>
        <w:rPr>
          <w:rFonts w:hint="default" w:ascii="Times New Roman" w:hAnsi="Times New Roman" w:eastAsia="方正仿宋_GBK" w:cs="Times New Roman"/>
          <w:spacing w:val="-4"/>
          <w:sz w:val="33"/>
          <w:szCs w:val="33"/>
        </w:rPr>
        <w:t>2022年，在区委和区政府的坚强领导下，区商务局科级领导班子坚持以习近平新时代中国特色社会主义思想为指导，深入学习贯彻党的二十大精神，解放思想，大胆创新，狠抓落实，</w:t>
      </w:r>
      <w:r>
        <w:rPr>
          <w:rFonts w:hint="default" w:ascii="Times New Roman" w:hAnsi="Times New Roman" w:cs="Times New Roman"/>
          <w:spacing w:val="-4"/>
          <w:sz w:val="32"/>
          <w:szCs w:val="32"/>
        </w:rPr>
        <w:t>经济指标稳中求升、升规入库提质增效、</w:t>
      </w:r>
      <w:r>
        <w:rPr>
          <w:rFonts w:hint="default" w:ascii="Times New Roman" w:hAnsi="Times New Roman" w:eastAsia="方正仿宋_GBK" w:cs="Times New Roman"/>
          <w:spacing w:val="-4"/>
          <w:sz w:val="33"/>
          <w:szCs w:val="33"/>
        </w:rPr>
        <w:t>圆满完成了年度各项工作任务。</w:t>
      </w:r>
    </w:p>
    <w:p>
      <w:pPr>
        <w:pStyle w:val="2"/>
        <w:spacing w:before="93"/>
        <w:rPr>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spacing w:val="-4"/>
          <w:sz w:val="33"/>
          <w:szCs w:val="33"/>
        </w:rPr>
        <w:t xml:space="preserve">    </w:t>
      </w:r>
      <w:r>
        <w:rPr>
          <w:rFonts w:hint="default" w:ascii="Times New Roman" w:hAnsi="Times New Roman" w:eastAsia="黑体" w:cs="Times New Roman"/>
          <w:sz w:val="32"/>
          <w:szCs w:val="32"/>
          <w:shd w:val="clear" w:color="auto" w:fill="FFFFFF"/>
        </w:rPr>
        <w:t>二、部门资金收支情况</w:t>
      </w:r>
    </w:p>
    <w:p>
      <w:pPr>
        <w:widowControl/>
        <w:adjustRightInd w:val="0"/>
        <w:snapToGrid w:val="0"/>
        <w:spacing w:line="572" w:lineRule="exact"/>
        <w:ind w:firstLine="640" w:firstLineChars="200"/>
        <w:contextualSpacing/>
        <w:jc w:val="left"/>
        <w:rPr>
          <w:rFonts w:hint="default" w:ascii="Times New Roman" w:hAnsi="Times New Roman" w:eastAsia="方正楷体_GBK" w:cs="Times New Roman"/>
          <w:kern w:val="0"/>
          <w:sz w:val="32"/>
          <w:szCs w:val="32"/>
          <w:shd w:val="clear" w:color="auto" w:fill="FFFFFF"/>
          <w:lang w:val="zh-CN"/>
        </w:rPr>
      </w:pPr>
      <w:r>
        <w:rPr>
          <w:rFonts w:hint="default" w:ascii="Times New Roman" w:hAnsi="Times New Roman" w:eastAsia="方正楷体_GBK" w:cs="Times New Roman"/>
          <w:kern w:val="0"/>
          <w:sz w:val="32"/>
          <w:szCs w:val="32"/>
          <w:shd w:val="clear" w:color="auto" w:fill="FFFFFF"/>
          <w:lang w:val="zh-CN"/>
        </w:rPr>
        <w:t>（一）部门总体收入情况。</w:t>
      </w:r>
    </w:p>
    <w:p>
      <w:pPr>
        <w:pStyle w:val="2"/>
        <w:spacing w:before="93"/>
        <w:rPr>
          <w:rFonts w:hint="default" w:ascii="Times New Roman" w:hAnsi="Times New Roman" w:cs="Times New Roman"/>
          <w:sz w:val="32"/>
          <w:szCs w:val="32"/>
        </w:rPr>
      </w:pPr>
      <w:r>
        <w:rPr>
          <w:rFonts w:hint="default" w:ascii="Times New Roman" w:hAnsi="Times New Roman" w:cs="Times New Roman"/>
          <w:sz w:val="32"/>
          <w:szCs w:val="32"/>
        </w:rPr>
        <w:t xml:space="preserve">    1.部门总体收入情况     </w:t>
      </w:r>
    </w:p>
    <w:p>
      <w:pPr>
        <w:pStyle w:val="2"/>
        <w:spacing w:before="93"/>
        <w:rPr>
          <w:rFonts w:hint="default" w:ascii="Times New Roman" w:hAnsi="Times New Roman" w:cs="Times New Roman"/>
          <w:sz w:val="32"/>
          <w:szCs w:val="32"/>
          <w:lang w:val="zh-CN"/>
        </w:rPr>
      </w:pPr>
      <w:r>
        <w:rPr>
          <w:rFonts w:hint="default" w:ascii="Times New Roman" w:hAnsi="Times New Roman" w:cs="Times New Roman"/>
          <w:sz w:val="32"/>
          <w:szCs w:val="32"/>
        </w:rPr>
        <w:t xml:space="preserve">    2022年部门总体收入282.36万元。</w:t>
      </w:r>
    </w:p>
    <w:p>
      <w:pPr>
        <w:widowControl/>
        <w:adjustRightInd w:val="0"/>
        <w:snapToGrid w:val="0"/>
        <w:spacing w:line="572"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2.部门财政资金支出情况</w:t>
      </w:r>
    </w:p>
    <w:p>
      <w:pPr>
        <w:pStyle w:val="2"/>
        <w:spacing w:before="93"/>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2022年部门总体</w:t>
      </w:r>
      <w:r>
        <w:rPr>
          <w:rFonts w:hint="default" w:ascii="Times New Roman" w:hAnsi="Times New Roman" w:cs="Times New Roman"/>
          <w:sz w:val="32"/>
          <w:szCs w:val="32"/>
          <w:shd w:val="clear" w:color="auto" w:fill="FFFFFF"/>
          <w:lang w:val="zh-CN"/>
        </w:rPr>
        <w:t>支出332.36</w:t>
      </w:r>
      <w:r>
        <w:rPr>
          <w:rFonts w:hint="default" w:ascii="Times New Roman" w:hAnsi="Times New Roman" w:cs="Times New Roman"/>
          <w:sz w:val="32"/>
          <w:szCs w:val="32"/>
        </w:rPr>
        <w:t>万元。</w:t>
      </w:r>
    </w:p>
    <w:p>
      <w:pPr>
        <w:pStyle w:val="2"/>
        <w:spacing w:before="93"/>
        <w:ind w:firstLine="640" w:firstLineChars="200"/>
        <w:rPr>
          <w:rFonts w:hint="default" w:ascii="Times New Roman" w:hAnsi="Times New Roman" w:cs="Times New Roman"/>
          <w:sz w:val="32"/>
          <w:szCs w:val="32"/>
          <w:shd w:val="clear" w:color="auto" w:fill="FFFFFF"/>
          <w:lang w:val="zh-CN"/>
        </w:rPr>
      </w:pPr>
      <w:r>
        <w:rPr>
          <w:rFonts w:hint="default" w:ascii="Times New Roman" w:hAnsi="Times New Roman" w:cs="Times New Roman"/>
          <w:sz w:val="32"/>
          <w:szCs w:val="32"/>
          <w:lang w:val="zh-CN"/>
        </w:rPr>
        <w:t>3.</w:t>
      </w:r>
      <w:r>
        <w:rPr>
          <w:rFonts w:hint="default" w:ascii="Times New Roman" w:hAnsi="Times New Roman" w:cs="Times New Roman"/>
          <w:sz w:val="32"/>
          <w:szCs w:val="32"/>
          <w:shd w:val="clear" w:color="auto" w:fill="FFFFFF"/>
          <w:lang w:val="zh-CN"/>
        </w:rPr>
        <w:t xml:space="preserve"> 部门总体结转结余情况</w:t>
      </w:r>
    </w:p>
    <w:p>
      <w:pPr>
        <w:pStyle w:val="2"/>
        <w:spacing w:before="93"/>
        <w:ind w:firstLine="640" w:firstLineChars="200"/>
        <w:rPr>
          <w:rFonts w:hint="default" w:ascii="Times New Roman" w:hAnsi="Times New Roman" w:cs="Times New Roman"/>
          <w:sz w:val="32"/>
          <w:szCs w:val="32"/>
          <w:shd w:val="clear" w:color="auto" w:fill="FFFFFF"/>
          <w:lang w:val="zh-CN"/>
        </w:rPr>
      </w:pPr>
      <w:r>
        <w:rPr>
          <w:rFonts w:hint="default" w:ascii="Times New Roman" w:hAnsi="Times New Roman" w:cs="Times New Roman"/>
          <w:sz w:val="32"/>
          <w:szCs w:val="32"/>
        </w:rPr>
        <w:t>2022年部门总体无</w:t>
      </w:r>
      <w:r>
        <w:rPr>
          <w:rFonts w:hint="default" w:ascii="Times New Roman" w:hAnsi="Times New Roman" w:cs="Times New Roman"/>
          <w:sz w:val="32"/>
          <w:szCs w:val="32"/>
          <w:shd w:val="clear" w:color="auto" w:fill="FFFFFF"/>
          <w:lang w:val="zh-CN"/>
        </w:rPr>
        <w:t>结转结余。</w:t>
      </w:r>
    </w:p>
    <w:p>
      <w:pPr>
        <w:widowControl/>
        <w:adjustRightInd w:val="0"/>
        <w:snapToGrid w:val="0"/>
        <w:spacing w:line="572" w:lineRule="exact"/>
        <w:ind w:firstLine="640" w:firstLineChars="200"/>
        <w:contextualSpacing/>
        <w:jc w:val="left"/>
        <w:rPr>
          <w:rFonts w:hint="default" w:ascii="Times New Roman" w:hAnsi="Times New Roman" w:eastAsia="方正楷体_GBK" w:cs="Times New Roman"/>
          <w:kern w:val="0"/>
          <w:sz w:val="32"/>
          <w:szCs w:val="32"/>
          <w:shd w:val="clear" w:color="auto" w:fill="FFFFFF"/>
          <w:lang w:val="zh-CN"/>
        </w:rPr>
      </w:pPr>
      <w:r>
        <w:rPr>
          <w:rFonts w:hint="default" w:ascii="Times New Roman" w:hAnsi="Times New Roman" w:eastAsia="方正楷体_GBK" w:cs="Times New Roman"/>
          <w:kern w:val="0"/>
          <w:sz w:val="32"/>
          <w:szCs w:val="32"/>
          <w:shd w:val="clear" w:color="auto" w:fill="FFFFFF"/>
          <w:lang w:val="zh-CN"/>
        </w:rPr>
        <w:t>（二）部门财政拨款收支情况。</w:t>
      </w:r>
    </w:p>
    <w:p>
      <w:pPr>
        <w:pStyle w:val="2"/>
        <w:spacing w:before="93"/>
        <w:rPr>
          <w:rFonts w:hint="default" w:ascii="Times New Roman" w:hAnsi="Times New Roman" w:cs="Times New Roman"/>
          <w:lang w:val="zh-CN"/>
        </w:rPr>
      </w:pPr>
      <w:r>
        <w:rPr>
          <w:rFonts w:hint="default" w:ascii="Times New Roman" w:hAnsi="Times New Roman" w:cs="Times New Roman"/>
          <w:lang w:val="zh-CN"/>
        </w:rPr>
        <w:t xml:space="preserve">    1.部门财政拨款收入情况</w:t>
      </w:r>
    </w:p>
    <w:p>
      <w:pPr>
        <w:pStyle w:val="2"/>
        <w:spacing w:before="93"/>
        <w:rPr>
          <w:rFonts w:hint="default" w:ascii="Times New Roman" w:hAnsi="Times New Roman" w:cs="Times New Roman"/>
          <w:sz w:val="32"/>
          <w:szCs w:val="32"/>
        </w:rPr>
      </w:pPr>
      <w:r>
        <w:rPr>
          <w:rFonts w:hint="default" w:ascii="Times New Roman" w:hAnsi="Times New Roman" w:cs="Times New Roman"/>
          <w:lang w:val="zh-CN"/>
        </w:rPr>
        <w:t xml:space="preserve">    </w:t>
      </w:r>
      <w:r>
        <w:rPr>
          <w:rFonts w:hint="default" w:ascii="Times New Roman" w:hAnsi="Times New Roman" w:cs="Times New Roman"/>
          <w:sz w:val="32"/>
          <w:szCs w:val="32"/>
        </w:rPr>
        <w:t>2022年部门</w:t>
      </w:r>
      <w:r>
        <w:rPr>
          <w:rFonts w:hint="default" w:ascii="Times New Roman" w:hAnsi="Times New Roman" w:cs="Times New Roman"/>
          <w:lang w:val="zh-CN"/>
        </w:rPr>
        <w:t>财政拨款</w:t>
      </w:r>
      <w:r>
        <w:rPr>
          <w:rFonts w:hint="default" w:ascii="Times New Roman" w:hAnsi="Times New Roman" w:cs="Times New Roman"/>
          <w:sz w:val="32"/>
          <w:szCs w:val="32"/>
        </w:rPr>
        <w:t>收入282.36万元。</w:t>
      </w:r>
    </w:p>
    <w:p>
      <w:pPr>
        <w:widowControl/>
        <w:adjustRightInd w:val="0"/>
        <w:snapToGrid w:val="0"/>
        <w:spacing w:line="572" w:lineRule="exact"/>
        <w:ind w:firstLine="42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cs="Times New Roman"/>
        </w:rPr>
        <w:t xml:space="preserve">  </w:t>
      </w:r>
      <w:r>
        <w:rPr>
          <w:rFonts w:hint="default" w:ascii="Times New Roman" w:hAnsi="Times New Roman" w:eastAsia="仿宋_GB2312" w:cs="Times New Roman"/>
          <w:kern w:val="0"/>
          <w:sz w:val="32"/>
          <w:szCs w:val="32"/>
          <w:shd w:val="clear" w:color="auto" w:fill="FFFFFF"/>
          <w:lang w:val="zh-CN"/>
        </w:rPr>
        <w:t>2.部门</w:t>
      </w:r>
      <w:r>
        <w:rPr>
          <w:rFonts w:hint="default" w:ascii="Times New Roman" w:hAnsi="Times New Roman" w:eastAsia="仿宋_GB2312" w:cs="Times New Roman"/>
          <w:sz w:val="32"/>
          <w:szCs w:val="32"/>
          <w:lang w:val="zh-CN"/>
        </w:rPr>
        <w:t>财政拨款</w:t>
      </w:r>
      <w:r>
        <w:rPr>
          <w:rFonts w:hint="default" w:ascii="Times New Roman" w:hAnsi="Times New Roman" w:eastAsia="仿宋_GB2312" w:cs="Times New Roman"/>
          <w:kern w:val="0"/>
          <w:sz w:val="32"/>
          <w:szCs w:val="32"/>
          <w:shd w:val="clear" w:color="auto" w:fill="FFFFFF"/>
          <w:lang w:val="zh-CN"/>
        </w:rPr>
        <w:t>支出情况</w:t>
      </w:r>
    </w:p>
    <w:p>
      <w:pPr>
        <w:pStyle w:val="2"/>
        <w:spacing w:before="93"/>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2022年部门</w:t>
      </w:r>
      <w:r>
        <w:rPr>
          <w:rFonts w:hint="default" w:ascii="Times New Roman" w:hAnsi="Times New Roman" w:cs="Times New Roman"/>
          <w:sz w:val="32"/>
          <w:szCs w:val="32"/>
          <w:lang w:val="zh-CN"/>
        </w:rPr>
        <w:t>财政拨款</w:t>
      </w:r>
      <w:r>
        <w:rPr>
          <w:rFonts w:hint="default" w:ascii="Times New Roman" w:hAnsi="Times New Roman" w:cs="Times New Roman"/>
          <w:sz w:val="32"/>
          <w:szCs w:val="32"/>
          <w:shd w:val="clear" w:color="auto" w:fill="FFFFFF"/>
          <w:lang w:val="zh-CN"/>
        </w:rPr>
        <w:t>支出332.36</w:t>
      </w:r>
      <w:r>
        <w:rPr>
          <w:rFonts w:hint="default" w:ascii="Times New Roman" w:hAnsi="Times New Roman" w:cs="Times New Roman"/>
          <w:sz w:val="32"/>
          <w:szCs w:val="32"/>
        </w:rPr>
        <w:t>万元。</w:t>
      </w:r>
    </w:p>
    <w:p>
      <w:pPr>
        <w:pStyle w:val="2"/>
        <w:spacing w:before="93"/>
        <w:ind w:firstLine="640" w:firstLineChars="200"/>
        <w:rPr>
          <w:rFonts w:hint="default" w:ascii="Times New Roman" w:hAnsi="Times New Roman" w:cs="Times New Roman"/>
          <w:sz w:val="32"/>
          <w:szCs w:val="32"/>
          <w:shd w:val="clear" w:color="auto" w:fill="FFFFFF"/>
          <w:lang w:val="zh-CN"/>
        </w:rPr>
      </w:pPr>
      <w:r>
        <w:rPr>
          <w:rFonts w:hint="default" w:ascii="Times New Roman" w:hAnsi="Times New Roman" w:cs="Times New Roman"/>
          <w:sz w:val="32"/>
          <w:szCs w:val="32"/>
          <w:lang w:val="zh-CN"/>
        </w:rPr>
        <w:t>3.</w:t>
      </w:r>
      <w:r>
        <w:rPr>
          <w:rFonts w:hint="default" w:ascii="Times New Roman" w:hAnsi="Times New Roman" w:cs="Times New Roman"/>
          <w:sz w:val="32"/>
          <w:szCs w:val="32"/>
          <w:shd w:val="clear" w:color="auto" w:fill="FFFFFF"/>
          <w:lang w:val="zh-CN"/>
        </w:rPr>
        <w:t xml:space="preserve"> 部门</w:t>
      </w:r>
      <w:r>
        <w:rPr>
          <w:rFonts w:hint="default" w:ascii="Times New Roman" w:hAnsi="Times New Roman" w:cs="Times New Roman"/>
          <w:sz w:val="32"/>
          <w:szCs w:val="32"/>
          <w:lang w:val="zh-CN"/>
        </w:rPr>
        <w:t>财政拨款</w:t>
      </w:r>
      <w:r>
        <w:rPr>
          <w:rFonts w:hint="default" w:ascii="Times New Roman" w:hAnsi="Times New Roman" w:cs="Times New Roman"/>
          <w:sz w:val="32"/>
          <w:szCs w:val="32"/>
          <w:shd w:val="clear" w:color="auto" w:fill="FFFFFF"/>
          <w:lang w:val="zh-CN"/>
        </w:rPr>
        <w:t>结转结余情况</w:t>
      </w:r>
    </w:p>
    <w:p>
      <w:pPr>
        <w:pStyle w:val="2"/>
        <w:spacing w:before="93"/>
        <w:ind w:firstLine="640" w:firstLineChars="200"/>
        <w:rPr>
          <w:rFonts w:hint="default" w:ascii="Times New Roman" w:hAnsi="Times New Roman" w:cs="Times New Roman"/>
          <w:sz w:val="32"/>
          <w:szCs w:val="32"/>
          <w:shd w:val="clear" w:color="auto" w:fill="FFFFFF"/>
          <w:lang w:val="zh-CN"/>
        </w:rPr>
      </w:pPr>
      <w:r>
        <w:rPr>
          <w:rFonts w:hint="default" w:ascii="Times New Roman" w:hAnsi="Times New Roman" w:cs="Times New Roman"/>
          <w:sz w:val="32"/>
          <w:szCs w:val="32"/>
        </w:rPr>
        <w:t>2022年部门</w:t>
      </w:r>
      <w:r>
        <w:rPr>
          <w:rFonts w:hint="default" w:ascii="Times New Roman" w:hAnsi="Times New Roman" w:cs="Times New Roman"/>
          <w:sz w:val="32"/>
          <w:szCs w:val="32"/>
          <w:lang w:val="zh-CN"/>
        </w:rPr>
        <w:t>财政拨款</w:t>
      </w:r>
      <w:r>
        <w:rPr>
          <w:rFonts w:hint="default" w:ascii="Times New Roman" w:hAnsi="Times New Roman" w:cs="Times New Roman"/>
          <w:sz w:val="32"/>
          <w:szCs w:val="32"/>
        </w:rPr>
        <w:t>无</w:t>
      </w:r>
      <w:r>
        <w:rPr>
          <w:rFonts w:hint="default" w:ascii="Times New Roman" w:hAnsi="Times New Roman" w:cs="Times New Roman"/>
          <w:sz w:val="32"/>
          <w:szCs w:val="32"/>
          <w:shd w:val="clear" w:color="auto" w:fill="FFFFFF"/>
          <w:lang w:val="zh-CN"/>
        </w:rPr>
        <w:t>结转结余。</w:t>
      </w:r>
    </w:p>
    <w:p>
      <w:pPr>
        <w:widowControl/>
        <w:adjustRightInd w:val="0"/>
        <w:snapToGrid w:val="0"/>
        <w:spacing w:line="572" w:lineRule="exact"/>
        <w:ind w:firstLine="640" w:firstLineChars="200"/>
        <w:contextualSpacing/>
        <w:jc w:val="left"/>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三、部门整体预算绩效分析</w:t>
      </w:r>
    </w:p>
    <w:p>
      <w:pPr>
        <w:widowControl/>
        <w:adjustRightInd w:val="0"/>
        <w:snapToGrid w:val="0"/>
        <w:spacing w:line="572" w:lineRule="exact"/>
        <w:ind w:firstLine="640" w:firstLineChars="200"/>
        <w:contextualSpacing/>
        <w:jc w:val="left"/>
        <w:rPr>
          <w:rFonts w:hint="default" w:ascii="Times New Roman" w:hAnsi="Times New Roman" w:eastAsia="方正楷体_GBK" w:cs="Times New Roman"/>
          <w:color w:val="000000" w:themeColor="text1"/>
          <w:kern w:val="0"/>
          <w:sz w:val="32"/>
          <w:szCs w:val="32"/>
          <w:shd w:val="clear" w:color="auto" w:fill="FFFFFF"/>
          <w:lang w:val="zh-CN"/>
        </w:rPr>
      </w:pPr>
      <w:r>
        <w:rPr>
          <w:rFonts w:hint="default" w:ascii="Times New Roman" w:hAnsi="Times New Roman" w:eastAsia="方正楷体_GBK" w:cs="Times New Roman"/>
          <w:color w:val="000000" w:themeColor="text1"/>
          <w:kern w:val="0"/>
          <w:sz w:val="32"/>
          <w:szCs w:val="32"/>
          <w:shd w:val="clear" w:color="auto" w:fill="FFFFFF"/>
          <w:lang w:val="zh-CN"/>
        </w:rPr>
        <w:t>（一）部门预算项目绩效分析。</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西区商务局按照部门年初目标任务和资金预算，认真组织开展重点服务业及商贸企业升规入库培育、商贸服务业项目推进以及相关会展的筹备等工作。召开各类工作会议，安排布置商贸服务业相关工作，加大对西区的宣传力度。2022年西区商务局各项工作按年度计划全面完成。</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kern w:val="0"/>
          <w:sz w:val="32"/>
          <w:szCs w:val="32"/>
          <w:shd w:val="clear" w:color="auto" w:fill="FFFFFF"/>
        </w:rPr>
        <w:t xml:space="preserve"> 人员类项目绩效分析</w:t>
      </w:r>
    </w:p>
    <w:p>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color w:val="333333"/>
          <w:sz w:val="32"/>
          <w:szCs w:val="32"/>
        </w:rPr>
        <w:t>人员经费年初预算235.65万元，年中追加预算17.01万元，全年支出252.66万元，预算执行率100%，资金无结余，实现全年既定支出目标。</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2.运转类项目绩效分析</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rPr>
        <w:t>公用经费年初预算20.79万元，年中追减预算2.87万元，全年支出17.92万元，预算执行率86.20%，资金无结余，实现全年既定支出目标。</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3.特定目标类项目绩效分析</w:t>
      </w:r>
    </w:p>
    <w:p>
      <w:pPr>
        <w:spacing w:line="580" w:lineRule="exact"/>
        <w:ind w:firstLine="640" w:firstLineChars="200"/>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sz w:val="32"/>
          <w:szCs w:val="32"/>
        </w:rPr>
        <w:t>项目经费</w:t>
      </w:r>
      <w:r>
        <w:rPr>
          <w:rFonts w:hint="default" w:ascii="Times New Roman" w:hAnsi="Times New Roman" w:eastAsia="仿宋_GB2312" w:cs="Times New Roman"/>
          <w:color w:val="333333"/>
          <w:sz w:val="32"/>
          <w:szCs w:val="32"/>
        </w:rPr>
        <w:t>年初预算24万元，调整年初结余50万元，年中追减预算12.23万元，全年支出61.77万元，预算执行率83.47%，资金无结余，实现全年既定支出目标。</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（二）部门整体履职绩效分析。</w:t>
      </w:r>
    </w:p>
    <w:p>
      <w:pPr>
        <w:pStyle w:val="2"/>
        <w:spacing w:before="93"/>
        <w:rPr>
          <w:rFonts w:hint="default" w:ascii="Times New Roman" w:hAnsi="Times New Roman" w:cs="Times New Roman"/>
          <w:spacing w:val="-4"/>
          <w:sz w:val="32"/>
          <w:szCs w:val="32"/>
        </w:rPr>
      </w:pPr>
      <w:r>
        <w:rPr>
          <w:rFonts w:hint="default" w:ascii="Times New Roman" w:hAnsi="Times New Roman" w:cs="Times New Roman"/>
        </w:rPr>
        <w:t xml:space="preserve">  </w:t>
      </w:r>
      <w:r>
        <w:rPr>
          <w:rFonts w:hint="default" w:ascii="Times New Roman" w:hAnsi="Times New Roman" w:cs="Times New Roman"/>
          <w:sz w:val="32"/>
          <w:szCs w:val="32"/>
        </w:rPr>
        <w:t xml:space="preserve">  </w:t>
      </w:r>
      <w:r>
        <w:rPr>
          <w:rFonts w:hint="default" w:ascii="Times New Roman" w:hAnsi="Times New Roman" w:cs="Times New Roman"/>
          <w:sz w:val="32"/>
          <w:szCs w:val="32"/>
        </w:rPr>
        <w:t>2022年以来，区商务局坚持以习近平新时代中国特色社会主义思想为指导，认真落实省、市、区党代会精神及部署要求，紧紧围绕商务领域高质量发展，立足实际，主动担当，狠抓落实，各项工作稳步推进。</w:t>
      </w:r>
    </w:p>
    <w:p>
      <w:pPr>
        <w:ind w:firstLine="624" w:firstLineChars="200"/>
        <w:rPr>
          <w:rFonts w:hint="default" w:ascii="Times New Roman" w:hAnsi="Times New Roman" w:eastAsia="方正仿宋_GBK" w:cs="Times New Roman"/>
          <w:spacing w:val="-4"/>
          <w:sz w:val="33"/>
          <w:szCs w:val="33"/>
        </w:rPr>
      </w:pPr>
      <w:r>
        <w:rPr>
          <w:rFonts w:hint="default" w:ascii="Times New Roman" w:hAnsi="Times New Roman" w:cs="Times New Roman"/>
          <w:spacing w:val="-4"/>
          <w:sz w:val="32"/>
          <w:szCs w:val="32"/>
        </w:rPr>
        <w:t xml:space="preserve"> </w:t>
      </w:r>
      <w:r>
        <w:rPr>
          <w:rFonts w:hint="default" w:ascii="Times New Roman" w:hAnsi="Times New Roman" w:eastAsia="方正楷体_GBK" w:cs="Times New Roman"/>
          <w:b/>
          <w:spacing w:val="-4"/>
          <w:sz w:val="33"/>
          <w:szCs w:val="33"/>
        </w:rPr>
        <w:t>一是招商引资蓄势聚能</w:t>
      </w:r>
      <w:r>
        <w:rPr>
          <w:rFonts w:hint="default" w:ascii="Times New Roman" w:hAnsi="Times New Roman" w:eastAsia="方正仿宋_GBK" w:cs="Times New Roman"/>
          <w:spacing w:val="-4"/>
          <w:sz w:val="33"/>
          <w:szCs w:val="33"/>
        </w:rPr>
        <w:t>。以项目包装为抓手，以招商引资为依托。2022年，包装的大宗商品集散中心等4个项目纳入国家102、省105重大项目库，占全区单体项目的80%，为招引项目落地提供资金和政策保障。外出招商4次，先后对接遂宁绿然集团、威斯腾物流等21家企业。</w:t>
      </w:r>
      <w:r>
        <w:rPr>
          <w:rFonts w:hint="default" w:ascii="Times New Roman" w:hAnsi="Times New Roman" w:eastAsia="方正楷体_GBK" w:cs="Times New Roman"/>
          <w:b/>
          <w:spacing w:val="-4"/>
          <w:sz w:val="33"/>
          <w:szCs w:val="33"/>
        </w:rPr>
        <w:t>二是项目建设取得突破。</w:t>
      </w:r>
      <w:r>
        <w:rPr>
          <w:rFonts w:hint="default" w:ascii="Times New Roman" w:hAnsi="Times New Roman" w:eastAsia="方正仿宋_GBK" w:cs="Times New Roman"/>
          <w:spacing w:val="-4"/>
          <w:sz w:val="33"/>
          <w:szCs w:val="33"/>
        </w:rPr>
        <w:t>破解四川蜀物攀枝花智慧现代产业园项目2年来的项目用地、股权等瓶颈束缚，实现开工建设。废旧汽车拆解回收及汽车零部件再制造项目，正在开展厂房钢架加工。新能源汽车充换电站及充电桩项目，已全面建设完成，成为攀西地区首个新能源商用汽车充换电站，为新能源汽车示范推广上起到“以点带面”的叠加效应。</w:t>
      </w:r>
      <w:r>
        <w:rPr>
          <w:rFonts w:hint="default" w:ascii="Times New Roman" w:hAnsi="Times New Roman" w:eastAsia="方正楷体_GBK" w:cs="Times New Roman"/>
          <w:b/>
          <w:spacing w:val="-4"/>
          <w:sz w:val="33"/>
          <w:szCs w:val="33"/>
        </w:rPr>
        <w:t>三是消费升级力度不减。</w:t>
      </w:r>
      <w:r>
        <w:rPr>
          <w:rFonts w:hint="default" w:ascii="Times New Roman" w:hAnsi="Times New Roman" w:eastAsia="方正仿宋_GBK" w:cs="Times New Roman"/>
          <w:spacing w:val="-4"/>
          <w:sz w:val="33"/>
          <w:szCs w:val="33"/>
        </w:rPr>
        <w:t>聚焦重点行业、重点企业，利用节假日契机，开展各类主题促销活动，累计拉动消费1亿元以上。</w:t>
      </w:r>
      <w:r>
        <w:rPr>
          <w:rFonts w:hint="default" w:ascii="Times New Roman" w:hAnsi="Times New Roman" w:eastAsia="方正仿宋_GBK" w:cs="Times New Roman"/>
          <w:spacing w:val="-4"/>
          <w:sz w:val="33"/>
          <w:szCs w:val="33"/>
        </w:rPr>
        <w:t>联合区融媒体</w:t>
      </w:r>
      <w:r>
        <w:rPr>
          <w:rFonts w:hint="default" w:ascii="Times New Roman" w:hAnsi="Times New Roman" w:eastAsia="方正仿宋_GBK" w:cs="Times New Roman"/>
          <w:spacing w:val="-4"/>
          <w:sz w:val="33"/>
          <w:szCs w:val="33"/>
        </w:rPr>
        <w:t>制作31期“寻味西区•美食探探”节目，组织11家餐饮企业参与“攀枝花市欢乐美食季”活动，形成“一店一品”的集群发展格局。2022年，服务业增加值实现24.09亿元，增速4.9%；社会消费品零售总额完成23.8亿元，同比增长3.1%。完成服务业规上企业培育8家，批零住餐“规上”企业培育9家，超额完成升规入库任务。</w:t>
      </w:r>
    </w:p>
    <w:p>
      <w:pPr>
        <w:spacing w:line="353" w:lineRule="auto"/>
        <w:ind w:firstLine="482" w:firstLineChars="150"/>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（三）结果应用情况。</w:t>
      </w:r>
    </w:p>
    <w:p>
      <w:pPr>
        <w:widowControl/>
        <w:spacing w:line="221" w:lineRule="atLeast"/>
        <w:ind w:firstLine="640"/>
        <w:jc w:val="left"/>
        <w:rPr>
          <w:rFonts w:hint="default" w:ascii="Times New Roman" w:hAnsi="Times New Roman" w:cs="Times New Roman"/>
          <w:kern w:val="0"/>
          <w:sz w:val="24"/>
        </w:rPr>
      </w:pPr>
      <w:r>
        <w:rPr>
          <w:rFonts w:hint="default" w:ascii="Times New Roman" w:hAnsi="Times New Roman" w:eastAsia="仿宋_GB2312" w:cs="Times New Roman"/>
          <w:kern w:val="0"/>
          <w:sz w:val="32"/>
          <w:szCs w:val="32"/>
        </w:rPr>
        <w:t>西区商务局对2022年预算按照每次执行均采取实时监控措施，并定期对绩效监控信息进行收集、审核、分析，并按时向财务负责人报告，做到绩效监控措施准确、有实效。严格按照《中华人民共和国预算法》《中华人民共和国政府信息公开条例》等相关文件要求，对本部门预算、决算及报表等文件，及时在攀枝花西区人民政府网站设立的预决算公开专栏进行集中公开，并公开预算编制目录，对公开内容进行分类、分级，方便公众查阅和监督。</w:t>
      </w:r>
    </w:p>
    <w:p>
      <w:pPr>
        <w:widowControl/>
        <w:adjustRightInd w:val="0"/>
        <w:snapToGrid w:val="0"/>
        <w:spacing w:line="576" w:lineRule="exact"/>
        <w:ind w:firstLine="640" w:firstLineChars="200"/>
        <w:contextualSpacing/>
        <w:jc w:val="left"/>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hint="default" w:ascii="Times New Roman" w:hAnsi="Times New Roman" w:eastAsia="方正楷体_GBK" w:cs="Times New Roman"/>
          <w:kern w:val="0"/>
          <w:sz w:val="32"/>
          <w:szCs w:val="32"/>
          <w:shd w:val="clear" w:color="auto" w:fill="FFFFFF"/>
          <w:lang w:val="zh-CN"/>
        </w:rPr>
      </w:pPr>
      <w:r>
        <w:rPr>
          <w:rFonts w:hint="default" w:ascii="Times New Roman" w:hAnsi="Times New Roman" w:eastAsia="方正楷体_GBK" w:cs="Times New Roman"/>
          <w:kern w:val="0"/>
          <w:sz w:val="32"/>
          <w:szCs w:val="32"/>
          <w:shd w:val="clear" w:color="auto" w:fill="FFFFFF"/>
          <w:lang w:val="zh-CN"/>
        </w:rPr>
        <w:t>（一）评价结论。</w:t>
      </w:r>
    </w:p>
    <w:p>
      <w:pPr>
        <w:widowControl/>
        <w:adjustRightInd w:val="0"/>
        <w:snapToGrid w:val="0"/>
        <w:spacing w:line="576"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rPr>
        <w:t>区商务局贯彻落实党中央关于商务工作的方针、政策和省委、市委、区委的决策部署，围绕中心、服务大局、履职尽责、开拓创新，保障了各项工作有序推进，实现项目有落地、经济有增长等良好态势。</w:t>
      </w:r>
    </w:p>
    <w:p>
      <w:pPr>
        <w:widowControl/>
        <w:adjustRightInd w:val="0"/>
        <w:snapToGrid w:val="0"/>
        <w:spacing w:line="576" w:lineRule="exact"/>
        <w:ind w:firstLine="640" w:firstLineChars="200"/>
        <w:contextualSpacing/>
        <w:jc w:val="left"/>
        <w:rPr>
          <w:rFonts w:hint="default" w:ascii="Times New Roman" w:hAnsi="Times New Roman" w:eastAsia="方正楷体_GBK" w:cs="Times New Roman"/>
          <w:kern w:val="0"/>
          <w:sz w:val="32"/>
          <w:szCs w:val="32"/>
          <w:shd w:val="clear" w:color="auto" w:fill="FFFFFF"/>
          <w:lang w:val="zh-CN"/>
        </w:rPr>
      </w:pPr>
      <w:r>
        <w:rPr>
          <w:rFonts w:hint="default" w:ascii="Times New Roman" w:hAnsi="Times New Roman" w:eastAsia="方正楷体_GBK" w:cs="Times New Roman"/>
          <w:kern w:val="0"/>
          <w:sz w:val="32"/>
          <w:szCs w:val="32"/>
          <w:shd w:val="clear" w:color="auto" w:fill="FFFFFF"/>
          <w:lang w:val="zh-CN"/>
        </w:rPr>
        <w:t>（二）存在问题。</w:t>
      </w:r>
    </w:p>
    <w:p>
      <w:pPr>
        <w:widowControl/>
        <w:spacing w:line="221" w:lineRule="atLeast"/>
        <w:ind w:firstLine="64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32"/>
          <w:szCs w:val="32"/>
          <w:lang w:val="zh-CN"/>
        </w:rPr>
        <w:t>一是</w:t>
      </w:r>
      <w:r>
        <w:rPr>
          <w:rFonts w:hint="default" w:ascii="Times New Roman" w:hAnsi="Times New Roman" w:eastAsia="仿宋_GB2312" w:cs="Times New Roman"/>
          <w:kern w:val="0"/>
          <w:sz w:val="32"/>
          <w:szCs w:val="32"/>
        </w:rPr>
        <w:t>部分项目支出未按预期目标实现资金支付工作。二是受到疫情等多方因素的影响，部分项目未按预定目标执行，部分项目最终未能达到年度总体目标任务。</w:t>
      </w:r>
    </w:p>
    <w:p>
      <w:pPr>
        <w:widowControl/>
        <w:adjustRightInd w:val="0"/>
        <w:snapToGrid w:val="0"/>
        <w:spacing w:line="576" w:lineRule="exact"/>
        <w:ind w:firstLine="640" w:firstLineChars="200"/>
        <w:contextualSpacing/>
        <w:jc w:val="left"/>
        <w:rPr>
          <w:rFonts w:hint="default" w:ascii="Times New Roman" w:hAnsi="Times New Roman" w:eastAsia="方正楷体_GBK" w:cs="Times New Roman"/>
          <w:kern w:val="0"/>
          <w:sz w:val="32"/>
          <w:szCs w:val="32"/>
          <w:shd w:val="clear" w:color="auto" w:fill="FFFFFF"/>
          <w:lang w:val="zh-CN"/>
        </w:rPr>
      </w:pPr>
      <w:r>
        <w:rPr>
          <w:rFonts w:hint="default" w:ascii="Times New Roman" w:hAnsi="Times New Roman" w:eastAsia="方正楷体_GBK" w:cs="Times New Roman"/>
          <w:kern w:val="0"/>
          <w:sz w:val="32"/>
          <w:szCs w:val="32"/>
          <w:shd w:val="clear" w:color="auto" w:fill="FFFFFF"/>
          <w:lang w:val="zh-CN"/>
        </w:rPr>
        <w:t>（三）改进建议。</w:t>
      </w:r>
    </w:p>
    <w:p>
      <w:pPr>
        <w:widowControl/>
        <w:spacing w:line="221" w:lineRule="atLeast"/>
        <w:ind w:firstLine="800" w:firstLineChars="2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一是针对资金绩效运行状况，及时查找资金使用和管理过程中的薄弱环节，提出纠正措施；加快资金执行进度，确保后续绩效目标的有效实现。</w:t>
      </w:r>
    </w:p>
    <w:p>
      <w:pPr>
        <w:pStyle w:val="2"/>
        <w:spacing w:before="93"/>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二是针对项目未按预定目标执行的问题，及时调整执行目标任务，确保完成项目绩效年度总体目标任务。</w:t>
      </w:r>
    </w:p>
    <w:p>
      <w:pPr>
        <w:pStyle w:val="2"/>
        <w:spacing w:before="93"/>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附表：部门预算项目支出绩效自评表（2022年度）</w:t>
      </w:r>
    </w:p>
    <w:p>
      <w:pPr>
        <w:pStyle w:val="2"/>
        <w:spacing w:before="93"/>
        <w:ind w:firstLine="640" w:firstLineChars="200"/>
        <w:rPr>
          <w:rFonts w:hint="default" w:ascii="Times New Roman" w:hAnsi="Times New Roman" w:cs="Times New Roman"/>
          <w:sz w:val="32"/>
          <w:szCs w:val="32"/>
        </w:rPr>
      </w:pPr>
    </w:p>
    <w:p>
      <w:pPr>
        <w:pStyle w:val="2"/>
        <w:spacing w:before="93"/>
        <w:ind w:firstLine="640" w:firstLineChars="200"/>
        <w:rPr>
          <w:rFonts w:hint="default" w:ascii="Times New Roman" w:hAnsi="Times New Roman" w:cs="Times New Roman"/>
          <w:sz w:val="32"/>
          <w:szCs w:val="32"/>
        </w:rPr>
      </w:pPr>
    </w:p>
    <w:p>
      <w:pPr>
        <w:pStyle w:val="2"/>
        <w:spacing w:before="93"/>
        <w:ind w:firstLine="640" w:firstLineChars="200"/>
        <w:rPr>
          <w:rFonts w:hint="default" w:ascii="Times New Roman" w:hAnsi="Times New Roman" w:cs="Times New Roman"/>
          <w:sz w:val="32"/>
          <w:szCs w:val="32"/>
          <w:shd w:val="clear" w:color="auto" w:fill="FFFFFF"/>
          <w:lang w:val="zh-CN"/>
        </w:rPr>
      </w:pPr>
    </w:p>
    <w:p>
      <w:pPr>
        <w:pStyle w:val="2"/>
        <w:spacing w:before="93"/>
        <w:ind w:firstLine="640" w:firstLineChars="200"/>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lang w:val="zh-CN"/>
        </w:rPr>
      </w:pPr>
      <w:r>
        <w:rPr>
          <w:rFonts w:hint="default" w:ascii="Times New Roman" w:hAnsi="Times New Roman" w:cs="Times New Roman"/>
          <w:sz w:val="32"/>
          <w:szCs w:val="32"/>
          <w:shd w:val="clear" w:color="auto" w:fill="FFFFFF"/>
          <w:lang w:val="zh-CN"/>
        </w:rPr>
        <w:t>附件2</w:t>
      </w:r>
    </w:p>
    <w:p>
      <w:pPr>
        <w:spacing w:line="600" w:lineRule="exact"/>
        <w:jc w:val="center"/>
        <w:rPr>
          <w:rFonts w:hint="default" w:ascii="Times New Roman" w:hAnsi="Times New Roman" w:eastAsia="方正小标宋简体" w:cs="Times New Roman"/>
          <w:sz w:val="40"/>
          <w:szCs w:val="40"/>
          <w:lang w:val="zh-CN"/>
        </w:rPr>
      </w:pPr>
      <w:r>
        <w:rPr>
          <w:rFonts w:hint="default" w:ascii="Times New Roman" w:hAnsi="Times New Roman" w:eastAsia="方正小标宋简体" w:cs="Times New Roman"/>
          <w:sz w:val="40"/>
          <w:szCs w:val="40"/>
        </w:rPr>
        <w:t>202</w:t>
      </w:r>
      <w:r>
        <w:rPr>
          <w:rFonts w:hint="default" w:ascii="Times New Roman" w:hAnsi="Times New Roman" w:eastAsia="方正小标宋简体" w:cs="Times New Roman"/>
          <w:sz w:val="40"/>
          <w:szCs w:val="40"/>
          <w:lang w:val="en-US" w:eastAsia="zh-CN"/>
        </w:rPr>
        <w:t>2</w:t>
      </w:r>
      <w:r>
        <w:rPr>
          <w:rFonts w:hint="default" w:ascii="Times New Roman" w:hAnsi="Times New Roman" w:eastAsia="方正小标宋简体" w:cs="Times New Roman"/>
          <w:sz w:val="40"/>
          <w:szCs w:val="40"/>
        </w:rPr>
        <w:t>年区级专项</w:t>
      </w:r>
      <w:r>
        <w:rPr>
          <w:rFonts w:hint="default" w:ascii="Times New Roman" w:hAnsi="Times New Roman" w:eastAsia="方正小标宋简体" w:cs="Times New Roman"/>
          <w:sz w:val="40"/>
          <w:szCs w:val="40"/>
          <w:lang w:val="zh-CN"/>
        </w:rPr>
        <w:t>资金重点服务业及商贸企业升规入库培育项目预算项目</w:t>
      </w:r>
    </w:p>
    <w:p>
      <w:pPr>
        <w:spacing w:line="600" w:lineRule="exact"/>
        <w:jc w:val="center"/>
        <w:rPr>
          <w:rFonts w:hint="default" w:ascii="Times New Roman" w:hAnsi="Times New Roman" w:eastAsia="方正小标宋简体" w:cs="Times New Roman"/>
          <w:sz w:val="40"/>
          <w:szCs w:val="40"/>
          <w:lang w:val="zh-CN"/>
        </w:rPr>
      </w:pPr>
      <w:r>
        <w:rPr>
          <w:rFonts w:hint="default" w:ascii="Times New Roman" w:hAnsi="Times New Roman" w:eastAsia="方正小标宋简体" w:cs="Times New Roman"/>
          <w:sz w:val="40"/>
          <w:szCs w:val="40"/>
          <w:lang w:val="zh-CN"/>
        </w:rPr>
        <w:t>绩效自评报告</w:t>
      </w:r>
    </w:p>
    <w:p>
      <w:pPr>
        <w:spacing w:line="600" w:lineRule="exact"/>
        <w:ind w:firstLine="640"/>
        <w:jc w:val="center"/>
        <w:rPr>
          <w:rFonts w:hint="default" w:ascii="Times New Roman" w:hAnsi="Times New Roman" w:cs="Times New Roman"/>
          <w:sz w:val="32"/>
          <w:szCs w:val="32"/>
          <w:lang w:val="zh-CN"/>
        </w:rPr>
      </w:pPr>
    </w:p>
    <w:p>
      <w:pPr>
        <w:adjustRightInd w:val="0"/>
        <w:snapToGrid w:val="0"/>
        <w:spacing w:line="600"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1．项目主管部门在该项目管理中的职能。</w:t>
      </w:r>
    </w:p>
    <w:p>
      <w:pPr>
        <w:pStyle w:val="2"/>
        <w:spacing w:before="93"/>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项目主管单位攀枝花市西区商务局在该项目管理中的职能是作为全区商贸服务业经济运行监管的行业主管部门，主要承担指导、引导全区商贸服务业经济发展、行业管理、安全环保及全区重大商贸服务业项目的推进工作;负责商贸流通、市场体系建设、电子商务、现代物流、内外贸易及指导和协调全区服务业发展等职能。</w:t>
      </w:r>
    </w:p>
    <w:p>
      <w:pPr>
        <w:pStyle w:val="2"/>
        <w:spacing w:before="93"/>
        <w:ind w:firstLine="640" w:firstLineChars="200"/>
        <w:rPr>
          <w:rFonts w:hint="default" w:ascii="Times New Roman" w:hAnsi="Times New Roman" w:cs="Times New Roman"/>
          <w:sz w:val="32"/>
          <w:szCs w:val="32"/>
          <w:lang w:val="zh-CN"/>
        </w:rPr>
      </w:pPr>
      <w:r>
        <w:rPr>
          <w:rFonts w:hint="default" w:ascii="Times New Roman" w:hAnsi="Times New Roman" w:cs="Times New Roman"/>
          <w:sz w:val="32"/>
          <w:szCs w:val="32"/>
          <w:lang w:val="zh-CN"/>
        </w:rPr>
        <w:t>2．项目立项、资金申报的依据。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近年全区服务业持续健康发展对管理水平要求提高的需求。</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3．资金管理办法制定情况，资金支持具体项目的条件、范围与支持方式概况。</w:t>
      </w:r>
    </w:p>
    <w:p>
      <w:pPr>
        <w:pStyle w:val="2"/>
        <w:spacing w:before="93"/>
        <w:ind w:firstLine="640" w:firstLineChars="200"/>
        <w:rPr>
          <w:rFonts w:hint="default" w:ascii="Times New Roman" w:hAnsi="Times New Roman" w:cs="Times New Roman"/>
          <w:color w:val="000000" w:themeColor="text1"/>
          <w:sz w:val="32"/>
          <w:szCs w:val="32"/>
          <w:lang w:val="zh-CN"/>
        </w:rPr>
      </w:pPr>
      <w:r>
        <w:rPr>
          <w:rFonts w:hint="default" w:ascii="Times New Roman" w:hAnsi="Times New Roman" w:cs="Times New Roman"/>
          <w:color w:val="000000" w:themeColor="text1"/>
          <w:sz w:val="32"/>
          <w:szCs w:val="32"/>
        </w:rPr>
        <w:t>根据《西区商务局</w:t>
      </w:r>
      <w:r>
        <w:rPr>
          <w:rFonts w:hint="default" w:ascii="Times New Roman" w:hAnsi="Times New Roman" w:cs="Times New Roman"/>
          <w:bCs/>
          <w:color w:val="000000" w:themeColor="text1"/>
          <w:sz w:val="32"/>
          <w:szCs w:val="32"/>
        </w:rPr>
        <w:t>财务</w:t>
      </w:r>
      <w:r>
        <w:rPr>
          <w:rFonts w:hint="default" w:ascii="Times New Roman" w:hAnsi="Times New Roman" w:cs="Times New Roman"/>
          <w:color w:val="000000" w:themeColor="text1"/>
          <w:sz w:val="32"/>
          <w:szCs w:val="32"/>
        </w:rPr>
        <w:t>管理制度》办理相关报帐手续，主要将此专项资金用于项目协调办公费、项目包装、外出引进、对接项目差旅费、印刷费等。</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4．资金分配的原则及考虑因素。</w:t>
      </w:r>
    </w:p>
    <w:p>
      <w:pPr>
        <w:pStyle w:val="2"/>
        <w:spacing w:before="93"/>
        <w:ind w:firstLine="640" w:firstLineChars="200"/>
        <w:rPr>
          <w:rFonts w:hint="default" w:ascii="Times New Roman" w:hAnsi="Times New Roman" w:cs="Times New Roman"/>
          <w:sz w:val="32"/>
          <w:szCs w:val="32"/>
          <w:lang w:val="zh-CN"/>
        </w:rPr>
      </w:pPr>
      <w:r>
        <w:rPr>
          <w:rFonts w:hint="default" w:ascii="Times New Roman" w:hAnsi="Times New Roman" w:cs="Times New Roman"/>
          <w:sz w:val="32"/>
          <w:szCs w:val="32"/>
        </w:rPr>
        <w:t>根据局工作实际开展情况、工作量等因素进行资金安排。</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1．项目主要内容。</w:t>
      </w:r>
    </w:p>
    <w:p>
      <w:pPr>
        <w:pStyle w:val="2"/>
        <w:spacing w:before="93"/>
        <w:ind w:firstLine="758" w:firstLineChars="237"/>
        <w:rPr>
          <w:rFonts w:hint="default" w:ascii="Times New Roman" w:hAnsi="Times New Roman" w:cs="Times New Roman"/>
          <w:color w:val="000000" w:themeColor="text1"/>
        </w:rPr>
      </w:pPr>
      <w:r>
        <w:rPr>
          <w:rFonts w:hint="default" w:ascii="Times New Roman" w:hAnsi="Times New Roman" w:cs="Times New Roman"/>
          <w:sz w:val="32"/>
          <w:szCs w:val="32"/>
        </w:rPr>
        <w:t>西区商务局承担指导和协调全区服务业发展的职责，其中</w:t>
      </w:r>
      <w:r>
        <w:rPr>
          <w:rFonts w:hint="default" w:ascii="Times New Roman" w:hAnsi="Times New Roman" w:cs="Times New Roman"/>
          <w:sz w:val="32"/>
          <w:szCs w:val="32"/>
        </w:rPr>
        <w:t>负责限额以上批零住餐企业和规模以上服务业企业升规入库培育。</w:t>
      </w:r>
    </w:p>
    <w:p>
      <w:pPr>
        <w:pStyle w:val="2"/>
        <w:spacing w:before="93"/>
        <w:ind w:firstLine="600"/>
        <w:rPr>
          <w:rFonts w:hint="default" w:ascii="Times New Roman" w:hAnsi="Times New Roman" w:cs="Times New Roman"/>
          <w:sz w:val="32"/>
          <w:szCs w:val="32"/>
          <w:lang w:val="zh-CN"/>
        </w:rPr>
      </w:pPr>
      <w:r>
        <w:rPr>
          <w:rFonts w:hint="default" w:ascii="Times New Roman" w:hAnsi="Times New Roman" w:cs="Times New Roman"/>
          <w:sz w:val="32"/>
          <w:szCs w:val="32"/>
          <w:lang w:val="zh-CN"/>
        </w:rPr>
        <w:t>2．项目应实现的具体绩效目标，包括目标的量化、细化情况以及项目实施进度计划等。</w:t>
      </w:r>
    </w:p>
    <w:p>
      <w:pPr>
        <w:spacing w:line="353"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根据《攀枝花市2022年度市级目标任务实施方案《征求意见稿）》，市委目标办向我区下达的升规入库目标任务为，限额以上批零住餐企业新增7家，净增5家；规模以上服务业企业新增3家，净增3家。</w:t>
      </w:r>
      <w:r>
        <w:rPr>
          <w:rFonts w:hint="default" w:ascii="Times New Roman" w:hAnsi="Times New Roman" w:eastAsia="仿宋_GB2312" w:cs="Times New Roman"/>
          <w:sz w:val="32"/>
          <w:szCs w:val="32"/>
        </w:rPr>
        <w:t>2022年实际完成8户重点服务业升规入库和9户商贸企业升规入库培育工作，超额完成任务。</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3．分析评价申报内容是否与实际相符，申报目标是否合理可行。</w:t>
      </w:r>
    </w:p>
    <w:p>
      <w:pPr>
        <w:ind w:firstLine="624" w:firstLineChars="200"/>
        <w:rPr>
          <w:rFonts w:hint="default" w:ascii="Times New Roman" w:hAnsi="Times New Roman" w:eastAsia="仿宋_GB2312" w:cs="Times New Roman"/>
          <w:color w:val="000000"/>
          <w:spacing w:val="-4"/>
          <w:kern w:val="0"/>
          <w:sz w:val="32"/>
          <w:szCs w:val="32"/>
        </w:rPr>
      </w:pPr>
      <w:r>
        <w:rPr>
          <w:rFonts w:hint="default" w:ascii="Times New Roman" w:hAnsi="Times New Roman" w:eastAsia="仿宋_GB2312" w:cs="Times New Roman"/>
          <w:color w:val="000000"/>
          <w:spacing w:val="-4"/>
          <w:kern w:val="0"/>
          <w:sz w:val="32"/>
          <w:szCs w:val="32"/>
        </w:rPr>
        <w:t>项目主要内容是西区商务局职能职责的其中之一，与实际相符，申报目标合理可行。</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按照科室职责分工，确定项目协调中心职能职责，应用财政资金投资情况进行评价。</w:t>
      </w:r>
    </w:p>
    <w:p>
      <w:pPr>
        <w:ind w:left="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实施方法：逐项分析填列。</w:t>
      </w:r>
    </w:p>
    <w:p>
      <w:pPr>
        <w:adjustRightInd w:val="0"/>
        <w:snapToGrid w:val="0"/>
        <w:spacing w:line="600"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该项目年初申报预算9万元，批复9万元，年末调减预算3.07万元，实际使用5.93万元。</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（二）资金计划、到位及使用情况。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1．资金计划。</w:t>
      </w:r>
      <w:r>
        <w:rPr>
          <w:rFonts w:hint="default" w:ascii="Times New Roman" w:hAnsi="Times New Roman" w:eastAsia="仿宋_GB2312" w:cs="Times New Roman"/>
          <w:sz w:val="32"/>
          <w:szCs w:val="32"/>
          <w:lang w:val="zh-CN"/>
        </w:rPr>
        <w:t>该项目属区级预算项目经费，区级预算计划</w:t>
      </w:r>
      <w:r>
        <w:rPr>
          <w:rFonts w:hint="default" w:ascii="Times New Roman" w:hAnsi="Times New Roman" w:eastAsia="仿宋_GB2312" w:cs="Times New Roman"/>
          <w:sz w:val="32"/>
          <w:szCs w:val="32"/>
        </w:rPr>
        <w:t>9万</w:t>
      </w:r>
      <w:r>
        <w:rPr>
          <w:rFonts w:hint="default" w:ascii="Times New Roman" w:hAnsi="Times New Roman" w:eastAsia="仿宋_GB2312" w:cs="Times New Roman"/>
          <w:sz w:val="32"/>
          <w:szCs w:val="32"/>
          <w:lang w:val="zh-CN"/>
        </w:rPr>
        <w:t>。</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2．资金到位。</w:t>
      </w:r>
      <w:r>
        <w:rPr>
          <w:rFonts w:hint="default" w:ascii="Times New Roman" w:hAnsi="Times New Roman" w:eastAsia="仿宋_GB2312" w:cs="Times New Roman"/>
          <w:sz w:val="32"/>
          <w:szCs w:val="32"/>
          <w:lang w:val="zh-CN"/>
        </w:rPr>
        <w:t>资金实际下达5.93万元。</w:t>
      </w:r>
    </w:p>
    <w:p>
      <w:pPr>
        <w:adjustRightInd w:val="0"/>
        <w:snapToGrid w:val="0"/>
        <w:spacing w:line="600" w:lineRule="exact"/>
        <w:ind w:firstLine="720"/>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3．资金使用。</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单位根据项目预算情况列支费用支出5.93万元，主要包括支付办公相关费用1.05万元，重点项目广告相关制作费4.88万元。</w:t>
      </w:r>
      <w:r>
        <w:rPr>
          <w:rFonts w:hint="default" w:ascii="Times New Roman" w:hAnsi="Times New Roman" w:eastAsia="仿宋_GB2312" w:cs="Times New Roman"/>
          <w:sz w:val="32"/>
          <w:szCs w:val="32"/>
          <w:lang w:val="zh-CN"/>
        </w:rPr>
        <w:t>资金的支付范围、支付标准、支付依据等是合规合法、与预算相符</w:t>
      </w:r>
      <w:r>
        <w:rPr>
          <w:rFonts w:hint="default" w:ascii="Times New Roman" w:hAnsi="Times New Roman" w:eastAsia="仿宋_GB2312" w:cs="Times New Roman"/>
          <w:sz w:val="32"/>
          <w:szCs w:val="32"/>
          <w:lang w:val="zh-CN"/>
        </w:rPr>
        <w:t>。</w:t>
      </w:r>
    </w:p>
    <w:p>
      <w:pPr>
        <w:adjustRightInd w:val="0"/>
        <w:snapToGrid w:val="0"/>
        <w:spacing w:line="600"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adjustRightInd w:val="0"/>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西区商务局</w:t>
      </w:r>
      <w:r>
        <w:rPr>
          <w:rFonts w:hint="default" w:ascii="Times New Roman" w:hAnsi="Times New Roman" w:eastAsia="仿宋_GB2312" w:cs="Times New Roman"/>
          <w:sz w:val="32"/>
          <w:szCs w:val="32"/>
          <w:lang w:val="zh-CN"/>
        </w:rPr>
        <w:t>有健全的财务制度，项目预算、资金拨付严格按照财务管理制度进行管理。保证专款专用，资金</w:t>
      </w:r>
      <w:r>
        <w:rPr>
          <w:rFonts w:hint="default" w:ascii="Times New Roman" w:hAnsi="Times New Roman" w:eastAsia="仿宋_GB2312" w:cs="Times New Roman"/>
          <w:sz w:val="32"/>
          <w:szCs w:val="32"/>
          <w:lang w:val="zh-CN"/>
        </w:rPr>
        <w:t>支付</w:t>
      </w:r>
      <w:r>
        <w:rPr>
          <w:rFonts w:hint="default" w:ascii="Times New Roman" w:hAnsi="Times New Roman" w:eastAsia="仿宋_GB2312" w:cs="Times New Roman"/>
          <w:sz w:val="32"/>
          <w:szCs w:val="32"/>
          <w:lang w:val="zh-CN"/>
        </w:rPr>
        <w:t>由财务人员严格按照财务制度</w:t>
      </w:r>
      <w:r>
        <w:rPr>
          <w:rFonts w:hint="default" w:ascii="Times New Roman" w:hAnsi="Times New Roman" w:eastAsia="仿宋_GB2312" w:cs="Times New Roman"/>
          <w:sz w:val="32"/>
          <w:szCs w:val="32"/>
          <w:lang w:val="zh-CN"/>
        </w:rPr>
        <w:t>相关规定</w:t>
      </w:r>
      <w:r>
        <w:rPr>
          <w:rFonts w:hint="default" w:ascii="Times New Roman" w:hAnsi="Times New Roman" w:eastAsia="仿宋_GB2312" w:cs="Times New Roman"/>
          <w:sz w:val="32"/>
          <w:szCs w:val="32"/>
          <w:lang w:val="zh-CN"/>
        </w:rPr>
        <w:t>进行资金的审核、支付和核算，财务处理及时，核算规范</w:t>
      </w:r>
      <w:r>
        <w:rPr>
          <w:rFonts w:hint="default" w:ascii="Times New Roman" w:hAnsi="Times New Roman" w:eastAsia="仿宋_GB2312" w:cs="Times New Roman"/>
          <w:sz w:val="32"/>
          <w:szCs w:val="32"/>
          <w:lang w:val="zh-CN"/>
        </w:rPr>
        <w:t>。</w:t>
      </w:r>
    </w:p>
    <w:p>
      <w:pPr>
        <w:pStyle w:val="25"/>
        <w:numPr>
          <w:ilvl w:val="0"/>
          <w:numId w:val="4"/>
        </w:numPr>
        <w:adjustRightInd w:val="0"/>
        <w:snapToGrid w:val="0"/>
        <w:spacing w:line="600" w:lineRule="exact"/>
        <w:ind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项目实施及管理情况</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结合项目组织实施管理办法，重点围绕以下内容进行分析评价，并对自评中发现的问题分析说明。</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（一）项目组织架构及实施流程。</w:t>
      </w:r>
    </w:p>
    <w:p>
      <w:pPr>
        <w:adjustRightInd w:val="0"/>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1.西区财政局根据预算项目批复，下达项目经费，预算单位进行项目实施计划。</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2.对项目实施前，报业务分管领导同意，重大支出还需报单位主要领导同意或经过局党组会议议定通过后实施。</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3.项目实施主要经办人填写报销凭证，交会计审核单据合理合法性及数据填写规范准确性，报财务分管领导审批后交财务办理款项支付。</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（二）项目管理情况。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根据实际情况建立健全了各项财务管理制度和约束机制，项目预算、资金拨付等严格执行财务管理制度，保证专款专用。财务人员按照相关规定进行了资金的审核、支付、核算，财务处理及时、规范。</w:t>
      </w:r>
    </w:p>
    <w:p>
      <w:pPr>
        <w:adjustRightInd w:val="0"/>
        <w:snapToGrid w:val="0"/>
        <w:spacing w:line="600" w:lineRule="exact"/>
        <w:ind w:firstLine="630" w:firstLineChars="196"/>
        <w:rPr>
          <w:rFonts w:hint="default" w:ascii="Times New Roman" w:hAnsi="Times New Roman" w:cs="Times New Roman"/>
          <w:lang w:val="zh-CN"/>
        </w:rPr>
      </w:pPr>
      <w:r>
        <w:rPr>
          <w:rFonts w:hint="default" w:ascii="Times New Roman" w:hAnsi="Times New Roman" w:eastAsia="楷体_GB2312" w:cs="Times New Roman"/>
          <w:b/>
          <w:sz w:val="32"/>
          <w:szCs w:val="32"/>
          <w:lang w:val="zh-CN"/>
        </w:rPr>
        <w:t>（三）项目监管情况。</w:t>
      </w:r>
      <w:r>
        <w:rPr>
          <w:rFonts w:hint="default" w:ascii="Times New Roman" w:hAnsi="Times New Roman" w:eastAsia="仿宋_GB2312" w:cs="Times New Roman"/>
          <w:sz w:val="32"/>
          <w:szCs w:val="32"/>
          <w:lang w:val="zh-CN"/>
        </w:rPr>
        <w:t>项目完成情况每年要填绩效分析报告，并上报相关对口管理部门检查。</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eastAsia="仿宋_GB2312" w:cs="Times New Roman"/>
          <w:sz w:val="32"/>
          <w:szCs w:val="32"/>
          <w:lang w:val="zh-CN"/>
        </w:rPr>
        <w:tab/>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1.数量指标：已按进度完成2022年</w:t>
      </w:r>
      <w:r>
        <w:rPr>
          <w:rFonts w:hint="default" w:ascii="Times New Roman" w:hAnsi="Times New Roman" w:eastAsia="仿宋_GB2312" w:cs="Times New Roman"/>
          <w:sz w:val="32"/>
          <w:szCs w:val="32"/>
        </w:rPr>
        <w:t>完成8户重点服务业升规入库和9户商贸企业升规入库培育</w:t>
      </w:r>
      <w:r>
        <w:rPr>
          <w:rFonts w:hint="default" w:ascii="Times New Roman" w:hAnsi="Times New Roman" w:eastAsia="仿宋_GB2312" w:cs="Times New Roman"/>
          <w:sz w:val="32"/>
          <w:szCs w:val="32"/>
          <w:lang w:val="zh-CN"/>
        </w:rPr>
        <w:t>工作。</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2.质量指标：有效促进经济发展、有效推进升规入库培育工作进度。</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3.时效指标：按时完成。</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4.成本指标：支付5.93万元，支付占项目总经费的65.89%。</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项目完成情况每年都要向上级财政部门报送相关的绩效分析评价，并上报相关对口管理部门检查。</w:t>
      </w:r>
    </w:p>
    <w:p>
      <w:pPr>
        <w:adjustRightInd w:val="0"/>
        <w:snapToGrid w:val="0"/>
        <w:spacing w:line="600"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adjustRightInd w:val="0"/>
        <w:snapToGrid w:val="0"/>
        <w:spacing w:line="600" w:lineRule="exact"/>
        <w:ind w:firstLine="72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项目全年预算数9万元，压缩经费开支及受疫情等多种因素的影响，年末调减预算3.07万元，执行数为5.93万元。通过项目实施，保障对</w:t>
      </w:r>
      <w:r>
        <w:rPr>
          <w:rFonts w:hint="default" w:ascii="Times New Roman" w:hAnsi="Times New Roman" w:eastAsia="仿宋_GB2312" w:cs="Times New Roman"/>
          <w:sz w:val="32"/>
          <w:szCs w:val="32"/>
          <w:lang w:val="zh-CN"/>
        </w:rPr>
        <w:t>有效推进升规入库培育工作</w:t>
      </w:r>
      <w:r>
        <w:rPr>
          <w:rFonts w:hint="default" w:ascii="Times New Roman" w:hAnsi="Times New Roman" w:eastAsia="仿宋_GB2312" w:cs="Times New Roman"/>
          <w:kern w:val="0"/>
          <w:sz w:val="32"/>
          <w:szCs w:val="32"/>
        </w:rPr>
        <w:t>，协调</w:t>
      </w:r>
      <w:r>
        <w:rPr>
          <w:rFonts w:hint="default" w:ascii="Times New Roman" w:hAnsi="Times New Roman" w:eastAsia="仿宋_GB2312" w:cs="Times New Roman"/>
          <w:sz w:val="32"/>
          <w:szCs w:val="32"/>
          <w:lang w:val="zh-CN"/>
        </w:rPr>
        <w:t>升规入库培育工作</w:t>
      </w:r>
      <w:r>
        <w:rPr>
          <w:rFonts w:hint="default" w:ascii="Times New Roman" w:hAnsi="Times New Roman" w:eastAsia="仿宋_GB2312" w:cs="Times New Roman"/>
          <w:kern w:val="0"/>
          <w:sz w:val="32"/>
          <w:szCs w:val="32"/>
        </w:rPr>
        <w:t>中存在的困难和问题，促进项目顺利实施。</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adjustRightInd w:val="0"/>
        <w:snapToGrid w:val="0"/>
        <w:spacing w:line="600" w:lineRule="exact"/>
        <w:ind w:firstLine="624"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pacing w:val="-4"/>
          <w:sz w:val="32"/>
          <w:szCs w:val="32"/>
        </w:rPr>
        <w:t>一是经济下行压力大，指标完成较为困难。二是产业结构需改善，缺乏高速增长支撑。三是外贸企业基础弱，缺乏优质市场主体。</w:t>
      </w:r>
      <w:r>
        <w:rPr>
          <w:rFonts w:hint="default" w:ascii="Times New Roman" w:hAnsi="Times New Roman" w:eastAsia="仿宋_GB2312" w:cs="Times New Roman"/>
          <w:kern w:val="0"/>
          <w:sz w:val="32"/>
          <w:szCs w:val="32"/>
          <w:shd w:val="clear" w:color="auto" w:fill="FFFFFF"/>
        </w:rPr>
        <w:t>。</w:t>
      </w:r>
      <w:r>
        <w:rPr>
          <w:rFonts w:hint="default" w:ascii="Times New Roman" w:hAnsi="Times New Roman" w:eastAsia="仿宋_GB2312" w:cs="Times New Roman"/>
          <w:sz w:val="32"/>
          <w:szCs w:val="32"/>
          <w:lang w:val="zh-CN"/>
        </w:rPr>
        <w:tab/>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pStyle w:val="2"/>
        <w:spacing w:before="93"/>
        <w:ind w:firstLine="640" w:firstLineChars="20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严格控制各项支出，提高经费使用效率，保障业务目标的顺利完成，达到指导和协调全区服务业发展的工作目标。</w:t>
      </w:r>
    </w:p>
    <w:p>
      <w:pPr>
        <w:spacing w:line="580" w:lineRule="exact"/>
        <w:rPr>
          <w:rStyle w:val="26"/>
          <w:rFonts w:hint="default" w:ascii="Times New Roman" w:hAnsi="Times New Roman" w:eastAsia="黑体" w:cs="Times New Roman"/>
          <w:b w:val="0"/>
        </w:rPr>
      </w:pPr>
    </w:p>
    <w:p>
      <w:pPr>
        <w:widowControl/>
        <w:jc w:val="left"/>
        <w:rPr>
          <w:rFonts w:hint="default" w:ascii="Times New Roman" w:hAnsi="Times New Roman" w:eastAsia="黑体" w:cs="Times New Roman"/>
          <w:bCs/>
          <w:kern w:val="44"/>
          <w:sz w:val="44"/>
          <w:szCs w:val="44"/>
        </w:rPr>
      </w:pPr>
      <w:r>
        <w:rPr>
          <w:rStyle w:val="26"/>
          <w:rFonts w:hint="default" w:ascii="Times New Roman" w:hAnsi="Times New Roman" w:eastAsia="黑体" w:cs="Times New Roman"/>
        </w:rPr>
        <w:br w:type="page"/>
      </w:r>
    </w:p>
    <w:p>
      <w:pPr>
        <w:spacing w:line="600" w:lineRule="exact"/>
        <w:jc w:val="center"/>
        <w:outlineLvl w:val="0"/>
        <w:rPr>
          <w:rFonts w:hint="default" w:ascii="Times New Roman" w:hAnsi="Times New Roman" w:eastAsia="仿宋" w:cs="Times New Roman"/>
        </w:rPr>
      </w:pPr>
      <w:bookmarkStart w:id="62" w:name="_Toc15396618"/>
      <w:r>
        <w:rPr>
          <w:rFonts w:hint="default" w:ascii="Times New Roman" w:hAnsi="Times New Roman" w:eastAsia="黑体" w:cs="Times New Roman"/>
          <w:sz w:val="44"/>
          <w:szCs w:val="44"/>
        </w:rPr>
        <w:t>第</w:t>
      </w:r>
      <w:r>
        <w:rPr>
          <w:rStyle w:val="26"/>
          <w:rFonts w:hint="default" w:ascii="Times New Roman" w:hAnsi="Times New Roman" w:eastAsia="黑体" w:cs="Times New Roman"/>
          <w:b w:val="0"/>
        </w:rPr>
        <w:t>五部分附表</w:t>
      </w:r>
      <w:bookmarkEnd w:id="59"/>
      <w:bookmarkEnd w:id="62"/>
      <w:bookmarkStart w:id="63" w:name="_Toc15396619"/>
    </w:p>
    <w:p>
      <w:pPr>
        <w:pStyle w:val="4"/>
        <w:rPr>
          <w:rFonts w:hint="default" w:ascii="Times New Roman" w:hAnsi="Times New Roman" w:eastAsia="仿宋" w:cs="Times New Roman"/>
        </w:rPr>
      </w:pPr>
      <w:r>
        <w:rPr>
          <w:rFonts w:hint="default" w:ascii="Times New Roman" w:hAnsi="Times New Roman" w:eastAsia="仿宋" w:cs="Times New Roman"/>
          <w:b w:val="0"/>
        </w:rPr>
        <w:t>一、收</w:t>
      </w:r>
      <w:r>
        <w:rPr>
          <w:rStyle w:val="27"/>
          <w:rFonts w:hint="default" w:ascii="Times New Roman" w:hAnsi="Times New Roman" w:eastAsia="仿宋" w:cs="Times New Roman"/>
          <w:b w:val="0"/>
          <w:bCs w:val="0"/>
        </w:rPr>
        <w:t>入支出决算总表</w:t>
      </w:r>
      <w:bookmarkEnd w:id="63"/>
    </w:p>
    <w:p>
      <w:pPr>
        <w:pStyle w:val="4"/>
        <w:rPr>
          <w:rFonts w:hint="default" w:ascii="Times New Roman" w:hAnsi="Times New Roman" w:eastAsia="仿宋" w:cs="Times New Roman"/>
        </w:rPr>
      </w:pPr>
      <w:bookmarkStart w:id="64" w:name="_Toc15396620"/>
      <w:r>
        <w:rPr>
          <w:rFonts w:hint="default" w:ascii="Times New Roman" w:hAnsi="Times New Roman" w:eastAsia="仿宋" w:cs="Times New Roman"/>
          <w:b w:val="0"/>
        </w:rPr>
        <w:t>二、收</w:t>
      </w:r>
      <w:r>
        <w:rPr>
          <w:rStyle w:val="27"/>
          <w:rFonts w:hint="default" w:ascii="Times New Roman" w:hAnsi="Times New Roman" w:eastAsia="仿宋" w:cs="Times New Roman"/>
          <w:b w:val="0"/>
          <w:bCs w:val="0"/>
        </w:rPr>
        <w:t>入决算表</w:t>
      </w:r>
      <w:bookmarkEnd w:id="64"/>
    </w:p>
    <w:p>
      <w:pPr>
        <w:pStyle w:val="4"/>
        <w:rPr>
          <w:rFonts w:hint="default" w:ascii="Times New Roman" w:hAnsi="Times New Roman" w:eastAsia="仿宋" w:cs="Times New Roman"/>
        </w:rPr>
      </w:pPr>
      <w:bookmarkStart w:id="65" w:name="_Toc15396621"/>
      <w:r>
        <w:rPr>
          <w:rStyle w:val="27"/>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27"/>
          <w:rFonts w:hint="default" w:ascii="Times New Roman" w:hAnsi="Times New Roman" w:eastAsia="仿宋" w:cs="Times New Roman"/>
          <w:b w:val="0"/>
          <w:bCs w:val="0"/>
        </w:rPr>
        <w:t>出决算表</w:t>
      </w:r>
      <w:bookmarkEnd w:id="65"/>
    </w:p>
    <w:p>
      <w:pPr>
        <w:pStyle w:val="4"/>
        <w:rPr>
          <w:rFonts w:hint="default" w:ascii="Times New Roman" w:hAnsi="Times New Roman" w:eastAsia="仿宋" w:cs="Times New Roman"/>
          <w:b w:val="0"/>
        </w:rPr>
      </w:pPr>
      <w:bookmarkStart w:id="66" w:name="_Toc15396622"/>
      <w:r>
        <w:rPr>
          <w:rStyle w:val="27"/>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27"/>
          <w:rFonts w:hint="default" w:ascii="Times New Roman" w:hAnsi="Times New Roman" w:eastAsia="仿宋" w:cs="Times New Roman"/>
          <w:b w:val="0"/>
          <w:bCs w:val="0"/>
        </w:rPr>
        <w:t>政拨款收入支出决算总表</w:t>
      </w:r>
      <w:bookmarkEnd w:id="66"/>
    </w:p>
    <w:p>
      <w:pPr>
        <w:pStyle w:val="4"/>
        <w:rPr>
          <w:rStyle w:val="27"/>
          <w:rFonts w:hint="default" w:ascii="Times New Roman" w:hAnsi="Times New Roman" w:eastAsia="仿宋" w:cs="Times New Roman"/>
          <w:b w:val="0"/>
          <w:bCs w:val="0"/>
        </w:rPr>
      </w:pPr>
      <w:bookmarkStart w:id="67" w:name="_Toc15396623"/>
      <w:r>
        <w:rPr>
          <w:rStyle w:val="27"/>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27"/>
          <w:rFonts w:hint="default" w:ascii="Times New Roman" w:hAnsi="Times New Roman" w:eastAsia="仿宋" w:cs="Times New Roman"/>
          <w:b w:val="0"/>
          <w:bCs w:val="0"/>
        </w:rPr>
        <w:t>政拨款支出决算明细表</w:t>
      </w:r>
      <w:bookmarkEnd w:id="67"/>
      <w:bookmarkStart w:id="68" w:name="_Toc15396624"/>
    </w:p>
    <w:p>
      <w:pPr>
        <w:pStyle w:val="4"/>
        <w:rPr>
          <w:rFonts w:hint="default" w:ascii="Times New Roman" w:hAnsi="Times New Roman" w:eastAsia="仿宋" w:cs="Times New Roman"/>
        </w:rPr>
      </w:pPr>
      <w:r>
        <w:rPr>
          <w:rStyle w:val="27"/>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27"/>
          <w:rFonts w:hint="default" w:ascii="Times New Roman" w:hAnsi="Times New Roman" w:eastAsia="仿宋" w:cs="Times New Roman"/>
          <w:b w:val="0"/>
          <w:bCs w:val="0"/>
        </w:rPr>
        <w:t>般公共预算财政拨款支出决算表</w:t>
      </w:r>
      <w:bookmarkEnd w:id="68"/>
    </w:p>
    <w:p>
      <w:pPr>
        <w:pStyle w:val="4"/>
        <w:rPr>
          <w:rFonts w:hint="default" w:ascii="Times New Roman" w:hAnsi="Times New Roman" w:eastAsia="仿宋" w:cs="Times New Roman"/>
        </w:rPr>
      </w:pPr>
      <w:bookmarkStart w:id="69" w:name="_Toc15396625"/>
      <w:r>
        <w:rPr>
          <w:rStyle w:val="27"/>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27"/>
          <w:rFonts w:hint="default" w:ascii="Times New Roman" w:hAnsi="Times New Roman" w:eastAsia="仿宋" w:cs="Times New Roman"/>
          <w:b w:val="0"/>
          <w:bCs w:val="0"/>
        </w:rPr>
        <w:t>般公共预算财政拨款支出决算明细表</w:t>
      </w:r>
      <w:bookmarkEnd w:id="69"/>
    </w:p>
    <w:p>
      <w:pPr>
        <w:pStyle w:val="4"/>
        <w:rPr>
          <w:rFonts w:hint="default" w:ascii="Times New Roman" w:hAnsi="Times New Roman" w:eastAsia="仿宋" w:cs="Times New Roman"/>
        </w:rPr>
      </w:pPr>
      <w:bookmarkStart w:id="70" w:name="_Toc15396626"/>
      <w:r>
        <w:rPr>
          <w:rStyle w:val="27"/>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27"/>
          <w:rFonts w:hint="default" w:ascii="Times New Roman" w:hAnsi="Times New Roman" w:eastAsia="仿宋" w:cs="Times New Roman"/>
          <w:b w:val="0"/>
          <w:bCs w:val="0"/>
        </w:rPr>
        <w:t>般公共预算财政拨款基本支出决算表</w:t>
      </w:r>
      <w:bookmarkEnd w:id="70"/>
    </w:p>
    <w:p>
      <w:pPr>
        <w:pStyle w:val="4"/>
        <w:rPr>
          <w:rFonts w:hint="default" w:ascii="Times New Roman" w:hAnsi="Times New Roman" w:eastAsia="仿宋" w:cs="Times New Roman"/>
        </w:rPr>
      </w:pPr>
      <w:bookmarkStart w:id="71" w:name="_Toc15396627"/>
      <w:r>
        <w:rPr>
          <w:rStyle w:val="27"/>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27"/>
          <w:rFonts w:hint="default" w:ascii="Times New Roman" w:hAnsi="Times New Roman" w:eastAsia="仿宋" w:cs="Times New Roman"/>
          <w:b w:val="0"/>
          <w:bCs w:val="0"/>
        </w:rPr>
        <w:t>般公共预算财政拨款项目支出决算表</w:t>
      </w:r>
      <w:bookmarkEnd w:id="71"/>
    </w:p>
    <w:p>
      <w:pPr>
        <w:pStyle w:val="4"/>
        <w:rPr>
          <w:rFonts w:hint="default" w:ascii="Times New Roman" w:hAnsi="Times New Roman" w:eastAsia="仿宋" w:cs="Times New Roman"/>
        </w:rPr>
      </w:pPr>
      <w:bookmarkStart w:id="72" w:name="_Toc15396628"/>
      <w:r>
        <w:rPr>
          <w:rStyle w:val="27"/>
          <w:rFonts w:hint="default" w:ascii="Times New Roman" w:hAnsi="Times New Roman" w:eastAsia="仿宋" w:cs="Times New Roman"/>
          <w:b w:val="0"/>
          <w:bCs w:val="0"/>
        </w:rPr>
        <w:t>十、</w:t>
      </w:r>
      <w:r>
        <w:rPr>
          <w:rFonts w:hint="default" w:ascii="Times New Roman" w:hAnsi="Times New Roman" w:eastAsia="仿宋" w:cs="Times New Roman"/>
          <w:b w:val="0"/>
        </w:rPr>
        <w:t>一</w:t>
      </w:r>
      <w:r>
        <w:rPr>
          <w:rStyle w:val="27"/>
          <w:rFonts w:hint="default" w:ascii="Times New Roman" w:hAnsi="Times New Roman" w:eastAsia="仿宋" w:cs="Times New Roman"/>
          <w:b w:val="0"/>
          <w:bCs w:val="0"/>
        </w:rPr>
        <w:t>般公共预算财政拨款“三公”经费支出决算表</w:t>
      </w:r>
      <w:bookmarkEnd w:id="72"/>
    </w:p>
    <w:p>
      <w:pPr>
        <w:pStyle w:val="4"/>
        <w:rPr>
          <w:rFonts w:hint="default" w:ascii="Times New Roman" w:hAnsi="Times New Roman" w:eastAsia="仿宋" w:cs="Times New Roman"/>
        </w:rPr>
      </w:pPr>
      <w:bookmarkStart w:id="73" w:name="_Toc15396629"/>
      <w:r>
        <w:rPr>
          <w:rStyle w:val="27"/>
          <w:rFonts w:hint="default" w:ascii="Times New Roman" w:hAnsi="Times New Roman" w:eastAsia="仿宋" w:cs="Times New Roman"/>
          <w:b w:val="0"/>
          <w:bCs w:val="0"/>
        </w:rPr>
        <w:t>十一、</w:t>
      </w:r>
      <w:r>
        <w:rPr>
          <w:rFonts w:hint="default" w:ascii="Times New Roman" w:hAnsi="Times New Roman" w:eastAsia="仿宋" w:cs="Times New Roman"/>
          <w:b w:val="0"/>
        </w:rPr>
        <w:t>政</w:t>
      </w:r>
      <w:r>
        <w:rPr>
          <w:rStyle w:val="27"/>
          <w:rFonts w:hint="default" w:ascii="Times New Roman" w:hAnsi="Times New Roman" w:eastAsia="仿宋" w:cs="Times New Roman"/>
          <w:b w:val="0"/>
          <w:bCs w:val="0"/>
        </w:rPr>
        <w:t>府性基金预算财政拨款收入支出决算表</w:t>
      </w:r>
      <w:bookmarkEnd w:id="73"/>
    </w:p>
    <w:p>
      <w:pPr>
        <w:pStyle w:val="4"/>
        <w:rPr>
          <w:rFonts w:hint="default" w:ascii="Times New Roman" w:hAnsi="Times New Roman" w:eastAsia="仿宋" w:cs="Times New Roman"/>
        </w:rPr>
      </w:pPr>
      <w:bookmarkStart w:id="74" w:name="_Toc15396630"/>
      <w:r>
        <w:rPr>
          <w:rStyle w:val="27"/>
          <w:rFonts w:hint="default" w:ascii="Times New Roman" w:hAnsi="Times New Roman" w:eastAsia="仿宋" w:cs="Times New Roman"/>
          <w:b w:val="0"/>
          <w:bCs w:val="0"/>
        </w:rPr>
        <w:t>十二、</w:t>
      </w:r>
      <w:r>
        <w:rPr>
          <w:rFonts w:hint="default" w:ascii="Times New Roman" w:hAnsi="Times New Roman" w:eastAsia="仿宋" w:cs="Times New Roman"/>
          <w:b w:val="0"/>
        </w:rPr>
        <w:t>政</w:t>
      </w:r>
      <w:r>
        <w:rPr>
          <w:rStyle w:val="27"/>
          <w:rFonts w:hint="default" w:ascii="Times New Roman" w:hAnsi="Times New Roman" w:eastAsia="仿宋" w:cs="Times New Roman"/>
          <w:b w:val="0"/>
          <w:bCs w:val="0"/>
        </w:rPr>
        <w:t>府性基金预算财政拨款“三公”经费支出决算表</w:t>
      </w:r>
      <w:bookmarkEnd w:id="74"/>
    </w:p>
    <w:p>
      <w:pPr>
        <w:pStyle w:val="4"/>
        <w:rPr>
          <w:rStyle w:val="27"/>
          <w:rFonts w:hint="default" w:ascii="Times New Roman" w:hAnsi="Times New Roman" w:eastAsia="仿宋" w:cs="Times New Roman"/>
          <w:b w:val="0"/>
          <w:bCs w:val="0"/>
        </w:rPr>
      </w:pPr>
      <w:bookmarkStart w:id="75" w:name="_Toc15396631"/>
      <w:r>
        <w:rPr>
          <w:rStyle w:val="27"/>
          <w:rFonts w:hint="default" w:ascii="Times New Roman" w:hAnsi="Times New Roman" w:eastAsia="仿宋" w:cs="Times New Roman"/>
          <w:b w:val="0"/>
          <w:bCs w:val="0"/>
        </w:rPr>
        <w:t>十三、</w:t>
      </w:r>
      <w:r>
        <w:rPr>
          <w:rFonts w:hint="default" w:ascii="Times New Roman" w:hAnsi="Times New Roman" w:eastAsia="仿宋" w:cs="Times New Roman"/>
          <w:b w:val="0"/>
        </w:rPr>
        <w:t>国</w:t>
      </w:r>
      <w:r>
        <w:rPr>
          <w:rStyle w:val="27"/>
          <w:rFonts w:hint="default" w:ascii="Times New Roman" w:hAnsi="Times New Roman" w:eastAsia="仿宋" w:cs="Times New Roman"/>
          <w:b w:val="0"/>
          <w:bCs w:val="0"/>
        </w:rPr>
        <w:t>有资本经营预算财政拨款收入支出决算表</w:t>
      </w:r>
      <w:bookmarkEnd w:id="75"/>
    </w:p>
    <w:p>
      <w:pPr>
        <w:rPr>
          <w:rFonts w:hint="default" w:ascii="Times New Roman" w:hAnsi="Times New Roman" w:eastAsia="仿宋" w:cs="Times New Roman"/>
        </w:rPr>
      </w:pPr>
      <w:r>
        <w:rPr>
          <w:rStyle w:val="27"/>
          <w:rFonts w:hint="default" w:ascii="Times New Roman" w:hAnsi="Times New Roman" w:eastAsia="仿宋" w:cs="Times New Roman"/>
          <w:b w:val="0"/>
          <w:bCs w:val="0"/>
        </w:rPr>
        <w:t>十四、国有资本经营预算财政拨款支出决算表</w:t>
      </w:r>
    </w:p>
    <w:sectPr>
      <w:footerReference r:id="rId5" w:type="first"/>
      <w:headerReference r:id="rId3" w:type="default"/>
      <w:footerReference r:id="rId4" w:type="default"/>
      <w:pgSz w:w="11906" w:h="16838"/>
      <w:pgMar w:top="2098"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1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29</w:t>
                    </w:r>
                    <w:r>
                      <w:rPr>
                        <w:rFonts w:hint="eastAsia" w:ascii="宋体" w:hAnsi="宋体" w:eastAsia="宋体" w:cs="宋体"/>
                        <w:sz w:val="28"/>
                        <w:szCs w:val="28"/>
                        <w:lang w:val="zh-CN"/>
                      </w:rPr>
                      <w:fldChar w:fldCharType="end"/>
                    </w:r>
                  </w:p>
                </w:sdtContent>
              </w:sdt>
              <w:p>
                <w:pPr>
                  <w:pStyle w:val="2"/>
                </w:pP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DEA6ED5"/>
    <w:multiLevelType w:val="multilevel"/>
    <w:tmpl w:val="0DEA6ED5"/>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0A64"/>
    <w:rsid w:val="00004665"/>
    <w:rsid w:val="00005973"/>
    <w:rsid w:val="0000737B"/>
    <w:rsid w:val="000079DE"/>
    <w:rsid w:val="00012371"/>
    <w:rsid w:val="00013A55"/>
    <w:rsid w:val="000203A5"/>
    <w:rsid w:val="00020F9A"/>
    <w:rsid w:val="000222C6"/>
    <w:rsid w:val="0002549F"/>
    <w:rsid w:val="0002560F"/>
    <w:rsid w:val="00025782"/>
    <w:rsid w:val="00026445"/>
    <w:rsid w:val="00030E30"/>
    <w:rsid w:val="000437E1"/>
    <w:rsid w:val="000468DB"/>
    <w:rsid w:val="00050160"/>
    <w:rsid w:val="00054261"/>
    <w:rsid w:val="000548FB"/>
    <w:rsid w:val="00055408"/>
    <w:rsid w:val="000558AB"/>
    <w:rsid w:val="0006487A"/>
    <w:rsid w:val="00065CE0"/>
    <w:rsid w:val="00065F8F"/>
    <w:rsid w:val="00070950"/>
    <w:rsid w:val="00070A43"/>
    <w:rsid w:val="00072A47"/>
    <w:rsid w:val="00072E8D"/>
    <w:rsid w:val="000768F2"/>
    <w:rsid w:val="000901DD"/>
    <w:rsid w:val="0009065F"/>
    <w:rsid w:val="0009184B"/>
    <w:rsid w:val="00094236"/>
    <w:rsid w:val="00095409"/>
    <w:rsid w:val="0009593C"/>
    <w:rsid w:val="00097247"/>
    <w:rsid w:val="00097322"/>
    <w:rsid w:val="000A4A6A"/>
    <w:rsid w:val="000A6A92"/>
    <w:rsid w:val="000B047F"/>
    <w:rsid w:val="000B145B"/>
    <w:rsid w:val="000B2573"/>
    <w:rsid w:val="000B3220"/>
    <w:rsid w:val="000B5923"/>
    <w:rsid w:val="000B5A48"/>
    <w:rsid w:val="000B6FF3"/>
    <w:rsid w:val="000C2627"/>
    <w:rsid w:val="000C3467"/>
    <w:rsid w:val="000C3CA6"/>
    <w:rsid w:val="000C6570"/>
    <w:rsid w:val="000D081E"/>
    <w:rsid w:val="000D1267"/>
    <w:rsid w:val="000D1D50"/>
    <w:rsid w:val="000D3E34"/>
    <w:rsid w:val="000D4F83"/>
    <w:rsid w:val="000D5782"/>
    <w:rsid w:val="000E02D7"/>
    <w:rsid w:val="000E0D64"/>
    <w:rsid w:val="000E258D"/>
    <w:rsid w:val="000E6037"/>
    <w:rsid w:val="000E6613"/>
    <w:rsid w:val="000E6CDE"/>
    <w:rsid w:val="000E7119"/>
    <w:rsid w:val="000F54E6"/>
    <w:rsid w:val="000F73A6"/>
    <w:rsid w:val="000F7D7E"/>
    <w:rsid w:val="001049E2"/>
    <w:rsid w:val="00106057"/>
    <w:rsid w:val="00106780"/>
    <w:rsid w:val="001105E2"/>
    <w:rsid w:val="001110F4"/>
    <w:rsid w:val="0011275D"/>
    <w:rsid w:val="00114E9B"/>
    <w:rsid w:val="00125FD2"/>
    <w:rsid w:val="00127863"/>
    <w:rsid w:val="001317EB"/>
    <w:rsid w:val="00142216"/>
    <w:rsid w:val="00142725"/>
    <w:rsid w:val="00144D6A"/>
    <w:rsid w:val="0014615C"/>
    <w:rsid w:val="0014729F"/>
    <w:rsid w:val="0015042A"/>
    <w:rsid w:val="0015185A"/>
    <w:rsid w:val="00157BAB"/>
    <w:rsid w:val="00160BD5"/>
    <w:rsid w:val="001654D1"/>
    <w:rsid w:val="00170D9A"/>
    <w:rsid w:val="00174518"/>
    <w:rsid w:val="0018106D"/>
    <w:rsid w:val="00181127"/>
    <w:rsid w:val="001870D8"/>
    <w:rsid w:val="001877A7"/>
    <w:rsid w:val="00191536"/>
    <w:rsid w:val="00196687"/>
    <w:rsid w:val="0019756B"/>
    <w:rsid w:val="001A51B9"/>
    <w:rsid w:val="001B1A3A"/>
    <w:rsid w:val="001B34EE"/>
    <w:rsid w:val="001C0962"/>
    <w:rsid w:val="001C6766"/>
    <w:rsid w:val="001C7B8C"/>
    <w:rsid w:val="001D5E13"/>
    <w:rsid w:val="001D7531"/>
    <w:rsid w:val="001E00D1"/>
    <w:rsid w:val="001E4568"/>
    <w:rsid w:val="001E4C0E"/>
    <w:rsid w:val="001E737D"/>
    <w:rsid w:val="001F0592"/>
    <w:rsid w:val="001F31FE"/>
    <w:rsid w:val="001F6D7B"/>
    <w:rsid w:val="001F7506"/>
    <w:rsid w:val="002006CD"/>
    <w:rsid w:val="00201520"/>
    <w:rsid w:val="00201E09"/>
    <w:rsid w:val="00202B36"/>
    <w:rsid w:val="00203703"/>
    <w:rsid w:val="00204B7A"/>
    <w:rsid w:val="00204CDE"/>
    <w:rsid w:val="0021101A"/>
    <w:rsid w:val="0021223B"/>
    <w:rsid w:val="00214292"/>
    <w:rsid w:val="00220536"/>
    <w:rsid w:val="0022333D"/>
    <w:rsid w:val="00224E86"/>
    <w:rsid w:val="00234CC5"/>
    <w:rsid w:val="00235629"/>
    <w:rsid w:val="00236437"/>
    <w:rsid w:val="002414C3"/>
    <w:rsid w:val="00254872"/>
    <w:rsid w:val="002559DA"/>
    <w:rsid w:val="00256CD1"/>
    <w:rsid w:val="00260C38"/>
    <w:rsid w:val="002616C0"/>
    <w:rsid w:val="00265372"/>
    <w:rsid w:val="002662AA"/>
    <w:rsid w:val="00274C40"/>
    <w:rsid w:val="0027587B"/>
    <w:rsid w:val="00280496"/>
    <w:rsid w:val="00281413"/>
    <w:rsid w:val="00294440"/>
    <w:rsid w:val="00294DC9"/>
    <w:rsid w:val="00295495"/>
    <w:rsid w:val="00295856"/>
    <w:rsid w:val="00297E84"/>
    <w:rsid w:val="002A31DE"/>
    <w:rsid w:val="002A3F26"/>
    <w:rsid w:val="002A6412"/>
    <w:rsid w:val="002A7085"/>
    <w:rsid w:val="002B1563"/>
    <w:rsid w:val="002B2613"/>
    <w:rsid w:val="002B2998"/>
    <w:rsid w:val="002B4434"/>
    <w:rsid w:val="002B6791"/>
    <w:rsid w:val="002C082B"/>
    <w:rsid w:val="002C2702"/>
    <w:rsid w:val="002C3D1A"/>
    <w:rsid w:val="002C57D8"/>
    <w:rsid w:val="002C5D85"/>
    <w:rsid w:val="002D2134"/>
    <w:rsid w:val="002D6D05"/>
    <w:rsid w:val="002F014E"/>
    <w:rsid w:val="002F06F2"/>
    <w:rsid w:val="002F1818"/>
    <w:rsid w:val="002F1993"/>
    <w:rsid w:val="002F1BB3"/>
    <w:rsid w:val="002F567B"/>
    <w:rsid w:val="002F6684"/>
    <w:rsid w:val="00314ED8"/>
    <w:rsid w:val="00316D36"/>
    <w:rsid w:val="00320A6B"/>
    <w:rsid w:val="003216A9"/>
    <w:rsid w:val="0032414F"/>
    <w:rsid w:val="00327D6F"/>
    <w:rsid w:val="00335A74"/>
    <w:rsid w:val="003363BC"/>
    <w:rsid w:val="0034631D"/>
    <w:rsid w:val="00347D22"/>
    <w:rsid w:val="00352DB7"/>
    <w:rsid w:val="00356474"/>
    <w:rsid w:val="00356A09"/>
    <w:rsid w:val="0036037F"/>
    <w:rsid w:val="0036160F"/>
    <w:rsid w:val="0036561B"/>
    <w:rsid w:val="0037013F"/>
    <w:rsid w:val="003800FC"/>
    <w:rsid w:val="00380C92"/>
    <w:rsid w:val="00382104"/>
    <w:rsid w:val="003833E3"/>
    <w:rsid w:val="00386516"/>
    <w:rsid w:val="00386C45"/>
    <w:rsid w:val="0038742E"/>
    <w:rsid w:val="0039299F"/>
    <w:rsid w:val="003A484F"/>
    <w:rsid w:val="003A4883"/>
    <w:rsid w:val="003B0BE0"/>
    <w:rsid w:val="003B0C1B"/>
    <w:rsid w:val="003B22F5"/>
    <w:rsid w:val="003B5066"/>
    <w:rsid w:val="003B688C"/>
    <w:rsid w:val="003C0291"/>
    <w:rsid w:val="003C3728"/>
    <w:rsid w:val="003C39AE"/>
    <w:rsid w:val="003C7B60"/>
    <w:rsid w:val="003D0C0F"/>
    <w:rsid w:val="003D1FB2"/>
    <w:rsid w:val="003D21BF"/>
    <w:rsid w:val="003D66DA"/>
    <w:rsid w:val="003D707D"/>
    <w:rsid w:val="003E043F"/>
    <w:rsid w:val="003E0750"/>
    <w:rsid w:val="003E1310"/>
    <w:rsid w:val="003E61EA"/>
    <w:rsid w:val="003E6F55"/>
    <w:rsid w:val="003F2AE0"/>
    <w:rsid w:val="003F5BBB"/>
    <w:rsid w:val="004021CD"/>
    <w:rsid w:val="00402727"/>
    <w:rsid w:val="00406254"/>
    <w:rsid w:val="00407894"/>
    <w:rsid w:val="00411061"/>
    <w:rsid w:val="00415D0F"/>
    <w:rsid w:val="004177F1"/>
    <w:rsid w:val="004223DE"/>
    <w:rsid w:val="00422A38"/>
    <w:rsid w:val="0042306D"/>
    <w:rsid w:val="00434489"/>
    <w:rsid w:val="0043475A"/>
    <w:rsid w:val="0043513F"/>
    <w:rsid w:val="00435639"/>
    <w:rsid w:val="00437085"/>
    <w:rsid w:val="00437886"/>
    <w:rsid w:val="00443880"/>
    <w:rsid w:val="00444B2A"/>
    <w:rsid w:val="004464F4"/>
    <w:rsid w:val="004509D6"/>
    <w:rsid w:val="00454411"/>
    <w:rsid w:val="0045517A"/>
    <w:rsid w:val="00455AB1"/>
    <w:rsid w:val="00457E58"/>
    <w:rsid w:val="00460AE0"/>
    <w:rsid w:val="00461B9C"/>
    <w:rsid w:val="00465E70"/>
    <w:rsid w:val="00471401"/>
    <w:rsid w:val="0047353E"/>
    <w:rsid w:val="00473F31"/>
    <w:rsid w:val="00480058"/>
    <w:rsid w:val="004806EA"/>
    <w:rsid w:val="00480C86"/>
    <w:rsid w:val="0048263A"/>
    <w:rsid w:val="00486C95"/>
    <w:rsid w:val="00487E5D"/>
    <w:rsid w:val="004914BA"/>
    <w:rsid w:val="004948F1"/>
    <w:rsid w:val="004A1081"/>
    <w:rsid w:val="004A2DBE"/>
    <w:rsid w:val="004A3DF2"/>
    <w:rsid w:val="004A711F"/>
    <w:rsid w:val="004B199D"/>
    <w:rsid w:val="004B3529"/>
    <w:rsid w:val="004B4690"/>
    <w:rsid w:val="004B6D60"/>
    <w:rsid w:val="004C24FB"/>
    <w:rsid w:val="004C3070"/>
    <w:rsid w:val="004C51B4"/>
    <w:rsid w:val="004C6C2E"/>
    <w:rsid w:val="004D1F57"/>
    <w:rsid w:val="004D319E"/>
    <w:rsid w:val="004D33B1"/>
    <w:rsid w:val="004D36B8"/>
    <w:rsid w:val="004D4E69"/>
    <w:rsid w:val="004D65C8"/>
    <w:rsid w:val="004D6ADF"/>
    <w:rsid w:val="004E000D"/>
    <w:rsid w:val="004E0A2D"/>
    <w:rsid w:val="004E206B"/>
    <w:rsid w:val="004E693D"/>
    <w:rsid w:val="004E6DF7"/>
    <w:rsid w:val="004E76BB"/>
    <w:rsid w:val="004F03EB"/>
    <w:rsid w:val="004F0FBD"/>
    <w:rsid w:val="004F186F"/>
    <w:rsid w:val="004F3716"/>
    <w:rsid w:val="004F3EA5"/>
    <w:rsid w:val="004F5932"/>
    <w:rsid w:val="004F7AD0"/>
    <w:rsid w:val="00502392"/>
    <w:rsid w:val="00505A47"/>
    <w:rsid w:val="00506CFC"/>
    <w:rsid w:val="00512FDA"/>
    <w:rsid w:val="0051361B"/>
    <w:rsid w:val="0051553D"/>
    <w:rsid w:val="00516497"/>
    <w:rsid w:val="00516A12"/>
    <w:rsid w:val="00520DA0"/>
    <w:rsid w:val="00520FE4"/>
    <w:rsid w:val="005226ED"/>
    <w:rsid w:val="0052472E"/>
    <w:rsid w:val="005265F8"/>
    <w:rsid w:val="00541563"/>
    <w:rsid w:val="00547877"/>
    <w:rsid w:val="0055105D"/>
    <w:rsid w:val="005664BB"/>
    <w:rsid w:val="00566DCB"/>
    <w:rsid w:val="00566FFA"/>
    <w:rsid w:val="00567BED"/>
    <w:rsid w:val="005741C5"/>
    <w:rsid w:val="0057481D"/>
    <w:rsid w:val="0058486E"/>
    <w:rsid w:val="00585B33"/>
    <w:rsid w:val="0059014D"/>
    <w:rsid w:val="00596EA1"/>
    <w:rsid w:val="00597F6E"/>
    <w:rsid w:val="005A471A"/>
    <w:rsid w:val="005A6A04"/>
    <w:rsid w:val="005A6FFD"/>
    <w:rsid w:val="005A71B4"/>
    <w:rsid w:val="005B5C64"/>
    <w:rsid w:val="005C46CA"/>
    <w:rsid w:val="005C5337"/>
    <w:rsid w:val="005C66CA"/>
    <w:rsid w:val="005C6BD0"/>
    <w:rsid w:val="005D1871"/>
    <w:rsid w:val="005D1C8B"/>
    <w:rsid w:val="005D3794"/>
    <w:rsid w:val="005D468D"/>
    <w:rsid w:val="005D5CED"/>
    <w:rsid w:val="005E24A2"/>
    <w:rsid w:val="005E4C76"/>
    <w:rsid w:val="005F1A4C"/>
    <w:rsid w:val="005F320F"/>
    <w:rsid w:val="005F4106"/>
    <w:rsid w:val="005F491C"/>
    <w:rsid w:val="005F6869"/>
    <w:rsid w:val="005F7A50"/>
    <w:rsid w:val="0060010D"/>
    <w:rsid w:val="00600FA0"/>
    <w:rsid w:val="0060175A"/>
    <w:rsid w:val="00605688"/>
    <w:rsid w:val="00605E14"/>
    <w:rsid w:val="006070AF"/>
    <w:rsid w:val="00607E6C"/>
    <w:rsid w:val="006101B1"/>
    <w:rsid w:val="00611BF1"/>
    <w:rsid w:val="00614E44"/>
    <w:rsid w:val="006151DA"/>
    <w:rsid w:val="00616136"/>
    <w:rsid w:val="00621C69"/>
    <w:rsid w:val="0062270A"/>
    <w:rsid w:val="00622830"/>
    <w:rsid w:val="00623DA0"/>
    <w:rsid w:val="00630AEF"/>
    <w:rsid w:val="006318BF"/>
    <w:rsid w:val="006325F8"/>
    <w:rsid w:val="00633463"/>
    <w:rsid w:val="00634C9A"/>
    <w:rsid w:val="00636393"/>
    <w:rsid w:val="006377CC"/>
    <w:rsid w:val="006440E4"/>
    <w:rsid w:val="0065131D"/>
    <w:rsid w:val="00652EDD"/>
    <w:rsid w:val="00656EEC"/>
    <w:rsid w:val="00662739"/>
    <w:rsid w:val="00662FB9"/>
    <w:rsid w:val="0066343B"/>
    <w:rsid w:val="00663457"/>
    <w:rsid w:val="00664777"/>
    <w:rsid w:val="006748A4"/>
    <w:rsid w:val="00675589"/>
    <w:rsid w:val="0067617C"/>
    <w:rsid w:val="00681A31"/>
    <w:rsid w:val="00683E73"/>
    <w:rsid w:val="00684BB0"/>
    <w:rsid w:val="00684ECD"/>
    <w:rsid w:val="0069251E"/>
    <w:rsid w:val="00692D19"/>
    <w:rsid w:val="006947CD"/>
    <w:rsid w:val="006A3141"/>
    <w:rsid w:val="006A5E34"/>
    <w:rsid w:val="006A6BD4"/>
    <w:rsid w:val="006A74E6"/>
    <w:rsid w:val="006B2422"/>
    <w:rsid w:val="006B2B9A"/>
    <w:rsid w:val="006C1937"/>
    <w:rsid w:val="006D0347"/>
    <w:rsid w:val="006D1699"/>
    <w:rsid w:val="006D1AE1"/>
    <w:rsid w:val="006D2A37"/>
    <w:rsid w:val="006D38E1"/>
    <w:rsid w:val="006E1735"/>
    <w:rsid w:val="006E55E8"/>
    <w:rsid w:val="006F020C"/>
    <w:rsid w:val="006F02B8"/>
    <w:rsid w:val="006F1191"/>
    <w:rsid w:val="006F2C16"/>
    <w:rsid w:val="006F3094"/>
    <w:rsid w:val="006F7333"/>
    <w:rsid w:val="00701B9D"/>
    <w:rsid w:val="00710F48"/>
    <w:rsid w:val="007127B7"/>
    <w:rsid w:val="00715DAD"/>
    <w:rsid w:val="0071798E"/>
    <w:rsid w:val="00717EF0"/>
    <w:rsid w:val="00721551"/>
    <w:rsid w:val="00723211"/>
    <w:rsid w:val="007233E7"/>
    <w:rsid w:val="007275E2"/>
    <w:rsid w:val="007416B6"/>
    <w:rsid w:val="00746F48"/>
    <w:rsid w:val="00752D21"/>
    <w:rsid w:val="0075404D"/>
    <w:rsid w:val="0075411D"/>
    <w:rsid w:val="00755C93"/>
    <w:rsid w:val="0076182A"/>
    <w:rsid w:val="00767B7E"/>
    <w:rsid w:val="00770B6D"/>
    <w:rsid w:val="00774856"/>
    <w:rsid w:val="00776ACD"/>
    <w:rsid w:val="007770C3"/>
    <w:rsid w:val="0077795D"/>
    <w:rsid w:val="007809BE"/>
    <w:rsid w:val="00781B7F"/>
    <w:rsid w:val="00784D24"/>
    <w:rsid w:val="00785FBA"/>
    <w:rsid w:val="00786E4A"/>
    <w:rsid w:val="007875EB"/>
    <w:rsid w:val="007879D9"/>
    <w:rsid w:val="00787C42"/>
    <w:rsid w:val="007907F2"/>
    <w:rsid w:val="007912B2"/>
    <w:rsid w:val="00793736"/>
    <w:rsid w:val="0079426B"/>
    <w:rsid w:val="0079628D"/>
    <w:rsid w:val="007A405A"/>
    <w:rsid w:val="007A4F96"/>
    <w:rsid w:val="007A71C7"/>
    <w:rsid w:val="007B6ACA"/>
    <w:rsid w:val="007C0A09"/>
    <w:rsid w:val="007C46BE"/>
    <w:rsid w:val="007D1682"/>
    <w:rsid w:val="007D1C81"/>
    <w:rsid w:val="007D2E83"/>
    <w:rsid w:val="007D312A"/>
    <w:rsid w:val="007D3F19"/>
    <w:rsid w:val="007D4A7F"/>
    <w:rsid w:val="007D5ADF"/>
    <w:rsid w:val="007D609C"/>
    <w:rsid w:val="007D65D4"/>
    <w:rsid w:val="007E07E8"/>
    <w:rsid w:val="007E15F7"/>
    <w:rsid w:val="007E23B0"/>
    <w:rsid w:val="007E23E5"/>
    <w:rsid w:val="007E5300"/>
    <w:rsid w:val="007E5A23"/>
    <w:rsid w:val="007F1991"/>
    <w:rsid w:val="007F2C2F"/>
    <w:rsid w:val="007F3AC6"/>
    <w:rsid w:val="007F3E4B"/>
    <w:rsid w:val="007F55FC"/>
    <w:rsid w:val="007F5665"/>
    <w:rsid w:val="00800112"/>
    <w:rsid w:val="00805EB0"/>
    <w:rsid w:val="00807056"/>
    <w:rsid w:val="00811923"/>
    <w:rsid w:val="00813348"/>
    <w:rsid w:val="00813C84"/>
    <w:rsid w:val="00820206"/>
    <w:rsid w:val="008236DC"/>
    <w:rsid w:val="00823A02"/>
    <w:rsid w:val="00824D05"/>
    <w:rsid w:val="008253BB"/>
    <w:rsid w:val="00830838"/>
    <w:rsid w:val="00832533"/>
    <w:rsid w:val="00834DB8"/>
    <w:rsid w:val="00836D4F"/>
    <w:rsid w:val="0083706E"/>
    <w:rsid w:val="008408F6"/>
    <w:rsid w:val="008423A5"/>
    <w:rsid w:val="0084583B"/>
    <w:rsid w:val="00847CE6"/>
    <w:rsid w:val="00850625"/>
    <w:rsid w:val="00853718"/>
    <w:rsid w:val="00855221"/>
    <w:rsid w:val="008601A8"/>
    <w:rsid w:val="00860645"/>
    <w:rsid w:val="00863D37"/>
    <w:rsid w:val="00864FA5"/>
    <w:rsid w:val="00871F71"/>
    <w:rsid w:val="00872FD8"/>
    <w:rsid w:val="00876725"/>
    <w:rsid w:val="00876B07"/>
    <w:rsid w:val="00880BFC"/>
    <w:rsid w:val="00882206"/>
    <w:rsid w:val="0088437F"/>
    <w:rsid w:val="00885930"/>
    <w:rsid w:val="00885AF4"/>
    <w:rsid w:val="00887950"/>
    <w:rsid w:val="00890C38"/>
    <w:rsid w:val="008910C8"/>
    <w:rsid w:val="00891328"/>
    <w:rsid w:val="008939CD"/>
    <w:rsid w:val="00893B19"/>
    <w:rsid w:val="008A0217"/>
    <w:rsid w:val="008A2B66"/>
    <w:rsid w:val="008A5F30"/>
    <w:rsid w:val="008B00E9"/>
    <w:rsid w:val="008B1919"/>
    <w:rsid w:val="008B5842"/>
    <w:rsid w:val="008B768C"/>
    <w:rsid w:val="008C4DB1"/>
    <w:rsid w:val="008C4EAF"/>
    <w:rsid w:val="008C5176"/>
    <w:rsid w:val="008C6D8A"/>
    <w:rsid w:val="008C75A4"/>
    <w:rsid w:val="008C7FD0"/>
    <w:rsid w:val="008D0033"/>
    <w:rsid w:val="008D0E85"/>
    <w:rsid w:val="008D11F5"/>
    <w:rsid w:val="008D2D97"/>
    <w:rsid w:val="008D7D7C"/>
    <w:rsid w:val="008E1DE7"/>
    <w:rsid w:val="008E5694"/>
    <w:rsid w:val="008E707C"/>
    <w:rsid w:val="008F371E"/>
    <w:rsid w:val="008F686F"/>
    <w:rsid w:val="008F7EFA"/>
    <w:rsid w:val="00900848"/>
    <w:rsid w:val="00900B08"/>
    <w:rsid w:val="00902155"/>
    <w:rsid w:val="00902FA3"/>
    <w:rsid w:val="009044E4"/>
    <w:rsid w:val="0091187F"/>
    <w:rsid w:val="00920231"/>
    <w:rsid w:val="00921C1B"/>
    <w:rsid w:val="00923564"/>
    <w:rsid w:val="0092392E"/>
    <w:rsid w:val="00924490"/>
    <w:rsid w:val="009305DF"/>
    <w:rsid w:val="009308C9"/>
    <w:rsid w:val="009315F9"/>
    <w:rsid w:val="0093294A"/>
    <w:rsid w:val="00933499"/>
    <w:rsid w:val="00935C98"/>
    <w:rsid w:val="00935D78"/>
    <w:rsid w:val="009401A9"/>
    <w:rsid w:val="00940603"/>
    <w:rsid w:val="00946945"/>
    <w:rsid w:val="00947E8F"/>
    <w:rsid w:val="009511F0"/>
    <w:rsid w:val="00951248"/>
    <w:rsid w:val="0095152F"/>
    <w:rsid w:val="00951B50"/>
    <w:rsid w:val="00952217"/>
    <w:rsid w:val="00954C49"/>
    <w:rsid w:val="00955E37"/>
    <w:rsid w:val="00956FE1"/>
    <w:rsid w:val="009708FA"/>
    <w:rsid w:val="0097099F"/>
    <w:rsid w:val="009717E5"/>
    <w:rsid w:val="00971997"/>
    <w:rsid w:val="00971B36"/>
    <w:rsid w:val="00971FFC"/>
    <w:rsid w:val="009748E0"/>
    <w:rsid w:val="00976D7B"/>
    <w:rsid w:val="0098660A"/>
    <w:rsid w:val="00991EB8"/>
    <w:rsid w:val="0099205A"/>
    <w:rsid w:val="009931C3"/>
    <w:rsid w:val="009A02E2"/>
    <w:rsid w:val="009A33D0"/>
    <w:rsid w:val="009B2C43"/>
    <w:rsid w:val="009B3871"/>
    <w:rsid w:val="009B4418"/>
    <w:rsid w:val="009B4EAE"/>
    <w:rsid w:val="009B750A"/>
    <w:rsid w:val="009B7573"/>
    <w:rsid w:val="009B7E04"/>
    <w:rsid w:val="009C0620"/>
    <w:rsid w:val="009C22F4"/>
    <w:rsid w:val="009C2A4B"/>
    <w:rsid w:val="009C2E98"/>
    <w:rsid w:val="009C3C58"/>
    <w:rsid w:val="009C3CCE"/>
    <w:rsid w:val="009C43AA"/>
    <w:rsid w:val="009C6BC8"/>
    <w:rsid w:val="009D3447"/>
    <w:rsid w:val="009D4390"/>
    <w:rsid w:val="009D4711"/>
    <w:rsid w:val="009D4C8C"/>
    <w:rsid w:val="009D6F9C"/>
    <w:rsid w:val="009D7BEB"/>
    <w:rsid w:val="009E2105"/>
    <w:rsid w:val="009E6B71"/>
    <w:rsid w:val="009F08B6"/>
    <w:rsid w:val="009F1185"/>
    <w:rsid w:val="009F1594"/>
    <w:rsid w:val="009F18CD"/>
    <w:rsid w:val="009F2A13"/>
    <w:rsid w:val="009F2D62"/>
    <w:rsid w:val="009F6FB0"/>
    <w:rsid w:val="009F7527"/>
    <w:rsid w:val="00A00BE1"/>
    <w:rsid w:val="00A033F0"/>
    <w:rsid w:val="00A041CB"/>
    <w:rsid w:val="00A04EB0"/>
    <w:rsid w:val="00A0622D"/>
    <w:rsid w:val="00A11893"/>
    <w:rsid w:val="00A139BE"/>
    <w:rsid w:val="00A13CC1"/>
    <w:rsid w:val="00A16847"/>
    <w:rsid w:val="00A17A05"/>
    <w:rsid w:val="00A23100"/>
    <w:rsid w:val="00A237D8"/>
    <w:rsid w:val="00A268C4"/>
    <w:rsid w:val="00A307CD"/>
    <w:rsid w:val="00A331C8"/>
    <w:rsid w:val="00A40A00"/>
    <w:rsid w:val="00A4142F"/>
    <w:rsid w:val="00A41680"/>
    <w:rsid w:val="00A4169E"/>
    <w:rsid w:val="00A422EB"/>
    <w:rsid w:val="00A45BB7"/>
    <w:rsid w:val="00A50AE0"/>
    <w:rsid w:val="00A56DF2"/>
    <w:rsid w:val="00A56E6E"/>
    <w:rsid w:val="00A61F12"/>
    <w:rsid w:val="00A64F56"/>
    <w:rsid w:val="00A67AB5"/>
    <w:rsid w:val="00A706DB"/>
    <w:rsid w:val="00A71A7E"/>
    <w:rsid w:val="00A733B2"/>
    <w:rsid w:val="00A73D3B"/>
    <w:rsid w:val="00A741C2"/>
    <w:rsid w:val="00A75EE7"/>
    <w:rsid w:val="00A76CDF"/>
    <w:rsid w:val="00A808B7"/>
    <w:rsid w:val="00A848CA"/>
    <w:rsid w:val="00A85F3F"/>
    <w:rsid w:val="00A91760"/>
    <w:rsid w:val="00A93B00"/>
    <w:rsid w:val="00A93C21"/>
    <w:rsid w:val="00A94663"/>
    <w:rsid w:val="00AB1C72"/>
    <w:rsid w:val="00AB4860"/>
    <w:rsid w:val="00AB59FC"/>
    <w:rsid w:val="00AB64C9"/>
    <w:rsid w:val="00AC0E1E"/>
    <w:rsid w:val="00AC3C6A"/>
    <w:rsid w:val="00AC3FAB"/>
    <w:rsid w:val="00AC4528"/>
    <w:rsid w:val="00AC471C"/>
    <w:rsid w:val="00AD5620"/>
    <w:rsid w:val="00AD656B"/>
    <w:rsid w:val="00AD7C1B"/>
    <w:rsid w:val="00AE16BA"/>
    <w:rsid w:val="00AE1EBE"/>
    <w:rsid w:val="00AF6E70"/>
    <w:rsid w:val="00B01337"/>
    <w:rsid w:val="00B01634"/>
    <w:rsid w:val="00B03C9D"/>
    <w:rsid w:val="00B060AE"/>
    <w:rsid w:val="00B06D6B"/>
    <w:rsid w:val="00B10517"/>
    <w:rsid w:val="00B14E76"/>
    <w:rsid w:val="00B161B8"/>
    <w:rsid w:val="00B16BEA"/>
    <w:rsid w:val="00B176E1"/>
    <w:rsid w:val="00B2048C"/>
    <w:rsid w:val="00B2218A"/>
    <w:rsid w:val="00B247C8"/>
    <w:rsid w:val="00B26534"/>
    <w:rsid w:val="00B310B9"/>
    <w:rsid w:val="00B35F3F"/>
    <w:rsid w:val="00B36CBB"/>
    <w:rsid w:val="00B425E0"/>
    <w:rsid w:val="00B4325C"/>
    <w:rsid w:val="00B433D1"/>
    <w:rsid w:val="00B440AA"/>
    <w:rsid w:val="00B446C0"/>
    <w:rsid w:val="00B44B70"/>
    <w:rsid w:val="00B52BB5"/>
    <w:rsid w:val="00B53C56"/>
    <w:rsid w:val="00B57DAF"/>
    <w:rsid w:val="00B65523"/>
    <w:rsid w:val="00B7170D"/>
    <w:rsid w:val="00B72276"/>
    <w:rsid w:val="00B768CC"/>
    <w:rsid w:val="00B7740E"/>
    <w:rsid w:val="00B77EA6"/>
    <w:rsid w:val="00B81598"/>
    <w:rsid w:val="00B81BB2"/>
    <w:rsid w:val="00B841F1"/>
    <w:rsid w:val="00B856CD"/>
    <w:rsid w:val="00B861B8"/>
    <w:rsid w:val="00B86C0E"/>
    <w:rsid w:val="00B87CB2"/>
    <w:rsid w:val="00B91FF9"/>
    <w:rsid w:val="00B944D6"/>
    <w:rsid w:val="00B9760B"/>
    <w:rsid w:val="00BA45E6"/>
    <w:rsid w:val="00BA60E4"/>
    <w:rsid w:val="00BB3836"/>
    <w:rsid w:val="00BB3E82"/>
    <w:rsid w:val="00BB4DF0"/>
    <w:rsid w:val="00BC289F"/>
    <w:rsid w:val="00BC2D50"/>
    <w:rsid w:val="00BC5361"/>
    <w:rsid w:val="00BC5460"/>
    <w:rsid w:val="00BC5CB5"/>
    <w:rsid w:val="00BC5DFF"/>
    <w:rsid w:val="00BC6B50"/>
    <w:rsid w:val="00BD0E25"/>
    <w:rsid w:val="00BF5BD6"/>
    <w:rsid w:val="00C020F6"/>
    <w:rsid w:val="00C0351A"/>
    <w:rsid w:val="00C03E31"/>
    <w:rsid w:val="00C16AF4"/>
    <w:rsid w:val="00C17692"/>
    <w:rsid w:val="00C208B1"/>
    <w:rsid w:val="00C233CA"/>
    <w:rsid w:val="00C33E72"/>
    <w:rsid w:val="00C354B2"/>
    <w:rsid w:val="00C35554"/>
    <w:rsid w:val="00C35CAD"/>
    <w:rsid w:val="00C41B01"/>
    <w:rsid w:val="00C42709"/>
    <w:rsid w:val="00C429DB"/>
    <w:rsid w:val="00C469A7"/>
    <w:rsid w:val="00C52871"/>
    <w:rsid w:val="00C533CC"/>
    <w:rsid w:val="00C5751C"/>
    <w:rsid w:val="00C61BFC"/>
    <w:rsid w:val="00C62B85"/>
    <w:rsid w:val="00C63067"/>
    <w:rsid w:val="00C65438"/>
    <w:rsid w:val="00C65A0F"/>
    <w:rsid w:val="00C65C1B"/>
    <w:rsid w:val="00C74356"/>
    <w:rsid w:val="00C7557B"/>
    <w:rsid w:val="00C803FE"/>
    <w:rsid w:val="00C82200"/>
    <w:rsid w:val="00C82CF5"/>
    <w:rsid w:val="00C8349C"/>
    <w:rsid w:val="00C86D68"/>
    <w:rsid w:val="00C87FD8"/>
    <w:rsid w:val="00C903C4"/>
    <w:rsid w:val="00C91381"/>
    <w:rsid w:val="00C91CBB"/>
    <w:rsid w:val="00C91CCD"/>
    <w:rsid w:val="00C95BF4"/>
    <w:rsid w:val="00C96A98"/>
    <w:rsid w:val="00C97E33"/>
    <w:rsid w:val="00CA2A83"/>
    <w:rsid w:val="00CA3D9F"/>
    <w:rsid w:val="00CB4538"/>
    <w:rsid w:val="00CB4E70"/>
    <w:rsid w:val="00CB63CC"/>
    <w:rsid w:val="00CB66C5"/>
    <w:rsid w:val="00CC09B6"/>
    <w:rsid w:val="00CC2A56"/>
    <w:rsid w:val="00CC2B47"/>
    <w:rsid w:val="00CC49C3"/>
    <w:rsid w:val="00CC666F"/>
    <w:rsid w:val="00CC6709"/>
    <w:rsid w:val="00CD139E"/>
    <w:rsid w:val="00CD15D0"/>
    <w:rsid w:val="00CD1E3F"/>
    <w:rsid w:val="00CE0E92"/>
    <w:rsid w:val="00CE44F6"/>
    <w:rsid w:val="00CE49DA"/>
    <w:rsid w:val="00CE7B61"/>
    <w:rsid w:val="00CF1860"/>
    <w:rsid w:val="00D00095"/>
    <w:rsid w:val="00D044DF"/>
    <w:rsid w:val="00D114F0"/>
    <w:rsid w:val="00D15923"/>
    <w:rsid w:val="00D16411"/>
    <w:rsid w:val="00D17F89"/>
    <w:rsid w:val="00D20620"/>
    <w:rsid w:val="00D235A2"/>
    <w:rsid w:val="00D254F7"/>
    <w:rsid w:val="00D26091"/>
    <w:rsid w:val="00D2685C"/>
    <w:rsid w:val="00D30128"/>
    <w:rsid w:val="00D313E1"/>
    <w:rsid w:val="00D34E7C"/>
    <w:rsid w:val="00D35489"/>
    <w:rsid w:val="00D36AFE"/>
    <w:rsid w:val="00D417C7"/>
    <w:rsid w:val="00D51276"/>
    <w:rsid w:val="00D5358E"/>
    <w:rsid w:val="00D57D82"/>
    <w:rsid w:val="00D608D0"/>
    <w:rsid w:val="00D61148"/>
    <w:rsid w:val="00D611AE"/>
    <w:rsid w:val="00D669FE"/>
    <w:rsid w:val="00D7035F"/>
    <w:rsid w:val="00D84091"/>
    <w:rsid w:val="00D87076"/>
    <w:rsid w:val="00D90815"/>
    <w:rsid w:val="00D9256D"/>
    <w:rsid w:val="00D93F03"/>
    <w:rsid w:val="00D97086"/>
    <w:rsid w:val="00D97923"/>
    <w:rsid w:val="00DA00FD"/>
    <w:rsid w:val="00DA2F03"/>
    <w:rsid w:val="00DA4E0A"/>
    <w:rsid w:val="00DA546B"/>
    <w:rsid w:val="00DA5E41"/>
    <w:rsid w:val="00DA634F"/>
    <w:rsid w:val="00DA65AC"/>
    <w:rsid w:val="00DA7C4C"/>
    <w:rsid w:val="00DB1913"/>
    <w:rsid w:val="00DC410D"/>
    <w:rsid w:val="00DC5A81"/>
    <w:rsid w:val="00DC68CA"/>
    <w:rsid w:val="00DC6C08"/>
    <w:rsid w:val="00DC7CBA"/>
    <w:rsid w:val="00DD0A45"/>
    <w:rsid w:val="00DD1F80"/>
    <w:rsid w:val="00DD54DB"/>
    <w:rsid w:val="00DD703B"/>
    <w:rsid w:val="00DD73B7"/>
    <w:rsid w:val="00DD77B3"/>
    <w:rsid w:val="00DE31CE"/>
    <w:rsid w:val="00DE6A4C"/>
    <w:rsid w:val="00DF197F"/>
    <w:rsid w:val="00DF28BC"/>
    <w:rsid w:val="00DF34B9"/>
    <w:rsid w:val="00DF6D84"/>
    <w:rsid w:val="00E01053"/>
    <w:rsid w:val="00E01D77"/>
    <w:rsid w:val="00E04AA9"/>
    <w:rsid w:val="00E07A4D"/>
    <w:rsid w:val="00E07ACF"/>
    <w:rsid w:val="00E154F1"/>
    <w:rsid w:val="00E15CFC"/>
    <w:rsid w:val="00E164D4"/>
    <w:rsid w:val="00E1693C"/>
    <w:rsid w:val="00E17288"/>
    <w:rsid w:val="00E17496"/>
    <w:rsid w:val="00E2130A"/>
    <w:rsid w:val="00E27A06"/>
    <w:rsid w:val="00E331A1"/>
    <w:rsid w:val="00E33202"/>
    <w:rsid w:val="00E336A9"/>
    <w:rsid w:val="00E41691"/>
    <w:rsid w:val="00E42C2E"/>
    <w:rsid w:val="00E43BE5"/>
    <w:rsid w:val="00E462F5"/>
    <w:rsid w:val="00E464EB"/>
    <w:rsid w:val="00E472B1"/>
    <w:rsid w:val="00E50624"/>
    <w:rsid w:val="00E51EC1"/>
    <w:rsid w:val="00E532F4"/>
    <w:rsid w:val="00E568DF"/>
    <w:rsid w:val="00E57918"/>
    <w:rsid w:val="00E63DB4"/>
    <w:rsid w:val="00E64269"/>
    <w:rsid w:val="00E647AF"/>
    <w:rsid w:val="00E64D9B"/>
    <w:rsid w:val="00E74482"/>
    <w:rsid w:val="00E76324"/>
    <w:rsid w:val="00E77242"/>
    <w:rsid w:val="00E81B81"/>
    <w:rsid w:val="00E82267"/>
    <w:rsid w:val="00E853CE"/>
    <w:rsid w:val="00E867B6"/>
    <w:rsid w:val="00E94898"/>
    <w:rsid w:val="00E96E7A"/>
    <w:rsid w:val="00EA010F"/>
    <w:rsid w:val="00EA1DC2"/>
    <w:rsid w:val="00EA2080"/>
    <w:rsid w:val="00EA2658"/>
    <w:rsid w:val="00EA2ADB"/>
    <w:rsid w:val="00EB08D3"/>
    <w:rsid w:val="00EC3C77"/>
    <w:rsid w:val="00ED1B63"/>
    <w:rsid w:val="00ED3C1F"/>
    <w:rsid w:val="00ED4085"/>
    <w:rsid w:val="00ED420E"/>
    <w:rsid w:val="00ED441C"/>
    <w:rsid w:val="00ED6FBE"/>
    <w:rsid w:val="00EE1EA6"/>
    <w:rsid w:val="00EE2F57"/>
    <w:rsid w:val="00EE51E3"/>
    <w:rsid w:val="00EE59E5"/>
    <w:rsid w:val="00EF4C34"/>
    <w:rsid w:val="00EF6033"/>
    <w:rsid w:val="00EF77C6"/>
    <w:rsid w:val="00F05438"/>
    <w:rsid w:val="00F12A5C"/>
    <w:rsid w:val="00F1361C"/>
    <w:rsid w:val="00F1390D"/>
    <w:rsid w:val="00F156F0"/>
    <w:rsid w:val="00F160C7"/>
    <w:rsid w:val="00F17C8E"/>
    <w:rsid w:val="00F206FA"/>
    <w:rsid w:val="00F22734"/>
    <w:rsid w:val="00F2362E"/>
    <w:rsid w:val="00F2408F"/>
    <w:rsid w:val="00F240E9"/>
    <w:rsid w:val="00F32200"/>
    <w:rsid w:val="00F34354"/>
    <w:rsid w:val="00F36374"/>
    <w:rsid w:val="00F36D8F"/>
    <w:rsid w:val="00F417B1"/>
    <w:rsid w:val="00F45853"/>
    <w:rsid w:val="00F52B80"/>
    <w:rsid w:val="00F535DB"/>
    <w:rsid w:val="00F53989"/>
    <w:rsid w:val="00F558DD"/>
    <w:rsid w:val="00F5771F"/>
    <w:rsid w:val="00F602DF"/>
    <w:rsid w:val="00F63B4A"/>
    <w:rsid w:val="00F754A1"/>
    <w:rsid w:val="00F771AF"/>
    <w:rsid w:val="00F81FD9"/>
    <w:rsid w:val="00F841AA"/>
    <w:rsid w:val="00F84A94"/>
    <w:rsid w:val="00F85605"/>
    <w:rsid w:val="00F87E96"/>
    <w:rsid w:val="00F91D76"/>
    <w:rsid w:val="00FA181A"/>
    <w:rsid w:val="00FA23E8"/>
    <w:rsid w:val="00FB0A76"/>
    <w:rsid w:val="00FB34B5"/>
    <w:rsid w:val="00FB7596"/>
    <w:rsid w:val="00FC384E"/>
    <w:rsid w:val="00FC7962"/>
    <w:rsid w:val="00FD311C"/>
    <w:rsid w:val="00FD3CC1"/>
    <w:rsid w:val="00FD58F9"/>
    <w:rsid w:val="00FF1E02"/>
    <w:rsid w:val="00FF30B4"/>
    <w:rsid w:val="00FF6EAC"/>
    <w:rsid w:val="00FF73FD"/>
    <w:rsid w:val="066E0107"/>
    <w:rsid w:val="07996F6E"/>
    <w:rsid w:val="09F17C4E"/>
    <w:rsid w:val="0A2032A3"/>
    <w:rsid w:val="101860EC"/>
    <w:rsid w:val="10C055FF"/>
    <w:rsid w:val="118107EC"/>
    <w:rsid w:val="126B308A"/>
    <w:rsid w:val="13D50BC4"/>
    <w:rsid w:val="14F9638B"/>
    <w:rsid w:val="16BB723D"/>
    <w:rsid w:val="1BE8440E"/>
    <w:rsid w:val="1D155CEE"/>
    <w:rsid w:val="1E342337"/>
    <w:rsid w:val="23860B96"/>
    <w:rsid w:val="240371BF"/>
    <w:rsid w:val="29FD04D3"/>
    <w:rsid w:val="2C8A61B5"/>
    <w:rsid w:val="2DF04E50"/>
    <w:rsid w:val="319F7F4E"/>
    <w:rsid w:val="32B74A00"/>
    <w:rsid w:val="332B34BE"/>
    <w:rsid w:val="354341ED"/>
    <w:rsid w:val="36AA5135"/>
    <w:rsid w:val="37E16F03"/>
    <w:rsid w:val="3A923B26"/>
    <w:rsid w:val="3D98207C"/>
    <w:rsid w:val="3DF000F5"/>
    <w:rsid w:val="403D2C4D"/>
    <w:rsid w:val="4207560F"/>
    <w:rsid w:val="44E268DA"/>
    <w:rsid w:val="47812B1E"/>
    <w:rsid w:val="4A627F82"/>
    <w:rsid w:val="4B4F25DA"/>
    <w:rsid w:val="4BE068DB"/>
    <w:rsid w:val="4D577224"/>
    <w:rsid w:val="4EAB630A"/>
    <w:rsid w:val="4ECE2238"/>
    <w:rsid w:val="548F62DE"/>
    <w:rsid w:val="5AF92295"/>
    <w:rsid w:val="5CD71FC4"/>
    <w:rsid w:val="5D5977A1"/>
    <w:rsid w:val="66557471"/>
    <w:rsid w:val="670173FC"/>
    <w:rsid w:val="6962282C"/>
    <w:rsid w:val="6C4A05C8"/>
    <w:rsid w:val="6E7E3605"/>
    <w:rsid w:val="6FF5CC65"/>
    <w:rsid w:val="715C0E4B"/>
    <w:rsid w:val="72734D90"/>
    <w:rsid w:val="73AD73D5"/>
    <w:rsid w:val="73B6EB34"/>
    <w:rsid w:val="746277B3"/>
    <w:rsid w:val="798F3271"/>
    <w:rsid w:val="79EE5BA4"/>
    <w:rsid w:val="7A894339"/>
    <w:rsid w:val="7EEF11D3"/>
    <w:rsid w:val="7F1E0D19"/>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toc 3"/>
    <w:basedOn w:val="1"/>
    <w:next w:val="1"/>
    <w:unhideWhenUsed/>
    <w:qFormat/>
    <w:uiPriority w:val="39"/>
    <w:pPr>
      <w:tabs>
        <w:tab w:val="right" w:leader="dot" w:pos="8296"/>
      </w:tabs>
      <w:ind w:left="840" w:leftChars="400"/>
    </w:pPr>
  </w:style>
  <w:style w:type="paragraph" w:styleId="8">
    <w:name w:val="Date"/>
    <w:basedOn w:val="1"/>
    <w:next w:val="1"/>
    <w:link w:val="32"/>
    <w:semiHidden/>
    <w:unhideWhenUsed/>
    <w:qFormat/>
    <w:uiPriority w:val="99"/>
    <w:pPr>
      <w:ind w:left="100" w:leftChars="25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日期 Char"/>
    <w:basedOn w:val="15"/>
    <w:link w:val="8"/>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312.63</c:v>
                </c:pt>
                <c:pt idx="1">
                  <c:v>462.69</c:v>
                </c:pt>
              </c:numCache>
            </c:numRef>
          </c:val>
        </c:ser>
        <c:ser>
          <c:idx val="1"/>
          <c:order val="1"/>
          <c:tx>
            <c:strRef>
              <c:f>Sheet1!$C$1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282.36</c:v>
                </c:pt>
                <c:pt idx="1">
                  <c:v>332.36</c:v>
                </c:pt>
              </c:numCache>
            </c:numRef>
          </c:val>
        </c:ser>
        <c:dLbls>
          <c:showLegendKey val="0"/>
          <c:showVal val="1"/>
          <c:showCatName val="0"/>
          <c:showSerName val="0"/>
          <c:showPercent val="0"/>
          <c:showBubbleSize val="0"/>
        </c:dLbls>
        <c:gapWidth val="150"/>
        <c:axId val="237172224"/>
        <c:axId val="237173760"/>
      </c:barChart>
      <c:catAx>
        <c:axId val="2371722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7173760"/>
        <c:crosses val="autoZero"/>
        <c:auto val="1"/>
        <c:lblAlgn val="ctr"/>
        <c:lblOffset val="100"/>
        <c:noMultiLvlLbl val="0"/>
      </c:catAx>
      <c:valAx>
        <c:axId val="2371737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717222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altLang="en-US"/>
              <a:t>2022年</a:t>
            </a:r>
            <a:endParaRPr altLang="en-US"/>
          </a:p>
        </c:rich>
      </c:tx>
      <c:layout/>
      <c:overlay val="0"/>
    </c:title>
    <c:autoTitleDeleted val="0"/>
    <c:plotArea>
      <c:layout/>
      <c:pieChart>
        <c:varyColors val="1"/>
        <c:ser>
          <c:idx val="0"/>
          <c:order val="0"/>
          <c:tx>
            <c:strRef>
              <c:f>Sheet1!$B$1</c:f>
              <c:strCache>
                <c:ptCount val="1"/>
                <c:pt idx="0">
                  <c:v>2022年（单位:万元)</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270.59</c:v>
                </c:pt>
                <c:pt idx="1">
                  <c:v>11.77</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2022年支出</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270.59</c:v>
                </c:pt>
                <c:pt idx="1">
                  <c:v>61.77</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10301631872226"/>
          <c:y val="0.0417028676369014"/>
          <c:w val="0.791330809148497"/>
          <c:h val="0.816807651365564"/>
        </c:manualLayout>
      </c:layout>
      <c:barChart>
        <c:barDir val="col"/>
        <c:grouping val="clustered"/>
        <c:varyColors val="0"/>
        <c:ser>
          <c:idx val="0"/>
          <c:order val="0"/>
          <c:tx>
            <c:strRef>
              <c:f>Sheet1!$B$1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312.63</c:v>
                </c:pt>
                <c:pt idx="1">
                  <c:v>462.69</c:v>
                </c:pt>
              </c:numCache>
            </c:numRef>
          </c:val>
        </c:ser>
        <c:ser>
          <c:idx val="1"/>
          <c:order val="1"/>
          <c:tx>
            <c:strRef>
              <c:f>Sheet1!$C$1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Sheet1!$C$2:$C$3</c:f>
              <c:numCache>
                <c:formatCode>General</c:formatCode>
                <c:ptCount val="2"/>
                <c:pt idx="0">
                  <c:v>282.36</c:v>
                </c:pt>
                <c:pt idx="1">
                  <c:v>332.36</c:v>
                </c:pt>
              </c:numCache>
            </c:numRef>
          </c:val>
        </c:ser>
        <c:dLbls>
          <c:showLegendKey val="0"/>
          <c:showVal val="1"/>
          <c:showCatName val="0"/>
          <c:showSerName val="0"/>
          <c:showPercent val="0"/>
          <c:showBubbleSize val="0"/>
        </c:dLbls>
        <c:gapWidth val="150"/>
        <c:axId val="99406592"/>
        <c:axId val="99408128"/>
      </c:barChart>
      <c:catAx>
        <c:axId val="994065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9408128"/>
        <c:crosses val="autoZero"/>
        <c:auto val="1"/>
        <c:lblAlgn val="ctr"/>
        <c:lblOffset val="100"/>
        <c:noMultiLvlLbl val="0"/>
      </c:catAx>
      <c:valAx>
        <c:axId val="994081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940659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6501324343848"/>
          <c:y val="0.0247678018575851"/>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一般公共预算财政拨款支出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257.06</c:v>
                </c:pt>
                <c:pt idx="1">
                  <c:v>270.59</c:v>
                </c:pt>
              </c:numCache>
            </c:numRef>
          </c:val>
        </c:ser>
        <c:dLbls>
          <c:showLegendKey val="0"/>
          <c:showVal val="1"/>
          <c:showCatName val="0"/>
          <c:showSerName val="0"/>
          <c:showPercent val="0"/>
          <c:showBubbleSize val="0"/>
        </c:dLbls>
        <c:gapWidth val="150"/>
        <c:overlap val="100"/>
        <c:axId val="106850176"/>
        <c:axId val="106851712"/>
      </c:barChart>
      <c:catAx>
        <c:axId val="1068501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851712"/>
        <c:crosses val="autoZero"/>
        <c:auto val="1"/>
        <c:lblAlgn val="ctr"/>
        <c:lblOffset val="100"/>
        <c:noMultiLvlLbl val="0"/>
      </c:catAx>
      <c:valAx>
        <c:axId val="1068517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850176"/>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2022年一般公共预算财政拨款支出</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一般公共服务（类）支出</c:v>
                </c:pt>
                <c:pt idx="1">
                  <c:v>社会保障和就业（类）支出</c:v>
                </c:pt>
                <c:pt idx="2">
                  <c:v>卫生健康（类）支出</c:v>
                </c:pt>
                <c:pt idx="3">
                  <c:v>住房保障（类）支出</c:v>
                </c:pt>
              </c:strCache>
            </c:strRef>
          </c:cat>
          <c:val>
            <c:numRef>
              <c:f>Sheet1!$B$2:$B$5</c:f>
              <c:numCache>
                <c:formatCode>General</c:formatCode>
                <c:ptCount val="4"/>
                <c:pt idx="0">
                  <c:v>215.65</c:v>
                </c:pt>
                <c:pt idx="1">
                  <c:v>18.22</c:v>
                </c:pt>
                <c:pt idx="2">
                  <c:v>16.02</c:v>
                </c:pt>
                <c:pt idx="3">
                  <c:v>20.7</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11A12-DEAC-4D25-8F81-9496E76C500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30</Pages>
  <Words>1690</Words>
  <Characters>9634</Characters>
  <Lines>80</Lines>
  <Paragraphs>22</Paragraphs>
  <TotalTime>1</TotalTime>
  <ScaleCrop>false</ScaleCrop>
  <LinksUpToDate>false</LinksUpToDate>
  <CharactersWithSpaces>11302</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2022-10-10T02:50:00Z</dcterms:created>
  <dc:creator>曹颖</dc:creator>
  <cp:lastModifiedBy>Administrator</cp:lastModifiedBy>
  <cp:lastPrinted>2023-10-31T08:38:00Z</cp:lastPrinted>
  <dcterms:modified xsi:type="dcterms:W3CDTF">2024-05-31T01:34:46Z</dcterms:modified>
  <dc:title>四川省***</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373F5961F0A04E44885BEE97579EE17C</vt:lpwstr>
  </property>
</Properties>
</file>