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lang w:eastAsia="zh-CN"/>
        </w:rPr>
      </w:pPr>
      <w:r>
        <w:rPr>
          <w:rFonts w:eastAsia="黑体"/>
        </w:rPr>
        <w:t>附件</w:t>
      </w:r>
      <w:r>
        <w:rPr>
          <w:rFonts w:hint="eastAsia" w:eastAsia="黑体"/>
          <w:lang w:val="en-US" w:eastAsia="zh-CN"/>
        </w:rPr>
        <w:t>4</w:t>
      </w:r>
    </w:p>
    <w:p>
      <w:pPr>
        <w:pStyle w:val="8"/>
        <w:spacing w:line="600" w:lineRule="exact"/>
        <w:rPr>
          <w:rFonts w:ascii="Times New Roman" w:hAnsi="Times New Roman" w:eastAsia="方正小标宋简体"/>
          <w:color w:val="auto"/>
          <w:kern w:val="2"/>
          <w:sz w:val="40"/>
          <w:szCs w:val="40"/>
          <w:lang w:val="en-US"/>
        </w:rPr>
      </w:pPr>
    </w:p>
    <w:p>
      <w:pPr>
        <w:pStyle w:val="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项目支出绩效自评报告</w:t>
      </w:r>
    </w:p>
    <w:p>
      <w:pPr>
        <w:pStyle w:val="8"/>
        <w:spacing w:line="600" w:lineRule="exact"/>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lang w:val="en-US" w:eastAsia="zh-CN"/>
        </w:rPr>
        <w:t>保安费用</w:t>
      </w:r>
      <w:r>
        <w:rPr>
          <w:rFonts w:ascii="Times New Roman" w:hAnsi="Times New Roman" w:eastAsia="仿宋_GB2312"/>
          <w:color w:val="auto"/>
          <w:kern w:val="2"/>
          <w:sz w:val="32"/>
          <w:szCs w:val="32"/>
        </w:rPr>
        <w:t>）</w:t>
      </w:r>
    </w:p>
    <w:p>
      <w:pPr>
        <w:pStyle w:val="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lang w:val="zh-CN"/>
        </w:rPr>
      </w:pPr>
      <w:r>
        <w:rPr>
          <w:rFonts w:eastAsia="黑体"/>
        </w:rPr>
        <w:t>一、</w:t>
      </w:r>
      <w:r>
        <w:rPr>
          <w:rFonts w:eastAsia="黑体"/>
          <w:lang w:val="zh-CN"/>
        </w:rPr>
        <w:t>项目概况</w:t>
      </w:r>
    </w:p>
    <w:p>
      <w:pPr>
        <w:adjustRightInd w:val="0"/>
        <w:snapToGrid w:val="0"/>
        <w:spacing w:line="600" w:lineRule="exact"/>
        <w:ind w:firstLine="720"/>
        <w:rPr>
          <w:rFonts w:eastAsia="楷体_GB2312"/>
          <w:b/>
          <w:lang w:val="zh-CN"/>
        </w:rPr>
      </w:pPr>
      <w:r>
        <w:rPr>
          <w:rFonts w:eastAsia="楷体_GB2312"/>
          <w:b/>
          <w:lang w:val="zh-CN"/>
        </w:rPr>
        <w:t>（一）项目基本情况。</w:t>
      </w:r>
    </w:p>
    <w:p>
      <w:pPr>
        <w:adjustRightInd w:val="0"/>
        <w:snapToGrid w:val="0"/>
        <w:spacing w:line="600" w:lineRule="exact"/>
        <w:ind w:left="640" w:leftChars="200" w:firstLine="80" w:firstLineChars="25"/>
        <w:rPr>
          <w:rFonts w:hint="eastAsia" w:ascii="方正仿宋简体" w:eastAsia="方正仿宋简体" w:cs="方正仿宋简体"/>
          <w:sz w:val="33"/>
          <w:szCs w:val="33"/>
          <w:u w:val="none"/>
        </w:rPr>
      </w:pPr>
      <w:r>
        <w:rPr>
          <w:rFonts w:hint="eastAsia"/>
          <w:lang w:val="en-US" w:eastAsia="zh-CN"/>
        </w:rPr>
        <w:t>1.</w:t>
      </w:r>
      <w:r>
        <w:rPr>
          <w:rFonts w:hint="eastAsia" w:ascii="方正仿宋简体" w:eastAsia="方正仿宋简体" w:cs="方正仿宋简体"/>
          <w:sz w:val="33"/>
          <w:szCs w:val="33"/>
          <w:u w:val="none"/>
        </w:rPr>
        <w:t>保障本年度内两名保安人员的经费，确保信访安保</w:t>
      </w:r>
    </w:p>
    <w:p>
      <w:pPr>
        <w:adjustRightInd w:val="0"/>
        <w:snapToGrid w:val="0"/>
        <w:spacing w:line="600" w:lineRule="exact"/>
        <w:rPr>
          <w:rFonts w:hint="eastAsia" w:ascii="方正仿宋简体" w:eastAsia="方正仿宋简体" w:cs="方正仿宋简体"/>
          <w:sz w:val="33"/>
          <w:szCs w:val="33"/>
          <w:u w:val="none"/>
          <w:lang w:eastAsia="zh-CN"/>
        </w:rPr>
      </w:pPr>
      <w:r>
        <w:rPr>
          <w:rFonts w:hint="eastAsia" w:ascii="方正仿宋简体" w:eastAsia="方正仿宋简体" w:cs="方正仿宋简体"/>
          <w:sz w:val="33"/>
          <w:szCs w:val="33"/>
          <w:u w:val="none"/>
        </w:rPr>
        <w:t>工作质量，完成本年度内信访安保工作</w:t>
      </w:r>
      <w:r>
        <w:rPr>
          <w:rFonts w:hint="eastAsia" w:ascii="方正仿宋简体" w:eastAsia="方正仿宋简体" w:cs="方正仿宋简体"/>
          <w:sz w:val="33"/>
          <w:szCs w:val="33"/>
          <w:u w:val="none"/>
          <w:lang w:eastAsia="zh-CN"/>
        </w:rPr>
        <w:t>。</w:t>
      </w:r>
    </w:p>
    <w:p>
      <w:pPr>
        <w:numPr>
          <w:ilvl w:val="0"/>
          <w:numId w:val="0"/>
        </w:numPr>
        <w:snapToGrid w:val="0"/>
        <w:spacing w:line="600" w:lineRule="exact"/>
        <w:ind w:firstLine="640" w:firstLineChars="200"/>
        <w:rPr>
          <w:rFonts w:hint="eastAsia" w:ascii="方正仿宋简体" w:eastAsia="方正仿宋简体" w:cs="方正仿宋简体"/>
          <w:sz w:val="33"/>
          <w:szCs w:val="33"/>
          <w:u w:val="none"/>
        </w:rPr>
      </w:pPr>
      <w:r>
        <w:rPr>
          <w:rFonts w:hint="eastAsia" w:ascii="Times New Roman" w:hAnsi="Times New Roman" w:cs="Times New Roman"/>
          <w:szCs w:val="32"/>
          <w:u w:val="none"/>
          <w:lang w:val="en-US" w:eastAsia="zh-CN"/>
        </w:rPr>
        <w:t>2.</w:t>
      </w:r>
      <w:r>
        <w:rPr>
          <w:rFonts w:hint="eastAsia" w:ascii="方正仿宋简体" w:eastAsia="方正仿宋简体" w:cs="方正仿宋简体"/>
          <w:sz w:val="33"/>
          <w:szCs w:val="33"/>
          <w:u w:val="none"/>
        </w:rPr>
        <w:t>一是党政机关办公场所、信访场所保安人员要履职尽责，做好上访人员甄别；二是对办公场所、信访场所配备必要的消防器材，确保人员会使用；三是对相关工作人员自身安全防范教育，进行必要的知识培训；四是要举一反三，对办公场所、信访场所安全隐患进行整治，做好防火、防盗、防爆、防喝农药等工作，切忌出现问题，产生负面影响。</w:t>
      </w:r>
    </w:p>
    <w:p>
      <w:pPr>
        <w:numPr>
          <w:ilvl w:val="0"/>
          <w:numId w:val="0"/>
        </w:numPr>
        <w:snapToGrid w:val="0"/>
        <w:spacing w:line="600" w:lineRule="exact"/>
        <w:ind w:firstLine="640" w:firstLineChars="200"/>
        <w:rPr>
          <w:lang w:val="zh-CN"/>
        </w:rPr>
      </w:pPr>
      <w:r>
        <w:rPr>
          <w:rFonts w:hint="eastAsia"/>
          <w:szCs w:val="32"/>
          <w:u w:val="none"/>
          <w:lang w:val="en-US" w:eastAsia="zh-CN"/>
        </w:rPr>
        <w:t>3.</w:t>
      </w:r>
      <w:r>
        <w:rPr>
          <w:rFonts w:hint="eastAsia" w:ascii="Times New Roman" w:hAnsi="Times New Roman"/>
          <w:szCs w:val="32"/>
          <w:u w:val="none"/>
        </w:rPr>
        <w:t>根据</w:t>
      </w:r>
      <w:r>
        <w:rPr>
          <w:rFonts w:ascii="Times New Roman" w:hAnsi="Times New Roman"/>
          <w:szCs w:val="32"/>
          <w:u w:val="none"/>
        </w:rPr>
        <w:t>20</w:t>
      </w:r>
      <w:r>
        <w:rPr>
          <w:rFonts w:hint="eastAsia" w:ascii="Times New Roman" w:hAnsi="Times New Roman"/>
          <w:szCs w:val="32"/>
          <w:u w:val="none"/>
          <w:lang w:val="en-US" w:eastAsia="zh-CN"/>
        </w:rPr>
        <w:t>24</w:t>
      </w:r>
      <w:r>
        <w:rPr>
          <w:rFonts w:hint="eastAsia" w:ascii="Times New Roman" w:hAnsi="Times New Roman"/>
          <w:szCs w:val="32"/>
          <w:u w:val="none"/>
        </w:rPr>
        <w:t>年预算编制要求，绩效评估本着真正过紧日子的原则，厉行节约、精打细算，从严从紧控制项目申报和预算安排，非必要项目和工作内容可压尽压、应压尽压，做到客观、绩效、精准。</w:t>
      </w:r>
    </w:p>
    <w:p>
      <w:pPr>
        <w:snapToGrid w:val="0"/>
        <w:spacing w:line="600" w:lineRule="exact"/>
        <w:ind w:firstLine="640" w:firstLineChars="200"/>
        <w:jc w:val="left"/>
        <w:rPr>
          <w:lang w:val="zh-CN"/>
        </w:rPr>
      </w:pPr>
      <w:r>
        <w:rPr>
          <w:lang w:val="zh-CN"/>
        </w:rPr>
        <w:t xml:space="preserve">4. </w:t>
      </w:r>
      <w:r>
        <w:rPr>
          <w:rFonts w:hint="eastAsia" w:ascii="Times New Roman" w:hAnsi="Times New Roman"/>
          <w:szCs w:val="32"/>
          <w:u w:val="none"/>
        </w:rPr>
        <w:t>202</w:t>
      </w:r>
      <w:r>
        <w:rPr>
          <w:rFonts w:hint="eastAsia" w:ascii="Times New Roman" w:hAnsi="Times New Roman"/>
          <w:szCs w:val="32"/>
          <w:u w:val="none"/>
          <w:lang w:val="en-US" w:eastAsia="zh-CN"/>
        </w:rPr>
        <w:t>2</w:t>
      </w:r>
      <w:r>
        <w:rPr>
          <w:rFonts w:hint="eastAsia" w:ascii="Times New Roman" w:hAnsi="Times New Roman"/>
          <w:szCs w:val="32"/>
          <w:u w:val="none"/>
        </w:rPr>
        <w:t>年预算安排</w:t>
      </w:r>
      <w:r>
        <w:rPr>
          <w:rFonts w:hint="eastAsia" w:ascii="Times New Roman" w:hAnsi="Times New Roman"/>
          <w:szCs w:val="32"/>
          <w:u w:val="none"/>
          <w:lang w:val="en-US" w:eastAsia="zh-CN"/>
        </w:rPr>
        <w:t>8</w:t>
      </w:r>
      <w:r>
        <w:rPr>
          <w:rFonts w:hint="eastAsia" w:ascii="Times New Roman" w:hAnsi="Times New Roman"/>
          <w:szCs w:val="32"/>
          <w:u w:val="none"/>
        </w:rPr>
        <w:t>万元，实际执行</w:t>
      </w:r>
      <w:r>
        <w:rPr>
          <w:rFonts w:hint="eastAsia" w:ascii="Times New Roman" w:hAnsi="Times New Roman"/>
          <w:szCs w:val="32"/>
          <w:u w:val="none"/>
          <w:lang w:val="en-US" w:eastAsia="zh-CN"/>
        </w:rPr>
        <w:t>8</w:t>
      </w:r>
      <w:r>
        <w:rPr>
          <w:rFonts w:hint="eastAsia" w:ascii="Times New Roman" w:hAnsi="Times New Roman"/>
          <w:szCs w:val="32"/>
          <w:u w:val="none"/>
        </w:rPr>
        <w:t>万元</w:t>
      </w:r>
      <w:r>
        <w:rPr>
          <w:rFonts w:ascii="Times New Roman" w:hAnsi="Times New Roman"/>
          <w:szCs w:val="32"/>
          <w:u w:val="none"/>
        </w:rPr>
        <w:t>；</w:t>
      </w:r>
      <w:r>
        <w:rPr>
          <w:rFonts w:hint="eastAsia" w:ascii="Times New Roman" w:hAnsi="Times New Roman"/>
          <w:szCs w:val="32"/>
          <w:u w:val="none"/>
        </w:rPr>
        <w:t>202</w:t>
      </w:r>
      <w:r>
        <w:rPr>
          <w:rFonts w:hint="eastAsia" w:ascii="Times New Roman" w:hAnsi="Times New Roman"/>
          <w:szCs w:val="32"/>
          <w:u w:val="none"/>
          <w:lang w:val="en-US" w:eastAsia="zh-CN"/>
        </w:rPr>
        <w:t>3</w:t>
      </w:r>
      <w:r>
        <w:rPr>
          <w:rFonts w:hint="eastAsia" w:ascii="Times New Roman" w:hAnsi="Times New Roman"/>
          <w:szCs w:val="32"/>
          <w:u w:val="none"/>
        </w:rPr>
        <w:t>年预算安排</w:t>
      </w:r>
      <w:r>
        <w:rPr>
          <w:rFonts w:hint="eastAsia" w:ascii="Times New Roman" w:hAnsi="Times New Roman"/>
          <w:szCs w:val="32"/>
          <w:u w:val="none"/>
          <w:lang w:val="en-US" w:eastAsia="zh-CN"/>
        </w:rPr>
        <w:t>8</w:t>
      </w:r>
      <w:r>
        <w:rPr>
          <w:rFonts w:hint="eastAsia" w:ascii="Times New Roman" w:hAnsi="Times New Roman"/>
          <w:szCs w:val="32"/>
          <w:u w:val="none"/>
        </w:rPr>
        <w:t>万元，实际执行</w:t>
      </w:r>
      <w:r>
        <w:rPr>
          <w:rFonts w:hint="eastAsia" w:ascii="Times New Roman" w:hAnsi="Times New Roman"/>
          <w:szCs w:val="32"/>
          <w:u w:val="none"/>
          <w:lang w:val="en-US" w:eastAsia="zh-CN"/>
        </w:rPr>
        <w:t>8</w:t>
      </w:r>
      <w:r>
        <w:rPr>
          <w:rFonts w:hint="eastAsia" w:ascii="Times New Roman" w:hAnsi="Times New Roman"/>
          <w:szCs w:val="32"/>
          <w:u w:val="none"/>
        </w:rPr>
        <w:t>万元</w:t>
      </w:r>
      <w:r>
        <w:rPr>
          <w:rFonts w:hint="eastAsia"/>
          <w:szCs w:val="32"/>
          <w:u w:val="none"/>
          <w:lang w:eastAsia="zh-CN"/>
        </w:rPr>
        <w:t>，</w:t>
      </w:r>
      <w:r>
        <w:rPr>
          <w:rFonts w:ascii="Times New Roman" w:hAnsi="Times New Roman"/>
          <w:szCs w:val="32"/>
          <w:u w:val="none"/>
        </w:rPr>
        <w:t>较上年</w:t>
      </w:r>
      <w:r>
        <w:rPr>
          <w:rFonts w:hint="eastAsia" w:ascii="Times New Roman" w:hAnsi="Times New Roman"/>
          <w:szCs w:val="32"/>
          <w:u w:val="none"/>
          <w:lang w:eastAsia="zh-CN"/>
        </w:rPr>
        <w:t>无变化</w:t>
      </w:r>
      <w:r>
        <w:rPr>
          <w:rFonts w:hint="eastAsia" w:ascii="Times New Roman" w:hAnsi="Times New Roman"/>
          <w:szCs w:val="32"/>
          <w:u w:val="none"/>
        </w:rPr>
        <w:t>。</w:t>
      </w:r>
    </w:p>
    <w:p>
      <w:pPr>
        <w:adjustRightInd w:val="0"/>
        <w:snapToGrid w:val="0"/>
        <w:spacing w:line="600" w:lineRule="exact"/>
        <w:ind w:firstLine="720"/>
        <w:rPr>
          <w:rFonts w:eastAsia="楷体_GB2312"/>
          <w:b/>
          <w:lang w:val="zh-CN"/>
        </w:rPr>
      </w:pPr>
      <w:r>
        <w:rPr>
          <w:rFonts w:eastAsia="楷体_GB2312"/>
          <w:b/>
          <w:lang w:val="zh-CN"/>
        </w:rPr>
        <w:t>（二）项目绩效目标。</w:t>
      </w:r>
    </w:p>
    <w:p>
      <w:pPr>
        <w:numPr>
          <w:ilvl w:val="0"/>
          <w:numId w:val="0"/>
        </w:numPr>
        <w:spacing w:line="353" w:lineRule="auto"/>
        <w:ind w:firstLine="640" w:firstLineChars="200"/>
        <w:rPr>
          <w:rFonts w:ascii="方正仿宋简体" w:eastAsia="方正仿宋简体" w:cs="Times New Roman"/>
          <w:sz w:val="33"/>
          <w:szCs w:val="33"/>
          <w:u w:val="none"/>
        </w:rPr>
      </w:pPr>
      <w:r>
        <w:rPr>
          <w:lang w:val="zh-CN"/>
        </w:rPr>
        <w:t>1. 项目主要内容。</w:t>
      </w:r>
      <w:r>
        <w:rPr>
          <w:rFonts w:hint="eastAsia" w:ascii="Times New Roman" w:hAnsi="Times New Roman" w:eastAsia="仿宋_GB2312" w:cs="仿宋_GB2312"/>
          <w:sz w:val="32"/>
          <w:szCs w:val="32"/>
          <w:u w:val="none"/>
        </w:rPr>
        <w:t>为认真贯彻落实会议精神，并</w:t>
      </w:r>
      <w:r>
        <w:rPr>
          <w:rFonts w:hint="eastAsia" w:ascii="方正仿宋简体" w:eastAsia="方正仿宋简体" w:cs="方正仿宋简体"/>
          <w:sz w:val="33"/>
          <w:szCs w:val="33"/>
          <w:u w:val="none"/>
        </w:rPr>
        <w:t>经请示分管、联系的区委、区政府领导同意，</w:t>
      </w:r>
      <w:r>
        <w:rPr>
          <w:rFonts w:hint="eastAsia" w:ascii="Times New Roman" w:hAnsi="Times New Roman" w:eastAsia="仿宋_GB2312" w:cs="仿宋_GB2312"/>
          <w:sz w:val="32"/>
          <w:szCs w:val="32"/>
          <w:u w:val="none"/>
        </w:rPr>
        <w:t>西区信访局公开招聘符合信访工作条件保安人员</w:t>
      </w:r>
      <w:r>
        <w:rPr>
          <w:rFonts w:ascii="Times New Roman" w:hAnsi="Times New Roman" w:eastAsia="仿宋_GB2312" w:cs="Times New Roman"/>
          <w:sz w:val="32"/>
          <w:szCs w:val="32"/>
          <w:u w:val="none"/>
        </w:rPr>
        <w:t>2</w:t>
      </w:r>
      <w:r>
        <w:rPr>
          <w:rFonts w:hint="eastAsia" w:ascii="Times New Roman" w:hAnsi="Times New Roman" w:eastAsia="仿宋_GB2312" w:cs="仿宋_GB2312"/>
          <w:sz w:val="32"/>
          <w:szCs w:val="32"/>
          <w:u w:val="none"/>
        </w:rPr>
        <w:t>名，</w:t>
      </w:r>
      <w:r>
        <w:rPr>
          <w:rFonts w:hint="eastAsia" w:ascii="方正仿宋简体" w:eastAsia="方正仿宋简体" w:cs="方正仿宋简体"/>
          <w:sz w:val="33"/>
          <w:szCs w:val="33"/>
          <w:u w:val="none"/>
        </w:rPr>
        <w:t>维持信访秩序，</w:t>
      </w:r>
      <w:r>
        <w:rPr>
          <w:rFonts w:ascii="方正仿宋简体" w:eastAsia="方正仿宋简体" w:cs="方正仿宋简体"/>
          <w:sz w:val="33"/>
          <w:szCs w:val="33"/>
          <w:u w:val="none"/>
        </w:rPr>
        <w:t>24</w:t>
      </w:r>
      <w:r>
        <w:rPr>
          <w:rFonts w:hint="eastAsia" w:ascii="方正仿宋简体" w:eastAsia="方正仿宋简体" w:cs="方正仿宋简体"/>
          <w:sz w:val="33"/>
          <w:szCs w:val="33"/>
          <w:u w:val="none"/>
        </w:rPr>
        <w:t>小时对周边环境进行巡逻和值班。</w:t>
      </w:r>
    </w:p>
    <w:p>
      <w:pPr>
        <w:adjustRightInd w:val="0"/>
        <w:snapToGrid w:val="0"/>
        <w:spacing w:line="600" w:lineRule="exact"/>
        <w:ind w:firstLine="720"/>
        <w:rPr>
          <w:rFonts w:hint="eastAsia" w:ascii="Times New Roman" w:hAnsi="Times New Roman" w:eastAsia="仿宋_GB2312" w:cs="仿宋_GB2312"/>
          <w:sz w:val="32"/>
          <w:szCs w:val="32"/>
        </w:rPr>
      </w:pPr>
      <w:r>
        <w:rPr>
          <w:lang w:val="zh-CN"/>
        </w:rPr>
        <w:t xml:space="preserve">2. </w:t>
      </w:r>
      <w:r>
        <w:rPr>
          <w:rFonts w:hint="eastAsia" w:ascii="Times New Roman" w:hAnsi="Times New Roman" w:eastAsia="仿宋_GB2312" w:cs="仿宋_GB2312"/>
          <w:sz w:val="32"/>
          <w:szCs w:val="32"/>
        </w:rPr>
        <w:t>有效地保障信访部门上访群众和信访工作人员的人身安全，更好的完成接访工作，提高群众满意度。</w:t>
      </w:r>
    </w:p>
    <w:p>
      <w:pPr>
        <w:snapToGrid w:val="0"/>
        <w:spacing w:line="600" w:lineRule="atLeast"/>
        <w:ind w:firstLine="627" w:firstLineChars="196"/>
        <w:jc w:val="left"/>
        <w:rPr>
          <w:rFonts w:hint="eastAsia" w:ascii="仿宋_GB2312" w:cs="仿宋_GB2312"/>
          <w:sz w:val="32"/>
          <w:szCs w:val="32"/>
          <w:u w:val="none"/>
          <w:lang w:eastAsia="zh-CN"/>
        </w:rPr>
      </w:pPr>
      <w:r>
        <w:rPr>
          <w:lang w:val="zh-CN"/>
        </w:rPr>
        <w:t xml:space="preserve">3. </w:t>
      </w:r>
      <w:r>
        <w:rPr>
          <w:rFonts w:hint="eastAsia" w:ascii="仿宋_GB2312" w:eastAsia="仿宋_GB2312" w:cs="仿宋_GB2312"/>
          <w:sz w:val="32"/>
          <w:szCs w:val="32"/>
          <w:u w:val="none"/>
        </w:rPr>
        <w:t>按照</w:t>
      </w:r>
      <w:r>
        <w:rPr>
          <w:rFonts w:hint="eastAsia" w:ascii="仿宋_GB2312" w:cs="仿宋_GB2312"/>
          <w:sz w:val="32"/>
          <w:szCs w:val="32"/>
          <w:u w:val="none"/>
          <w:lang w:eastAsia="zh-CN"/>
        </w:rPr>
        <w:t>攀枝花市信访联席会议办公室</w:t>
      </w:r>
      <w:r>
        <w:rPr>
          <w:rFonts w:hint="eastAsia" w:ascii="仿宋_GB2312" w:eastAsia="仿宋_GB2312" w:cs="仿宋_GB2312"/>
          <w:sz w:val="32"/>
          <w:szCs w:val="32"/>
          <w:u w:val="none"/>
        </w:rPr>
        <w:t>《关于</w:t>
      </w:r>
      <w:r>
        <w:rPr>
          <w:rFonts w:hint="eastAsia" w:ascii="仿宋_GB2312" w:cs="仿宋_GB2312"/>
          <w:sz w:val="32"/>
          <w:szCs w:val="32"/>
          <w:u w:val="none"/>
          <w:lang w:eastAsia="zh-CN"/>
        </w:rPr>
        <w:t>进一步做好涉稳涉访重点问题和重点人员信访稳定工作</w:t>
      </w:r>
      <w:r>
        <w:rPr>
          <w:rFonts w:hint="eastAsia" w:ascii="仿宋_GB2312" w:eastAsia="仿宋_GB2312" w:cs="仿宋_GB2312"/>
          <w:sz w:val="32"/>
          <w:szCs w:val="32"/>
          <w:u w:val="none"/>
        </w:rPr>
        <w:t>的通知》（攀信联办〔</w:t>
      </w:r>
      <w:r>
        <w:rPr>
          <w:rFonts w:ascii="仿宋_GB2312" w:eastAsia="仿宋_GB2312" w:cs="仿宋_GB2312"/>
          <w:sz w:val="32"/>
          <w:szCs w:val="32"/>
          <w:u w:val="none"/>
        </w:rPr>
        <w:t>20</w:t>
      </w:r>
      <w:r>
        <w:rPr>
          <w:rFonts w:hint="eastAsia" w:ascii="仿宋_GB2312" w:cs="仿宋_GB2312"/>
          <w:sz w:val="32"/>
          <w:szCs w:val="32"/>
          <w:u w:val="none"/>
          <w:lang w:val="en-US" w:eastAsia="zh-CN"/>
        </w:rPr>
        <w:t>22</w:t>
      </w:r>
      <w:r>
        <w:rPr>
          <w:rFonts w:hint="eastAsia" w:ascii="仿宋_GB2312" w:eastAsia="仿宋_GB2312" w:cs="仿宋_GB2312"/>
          <w:sz w:val="32"/>
          <w:szCs w:val="32"/>
          <w:u w:val="none"/>
        </w:rPr>
        <w:t>〕</w:t>
      </w:r>
      <w:r>
        <w:rPr>
          <w:rFonts w:hint="eastAsia" w:ascii="仿宋_GB2312" w:cs="仿宋_GB2312"/>
          <w:sz w:val="32"/>
          <w:szCs w:val="32"/>
          <w:u w:val="none"/>
          <w:lang w:val="en-US" w:eastAsia="zh-CN"/>
        </w:rPr>
        <w:t>34</w:t>
      </w:r>
      <w:r>
        <w:rPr>
          <w:rFonts w:hint="eastAsia" w:ascii="仿宋_GB2312" w:eastAsia="仿宋_GB2312" w:cs="仿宋_GB2312"/>
          <w:sz w:val="32"/>
          <w:szCs w:val="32"/>
          <w:u w:val="none"/>
        </w:rPr>
        <w:t>号）</w:t>
      </w:r>
      <w:r>
        <w:rPr>
          <w:rFonts w:hint="eastAsia" w:ascii="仿宋_GB2312" w:cs="仿宋_GB2312"/>
          <w:sz w:val="32"/>
          <w:szCs w:val="32"/>
          <w:u w:val="none"/>
          <w:lang w:eastAsia="zh-CN"/>
        </w:rPr>
        <w:t>，攀枝花市信访联席会议办公室关于转发</w:t>
      </w:r>
      <w:r>
        <w:rPr>
          <w:rFonts w:hint="eastAsia" w:ascii="仿宋_GB2312" w:eastAsia="仿宋_GB2312" w:cs="仿宋_GB2312"/>
          <w:sz w:val="32"/>
          <w:szCs w:val="32"/>
          <w:u w:val="none"/>
        </w:rPr>
        <w:t>《</w:t>
      </w:r>
      <w:r>
        <w:rPr>
          <w:rFonts w:hint="eastAsia" w:ascii="仿宋_GB2312" w:cs="仿宋_GB2312"/>
          <w:sz w:val="32"/>
          <w:szCs w:val="32"/>
          <w:u w:val="none"/>
          <w:lang w:eastAsia="zh-CN"/>
        </w:rPr>
        <w:t>四川省信访联席会议办公室关于进一步做好信访安全稳定风险事项化解稳定工作</w:t>
      </w:r>
      <w:r>
        <w:rPr>
          <w:rFonts w:hint="eastAsia" w:ascii="仿宋_GB2312" w:eastAsia="仿宋_GB2312" w:cs="仿宋_GB2312"/>
          <w:sz w:val="32"/>
          <w:szCs w:val="32"/>
          <w:u w:val="none"/>
        </w:rPr>
        <w:t>的通知》文件要求，</w:t>
      </w:r>
      <w:r>
        <w:rPr>
          <w:rFonts w:ascii="仿宋_GB2312" w:eastAsia="仿宋_GB2312" w:cs="仿宋_GB2312"/>
          <w:sz w:val="32"/>
          <w:szCs w:val="32"/>
          <w:u w:val="none"/>
        </w:rPr>
        <w:t>20</w:t>
      </w:r>
      <w:r>
        <w:rPr>
          <w:rFonts w:hint="eastAsia" w:ascii="仿宋_GB2312" w:cs="仿宋_GB2312"/>
          <w:sz w:val="32"/>
          <w:szCs w:val="32"/>
          <w:u w:val="none"/>
          <w:lang w:val="en-US" w:eastAsia="zh-CN"/>
        </w:rPr>
        <w:t>22</w:t>
      </w:r>
      <w:r>
        <w:rPr>
          <w:rFonts w:hint="eastAsia" w:ascii="仿宋_GB2312" w:eastAsia="仿宋_GB2312" w:cs="仿宋_GB2312"/>
          <w:sz w:val="32"/>
          <w:szCs w:val="32"/>
          <w:u w:val="none"/>
        </w:rPr>
        <w:t>年</w:t>
      </w:r>
      <w:r>
        <w:rPr>
          <w:rFonts w:hint="eastAsia" w:ascii="仿宋_GB2312" w:cs="仿宋_GB2312"/>
          <w:sz w:val="32"/>
          <w:szCs w:val="32"/>
          <w:u w:val="none"/>
          <w:lang w:val="en-US" w:eastAsia="zh-CN"/>
        </w:rPr>
        <w:t>9</w:t>
      </w:r>
      <w:r>
        <w:rPr>
          <w:rFonts w:hint="eastAsia" w:ascii="仿宋_GB2312" w:eastAsia="仿宋_GB2312" w:cs="仿宋_GB2312"/>
          <w:sz w:val="32"/>
          <w:szCs w:val="32"/>
          <w:u w:val="none"/>
        </w:rPr>
        <w:t>月</w:t>
      </w:r>
      <w:r>
        <w:rPr>
          <w:rFonts w:hint="eastAsia" w:ascii="仿宋_GB2312" w:cs="仿宋_GB2312"/>
          <w:sz w:val="32"/>
          <w:szCs w:val="32"/>
          <w:u w:val="none"/>
          <w:lang w:val="en-US" w:eastAsia="zh-CN"/>
        </w:rPr>
        <w:t>15</w:t>
      </w:r>
      <w:r>
        <w:rPr>
          <w:rFonts w:hint="eastAsia" w:ascii="仿宋_GB2312" w:eastAsia="仿宋_GB2312" w:cs="仿宋_GB2312"/>
          <w:sz w:val="32"/>
          <w:szCs w:val="32"/>
          <w:u w:val="none"/>
        </w:rPr>
        <w:t>日，</w:t>
      </w:r>
      <w:r>
        <w:rPr>
          <w:rFonts w:hint="eastAsia" w:ascii="仿宋_GB2312" w:cs="仿宋_GB2312"/>
          <w:sz w:val="32"/>
          <w:szCs w:val="32"/>
          <w:u w:val="none"/>
          <w:lang w:eastAsia="zh-CN"/>
        </w:rPr>
        <w:t>市政府副市长、市公安局局长周强</w:t>
      </w:r>
      <w:r>
        <w:rPr>
          <w:rFonts w:hint="eastAsia" w:ascii="仿宋_GB2312" w:eastAsia="仿宋_GB2312" w:cs="仿宋_GB2312"/>
          <w:sz w:val="32"/>
          <w:szCs w:val="32"/>
          <w:u w:val="none"/>
        </w:rPr>
        <w:t>组织召开了</w:t>
      </w:r>
      <w:r>
        <w:rPr>
          <w:rFonts w:hint="eastAsia" w:ascii="仿宋_GB2312" w:cs="仿宋_GB2312"/>
          <w:sz w:val="32"/>
          <w:szCs w:val="32"/>
          <w:u w:val="none"/>
          <w:lang w:eastAsia="zh-CN"/>
        </w:rPr>
        <w:t>信访安全保障工作专题会议</w:t>
      </w:r>
      <w:r>
        <w:rPr>
          <w:rFonts w:hint="eastAsia" w:ascii="仿宋_GB2312" w:eastAsia="仿宋_GB2312" w:cs="仿宋_GB2312"/>
          <w:sz w:val="32"/>
          <w:szCs w:val="32"/>
          <w:u w:val="none"/>
        </w:rPr>
        <w:t>，</w:t>
      </w:r>
      <w:r>
        <w:rPr>
          <w:rFonts w:hint="eastAsia" w:ascii="仿宋_GB2312" w:cs="仿宋_GB2312"/>
          <w:sz w:val="32"/>
          <w:szCs w:val="32"/>
          <w:u w:val="none"/>
          <w:lang w:eastAsia="zh-CN"/>
        </w:rPr>
        <w:t>要求做好信访安全保障工作，营造安全稳定和谐社会环境。</w:t>
      </w:r>
    </w:p>
    <w:p>
      <w:pPr>
        <w:adjustRightInd w:val="0"/>
        <w:snapToGrid w:val="0"/>
        <w:spacing w:line="600" w:lineRule="exact"/>
        <w:ind w:firstLine="643" w:firstLineChars="200"/>
        <w:rPr>
          <w:rFonts w:eastAsia="楷体_GB2312"/>
          <w:b/>
          <w:lang w:val="zh-CN"/>
        </w:rPr>
      </w:pPr>
      <w:r>
        <w:rPr>
          <w:rFonts w:eastAsia="楷体_GB2312"/>
          <w:b/>
          <w:lang w:val="zh-CN"/>
        </w:rPr>
        <w:t>（三）项目自评步骤及方法。</w:t>
      </w:r>
    </w:p>
    <w:p>
      <w:pPr>
        <w:snapToGrid w:val="0"/>
        <w:spacing w:line="600" w:lineRule="exact"/>
        <w:ind w:firstLine="643" w:firstLineChars="200"/>
        <w:jc w:val="left"/>
        <w:rPr>
          <w:rFonts w:ascii="楷体_GB2312" w:hAnsi="Times New Roman" w:eastAsia="楷体_GB2312"/>
          <w:b/>
          <w:szCs w:val="32"/>
          <w:u w:val="none"/>
        </w:rPr>
      </w:pPr>
      <w:r>
        <w:rPr>
          <w:rFonts w:hint="eastAsia" w:ascii="楷体_GB2312" w:hAnsi="Times New Roman" w:eastAsia="楷体_GB2312"/>
          <w:b/>
          <w:szCs w:val="32"/>
          <w:u w:val="none"/>
          <w:lang w:val="en-US" w:eastAsia="zh-CN"/>
        </w:rPr>
        <w:t>1.</w:t>
      </w:r>
      <w:r>
        <w:rPr>
          <w:rFonts w:ascii="楷体_GB2312" w:hAnsi="Times New Roman" w:eastAsia="楷体_GB2312"/>
          <w:b/>
          <w:szCs w:val="32"/>
          <w:u w:val="none"/>
        </w:rPr>
        <w:t>评估程序</w:t>
      </w:r>
    </w:p>
    <w:p>
      <w:pPr>
        <w:snapToGrid w:val="0"/>
        <w:spacing w:line="600" w:lineRule="exact"/>
        <w:ind w:firstLine="640" w:firstLineChars="200"/>
        <w:rPr>
          <w:rFonts w:ascii="Times New Roman" w:hAnsi="Times New Roman"/>
          <w:szCs w:val="32"/>
          <w:u w:val="none"/>
        </w:rPr>
      </w:pPr>
      <w:r>
        <w:rPr>
          <w:rFonts w:ascii="Times New Roman" w:hAnsi="Times New Roman"/>
          <w:szCs w:val="32"/>
          <w:u w:val="none"/>
        </w:rPr>
        <w:t>20</w:t>
      </w:r>
      <w:r>
        <w:rPr>
          <w:rFonts w:hint="eastAsia" w:ascii="Times New Roman" w:hAnsi="Times New Roman"/>
          <w:szCs w:val="32"/>
          <w:u w:val="none"/>
          <w:lang w:val="en-US" w:eastAsia="zh-CN"/>
        </w:rPr>
        <w:t>24</w:t>
      </w:r>
      <w:r>
        <w:rPr>
          <w:rFonts w:hint="eastAsia" w:ascii="Times New Roman" w:hAnsi="Times New Roman"/>
          <w:szCs w:val="32"/>
          <w:u w:val="none"/>
        </w:rPr>
        <w:t>年度</w:t>
      </w:r>
      <w:r>
        <w:rPr>
          <w:rFonts w:ascii="Times New Roman" w:hAnsi="Times New Roman"/>
          <w:szCs w:val="32"/>
          <w:u w:val="none"/>
        </w:rPr>
        <w:t>预算</w:t>
      </w:r>
      <w:r>
        <w:rPr>
          <w:rFonts w:hint="eastAsia" w:ascii="Times New Roman" w:hAnsi="Times New Roman"/>
          <w:szCs w:val="32"/>
          <w:u w:val="none"/>
        </w:rPr>
        <w:t>项目</w:t>
      </w:r>
      <w:r>
        <w:rPr>
          <w:rFonts w:ascii="Times New Roman" w:hAnsi="Times New Roman"/>
          <w:szCs w:val="32"/>
          <w:u w:val="none"/>
        </w:rPr>
        <w:t>绩效评估工作通过线上与线下相结合方式开展。</w:t>
      </w:r>
      <w:r>
        <w:rPr>
          <w:rFonts w:hint="eastAsia" w:ascii="Times New Roman" w:hAnsi="Times New Roman"/>
          <w:szCs w:val="32"/>
          <w:u w:val="none"/>
        </w:rPr>
        <w:t>按照有关规定和工作安排，我单位开展自行评估，通过自行成立组建评估组，</w:t>
      </w:r>
      <w:r>
        <w:rPr>
          <w:rFonts w:ascii="Times New Roman" w:hAnsi="Times New Roman"/>
          <w:szCs w:val="32"/>
          <w:u w:val="none"/>
        </w:rPr>
        <w:t>通过</w:t>
      </w:r>
      <w:r>
        <w:rPr>
          <w:rFonts w:hint="eastAsia" w:ascii="Times New Roman" w:hAnsi="Times New Roman"/>
          <w:szCs w:val="32"/>
          <w:u w:val="none"/>
        </w:rPr>
        <w:t>收集被评估</w:t>
      </w:r>
      <w:r>
        <w:rPr>
          <w:rFonts w:ascii="Times New Roman" w:hAnsi="Times New Roman"/>
          <w:szCs w:val="32"/>
          <w:u w:val="none"/>
        </w:rPr>
        <w:t>项目</w:t>
      </w:r>
      <w:r>
        <w:rPr>
          <w:rFonts w:hint="eastAsia" w:ascii="Times New Roman" w:hAnsi="Times New Roman"/>
          <w:szCs w:val="32"/>
          <w:u w:val="none"/>
        </w:rPr>
        <w:t>相关</w:t>
      </w:r>
      <w:r>
        <w:rPr>
          <w:rFonts w:ascii="Times New Roman" w:hAnsi="Times New Roman"/>
          <w:szCs w:val="32"/>
          <w:u w:val="none"/>
        </w:rPr>
        <w:t>基础资料，</w:t>
      </w:r>
      <w:r>
        <w:rPr>
          <w:rFonts w:hint="eastAsia" w:ascii="Times New Roman" w:hAnsi="Times New Roman"/>
          <w:szCs w:val="32"/>
          <w:u w:val="none"/>
        </w:rPr>
        <w:t>并</w:t>
      </w:r>
      <w:r>
        <w:rPr>
          <w:rFonts w:ascii="Times New Roman" w:hAnsi="Times New Roman"/>
          <w:szCs w:val="32"/>
          <w:u w:val="none"/>
        </w:rPr>
        <w:t>查阅资料、</w:t>
      </w:r>
      <w:r>
        <w:rPr>
          <w:rFonts w:hint="eastAsia" w:ascii="Times New Roman" w:hAnsi="Times New Roman"/>
          <w:szCs w:val="32"/>
          <w:u w:val="none"/>
        </w:rPr>
        <w:t>收集数据信息</w:t>
      </w:r>
      <w:r>
        <w:rPr>
          <w:rFonts w:ascii="Times New Roman" w:hAnsi="Times New Roman"/>
          <w:szCs w:val="32"/>
          <w:u w:val="none"/>
        </w:rPr>
        <w:t>等</w:t>
      </w:r>
      <w:r>
        <w:rPr>
          <w:rFonts w:hint="eastAsia" w:ascii="Times New Roman" w:hAnsi="Times New Roman"/>
          <w:szCs w:val="32"/>
          <w:u w:val="none"/>
        </w:rPr>
        <w:t>，深入论证</w:t>
      </w:r>
      <w:r>
        <w:rPr>
          <w:rFonts w:ascii="Times New Roman" w:hAnsi="Times New Roman"/>
          <w:szCs w:val="32"/>
          <w:u w:val="none"/>
        </w:rPr>
        <w:t>分析后，形成绩效评估报告。</w:t>
      </w:r>
    </w:p>
    <w:p>
      <w:pPr>
        <w:snapToGrid w:val="0"/>
        <w:spacing w:line="600" w:lineRule="exact"/>
        <w:ind w:firstLine="643" w:firstLineChars="200"/>
        <w:jc w:val="left"/>
        <w:rPr>
          <w:rFonts w:ascii="楷体_GB2312" w:hAnsi="Times New Roman" w:eastAsia="楷体_GB2312"/>
          <w:b/>
          <w:szCs w:val="32"/>
          <w:u w:val="none"/>
        </w:rPr>
      </w:pPr>
      <w:r>
        <w:rPr>
          <w:rFonts w:hint="eastAsia" w:ascii="楷体_GB2312" w:hAnsi="Times New Roman" w:eastAsia="楷体_GB2312"/>
          <w:b/>
          <w:szCs w:val="32"/>
          <w:u w:val="none"/>
          <w:lang w:val="en-US" w:eastAsia="zh-CN"/>
        </w:rPr>
        <w:t>2.</w:t>
      </w:r>
      <w:r>
        <w:rPr>
          <w:rFonts w:hint="eastAsia" w:ascii="楷体_GB2312" w:hAnsi="Times New Roman" w:eastAsia="楷体_GB2312"/>
          <w:b/>
          <w:szCs w:val="32"/>
          <w:u w:val="none"/>
        </w:rPr>
        <w:t>评估方法</w:t>
      </w:r>
    </w:p>
    <w:p>
      <w:pPr>
        <w:snapToGrid w:val="0"/>
        <w:spacing w:line="600" w:lineRule="exact"/>
        <w:ind w:firstLine="640" w:firstLineChars="200"/>
        <w:rPr>
          <w:rFonts w:ascii="Times New Roman" w:hAnsi="Times New Roman"/>
          <w:szCs w:val="32"/>
          <w:u w:val="none"/>
        </w:rPr>
      </w:pPr>
      <w:r>
        <w:rPr>
          <w:rFonts w:hint="eastAsia" w:ascii="Times New Roman" w:hAnsi="Times New Roman"/>
          <w:szCs w:val="32"/>
          <w:u w:val="none"/>
        </w:rPr>
        <w:t>本项目通过现场踏勘、与项目相关人员座谈或讨论、</w:t>
      </w:r>
      <w:r>
        <w:rPr>
          <w:rFonts w:ascii="Times New Roman"/>
          <w:szCs w:val="32"/>
          <w:u w:val="none"/>
        </w:rPr>
        <w:t>聘请相关专业专家、市场调研</w:t>
      </w:r>
      <w:r>
        <w:rPr>
          <w:rFonts w:hint="eastAsia" w:ascii="Times New Roman"/>
          <w:szCs w:val="32"/>
          <w:u w:val="none"/>
        </w:rPr>
        <w:t>等方法</w:t>
      </w:r>
      <w:r>
        <w:rPr>
          <w:rFonts w:ascii="Times New Roman"/>
          <w:szCs w:val="32"/>
          <w:u w:val="none"/>
        </w:rPr>
        <w:t>了解项目情况</w:t>
      </w:r>
      <w:r>
        <w:rPr>
          <w:rFonts w:hint="eastAsia" w:ascii="Times New Roman" w:hAnsi="Times New Roman"/>
          <w:szCs w:val="32"/>
          <w:u w:val="none"/>
        </w:rPr>
        <w:t>，收集相关资料，综合分析相关情况后，对项目的立项必要性、投入经济性、目标合理性、方案可行性以及筹资合规性实施评估。</w:t>
      </w:r>
    </w:p>
    <w:p>
      <w:pPr>
        <w:adjustRightInd w:val="0"/>
        <w:snapToGrid w:val="0"/>
        <w:spacing w:line="600" w:lineRule="exact"/>
        <w:ind w:firstLine="720"/>
        <w:rPr>
          <w:rFonts w:eastAsia="黑体"/>
        </w:rPr>
      </w:pPr>
      <w:r>
        <w:rPr>
          <w:rFonts w:eastAsia="黑体"/>
        </w:rPr>
        <w:t>二、项目资金申报及使用情况</w:t>
      </w:r>
    </w:p>
    <w:p>
      <w:pPr>
        <w:adjustRightInd w:val="0"/>
        <w:snapToGrid w:val="0"/>
        <w:spacing w:line="600" w:lineRule="exact"/>
        <w:ind w:firstLine="720"/>
        <w:rPr>
          <w:rFonts w:eastAsia="楷体_GB2312"/>
          <w:b/>
          <w:lang w:val="zh-CN"/>
        </w:rPr>
      </w:pPr>
      <w:r>
        <w:rPr>
          <w:rFonts w:eastAsia="楷体_GB2312"/>
          <w:b/>
          <w:lang w:val="zh-CN"/>
        </w:rPr>
        <w:t>（一）项目资金申报及批复情况。</w:t>
      </w:r>
    </w:p>
    <w:p>
      <w:pPr>
        <w:adjustRightInd w:val="0"/>
        <w:snapToGrid w:val="0"/>
        <w:spacing w:line="600" w:lineRule="exact"/>
        <w:ind w:firstLine="720"/>
        <w:rPr>
          <w:lang w:val="zh-CN"/>
        </w:rPr>
      </w:pPr>
      <w:r>
        <w:rPr>
          <w:rFonts w:hint="eastAsia"/>
          <w:lang w:val="en-US" w:eastAsia="zh-CN"/>
        </w:rPr>
        <w:t>该</w:t>
      </w:r>
      <w:r>
        <w:rPr>
          <w:lang w:val="zh-CN"/>
        </w:rPr>
        <w:t>项资金</w:t>
      </w:r>
      <w:r>
        <w:rPr>
          <w:rFonts w:hint="eastAsia"/>
          <w:lang w:val="en-US" w:eastAsia="zh-CN"/>
        </w:rPr>
        <w:t>于2022年12月</w:t>
      </w:r>
      <w:r>
        <w:rPr>
          <w:lang w:val="zh-CN"/>
        </w:rPr>
        <w:t>申报</w:t>
      </w:r>
      <w:r>
        <w:rPr>
          <w:rFonts w:hint="eastAsia"/>
          <w:lang w:val="zh-CN"/>
        </w:rPr>
        <w:t>，</w:t>
      </w:r>
      <w:r>
        <w:rPr>
          <w:rFonts w:hint="eastAsia"/>
          <w:lang w:val="en-US" w:eastAsia="zh-CN"/>
        </w:rPr>
        <w:t>2023年2月批复并于3月在政府信息公开网公开</w:t>
      </w:r>
      <w:r>
        <w:rPr>
          <w:lang w:val="zh-CN"/>
        </w:rPr>
        <w:t>。</w:t>
      </w:r>
    </w:p>
    <w:p>
      <w:pPr>
        <w:numPr>
          <w:ilvl w:val="0"/>
          <w:numId w:val="1"/>
        </w:numPr>
        <w:adjustRightInd w:val="0"/>
        <w:snapToGrid w:val="0"/>
        <w:spacing w:line="600" w:lineRule="exact"/>
        <w:ind w:firstLine="720"/>
        <w:rPr>
          <w:rFonts w:eastAsia="楷体_GB2312"/>
          <w:b/>
          <w:lang w:val="zh-CN"/>
        </w:rPr>
      </w:pPr>
      <w:r>
        <w:rPr>
          <w:rFonts w:eastAsia="楷体_GB2312"/>
          <w:b/>
          <w:lang w:val="zh-CN"/>
        </w:rPr>
        <w:t>资金计划、到位及使用情况。</w:t>
      </w:r>
    </w:p>
    <w:p>
      <w:pPr>
        <w:pStyle w:val="3"/>
        <w:numPr>
          <w:ilvl w:val="0"/>
          <w:numId w:val="0"/>
        </w:numPr>
        <w:rPr>
          <w:rFonts w:hint="default" w:eastAsia="仿宋_GB2312"/>
          <w:lang w:val="en-US" w:eastAsia="zh-CN"/>
        </w:rPr>
      </w:pPr>
      <w:r>
        <w:rPr>
          <w:rFonts w:hint="eastAsia"/>
          <w:lang w:val="en-US" w:eastAsia="zh-CN"/>
        </w:rPr>
        <w:t xml:space="preserve">    该项目资金年初预算8万元，区财政已及时拨付到位，全年完成数8万元。</w:t>
      </w:r>
    </w:p>
    <w:p>
      <w:pPr>
        <w:adjustRightInd w:val="0"/>
        <w:snapToGrid w:val="0"/>
        <w:spacing w:line="600" w:lineRule="exact"/>
        <w:ind w:firstLine="720"/>
        <w:rPr>
          <w:rFonts w:eastAsia="楷体_GB2312"/>
          <w:b/>
          <w:lang w:val="zh-CN"/>
        </w:rPr>
      </w:pPr>
      <w:r>
        <w:rPr>
          <w:rFonts w:eastAsia="楷体_GB2312"/>
          <w:b/>
          <w:lang w:val="zh-CN"/>
        </w:rPr>
        <w:t>（三）项目财务管理情况。</w:t>
      </w:r>
    </w:p>
    <w:p>
      <w:pPr>
        <w:adjustRightInd w:val="0"/>
        <w:snapToGrid w:val="0"/>
        <w:spacing w:line="600" w:lineRule="exact"/>
        <w:ind w:firstLine="720"/>
        <w:rPr>
          <w:lang w:val="zh-CN"/>
        </w:rPr>
      </w:pPr>
      <w:r>
        <w:rPr>
          <w:rFonts w:hint="eastAsia"/>
          <w:lang w:val="en-US" w:eastAsia="zh-CN"/>
        </w:rPr>
        <w:t>该</w:t>
      </w:r>
      <w:r>
        <w:rPr>
          <w:lang w:val="zh-CN"/>
        </w:rPr>
        <w:t>项目实施财务管理制度健全，严格执行财务管理制度，账务处理及时，会计核算规范。</w:t>
      </w:r>
    </w:p>
    <w:p>
      <w:pPr>
        <w:adjustRightInd w:val="0"/>
        <w:snapToGrid w:val="0"/>
        <w:spacing w:line="600" w:lineRule="exact"/>
        <w:ind w:firstLine="720"/>
        <w:rPr>
          <w:rFonts w:eastAsia="黑体"/>
        </w:rPr>
      </w:pPr>
      <w:r>
        <w:rPr>
          <w:rFonts w:eastAsia="黑体"/>
        </w:rPr>
        <w:t>三、项目实施及管理情况</w:t>
      </w:r>
    </w:p>
    <w:p>
      <w:pPr>
        <w:adjustRightInd w:val="0"/>
        <w:snapToGrid w:val="0"/>
        <w:spacing w:line="560" w:lineRule="exact"/>
        <w:ind w:firstLine="643" w:firstLineChars="200"/>
        <w:rPr>
          <w:rFonts w:eastAsia="楷体_GB2312"/>
          <w:b/>
          <w:lang w:val="zh-CN"/>
        </w:rPr>
      </w:pPr>
      <w:r>
        <w:rPr>
          <w:rFonts w:eastAsia="楷体_GB2312"/>
          <w:b/>
          <w:lang w:val="zh-CN"/>
        </w:rPr>
        <w:t>（一）项目组织架构及实施流程。</w:t>
      </w:r>
      <w:r>
        <w:rPr>
          <w:rFonts w:hint="eastAsia" w:ascii="Times New Roman" w:hAnsi="Times New Roman" w:eastAsia="仿宋_GB2312" w:cs="Times New Roman"/>
          <w:sz w:val="32"/>
          <w:szCs w:val="32"/>
          <w:u w:val="none"/>
          <w:lang w:eastAsia="zh-CN"/>
        </w:rPr>
        <w:t>该笔</w:t>
      </w:r>
      <w:r>
        <w:rPr>
          <w:rFonts w:ascii="Times New Roman" w:hAnsi="Times New Roman" w:eastAsia="仿宋_GB2312" w:cs="Times New Roman"/>
          <w:sz w:val="32"/>
          <w:szCs w:val="32"/>
          <w:u w:val="none"/>
        </w:rPr>
        <w:t>资金来源渠道的合法合规，评估内容具有公共性，属于公共财政支持范围，筹资渠道符合法律法规规定，筹资结构合理，资金来源渠道明确</w:t>
      </w:r>
      <w:r>
        <w:rPr>
          <w:rFonts w:hint="eastAsia"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353" w:lineRule="auto"/>
        <w:ind w:firstLine="643" w:firstLineChars="200"/>
        <w:textAlignment w:val="auto"/>
        <w:outlineLvl w:val="9"/>
        <w:rPr>
          <w:lang w:val="zh-CN"/>
        </w:rPr>
      </w:pPr>
      <w:r>
        <w:rPr>
          <w:rFonts w:eastAsia="楷体_GB2312"/>
          <w:b/>
          <w:lang w:val="zh-CN"/>
        </w:rPr>
        <w:t>（二）项目管理情况。</w:t>
      </w:r>
      <w:r>
        <w:rPr>
          <w:rFonts w:ascii="Times New Roman" w:hAnsi="Times New Roman" w:eastAsia="仿宋_GB2312"/>
          <w:sz w:val="32"/>
          <w:szCs w:val="32"/>
        </w:rPr>
        <w:t>严格按照批复的支出预算执行，对人员经费严格按照上级的有关政策规定执行，</w:t>
      </w:r>
      <w:r>
        <w:rPr>
          <w:rFonts w:hint="eastAsia"/>
          <w:sz w:val="32"/>
          <w:szCs w:val="32"/>
          <w:lang w:val="en-US" w:eastAsia="zh-CN"/>
        </w:rPr>
        <w:t>无</w:t>
      </w:r>
      <w:r>
        <w:rPr>
          <w:rFonts w:ascii="Times New Roman" w:hAnsi="Times New Roman" w:eastAsia="仿宋_GB2312"/>
          <w:sz w:val="32"/>
          <w:szCs w:val="32"/>
        </w:rPr>
        <w:t>擅自扩大开支范围和提高开支标准</w:t>
      </w:r>
      <w:r>
        <w:rPr>
          <w:rFonts w:hint="eastAsia"/>
          <w:sz w:val="32"/>
          <w:szCs w:val="32"/>
          <w:lang w:val="en-US" w:eastAsia="zh-CN"/>
        </w:rPr>
        <w:t>情况</w:t>
      </w:r>
      <w:r>
        <w:rPr>
          <w:rFonts w:ascii="Times New Roman" w:hAnsi="Times New Roman" w:eastAsia="仿宋_GB2312"/>
          <w:sz w:val="32"/>
          <w:szCs w:val="32"/>
        </w:rPr>
        <w:t>。项目支出严格按照批复的项目和用途使用，</w:t>
      </w:r>
      <w:r>
        <w:rPr>
          <w:rFonts w:hint="eastAsia"/>
          <w:sz w:val="32"/>
          <w:szCs w:val="32"/>
          <w:lang w:val="en-US" w:eastAsia="zh-CN"/>
        </w:rPr>
        <w:t>无</w:t>
      </w:r>
      <w:r>
        <w:rPr>
          <w:rFonts w:ascii="Times New Roman" w:hAnsi="Times New Roman" w:eastAsia="仿宋_GB2312"/>
          <w:sz w:val="32"/>
          <w:szCs w:val="32"/>
        </w:rPr>
        <w:t>自行改变项目内容</w:t>
      </w:r>
      <w:r>
        <w:rPr>
          <w:rFonts w:hint="eastAsia"/>
          <w:sz w:val="32"/>
          <w:szCs w:val="32"/>
          <w:lang w:val="en-US" w:eastAsia="zh-CN"/>
        </w:rPr>
        <w:t>及</w:t>
      </w:r>
      <w:r>
        <w:rPr>
          <w:rFonts w:ascii="Times New Roman" w:hAnsi="Times New Roman" w:eastAsia="仿宋_GB2312"/>
          <w:sz w:val="32"/>
          <w:szCs w:val="32"/>
        </w:rPr>
        <w:t>扩大使用范围</w:t>
      </w:r>
      <w:r>
        <w:rPr>
          <w:rFonts w:hint="eastAsia"/>
          <w:sz w:val="32"/>
          <w:szCs w:val="32"/>
          <w:lang w:val="en-US" w:eastAsia="zh-CN"/>
        </w:rPr>
        <w:t>情况</w:t>
      </w:r>
      <w:r>
        <w:rPr>
          <w:rFonts w:ascii="Times New Roman" w:hAnsi="Times New Roman" w:eastAsia="仿宋_GB2312"/>
          <w:sz w:val="32"/>
          <w:szCs w:val="32"/>
        </w:rPr>
        <w:t>，保证专款专用，</w:t>
      </w:r>
      <w:r>
        <w:rPr>
          <w:rFonts w:hint="eastAsia"/>
          <w:sz w:val="32"/>
          <w:szCs w:val="32"/>
          <w:lang w:val="en-US" w:eastAsia="zh-CN"/>
        </w:rPr>
        <w:t>无</w:t>
      </w:r>
      <w:r>
        <w:rPr>
          <w:rFonts w:ascii="Times New Roman" w:hAnsi="Times New Roman" w:eastAsia="仿宋_GB2312"/>
          <w:sz w:val="32"/>
          <w:szCs w:val="32"/>
        </w:rPr>
        <w:t>截留、挪用专项资金</w:t>
      </w:r>
      <w:r>
        <w:rPr>
          <w:rFonts w:hint="eastAsia"/>
          <w:sz w:val="32"/>
          <w:szCs w:val="32"/>
          <w:lang w:val="en-US" w:eastAsia="zh-CN"/>
        </w:rPr>
        <w:t>情况</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353" w:lineRule="auto"/>
        <w:ind w:firstLine="643" w:firstLineChars="200"/>
        <w:textAlignment w:val="auto"/>
        <w:outlineLvl w:val="9"/>
        <w:rPr>
          <w:rFonts w:hint="eastAsia" w:ascii="Times New Roman" w:hAnsi="Times New Roman" w:eastAsia="仿宋_GB2312" w:cs="Times New Roman"/>
          <w:sz w:val="32"/>
          <w:szCs w:val="32"/>
          <w:lang w:eastAsia="zh-CN"/>
        </w:rPr>
      </w:pPr>
      <w:r>
        <w:rPr>
          <w:rFonts w:eastAsia="楷体_GB2312"/>
          <w:b/>
          <w:lang w:val="zh-CN"/>
        </w:rPr>
        <w:t>（三）项目监管情况。</w:t>
      </w:r>
      <w:r>
        <w:rPr>
          <w:rFonts w:hint="eastAsia" w:ascii="Times New Roman" w:hAnsi="Times New Roman" w:eastAsia="仿宋_GB2312" w:cs="Times New Roman"/>
          <w:sz w:val="32"/>
          <w:szCs w:val="32"/>
          <w:lang w:val="en-US" w:eastAsia="zh-CN"/>
        </w:rPr>
        <w:t>保证</w:t>
      </w:r>
      <w:r>
        <w:rPr>
          <w:rFonts w:ascii="Times New Roman" w:hAnsi="Times New Roman" w:eastAsia="仿宋_GB2312"/>
          <w:sz w:val="32"/>
          <w:szCs w:val="32"/>
        </w:rPr>
        <w:t>在财政批复部门预算后20</w:t>
      </w:r>
      <w:r>
        <w:rPr>
          <w:rFonts w:ascii="Times New Roman" w:hAnsi="Times New Roman" w:eastAsia="仿宋_GB2312"/>
          <w:sz w:val="32"/>
          <w:szCs w:val="32"/>
          <w:highlight w:val="none"/>
        </w:rPr>
        <w:t>日内</w:t>
      </w:r>
      <w:r>
        <w:rPr>
          <w:rFonts w:ascii="Times New Roman" w:hAnsi="Times New Roman" w:eastAsia="仿宋_GB2312"/>
          <w:sz w:val="32"/>
          <w:szCs w:val="32"/>
        </w:rPr>
        <w:t>，通过攀枝花市西区人民政府网站预决算公开统一平台公开绩效目标情况，并妥善做好解释说明工作，确保公开信息规范化、标准化</w:t>
      </w:r>
      <w:r>
        <w:rPr>
          <w:rFonts w:hint="eastAsia"/>
          <w:sz w:val="32"/>
          <w:szCs w:val="32"/>
          <w:lang w:eastAsia="zh-CN"/>
        </w:rPr>
        <w:t>，</w:t>
      </w:r>
      <w:r>
        <w:rPr>
          <w:rFonts w:ascii="Times New Roman" w:hAnsi="Times New Roman" w:eastAsia="仿宋_GB2312" w:cs="Times New Roman"/>
          <w:sz w:val="32"/>
          <w:szCs w:val="32"/>
        </w:rPr>
        <w:t>主动接受预算监督</w:t>
      </w:r>
      <w:r>
        <w:rPr>
          <w:rFonts w:hint="eastAsia" w:ascii="Times New Roman" w:hAnsi="Times New Roman" w:cs="Times New Roman"/>
          <w:sz w:val="32"/>
          <w:szCs w:val="32"/>
          <w:lang w:eastAsia="zh-CN"/>
        </w:rPr>
        <w:t>。</w:t>
      </w:r>
    </w:p>
    <w:p>
      <w:pPr>
        <w:adjustRightInd w:val="0"/>
        <w:snapToGrid w:val="0"/>
        <w:spacing w:line="600" w:lineRule="exact"/>
        <w:ind w:firstLine="720"/>
        <w:rPr>
          <w:lang w:val="zh-CN"/>
        </w:rPr>
      </w:pPr>
      <w:r>
        <w:rPr>
          <w:rFonts w:eastAsia="黑体"/>
        </w:rPr>
        <w:t>四、项目绩效情况</w:t>
      </w:r>
      <w:r>
        <w:rPr>
          <w:lang w:val="zh-CN"/>
        </w:rPr>
        <w:tab/>
      </w:r>
    </w:p>
    <w:p>
      <w:pPr>
        <w:snapToGrid w:val="0"/>
        <w:spacing w:line="600" w:lineRule="atLeast"/>
        <w:jc w:val="center"/>
        <w:rPr>
          <w:rFonts w:ascii="仿宋_GB2312" w:hAnsi="宋体"/>
          <w:szCs w:val="32"/>
          <w:u w:val="none"/>
        </w:rPr>
      </w:pPr>
      <w:r>
        <w:rPr>
          <w:rFonts w:hint="eastAsia" w:ascii="宋体" w:hAnsi="宋体" w:eastAsia="宋体"/>
          <w:b/>
          <w:sz w:val="21"/>
          <w:szCs w:val="21"/>
          <w:u w:val="none"/>
        </w:rPr>
        <w:t>攀枝花市西区区级</w:t>
      </w:r>
      <w:r>
        <w:rPr>
          <w:rFonts w:hint="eastAsia" w:ascii="宋体" w:hAnsi="宋体" w:eastAsia="宋体"/>
          <w:b/>
          <w:sz w:val="21"/>
          <w:szCs w:val="21"/>
          <w:u w:val="none"/>
          <w:lang w:eastAsia="zh-CN"/>
        </w:rPr>
        <w:t>保安费用</w:t>
      </w:r>
      <w:r>
        <w:rPr>
          <w:rFonts w:ascii="宋体" w:hAnsi="宋体" w:eastAsia="宋体"/>
          <w:b/>
          <w:sz w:val="21"/>
          <w:szCs w:val="21"/>
          <w:u w:val="none"/>
        </w:rPr>
        <w:t>绩效</w:t>
      </w:r>
      <w:r>
        <w:rPr>
          <w:rFonts w:hint="eastAsia" w:ascii="宋体" w:hAnsi="宋体" w:eastAsia="宋体"/>
          <w:b/>
          <w:sz w:val="21"/>
          <w:szCs w:val="21"/>
          <w:u w:val="none"/>
        </w:rPr>
        <w:t>目标</w:t>
      </w:r>
      <w:r>
        <w:rPr>
          <w:rFonts w:ascii="宋体" w:hAnsi="宋体" w:eastAsia="宋体"/>
          <w:b/>
          <w:sz w:val="21"/>
          <w:szCs w:val="21"/>
          <w:u w:val="none"/>
        </w:rPr>
        <w:t>表</w:t>
      </w:r>
    </w:p>
    <w:tbl>
      <w:tblPr>
        <w:tblStyle w:val="6"/>
        <w:tblW w:w="9291" w:type="dxa"/>
        <w:tblInd w:w="15" w:type="dxa"/>
        <w:tblLayout w:type="fixed"/>
        <w:tblCellMar>
          <w:top w:w="0" w:type="dxa"/>
          <w:left w:w="0" w:type="dxa"/>
          <w:bottom w:w="0" w:type="dxa"/>
          <w:right w:w="0" w:type="dxa"/>
        </w:tblCellMar>
      </w:tblPr>
      <w:tblGrid>
        <w:gridCol w:w="1101"/>
        <w:gridCol w:w="1365"/>
        <w:gridCol w:w="2220"/>
        <w:gridCol w:w="4605"/>
      </w:tblGrid>
      <w:tr>
        <w:tblPrEx>
          <w:tblLayout w:type="fixed"/>
          <w:tblCellMar>
            <w:top w:w="0" w:type="dxa"/>
            <w:left w:w="0" w:type="dxa"/>
            <w:bottom w:w="0" w:type="dxa"/>
            <w:right w:w="0" w:type="dxa"/>
          </w:tblCellMar>
        </w:tblPrEx>
        <w:trPr>
          <w:trHeight w:val="340" w:hRule="atLeast"/>
        </w:trPr>
        <w:tc>
          <w:tcPr>
            <w:tcW w:w="11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绩效指标</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一级指标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二级指标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三级指标</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完成指标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数量指标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保障全年保安的经费</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79"/>
              </w:tabs>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b/>
            </w:r>
            <w:r>
              <w:rPr>
                <w:rFonts w:hint="eastAsia" w:ascii="宋体" w:hAnsi="宋体" w:eastAsia="宋体" w:cs="宋体"/>
                <w:i w:val="0"/>
                <w:color w:val="000000"/>
                <w:kern w:val="0"/>
                <w:sz w:val="20"/>
                <w:szCs w:val="20"/>
                <w:u w:val="none"/>
                <w:lang w:val="en-US" w:eastAsia="zh-CN" w:bidi="ar"/>
              </w:rPr>
              <w:t xml:space="preserve">  质量指标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确保信访安保工作质量</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时效指标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全年</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成本指标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80000</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效益指标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社会效益指标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信访工作顺利开展</w:t>
            </w:r>
          </w:p>
        </w:tc>
      </w:tr>
      <w:tr>
        <w:tblPrEx>
          <w:tblLayout w:type="fixed"/>
          <w:tblCellMar>
            <w:top w:w="0" w:type="dxa"/>
            <w:left w:w="0" w:type="dxa"/>
            <w:bottom w:w="0" w:type="dxa"/>
            <w:right w:w="0" w:type="dxa"/>
          </w:tblCellMar>
        </w:tblPrEx>
        <w:trPr>
          <w:trHeight w:val="475"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满意度指标</w:t>
            </w:r>
          </w:p>
        </w:tc>
        <w:tc>
          <w:tcPr>
            <w:tcW w:w="222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服务对象满意度指标</w:t>
            </w:r>
          </w:p>
        </w:tc>
        <w:tc>
          <w:tcPr>
            <w:tcW w:w="460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w:t>
            </w:r>
          </w:p>
        </w:tc>
      </w:tr>
    </w:tbl>
    <w:p>
      <w:pPr>
        <w:adjustRightInd w:val="0"/>
        <w:snapToGrid w:val="0"/>
        <w:spacing w:line="600" w:lineRule="exact"/>
        <w:ind w:firstLine="720"/>
        <w:rPr>
          <w:rFonts w:eastAsia="黑体"/>
        </w:rPr>
      </w:pPr>
      <w:r>
        <w:rPr>
          <w:rFonts w:eastAsia="黑体"/>
        </w:rPr>
        <w:t>五、评价结论及建议</w:t>
      </w:r>
    </w:p>
    <w:p>
      <w:pPr>
        <w:adjustRightInd w:val="0"/>
        <w:snapToGrid w:val="0"/>
        <w:spacing w:line="600" w:lineRule="exact"/>
        <w:ind w:firstLine="720"/>
        <w:rPr>
          <w:rFonts w:eastAsia="楷体_GB2312"/>
          <w:b/>
          <w:lang w:val="zh-CN"/>
        </w:rPr>
      </w:pPr>
      <w:r>
        <w:rPr>
          <w:rFonts w:eastAsia="楷体_GB2312"/>
          <w:b/>
          <w:lang w:val="zh-CN"/>
        </w:rPr>
        <w:t>（一）评价结论。</w:t>
      </w:r>
    </w:p>
    <w:p>
      <w:pPr>
        <w:spacing w:line="560" w:lineRule="exact"/>
        <w:ind w:firstLine="640" w:firstLineChars="200"/>
        <w:rPr>
          <w:rFonts w:hint="eastAsia" w:ascii="Times New Roman" w:hAnsi="Times New Roman" w:eastAsia="仿宋_GB2312"/>
          <w:sz w:val="32"/>
          <w:szCs w:val="32"/>
          <w:u w:val="none"/>
          <w:lang w:eastAsia="zh-CN"/>
        </w:rPr>
      </w:pPr>
      <w:r>
        <w:rPr>
          <w:rFonts w:hint="eastAsia" w:ascii="Times New Roman" w:hAnsi="Times New Roman" w:eastAsia="仿宋_GB2312" w:cs="Times New Roman"/>
          <w:bCs/>
          <w:sz w:val="32"/>
          <w:szCs w:val="32"/>
          <w:u w:val="none"/>
          <w:lang w:eastAsia="zh-CN"/>
        </w:rPr>
        <w:t>该项目资金</w:t>
      </w:r>
      <w:r>
        <w:rPr>
          <w:rFonts w:ascii="Times New Roman" w:hAnsi="Times New Roman" w:eastAsia="仿宋_GB2312" w:cs="Times New Roman"/>
          <w:bCs/>
          <w:sz w:val="32"/>
          <w:szCs w:val="32"/>
          <w:u w:val="none"/>
        </w:rPr>
        <w:t>预期产出和效果能满足需求、</w:t>
      </w:r>
      <w:r>
        <w:rPr>
          <w:rFonts w:hint="eastAsia" w:ascii="Times New Roman" w:hAnsi="Times New Roman" w:eastAsia="仿宋_GB2312" w:cs="Times New Roman"/>
          <w:bCs/>
          <w:sz w:val="32"/>
          <w:szCs w:val="32"/>
          <w:u w:val="none"/>
          <w:lang w:eastAsia="zh-CN"/>
        </w:rPr>
        <w:t>不需</w:t>
      </w:r>
      <w:r>
        <w:rPr>
          <w:rFonts w:ascii="Times New Roman" w:hAnsi="Times New Roman" w:eastAsia="仿宋_GB2312" w:cs="Times New Roman"/>
          <w:bCs/>
          <w:sz w:val="32"/>
          <w:szCs w:val="32"/>
          <w:u w:val="none"/>
        </w:rPr>
        <w:t>核减预算安排、</w:t>
      </w:r>
      <w:r>
        <w:rPr>
          <w:rFonts w:hint="eastAsia" w:ascii="Times New Roman" w:hAnsi="Times New Roman" w:eastAsia="仿宋_GB2312" w:cs="Times New Roman"/>
          <w:bCs/>
          <w:sz w:val="32"/>
          <w:szCs w:val="32"/>
          <w:u w:val="none"/>
          <w:lang w:eastAsia="zh-CN"/>
        </w:rPr>
        <w:t>该笔资金需继续</w:t>
      </w:r>
      <w:r>
        <w:rPr>
          <w:rFonts w:ascii="Times New Roman" w:hAnsi="Times New Roman" w:eastAsia="仿宋_GB2312" w:cs="Times New Roman"/>
          <w:bCs/>
          <w:sz w:val="32"/>
          <w:szCs w:val="32"/>
          <w:u w:val="none"/>
        </w:rPr>
        <w:t>保留</w:t>
      </w:r>
      <w:r>
        <w:rPr>
          <w:rFonts w:hint="eastAsia" w:ascii="Times New Roman" w:hAnsi="Times New Roman" w:eastAsia="仿宋_GB2312" w:cs="Times New Roman"/>
          <w:bCs/>
          <w:sz w:val="32"/>
          <w:szCs w:val="32"/>
          <w:u w:val="none"/>
          <w:lang w:eastAsia="zh-CN"/>
        </w:rPr>
        <w:t>。</w:t>
      </w:r>
      <w:r>
        <w:rPr>
          <w:rFonts w:hint="eastAsia" w:ascii="Times New Roman" w:hAnsi="Times New Roman" w:eastAsia="仿宋_GB2312"/>
          <w:sz w:val="32"/>
          <w:szCs w:val="32"/>
          <w:u w:val="none"/>
        </w:rPr>
        <w:t>综合前述评估内容来看，该项目立项必要性和依据充分，绩效目标明确，具备实施条件，具有公共性，符合财政资金支持方向等。</w:t>
      </w:r>
      <w:r>
        <w:rPr>
          <w:rFonts w:hint="eastAsia" w:ascii="Times New Roman" w:hAnsi="Times New Roman" w:eastAsia="仿宋_GB2312"/>
          <w:b/>
          <w:sz w:val="32"/>
          <w:szCs w:val="32"/>
          <w:u w:val="none"/>
        </w:rPr>
        <w:t>建议</w:t>
      </w:r>
      <w:r>
        <w:rPr>
          <w:rFonts w:hint="eastAsia" w:ascii="Times New Roman" w:hAnsi="Times New Roman" w:eastAsia="仿宋_GB2312"/>
          <w:bCs/>
          <w:sz w:val="32"/>
          <w:szCs w:val="32"/>
          <w:u w:val="none"/>
        </w:rPr>
        <w:t>予以支持</w:t>
      </w:r>
      <w:r>
        <w:rPr>
          <w:rFonts w:hint="eastAsia" w:ascii="Times New Roman" w:hAnsi="Times New Roman" w:eastAsia="仿宋_GB2312"/>
          <w:sz w:val="32"/>
          <w:szCs w:val="32"/>
          <w:u w:val="none"/>
        </w:rPr>
        <w:t>，</w:t>
      </w:r>
      <w:r>
        <w:rPr>
          <w:rFonts w:ascii="Times New Roman" w:hAnsi="Times New Roman" w:eastAsia="仿宋_GB2312"/>
          <w:sz w:val="32"/>
          <w:szCs w:val="32"/>
          <w:u w:val="none"/>
        </w:rPr>
        <w:t>预算</w:t>
      </w:r>
      <w:r>
        <w:rPr>
          <w:rFonts w:hint="eastAsia" w:ascii="Times New Roman" w:hAnsi="Times New Roman" w:eastAsia="仿宋_GB2312"/>
          <w:sz w:val="32"/>
          <w:szCs w:val="32"/>
          <w:u w:val="none"/>
        </w:rPr>
        <w:t>控制在</w:t>
      </w:r>
      <w:r>
        <w:rPr>
          <w:rFonts w:hint="eastAsia" w:ascii="Times New Roman" w:hAnsi="Times New Roman"/>
          <w:sz w:val="32"/>
          <w:szCs w:val="32"/>
          <w:u w:val="none"/>
          <w:lang w:val="en-US" w:eastAsia="zh-CN"/>
        </w:rPr>
        <w:t>8</w:t>
      </w:r>
      <w:r>
        <w:rPr>
          <w:rFonts w:hint="eastAsia" w:ascii="Times New Roman" w:hAnsi="Times New Roman" w:eastAsia="仿宋_GB2312"/>
          <w:sz w:val="32"/>
          <w:szCs w:val="32"/>
          <w:u w:val="none"/>
        </w:rPr>
        <w:t>万元以内。该项目申请资金总预算</w:t>
      </w:r>
      <w:r>
        <w:rPr>
          <w:rFonts w:hint="eastAsia" w:ascii="Times New Roman" w:hAnsi="Times New Roman"/>
          <w:sz w:val="32"/>
          <w:szCs w:val="32"/>
          <w:u w:val="none"/>
          <w:lang w:val="en-US" w:eastAsia="zh-CN"/>
        </w:rPr>
        <w:t>8</w:t>
      </w:r>
      <w:r>
        <w:rPr>
          <w:rFonts w:hint="eastAsia" w:ascii="Times New Roman" w:hAnsi="Times New Roman" w:eastAsia="仿宋_GB2312"/>
          <w:sz w:val="32"/>
          <w:szCs w:val="32"/>
          <w:u w:val="none"/>
        </w:rPr>
        <w:t>万元，经评审，建议预算申报数</w:t>
      </w:r>
      <w:r>
        <w:rPr>
          <w:rFonts w:hint="eastAsia" w:ascii="Times New Roman" w:hAnsi="Times New Roman"/>
          <w:sz w:val="32"/>
          <w:szCs w:val="32"/>
          <w:u w:val="none"/>
          <w:lang w:val="en-US" w:eastAsia="zh-CN"/>
        </w:rPr>
        <w:t>8</w:t>
      </w:r>
      <w:r>
        <w:rPr>
          <w:rFonts w:hint="eastAsia" w:ascii="Times New Roman" w:hAnsi="Times New Roman" w:eastAsia="仿宋_GB2312"/>
          <w:sz w:val="32"/>
          <w:szCs w:val="32"/>
          <w:u w:val="none"/>
        </w:rPr>
        <w:t>万元,我单位将</w:t>
      </w:r>
      <w:r>
        <w:rPr>
          <w:rFonts w:ascii="Times New Roman" w:hAnsi="Times New Roman" w:eastAsia="仿宋_GB2312"/>
          <w:sz w:val="32"/>
          <w:szCs w:val="32"/>
          <w:u w:val="none"/>
        </w:rPr>
        <w:t>进一步优化完善实施方案</w:t>
      </w:r>
      <w:r>
        <w:rPr>
          <w:rFonts w:hint="eastAsia" w:ascii="Times New Roman" w:hAnsi="Times New Roman" w:eastAsia="仿宋_GB2312"/>
          <w:sz w:val="32"/>
          <w:szCs w:val="32"/>
          <w:u w:val="none"/>
        </w:rPr>
        <w:t>和</w:t>
      </w:r>
      <w:r>
        <w:rPr>
          <w:rFonts w:ascii="Times New Roman" w:hAnsi="Times New Roman" w:eastAsia="仿宋_GB2312"/>
          <w:sz w:val="32"/>
          <w:szCs w:val="32"/>
          <w:u w:val="none"/>
        </w:rPr>
        <w:t>绩效目标，</w:t>
      </w:r>
      <w:r>
        <w:rPr>
          <w:rFonts w:hint="eastAsia" w:ascii="Times New Roman" w:hAnsi="Times New Roman" w:eastAsia="仿宋_GB2312"/>
          <w:sz w:val="32"/>
          <w:szCs w:val="32"/>
          <w:u w:val="none"/>
        </w:rPr>
        <w:t>加强运行监控，节约</w:t>
      </w:r>
      <w:r>
        <w:rPr>
          <w:rFonts w:ascii="Times New Roman" w:hAnsi="Times New Roman" w:eastAsia="仿宋_GB2312"/>
          <w:sz w:val="32"/>
          <w:szCs w:val="32"/>
          <w:u w:val="none"/>
        </w:rPr>
        <w:t>财政资金并提升资金效益</w:t>
      </w:r>
      <w:r>
        <w:rPr>
          <w:rFonts w:hint="eastAsia" w:ascii="Times New Roman" w:hAnsi="Times New Roman" w:eastAsia="仿宋_GB2312"/>
          <w:sz w:val="32"/>
          <w:szCs w:val="32"/>
          <w:u w:val="none"/>
        </w:rPr>
        <w:t>，提升预算绩效管理水平</w:t>
      </w:r>
      <w:r>
        <w:rPr>
          <w:rFonts w:hint="eastAsia" w:ascii="Times New Roman" w:hAnsi="Times New Roman"/>
          <w:sz w:val="32"/>
          <w:szCs w:val="32"/>
          <w:u w:val="none"/>
          <w:lang w:eastAsia="zh-CN"/>
        </w:rPr>
        <w:t>。</w:t>
      </w:r>
    </w:p>
    <w:p>
      <w:pPr>
        <w:adjustRightInd w:val="0"/>
        <w:snapToGrid w:val="0"/>
        <w:spacing w:line="600" w:lineRule="exact"/>
        <w:ind w:firstLine="720"/>
        <w:rPr>
          <w:rFonts w:eastAsia="楷体_GB2312"/>
          <w:b/>
          <w:lang w:val="zh-CN"/>
        </w:rPr>
      </w:pPr>
      <w:r>
        <w:rPr>
          <w:rFonts w:eastAsia="楷体_GB2312"/>
          <w:b/>
          <w:lang w:val="zh-CN"/>
        </w:rPr>
        <w:t>（二）存在的问题。</w:t>
      </w:r>
    </w:p>
    <w:p>
      <w:pPr>
        <w:adjustRightInd w:val="0"/>
        <w:snapToGrid w:val="0"/>
        <w:spacing w:line="600" w:lineRule="exact"/>
        <w:ind w:firstLine="640" w:firstLineChars="200"/>
        <w:rPr>
          <w:lang w:val="zh-CN"/>
        </w:rPr>
      </w:pPr>
      <w:r>
        <w:rPr>
          <w:rFonts w:hint="eastAsia"/>
          <w:lang w:val="en-US" w:eastAsia="zh-CN"/>
        </w:rPr>
        <w:t>无</w:t>
      </w:r>
      <w:r>
        <w:rPr>
          <w:lang w:val="zh-CN"/>
        </w:rPr>
        <w:t>。</w:t>
      </w:r>
      <w:r>
        <w:rPr>
          <w:lang w:val="zh-CN"/>
        </w:rPr>
        <w:tab/>
      </w:r>
    </w:p>
    <w:p>
      <w:pPr>
        <w:adjustRightInd w:val="0"/>
        <w:snapToGrid w:val="0"/>
        <w:spacing w:line="600" w:lineRule="exact"/>
        <w:ind w:firstLine="720"/>
        <w:rPr>
          <w:rFonts w:eastAsia="楷体_GB2312"/>
          <w:b/>
          <w:lang w:val="zh-CN"/>
        </w:rPr>
      </w:pPr>
      <w:r>
        <w:rPr>
          <w:rFonts w:eastAsia="楷体_GB2312"/>
          <w:b/>
          <w:lang w:val="zh-CN"/>
        </w:rPr>
        <w:t>（三）相关建议。</w:t>
      </w:r>
    </w:p>
    <w:p>
      <w:pPr>
        <w:adjustRightInd w:val="0"/>
        <w:snapToGrid w:val="0"/>
        <w:spacing w:line="600" w:lineRule="exact"/>
        <w:ind w:firstLine="640" w:firstLineChars="200"/>
        <w:rPr>
          <w:lang w:val="zh-CN"/>
        </w:rPr>
      </w:pPr>
      <w:r>
        <w:rPr>
          <w:rFonts w:hint="eastAsia"/>
          <w:lang w:val="en-US" w:eastAsia="zh-CN"/>
        </w:rPr>
        <w:t>无</w:t>
      </w:r>
      <w:r>
        <w:rPr>
          <w:lang w:val="zh-CN"/>
        </w:rPr>
        <w:t>。</w:t>
      </w:r>
    </w:p>
    <w:p>
      <w:pPr>
        <w:pStyle w:val="8"/>
        <w:spacing w:line="600" w:lineRule="exact"/>
        <w:rPr>
          <w:rFonts w:ascii="Times New Roman" w:hAnsi="Times New Roman" w:eastAsia="方正小标宋简体"/>
          <w:color w:val="auto"/>
          <w:kern w:val="2"/>
          <w:sz w:val="40"/>
          <w:szCs w:val="40"/>
          <w:lang w:val="en-US"/>
        </w:rPr>
      </w:pPr>
    </w:p>
    <w:p>
      <w:pPr>
        <w:pStyle w:val="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项目支出绩效自评报告</w:t>
      </w:r>
    </w:p>
    <w:p>
      <w:pPr>
        <w:pStyle w:val="8"/>
        <w:spacing w:line="600" w:lineRule="exact"/>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lang w:val="en-US" w:eastAsia="zh-CN"/>
        </w:rPr>
        <w:t>接访费用</w:t>
      </w:r>
      <w:r>
        <w:rPr>
          <w:rFonts w:ascii="Times New Roman" w:hAnsi="Times New Roman" w:eastAsia="仿宋_GB2312"/>
          <w:color w:val="auto"/>
          <w:kern w:val="2"/>
          <w:sz w:val="32"/>
          <w:szCs w:val="32"/>
        </w:rPr>
        <w:t>）</w:t>
      </w:r>
    </w:p>
    <w:p>
      <w:pPr>
        <w:pStyle w:val="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lang w:val="zh-CN"/>
        </w:rPr>
      </w:pPr>
      <w:r>
        <w:rPr>
          <w:rFonts w:eastAsia="黑体"/>
        </w:rPr>
        <w:t>一、</w:t>
      </w:r>
      <w:r>
        <w:rPr>
          <w:rFonts w:eastAsia="黑体"/>
          <w:lang w:val="zh-CN"/>
        </w:rPr>
        <w:t>项目概况</w:t>
      </w:r>
    </w:p>
    <w:p>
      <w:pPr>
        <w:adjustRightInd w:val="0"/>
        <w:snapToGrid w:val="0"/>
        <w:spacing w:line="600" w:lineRule="exact"/>
        <w:ind w:firstLine="720"/>
        <w:rPr>
          <w:rFonts w:eastAsia="楷体_GB2312"/>
          <w:b/>
          <w:lang w:val="zh-CN"/>
        </w:rPr>
      </w:pPr>
      <w:r>
        <w:rPr>
          <w:rFonts w:eastAsia="楷体_GB2312"/>
          <w:b/>
          <w:lang w:val="zh-CN"/>
        </w:rPr>
        <w:t>（一）项目基本情况。</w:t>
      </w:r>
    </w:p>
    <w:p>
      <w:pPr>
        <w:adjustRightInd w:val="0"/>
        <w:snapToGrid w:val="0"/>
        <w:spacing w:line="600" w:lineRule="exact"/>
        <w:ind w:firstLine="640" w:firstLineChars="200"/>
        <w:rPr>
          <w:rFonts w:hint="eastAsia" w:ascii="方正仿宋简体" w:eastAsia="方正仿宋简体" w:cs="方正仿宋简体"/>
          <w:sz w:val="33"/>
          <w:szCs w:val="33"/>
          <w:u w:val="none"/>
          <w:lang w:eastAsia="zh-CN"/>
        </w:rPr>
      </w:pPr>
      <w:r>
        <w:rPr>
          <w:rFonts w:hint="eastAsia"/>
          <w:lang w:val="en-US" w:eastAsia="zh-CN"/>
        </w:rPr>
        <w:t>1.</w:t>
      </w:r>
      <w:r>
        <w:rPr>
          <w:rFonts w:hint="eastAsia" w:ascii="方正仿宋简体" w:eastAsia="方正仿宋简体" w:cs="方正仿宋简体"/>
          <w:sz w:val="33"/>
          <w:szCs w:val="33"/>
          <w:u w:val="none"/>
        </w:rPr>
        <w:t>保障本年度内不发生重大群体信访事项，全区无重大信访问题。</w:t>
      </w:r>
    </w:p>
    <w:p>
      <w:pPr>
        <w:numPr>
          <w:ilvl w:val="0"/>
          <w:numId w:val="0"/>
        </w:numPr>
        <w:snapToGrid w:val="0"/>
        <w:spacing w:line="600" w:lineRule="exact"/>
        <w:ind w:firstLine="640" w:firstLineChars="200"/>
        <w:rPr>
          <w:rFonts w:hint="eastAsia" w:ascii="方正仿宋简体" w:eastAsia="方正仿宋简体" w:cs="方正仿宋简体"/>
          <w:sz w:val="33"/>
          <w:szCs w:val="33"/>
          <w:u w:val="none"/>
        </w:rPr>
      </w:pPr>
      <w:r>
        <w:rPr>
          <w:rFonts w:hint="eastAsia" w:ascii="Times New Roman" w:hAnsi="Times New Roman" w:cs="Times New Roman"/>
          <w:szCs w:val="32"/>
          <w:u w:val="none"/>
          <w:lang w:val="en-US" w:eastAsia="zh-CN"/>
        </w:rPr>
        <w:t>2.</w:t>
      </w:r>
      <w:r>
        <w:rPr>
          <w:rFonts w:hint="eastAsia" w:ascii="Times New Roman" w:hAnsi="Times New Roman" w:eastAsia="仿宋_GB2312" w:cs="仿宋_GB2312"/>
          <w:sz w:val="32"/>
          <w:szCs w:val="32"/>
        </w:rPr>
        <w:t>按照《攀枝花市年度目标绩效管理办法》《攀枝花市市级目标绩效考评特殊情况加扣分标准》《攀枝花市省级目标任务绩效考核实施细则》等制度规定和《攀枝花市</w:t>
      </w:r>
      <w:r>
        <w:rPr>
          <w:rFonts w:ascii="Times New Roman" w:hAnsi="Times New Roman" w:eastAsia="仿宋_GB2312" w:cs="Times New Roman"/>
          <w:sz w:val="32"/>
          <w:szCs w:val="32"/>
        </w:rPr>
        <w:t xml:space="preserve"> 2020</w:t>
      </w:r>
      <w:r>
        <w:rPr>
          <w:rFonts w:hint="eastAsia" w:ascii="Times New Roman" w:hAnsi="Times New Roman" w:eastAsia="仿宋_GB2312" w:cs="仿宋_GB2312"/>
          <w:sz w:val="32"/>
          <w:szCs w:val="32"/>
        </w:rPr>
        <w:t>年度市级综合目标任务实施方案》考评责任分工，结合我市信访工作实际，制定了攀枝花市信访局关于印发《</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年信访工作考评细则</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》的通知。</w:t>
      </w:r>
    </w:p>
    <w:p>
      <w:pPr>
        <w:numPr>
          <w:ilvl w:val="0"/>
          <w:numId w:val="0"/>
        </w:numPr>
        <w:snapToGrid w:val="0"/>
        <w:spacing w:line="600" w:lineRule="exact"/>
        <w:ind w:firstLine="640" w:firstLineChars="200"/>
        <w:rPr>
          <w:lang w:val="zh-CN"/>
        </w:rPr>
      </w:pPr>
      <w:r>
        <w:rPr>
          <w:rFonts w:hint="eastAsia"/>
          <w:szCs w:val="32"/>
          <w:u w:val="none"/>
          <w:lang w:val="en-US" w:eastAsia="zh-CN"/>
        </w:rPr>
        <w:t>3.</w:t>
      </w:r>
      <w:r>
        <w:rPr>
          <w:rFonts w:hint="eastAsia" w:ascii="Times New Roman" w:hAnsi="Times New Roman"/>
          <w:szCs w:val="32"/>
          <w:u w:val="none"/>
        </w:rPr>
        <w:t>根据</w:t>
      </w:r>
      <w:r>
        <w:rPr>
          <w:rFonts w:ascii="Times New Roman" w:hAnsi="Times New Roman"/>
          <w:szCs w:val="32"/>
          <w:u w:val="none"/>
        </w:rPr>
        <w:t>20</w:t>
      </w:r>
      <w:r>
        <w:rPr>
          <w:rFonts w:hint="eastAsia" w:ascii="Times New Roman" w:hAnsi="Times New Roman"/>
          <w:szCs w:val="32"/>
          <w:u w:val="none"/>
          <w:lang w:val="en-US" w:eastAsia="zh-CN"/>
        </w:rPr>
        <w:t>24</w:t>
      </w:r>
      <w:r>
        <w:rPr>
          <w:rFonts w:hint="eastAsia" w:ascii="Times New Roman" w:hAnsi="Times New Roman"/>
          <w:szCs w:val="32"/>
          <w:u w:val="none"/>
        </w:rPr>
        <w:t>年预算编制要求，绩效评估本着真正过紧日子的原则，厉行节约、精打细算，从严从紧控制项目申报和预算安排，非必要项目和工作内容可压尽压、应压尽压，做到客观、绩效、精准。</w:t>
      </w:r>
    </w:p>
    <w:p>
      <w:pPr>
        <w:snapToGrid w:val="0"/>
        <w:spacing w:line="600" w:lineRule="exact"/>
        <w:ind w:firstLine="640" w:firstLineChars="200"/>
        <w:jc w:val="left"/>
        <w:rPr>
          <w:lang w:val="zh-CN"/>
        </w:rPr>
      </w:pPr>
      <w:r>
        <w:rPr>
          <w:lang w:val="zh-CN"/>
        </w:rPr>
        <w:t xml:space="preserve">4. </w:t>
      </w:r>
      <w:r>
        <w:rPr>
          <w:rFonts w:hint="eastAsia" w:ascii="Times New Roman" w:hAnsi="Times New Roman"/>
          <w:szCs w:val="32"/>
          <w:u w:val="none"/>
        </w:rPr>
        <w:t>202</w:t>
      </w:r>
      <w:r>
        <w:rPr>
          <w:rFonts w:hint="eastAsia" w:ascii="Times New Roman" w:hAnsi="Times New Roman"/>
          <w:szCs w:val="32"/>
          <w:u w:val="none"/>
          <w:lang w:val="en-US" w:eastAsia="zh-CN"/>
        </w:rPr>
        <w:t>2</w:t>
      </w:r>
      <w:r>
        <w:rPr>
          <w:rFonts w:hint="eastAsia" w:ascii="Times New Roman" w:hAnsi="Times New Roman"/>
          <w:szCs w:val="32"/>
          <w:u w:val="none"/>
        </w:rPr>
        <w:t>年预算安排</w:t>
      </w:r>
      <w:r>
        <w:rPr>
          <w:rFonts w:hint="eastAsia" w:ascii="Times New Roman" w:hAnsi="Times New Roman"/>
          <w:szCs w:val="32"/>
          <w:u w:val="none"/>
          <w:lang w:val="en-US" w:eastAsia="zh-CN"/>
        </w:rPr>
        <w:t>2</w:t>
      </w:r>
      <w:r>
        <w:rPr>
          <w:rFonts w:hint="eastAsia" w:ascii="Times New Roman" w:hAnsi="Times New Roman"/>
          <w:szCs w:val="32"/>
          <w:u w:val="none"/>
        </w:rPr>
        <w:t>万元，实际执行</w:t>
      </w:r>
      <w:r>
        <w:rPr>
          <w:rFonts w:hint="eastAsia" w:ascii="Times New Roman" w:hAnsi="Times New Roman"/>
          <w:szCs w:val="32"/>
          <w:u w:val="none"/>
          <w:lang w:val="en-US" w:eastAsia="zh-CN"/>
        </w:rPr>
        <w:t>2</w:t>
      </w:r>
      <w:r>
        <w:rPr>
          <w:rFonts w:hint="eastAsia" w:ascii="Times New Roman" w:hAnsi="Times New Roman"/>
          <w:szCs w:val="32"/>
          <w:u w:val="none"/>
        </w:rPr>
        <w:t>万元</w:t>
      </w:r>
      <w:r>
        <w:rPr>
          <w:rFonts w:ascii="Times New Roman" w:hAnsi="Times New Roman"/>
          <w:szCs w:val="32"/>
          <w:u w:val="none"/>
        </w:rPr>
        <w:t>；</w:t>
      </w:r>
      <w:r>
        <w:rPr>
          <w:rFonts w:hint="eastAsia" w:ascii="Times New Roman" w:hAnsi="Times New Roman"/>
          <w:szCs w:val="32"/>
          <w:u w:val="none"/>
        </w:rPr>
        <w:t>202</w:t>
      </w:r>
      <w:r>
        <w:rPr>
          <w:rFonts w:hint="eastAsia" w:ascii="Times New Roman" w:hAnsi="Times New Roman"/>
          <w:szCs w:val="32"/>
          <w:u w:val="none"/>
          <w:lang w:val="en-US" w:eastAsia="zh-CN"/>
        </w:rPr>
        <w:t>3</w:t>
      </w:r>
      <w:r>
        <w:rPr>
          <w:rFonts w:hint="eastAsia" w:ascii="Times New Roman" w:hAnsi="Times New Roman"/>
          <w:szCs w:val="32"/>
          <w:u w:val="none"/>
        </w:rPr>
        <w:t>年预算安排</w:t>
      </w:r>
      <w:r>
        <w:rPr>
          <w:rFonts w:hint="eastAsia" w:ascii="Times New Roman" w:hAnsi="Times New Roman"/>
          <w:szCs w:val="32"/>
          <w:u w:val="none"/>
          <w:lang w:val="en-US" w:eastAsia="zh-CN"/>
        </w:rPr>
        <w:t>2</w:t>
      </w:r>
      <w:r>
        <w:rPr>
          <w:rFonts w:hint="eastAsia" w:ascii="Times New Roman" w:hAnsi="Times New Roman"/>
          <w:szCs w:val="32"/>
          <w:u w:val="none"/>
        </w:rPr>
        <w:t>万元，实际执行</w:t>
      </w:r>
      <w:r>
        <w:rPr>
          <w:rFonts w:hint="eastAsia" w:ascii="Times New Roman" w:hAnsi="Times New Roman"/>
          <w:szCs w:val="32"/>
          <w:u w:val="none"/>
          <w:lang w:val="en-US" w:eastAsia="zh-CN"/>
        </w:rPr>
        <w:t>2</w:t>
      </w:r>
      <w:r>
        <w:rPr>
          <w:rFonts w:hint="eastAsia" w:ascii="Times New Roman" w:hAnsi="Times New Roman"/>
          <w:szCs w:val="32"/>
          <w:u w:val="none"/>
        </w:rPr>
        <w:t>万元</w:t>
      </w:r>
      <w:r>
        <w:rPr>
          <w:rFonts w:hint="eastAsia"/>
          <w:szCs w:val="32"/>
          <w:u w:val="none"/>
          <w:lang w:eastAsia="zh-CN"/>
        </w:rPr>
        <w:t>，</w:t>
      </w:r>
      <w:r>
        <w:rPr>
          <w:rFonts w:ascii="Times New Roman" w:hAnsi="Times New Roman"/>
          <w:szCs w:val="32"/>
          <w:u w:val="none"/>
        </w:rPr>
        <w:t>较上年</w:t>
      </w:r>
      <w:r>
        <w:rPr>
          <w:rFonts w:hint="eastAsia" w:ascii="Times New Roman" w:hAnsi="Times New Roman"/>
          <w:szCs w:val="32"/>
          <w:u w:val="none"/>
          <w:lang w:eastAsia="zh-CN"/>
        </w:rPr>
        <w:t>无变化</w:t>
      </w:r>
      <w:r>
        <w:rPr>
          <w:rFonts w:hint="eastAsia" w:ascii="Times New Roman" w:hAnsi="Times New Roman"/>
          <w:szCs w:val="32"/>
          <w:u w:val="none"/>
        </w:rPr>
        <w:t>。</w:t>
      </w:r>
    </w:p>
    <w:p>
      <w:pPr>
        <w:adjustRightInd w:val="0"/>
        <w:snapToGrid w:val="0"/>
        <w:spacing w:line="600" w:lineRule="exact"/>
        <w:ind w:firstLine="720"/>
        <w:rPr>
          <w:rFonts w:eastAsia="楷体_GB2312"/>
          <w:b/>
          <w:lang w:val="zh-CN"/>
        </w:rPr>
      </w:pPr>
      <w:r>
        <w:rPr>
          <w:rFonts w:eastAsia="楷体_GB2312"/>
          <w:b/>
          <w:lang w:val="zh-CN"/>
        </w:rPr>
        <w:t>（二）项目绩效目标。</w:t>
      </w:r>
    </w:p>
    <w:p>
      <w:pPr>
        <w:numPr>
          <w:ilvl w:val="0"/>
          <w:numId w:val="0"/>
        </w:numPr>
        <w:spacing w:line="353" w:lineRule="auto"/>
        <w:ind w:firstLine="640" w:firstLineChars="200"/>
        <w:rPr>
          <w:rFonts w:ascii="方正仿宋简体" w:eastAsia="方正仿宋简体" w:cs="Times New Roman"/>
          <w:sz w:val="33"/>
          <w:szCs w:val="33"/>
          <w:u w:val="none"/>
        </w:rPr>
      </w:pPr>
      <w:r>
        <w:rPr>
          <w:lang w:val="zh-CN"/>
        </w:rPr>
        <w:t>1. 项目主要内容。</w:t>
      </w:r>
      <w:r>
        <w:rPr>
          <w:rFonts w:hint="eastAsia" w:ascii="Times New Roman" w:hAnsi="Times New Roman" w:eastAsia="仿宋_GB2312" w:cs="仿宋_GB2312"/>
          <w:sz w:val="32"/>
          <w:szCs w:val="32"/>
        </w:rPr>
        <w:t>按照《攀枝花市年度目标绩效管理办法》《攀枝花市市级目标绩效考评特殊情况加扣分标准》《攀枝花市省级目标任务绩效考核实施细则》等制度规定和《攀枝花市</w:t>
      </w:r>
      <w:r>
        <w:rPr>
          <w:rFonts w:ascii="Times New Roman" w:hAnsi="Times New Roman" w:eastAsia="仿宋_GB2312" w:cs="Times New Roman"/>
          <w:sz w:val="32"/>
          <w:szCs w:val="32"/>
        </w:rPr>
        <w:t xml:space="preserve"> 2020</w:t>
      </w:r>
      <w:r>
        <w:rPr>
          <w:rFonts w:hint="eastAsia" w:ascii="Times New Roman" w:hAnsi="Times New Roman" w:eastAsia="仿宋_GB2312" w:cs="仿宋_GB2312"/>
          <w:sz w:val="32"/>
          <w:szCs w:val="32"/>
        </w:rPr>
        <w:t>年度市级综合目标任务实施方案》考评责任分工，结合我市信访工作实际，制定了攀枝花市信访局关于印发《</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年信访工作考评细则</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》的通知</w:t>
      </w:r>
      <w:r>
        <w:rPr>
          <w:rFonts w:hint="eastAsia" w:cs="仿宋_GB2312"/>
          <w:sz w:val="32"/>
          <w:szCs w:val="32"/>
          <w:lang w:eastAsia="zh-CN"/>
        </w:rPr>
        <w:t>，</w:t>
      </w:r>
      <w:r>
        <w:rPr>
          <w:rFonts w:hint="eastAsia" w:cs="仿宋_GB2312"/>
          <w:sz w:val="32"/>
          <w:szCs w:val="32"/>
          <w:lang w:val="en-US" w:eastAsia="zh-CN"/>
        </w:rPr>
        <w:t>要求做好群众接访</w:t>
      </w:r>
      <w:r>
        <w:rPr>
          <w:rFonts w:hint="eastAsia" w:ascii="Times New Roman" w:hAnsi="Times New Roman" w:eastAsia="仿宋_GB2312" w:cs="仿宋_GB2312"/>
          <w:sz w:val="32"/>
          <w:szCs w:val="32"/>
        </w:rPr>
        <w:t>。</w:t>
      </w:r>
    </w:p>
    <w:p>
      <w:pPr>
        <w:adjustRightInd w:val="0"/>
        <w:snapToGrid w:val="0"/>
        <w:spacing w:line="600" w:lineRule="exact"/>
        <w:ind w:firstLine="720"/>
        <w:rPr>
          <w:rFonts w:hint="eastAsia" w:ascii="Times New Roman" w:hAnsi="Times New Roman" w:eastAsia="仿宋_GB2312" w:cs="仿宋_GB2312"/>
          <w:sz w:val="32"/>
          <w:szCs w:val="32"/>
        </w:rPr>
      </w:pPr>
      <w:r>
        <w:rPr>
          <w:lang w:val="zh-CN"/>
        </w:rPr>
        <w:t xml:space="preserve">2. </w:t>
      </w:r>
      <w:r>
        <w:rPr>
          <w:rFonts w:hint="eastAsia" w:ascii="Times New Roman" w:hAnsi="Times New Roman" w:eastAsia="仿宋_GB2312" w:cs="仿宋_GB2312"/>
          <w:sz w:val="32"/>
          <w:szCs w:val="32"/>
        </w:rPr>
        <w:t>有效地保障信访部门上访群众和信访工作人员的人身安全，更好的完成接访工作，提高群众满意度。</w:t>
      </w:r>
    </w:p>
    <w:p>
      <w:pPr>
        <w:snapToGrid w:val="0"/>
        <w:spacing w:line="600" w:lineRule="atLeast"/>
        <w:ind w:firstLine="627" w:firstLineChars="196"/>
        <w:jc w:val="left"/>
        <w:rPr>
          <w:rFonts w:hint="eastAsia" w:ascii="仿宋_GB2312" w:cs="仿宋_GB2312"/>
          <w:sz w:val="32"/>
          <w:szCs w:val="32"/>
          <w:u w:val="none"/>
          <w:lang w:eastAsia="zh-CN"/>
        </w:rPr>
      </w:pPr>
      <w:r>
        <w:rPr>
          <w:lang w:val="zh-CN"/>
        </w:rPr>
        <w:t xml:space="preserve">3. </w:t>
      </w:r>
      <w:r>
        <w:rPr>
          <w:rFonts w:hint="eastAsia" w:ascii="仿宋_GB2312" w:eastAsia="仿宋_GB2312" w:cs="仿宋_GB2312"/>
          <w:sz w:val="32"/>
          <w:szCs w:val="32"/>
          <w:u w:val="none"/>
        </w:rPr>
        <w:t>按照</w:t>
      </w:r>
      <w:r>
        <w:rPr>
          <w:rFonts w:hint="eastAsia" w:ascii="仿宋_GB2312" w:cs="仿宋_GB2312"/>
          <w:sz w:val="32"/>
          <w:szCs w:val="32"/>
          <w:u w:val="none"/>
          <w:lang w:eastAsia="zh-CN"/>
        </w:rPr>
        <w:t>攀枝花市信访联席会议办公室</w:t>
      </w:r>
      <w:r>
        <w:rPr>
          <w:rFonts w:hint="eastAsia" w:ascii="仿宋_GB2312" w:eastAsia="仿宋_GB2312" w:cs="仿宋_GB2312"/>
          <w:sz w:val="32"/>
          <w:szCs w:val="32"/>
          <w:u w:val="none"/>
        </w:rPr>
        <w:t>《关于</w:t>
      </w:r>
      <w:r>
        <w:rPr>
          <w:rFonts w:hint="eastAsia" w:ascii="仿宋_GB2312" w:cs="仿宋_GB2312"/>
          <w:sz w:val="32"/>
          <w:szCs w:val="32"/>
          <w:u w:val="none"/>
          <w:lang w:eastAsia="zh-CN"/>
        </w:rPr>
        <w:t>进一步做好涉稳涉访重点问题和重点人员信访稳定工作</w:t>
      </w:r>
      <w:r>
        <w:rPr>
          <w:rFonts w:hint="eastAsia" w:ascii="仿宋_GB2312" w:eastAsia="仿宋_GB2312" w:cs="仿宋_GB2312"/>
          <w:sz w:val="32"/>
          <w:szCs w:val="32"/>
          <w:u w:val="none"/>
        </w:rPr>
        <w:t>的通知》（攀信联办〔</w:t>
      </w:r>
      <w:r>
        <w:rPr>
          <w:rFonts w:ascii="仿宋_GB2312" w:eastAsia="仿宋_GB2312" w:cs="仿宋_GB2312"/>
          <w:sz w:val="32"/>
          <w:szCs w:val="32"/>
          <w:u w:val="none"/>
        </w:rPr>
        <w:t>20</w:t>
      </w:r>
      <w:r>
        <w:rPr>
          <w:rFonts w:hint="eastAsia" w:ascii="仿宋_GB2312" w:cs="仿宋_GB2312"/>
          <w:sz w:val="32"/>
          <w:szCs w:val="32"/>
          <w:u w:val="none"/>
          <w:lang w:val="en-US" w:eastAsia="zh-CN"/>
        </w:rPr>
        <w:t>22</w:t>
      </w:r>
      <w:r>
        <w:rPr>
          <w:rFonts w:hint="eastAsia" w:ascii="仿宋_GB2312" w:eastAsia="仿宋_GB2312" w:cs="仿宋_GB2312"/>
          <w:sz w:val="32"/>
          <w:szCs w:val="32"/>
          <w:u w:val="none"/>
        </w:rPr>
        <w:t>〕</w:t>
      </w:r>
      <w:r>
        <w:rPr>
          <w:rFonts w:hint="eastAsia" w:ascii="仿宋_GB2312" w:cs="仿宋_GB2312"/>
          <w:sz w:val="32"/>
          <w:szCs w:val="32"/>
          <w:u w:val="none"/>
          <w:lang w:val="en-US" w:eastAsia="zh-CN"/>
        </w:rPr>
        <w:t>34</w:t>
      </w:r>
      <w:r>
        <w:rPr>
          <w:rFonts w:hint="eastAsia" w:ascii="仿宋_GB2312" w:eastAsia="仿宋_GB2312" w:cs="仿宋_GB2312"/>
          <w:sz w:val="32"/>
          <w:szCs w:val="32"/>
          <w:u w:val="none"/>
        </w:rPr>
        <w:t>号）</w:t>
      </w:r>
      <w:r>
        <w:rPr>
          <w:rFonts w:hint="eastAsia" w:ascii="仿宋_GB2312" w:cs="仿宋_GB2312"/>
          <w:sz w:val="32"/>
          <w:szCs w:val="32"/>
          <w:u w:val="none"/>
          <w:lang w:eastAsia="zh-CN"/>
        </w:rPr>
        <w:t>，攀枝花市信访联席会议办公室关于转发</w:t>
      </w:r>
      <w:r>
        <w:rPr>
          <w:rFonts w:hint="eastAsia" w:ascii="仿宋_GB2312" w:eastAsia="仿宋_GB2312" w:cs="仿宋_GB2312"/>
          <w:sz w:val="32"/>
          <w:szCs w:val="32"/>
          <w:u w:val="none"/>
        </w:rPr>
        <w:t>《</w:t>
      </w:r>
      <w:r>
        <w:rPr>
          <w:rFonts w:hint="eastAsia" w:ascii="仿宋_GB2312" w:cs="仿宋_GB2312"/>
          <w:sz w:val="32"/>
          <w:szCs w:val="32"/>
          <w:u w:val="none"/>
          <w:lang w:eastAsia="zh-CN"/>
        </w:rPr>
        <w:t>四川省信访联席会议办公室关于进一步做好信访安全稳定风险事项化解稳定工作</w:t>
      </w:r>
      <w:r>
        <w:rPr>
          <w:rFonts w:hint="eastAsia" w:ascii="仿宋_GB2312" w:eastAsia="仿宋_GB2312" w:cs="仿宋_GB2312"/>
          <w:sz w:val="32"/>
          <w:szCs w:val="32"/>
          <w:u w:val="none"/>
        </w:rPr>
        <w:t>的通知》文件要求，</w:t>
      </w:r>
      <w:r>
        <w:rPr>
          <w:rFonts w:ascii="仿宋_GB2312" w:eastAsia="仿宋_GB2312" w:cs="仿宋_GB2312"/>
          <w:sz w:val="32"/>
          <w:szCs w:val="32"/>
          <w:u w:val="none"/>
        </w:rPr>
        <w:t>20</w:t>
      </w:r>
      <w:r>
        <w:rPr>
          <w:rFonts w:hint="eastAsia" w:ascii="仿宋_GB2312" w:cs="仿宋_GB2312"/>
          <w:sz w:val="32"/>
          <w:szCs w:val="32"/>
          <w:u w:val="none"/>
          <w:lang w:val="en-US" w:eastAsia="zh-CN"/>
        </w:rPr>
        <w:t>22</w:t>
      </w:r>
      <w:r>
        <w:rPr>
          <w:rFonts w:hint="eastAsia" w:ascii="仿宋_GB2312" w:eastAsia="仿宋_GB2312" w:cs="仿宋_GB2312"/>
          <w:sz w:val="32"/>
          <w:szCs w:val="32"/>
          <w:u w:val="none"/>
        </w:rPr>
        <w:t>年</w:t>
      </w:r>
      <w:r>
        <w:rPr>
          <w:rFonts w:hint="eastAsia" w:ascii="仿宋_GB2312" w:cs="仿宋_GB2312"/>
          <w:sz w:val="32"/>
          <w:szCs w:val="32"/>
          <w:u w:val="none"/>
          <w:lang w:val="en-US" w:eastAsia="zh-CN"/>
        </w:rPr>
        <w:t>9</w:t>
      </w:r>
      <w:r>
        <w:rPr>
          <w:rFonts w:hint="eastAsia" w:ascii="仿宋_GB2312" w:eastAsia="仿宋_GB2312" w:cs="仿宋_GB2312"/>
          <w:sz w:val="32"/>
          <w:szCs w:val="32"/>
          <w:u w:val="none"/>
        </w:rPr>
        <w:t>月</w:t>
      </w:r>
      <w:r>
        <w:rPr>
          <w:rFonts w:hint="eastAsia" w:ascii="仿宋_GB2312" w:cs="仿宋_GB2312"/>
          <w:sz w:val="32"/>
          <w:szCs w:val="32"/>
          <w:u w:val="none"/>
          <w:lang w:val="en-US" w:eastAsia="zh-CN"/>
        </w:rPr>
        <w:t>15</w:t>
      </w:r>
      <w:r>
        <w:rPr>
          <w:rFonts w:hint="eastAsia" w:ascii="仿宋_GB2312" w:eastAsia="仿宋_GB2312" w:cs="仿宋_GB2312"/>
          <w:sz w:val="32"/>
          <w:szCs w:val="32"/>
          <w:u w:val="none"/>
        </w:rPr>
        <w:t>日，</w:t>
      </w:r>
      <w:r>
        <w:rPr>
          <w:rFonts w:hint="eastAsia" w:ascii="仿宋_GB2312" w:cs="仿宋_GB2312"/>
          <w:sz w:val="32"/>
          <w:szCs w:val="32"/>
          <w:u w:val="none"/>
          <w:lang w:eastAsia="zh-CN"/>
        </w:rPr>
        <w:t>市政府副市长、市公安局局长周强</w:t>
      </w:r>
      <w:r>
        <w:rPr>
          <w:rFonts w:hint="eastAsia" w:ascii="仿宋_GB2312" w:eastAsia="仿宋_GB2312" w:cs="仿宋_GB2312"/>
          <w:sz w:val="32"/>
          <w:szCs w:val="32"/>
          <w:u w:val="none"/>
        </w:rPr>
        <w:t>组织召开了</w:t>
      </w:r>
      <w:r>
        <w:rPr>
          <w:rFonts w:hint="eastAsia" w:ascii="仿宋_GB2312" w:cs="仿宋_GB2312"/>
          <w:sz w:val="32"/>
          <w:szCs w:val="32"/>
          <w:u w:val="none"/>
          <w:lang w:eastAsia="zh-CN"/>
        </w:rPr>
        <w:t>信访安全保障工作专题会议</w:t>
      </w:r>
      <w:r>
        <w:rPr>
          <w:rFonts w:hint="eastAsia" w:ascii="仿宋_GB2312" w:eastAsia="仿宋_GB2312" w:cs="仿宋_GB2312"/>
          <w:sz w:val="32"/>
          <w:szCs w:val="32"/>
          <w:u w:val="none"/>
        </w:rPr>
        <w:t>，</w:t>
      </w:r>
      <w:r>
        <w:rPr>
          <w:rFonts w:hint="eastAsia" w:ascii="仿宋_GB2312" w:cs="仿宋_GB2312"/>
          <w:sz w:val="32"/>
          <w:szCs w:val="32"/>
          <w:u w:val="none"/>
          <w:lang w:eastAsia="zh-CN"/>
        </w:rPr>
        <w:t>要求做好信访安全保障工作，营造安全稳定和谐社会环境。</w:t>
      </w:r>
    </w:p>
    <w:p>
      <w:pPr>
        <w:adjustRightInd w:val="0"/>
        <w:snapToGrid w:val="0"/>
        <w:spacing w:line="600" w:lineRule="exact"/>
        <w:ind w:firstLine="643" w:firstLineChars="200"/>
        <w:rPr>
          <w:rFonts w:eastAsia="楷体_GB2312"/>
          <w:b/>
          <w:lang w:val="zh-CN"/>
        </w:rPr>
      </w:pPr>
      <w:r>
        <w:rPr>
          <w:rFonts w:eastAsia="楷体_GB2312"/>
          <w:b/>
          <w:lang w:val="zh-CN"/>
        </w:rPr>
        <w:t>（三）项目自评步骤及方法。</w:t>
      </w:r>
    </w:p>
    <w:p>
      <w:pPr>
        <w:snapToGrid w:val="0"/>
        <w:spacing w:line="600" w:lineRule="exact"/>
        <w:ind w:firstLine="643" w:firstLineChars="200"/>
        <w:jc w:val="left"/>
        <w:rPr>
          <w:rFonts w:ascii="楷体_GB2312" w:hAnsi="Times New Roman" w:eastAsia="楷体_GB2312"/>
          <w:b/>
          <w:szCs w:val="32"/>
          <w:u w:val="none"/>
        </w:rPr>
      </w:pPr>
      <w:r>
        <w:rPr>
          <w:rFonts w:hint="eastAsia" w:ascii="楷体_GB2312" w:hAnsi="Times New Roman" w:eastAsia="楷体_GB2312"/>
          <w:b/>
          <w:szCs w:val="32"/>
          <w:u w:val="none"/>
          <w:lang w:val="en-US" w:eastAsia="zh-CN"/>
        </w:rPr>
        <w:t>1.</w:t>
      </w:r>
      <w:r>
        <w:rPr>
          <w:rFonts w:ascii="楷体_GB2312" w:hAnsi="Times New Roman" w:eastAsia="楷体_GB2312"/>
          <w:b/>
          <w:szCs w:val="32"/>
          <w:u w:val="none"/>
        </w:rPr>
        <w:t>评估程序</w:t>
      </w:r>
    </w:p>
    <w:p>
      <w:pPr>
        <w:snapToGrid w:val="0"/>
        <w:spacing w:line="600" w:lineRule="exact"/>
        <w:ind w:firstLine="640" w:firstLineChars="200"/>
        <w:rPr>
          <w:rFonts w:ascii="Times New Roman" w:hAnsi="Times New Roman"/>
          <w:szCs w:val="32"/>
          <w:u w:val="none"/>
        </w:rPr>
      </w:pPr>
      <w:r>
        <w:rPr>
          <w:rFonts w:ascii="Times New Roman" w:hAnsi="Times New Roman"/>
          <w:szCs w:val="32"/>
          <w:u w:val="none"/>
        </w:rPr>
        <w:t>20</w:t>
      </w:r>
      <w:r>
        <w:rPr>
          <w:rFonts w:hint="eastAsia" w:ascii="Times New Roman" w:hAnsi="Times New Roman"/>
          <w:szCs w:val="32"/>
          <w:u w:val="none"/>
          <w:lang w:val="en-US" w:eastAsia="zh-CN"/>
        </w:rPr>
        <w:t>24</w:t>
      </w:r>
      <w:r>
        <w:rPr>
          <w:rFonts w:hint="eastAsia" w:ascii="Times New Roman" w:hAnsi="Times New Roman"/>
          <w:szCs w:val="32"/>
          <w:u w:val="none"/>
        </w:rPr>
        <w:t>年度</w:t>
      </w:r>
      <w:r>
        <w:rPr>
          <w:rFonts w:ascii="Times New Roman" w:hAnsi="Times New Roman"/>
          <w:szCs w:val="32"/>
          <w:u w:val="none"/>
        </w:rPr>
        <w:t>预算</w:t>
      </w:r>
      <w:r>
        <w:rPr>
          <w:rFonts w:hint="eastAsia" w:ascii="Times New Roman" w:hAnsi="Times New Roman"/>
          <w:szCs w:val="32"/>
          <w:u w:val="none"/>
        </w:rPr>
        <w:t>项目</w:t>
      </w:r>
      <w:r>
        <w:rPr>
          <w:rFonts w:ascii="Times New Roman" w:hAnsi="Times New Roman"/>
          <w:szCs w:val="32"/>
          <w:u w:val="none"/>
        </w:rPr>
        <w:t>绩效评估工作通过线上与线下相结合方式开展。</w:t>
      </w:r>
      <w:r>
        <w:rPr>
          <w:rFonts w:hint="eastAsia" w:ascii="Times New Roman" w:hAnsi="Times New Roman"/>
          <w:szCs w:val="32"/>
          <w:u w:val="none"/>
        </w:rPr>
        <w:t>按照有关规定和工作安排，我单位开展自行评估，通过自行成立组建评估组，</w:t>
      </w:r>
      <w:r>
        <w:rPr>
          <w:rFonts w:ascii="Times New Roman" w:hAnsi="Times New Roman"/>
          <w:szCs w:val="32"/>
          <w:u w:val="none"/>
        </w:rPr>
        <w:t>通过</w:t>
      </w:r>
      <w:r>
        <w:rPr>
          <w:rFonts w:hint="eastAsia" w:ascii="Times New Roman" w:hAnsi="Times New Roman"/>
          <w:szCs w:val="32"/>
          <w:u w:val="none"/>
        </w:rPr>
        <w:t>收集被评估</w:t>
      </w:r>
      <w:r>
        <w:rPr>
          <w:rFonts w:ascii="Times New Roman" w:hAnsi="Times New Roman"/>
          <w:szCs w:val="32"/>
          <w:u w:val="none"/>
        </w:rPr>
        <w:t>项目</w:t>
      </w:r>
      <w:r>
        <w:rPr>
          <w:rFonts w:hint="eastAsia" w:ascii="Times New Roman" w:hAnsi="Times New Roman"/>
          <w:szCs w:val="32"/>
          <w:u w:val="none"/>
        </w:rPr>
        <w:t>相关</w:t>
      </w:r>
      <w:r>
        <w:rPr>
          <w:rFonts w:ascii="Times New Roman" w:hAnsi="Times New Roman"/>
          <w:szCs w:val="32"/>
          <w:u w:val="none"/>
        </w:rPr>
        <w:t>基础资料，</w:t>
      </w:r>
      <w:r>
        <w:rPr>
          <w:rFonts w:hint="eastAsia" w:ascii="Times New Roman" w:hAnsi="Times New Roman"/>
          <w:szCs w:val="32"/>
          <w:u w:val="none"/>
        </w:rPr>
        <w:t>并</w:t>
      </w:r>
      <w:r>
        <w:rPr>
          <w:rFonts w:ascii="Times New Roman" w:hAnsi="Times New Roman"/>
          <w:szCs w:val="32"/>
          <w:u w:val="none"/>
        </w:rPr>
        <w:t>查阅资料、</w:t>
      </w:r>
      <w:r>
        <w:rPr>
          <w:rFonts w:hint="eastAsia" w:ascii="Times New Roman" w:hAnsi="Times New Roman"/>
          <w:szCs w:val="32"/>
          <w:u w:val="none"/>
        </w:rPr>
        <w:t>收集数据信息</w:t>
      </w:r>
      <w:r>
        <w:rPr>
          <w:rFonts w:ascii="Times New Roman" w:hAnsi="Times New Roman"/>
          <w:szCs w:val="32"/>
          <w:u w:val="none"/>
        </w:rPr>
        <w:t>等</w:t>
      </w:r>
      <w:r>
        <w:rPr>
          <w:rFonts w:hint="eastAsia" w:ascii="Times New Roman" w:hAnsi="Times New Roman"/>
          <w:szCs w:val="32"/>
          <w:u w:val="none"/>
        </w:rPr>
        <w:t>，深入论证</w:t>
      </w:r>
      <w:r>
        <w:rPr>
          <w:rFonts w:ascii="Times New Roman" w:hAnsi="Times New Roman"/>
          <w:szCs w:val="32"/>
          <w:u w:val="none"/>
        </w:rPr>
        <w:t>分析后，形成绩效评估报告。</w:t>
      </w:r>
    </w:p>
    <w:p>
      <w:pPr>
        <w:snapToGrid w:val="0"/>
        <w:spacing w:line="600" w:lineRule="exact"/>
        <w:ind w:firstLine="643" w:firstLineChars="200"/>
        <w:jc w:val="left"/>
        <w:rPr>
          <w:rFonts w:ascii="楷体_GB2312" w:hAnsi="Times New Roman" w:eastAsia="楷体_GB2312"/>
          <w:b/>
          <w:szCs w:val="32"/>
          <w:u w:val="none"/>
        </w:rPr>
      </w:pPr>
      <w:r>
        <w:rPr>
          <w:rFonts w:hint="eastAsia" w:ascii="楷体_GB2312" w:hAnsi="Times New Roman" w:eastAsia="楷体_GB2312"/>
          <w:b/>
          <w:szCs w:val="32"/>
          <w:u w:val="none"/>
          <w:lang w:val="en-US" w:eastAsia="zh-CN"/>
        </w:rPr>
        <w:t>2.</w:t>
      </w:r>
      <w:r>
        <w:rPr>
          <w:rFonts w:hint="eastAsia" w:ascii="楷体_GB2312" w:hAnsi="Times New Roman" w:eastAsia="楷体_GB2312"/>
          <w:b/>
          <w:szCs w:val="32"/>
          <w:u w:val="none"/>
        </w:rPr>
        <w:t>评估方法</w:t>
      </w:r>
    </w:p>
    <w:p>
      <w:pPr>
        <w:snapToGrid w:val="0"/>
        <w:spacing w:line="600" w:lineRule="exact"/>
        <w:ind w:firstLine="640" w:firstLineChars="200"/>
        <w:rPr>
          <w:rFonts w:ascii="Times New Roman" w:hAnsi="Times New Roman"/>
          <w:szCs w:val="32"/>
          <w:u w:val="none"/>
        </w:rPr>
      </w:pPr>
      <w:r>
        <w:rPr>
          <w:rFonts w:hint="eastAsia" w:ascii="Times New Roman" w:hAnsi="Times New Roman"/>
          <w:szCs w:val="32"/>
          <w:u w:val="none"/>
        </w:rPr>
        <w:t>本项目通过现场踏勘、与项目相关人员座谈或讨论、</w:t>
      </w:r>
      <w:r>
        <w:rPr>
          <w:rFonts w:ascii="Times New Roman"/>
          <w:szCs w:val="32"/>
          <w:u w:val="none"/>
        </w:rPr>
        <w:t>聘请相关专业专家、市场调研</w:t>
      </w:r>
      <w:r>
        <w:rPr>
          <w:rFonts w:hint="eastAsia" w:ascii="Times New Roman"/>
          <w:szCs w:val="32"/>
          <w:u w:val="none"/>
        </w:rPr>
        <w:t>等方法</w:t>
      </w:r>
      <w:r>
        <w:rPr>
          <w:rFonts w:ascii="Times New Roman"/>
          <w:szCs w:val="32"/>
          <w:u w:val="none"/>
        </w:rPr>
        <w:t>了解项目情况</w:t>
      </w:r>
      <w:r>
        <w:rPr>
          <w:rFonts w:hint="eastAsia" w:ascii="Times New Roman" w:hAnsi="Times New Roman"/>
          <w:szCs w:val="32"/>
          <w:u w:val="none"/>
        </w:rPr>
        <w:t>，收集相关资料，综合分析相关情况后，对项目的立项必要性、投入经济性、目标合理性、方案可行性以及筹资合规性实施评估。</w:t>
      </w:r>
    </w:p>
    <w:p>
      <w:pPr>
        <w:adjustRightInd w:val="0"/>
        <w:snapToGrid w:val="0"/>
        <w:spacing w:line="600" w:lineRule="exact"/>
        <w:ind w:firstLine="720"/>
        <w:rPr>
          <w:rFonts w:eastAsia="黑体"/>
        </w:rPr>
      </w:pPr>
      <w:r>
        <w:rPr>
          <w:rFonts w:eastAsia="黑体"/>
        </w:rPr>
        <w:t>二、项目资金申报及使用情况</w:t>
      </w:r>
    </w:p>
    <w:p>
      <w:pPr>
        <w:adjustRightInd w:val="0"/>
        <w:snapToGrid w:val="0"/>
        <w:spacing w:line="600" w:lineRule="exact"/>
        <w:ind w:firstLine="720"/>
        <w:rPr>
          <w:rFonts w:eastAsia="楷体_GB2312"/>
          <w:b/>
          <w:lang w:val="zh-CN"/>
        </w:rPr>
      </w:pPr>
      <w:r>
        <w:rPr>
          <w:rFonts w:eastAsia="楷体_GB2312"/>
          <w:b/>
          <w:lang w:val="zh-CN"/>
        </w:rPr>
        <w:t>（一）项目资金申报及批复情况。</w:t>
      </w:r>
    </w:p>
    <w:p>
      <w:pPr>
        <w:adjustRightInd w:val="0"/>
        <w:snapToGrid w:val="0"/>
        <w:spacing w:line="600" w:lineRule="exact"/>
        <w:ind w:firstLine="720"/>
        <w:rPr>
          <w:lang w:val="zh-CN"/>
        </w:rPr>
      </w:pPr>
      <w:r>
        <w:rPr>
          <w:rFonts w:hint="eastAsia"/>
          <w:lang w:val="en-US" w:eastAsia="zh-CN"/>
        </w:rPr>
        <w:t>该</w:t>
      </w:r>
      <w:r>
        <w:rPr>
          <w:lang w:val="zh-CN"/>
        </w:rPr>
        <w:t>项资金</w:t>
      </w:r>
      <w:r>
        <w:rPr>
          <w:rFonts w:hint="eastAsia"/>
          <w:lang w:val="en-US" w:eastAsia="zh-CN"/>
        </w:rPr>
        <w:t>于2022年12月</w:t>
      </w:r>
      <w:r>
        <w:rPr>
          <w:lang w:val="zh-CN"/>
        </w:rPr>
        <w:t>申报</w:t>
      </w:r>
      <w:r>
        <w:rPr>
          <w:rFonts w:hint="eastAsia"/>
          <w:lang w:val="zh-CN"/>
        </w:rPr>
        <w:t>，</w:t>
      </w:r>
      <w:r>
        <w:rPr>
          <w:rFonts w:hint="eastAsia"/>
          <w:lang w:val="en-US" w:eastAsia="zh-CN"/>
        </w:rPr>
        <w:t>2023年2月批复并于3月在政府信息公开网公开</w:t>
      </w:r>
      <w:r>
        <w:rPr>
          <w:lang w:val="zh-CN"/>
        </w:rPr>
        <w:t>。</w:t>
      </w:r>
    </w:p>
    <w:p>
      <w:pPr>
        <w:numPr>
          <w:ilvl w:val="0"/>
          <w:numId w:val="1"/>
        </w:numPr>
        <w:adjustRightInd w:val="0"/>
        <w:snapToGrid w:val="0"/>
        <w:spacing w:line="600" w:lineRule="exact"/>
        <w:ind w:firstLine="720"/>
        <w:rPr>
          <w:rFonts w:eastAsia="楷体_GB2312"/>
          <w:b/>
          <w:lang w:val="zh-CN"/>
        </w:rPr>
      </w:pPr>
      <w:r>
        <w:rPr>
          <w:rFonts w:eastAsia="楷体_GB2312"/>
          <w:b/>
          <w:lang w:val="zh-CN"/>
        </w:rPr>
        <w:t>资金计划、到位及使用情况。</w:t>
      </w:r>
    </w:p>
    <w:p>
      <w:pPr>
        <w:pStyle w:val="3"/>
        <w:numPr>
          <w:ilvl w:val="0"/>
          <w:numId w:val="0"/>
        </w:numPr>
        <w:rPr>
          <w:rFonts w:hint="default" w:eastAsia="仿宋_GB2312"/>
          <w:lang w:val="en-US" w:eastAsia="zh-CN"/>
        </w:rPr>
      </w:pPr>
      <w:r>
        <w:rPr>
          <w:rFonts w:hint="eastAsia"/>
          <w:lang w:val="en-US" w:eastAsia="zh-CN"/>
        </w:rPr>
        <w:t xml:space="preserve">    该项目资金年初预算2万元，区财政已及时拨付到位，全年完成数2万元。</w:t>
      </w:r>
    </w:p>
    <w:p>
      <w:pPr>
        <w:adjustRightInd w:val="0"/>
        <w:snapToGrid w:val="0"/>
        <w:spacing w:line="600" w:lineRule="exact"/>
        <w:ind w:firstLine="720"/>
        <w:rPr>
          <w:rFonts w:eastAsia="楷体_GB2312"/>
          <w:b/>
          <w:lang w:val="zh-CN"/>
        </w:rPr>
      </w:pPr>
      <w:r>
        <w:rPr>
          <w:rFonts w:eastAsia="楷体_GB2312"/>
          <w:b/>
          <w:lang w:val="zh-CN"/>
        </w:rPr>
        <w:t>（三）项目财务管理情况。</w:t>
      </w:r>
    </w:p>
    <w:p>
      <w:pPr>
        <w:adjustRightInd w:val="0"/>
        <w:snapToGrid w:val="0"/>
        <w:spacing w:line="600" w:lineRule="exact"/>
        <w:ind w:firstLine="720"/>
        <w:rPr>
          <w:lang w:val="zh-CN"/>
        </w:rPr>
      </w:pPr>
      <w:r>
        <w:rPr>
          <w:rFonts w:hint="eastAsia"/>
          <w:lang w:val="en-US" w:eastAsia="zh-CN"/>
        </w:rPr>
        <w:t>该</w:t>
      </w:r>
      <w:r>
        <w:rPr>
          <w:lang w:val="zh-CN"/>
        </w:rPr>
        <w:t>项目实施财务管理制度健全，严格执行财务管理制度，账务处理及时，会计核算规范。</w:t>
      </w:r>
    </w:p>
    <w:p>
      <w:pPr>
        <w:adjustRightInd w:val="0"/>
        <w:snapToGrid w:val="0"/>
        <w:spacing w:line="600" w:lineRule="exact"/>
        <w:ind w:firstLine="720"/>
        <w:rPr>
          <w:rFonts w:eastAsia="黑体"/>
        </w:rPr>
      </w:pPr>
      <w:r>
        <w:rPr>
          <w:rFonts w:eastAsia="黑体"/>
        </w:rPr>
        <w:t>三、项目实施及管理情况</w:t>
      </w:r>
    </w:p>
    <w:p>
      <w:pPr>
        <w:adjustRightInd w:val="0"/>
        <w:snapToGrid w:val="0"/>
        <w:spacing w:line="560" w:lineRule="exact"/>
        <w:ind w:firstLine="643" w:firstLineChars="200"/>
        <w:rPr>
          <w:rFonts w:eastAsia="楷体_GB2312"/>
          <w:b/>
          <w:lang w:val="zh-CN"/>
        </w:rPr>
      </w:pPr>
      <w:r>
        <w:rPr>
          <w:rFonts w:eastAsia="楷体_GB2312"/>
          <w:b/>
          <w:lang w:val="zh-CN"/>
        </w:rPr>
        <w:t>（一）项目组织架构及实施流程。</w:t>
      </w:r>
      <w:r>
        <w:rPr>
          <w:rFonts w:hint="eastAsia" w:ascii="Times New Roman" w:hAnsi="Times New Roman" w:eastAsia="仿宋_GB2312" w:cs="Times New Roman"/>
          <w:sz w:val="32"/>
          <w:szCs w:val="32"/>
          <w:u w:val="none"/>
          <w:lang w:eastAsia="zh-CN"/>
        </w:rPr>
        <w:t>该笔</w:t>
      </w:r>
      <w:r>
        <w:rPr>
          <w:rFonts w:ascii="Times New Roman" w:hAnsi="Times New Roman" w:eastAsia="仿宋_GB2312" w:cs="Times New Roman"/>
          <w:sz w:val="32"/>
          <w:szCs w:val="32"/>
          <w:u w:val="none"/>
        </w:rPr>
        <w:t>资金来源渠道的合法合规，评估内容具有公共性，属于公共财政支持范围，筹资渠道符合法律法规规定，筹资结构合理，资金来源渠道明确</w:t>
      </w:r>
      <w:r>
        <w:rPr>
          <w:rFonts w:hint="eastAsia"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353" w:lineRule="auto"/>
        <w:ind w:firstLine="643" w:firstLineChars="200"/>
        <w:textAlignment w:val="auto"/>
        <w:outlineLvl w:val="9"/>
        <w:rPr>
          <w:lang w:val="zh-CN"/>
        </w:rPr>
      </w:pPr>
      <w:r>
        <w:rPr>
          <w:rFonts w:eastAsia="楷体_GB2312"/>
          <w:b/>
          <w:lang w:val="zh-CN"/>
        </w:rPr>
        <w:t>（二）项目管理情况。</w:t>
      </w:r>
      <w:r>
        <w:rPr>
          <w:rFonts w:ascii="Times New Roman" w:hAnsi="Times New Roman" w:eastAsia="仿宋_GB2312"/>
          <w:sz w:val="32"/>
          <w:szCs w:val="32"/>
        </w:rPr>
        <w:t>严格按照批复的支出预算执行，对人员经费严格按照上级的有关政策规定执行，</w:t>
      </w:r>
      <w:r>
        <w:rPr>
          <w:rFonts w:hint="eastAsia"/>
          <w:sz w:val="32"/>
          <w:szCs w:val="32"/>
          <w:lang w:val="en-US" w:eastAsia="zh-CN"/>
        </w:rPr>
        <w:t>无</w:t>
      </w:r>
      <w:r>
        <w:rPr>
          <w:rFonts w:ascii="Times New Roman" w:hAnsi="Times New Roman" w:eastAsia="仿宋_GB2312"/>
          <w:sz w:val="32"/>
          <w:szCs w:val="32"/>
        </w:rPr>
        <w:t>擅自扩大开支范围和提高开支标准</w:t>
      </w:r>
      <w:r>
        <w:rPr>
          <w:rFonts w:hint="eastAsia"/>
          <w:sz w:val="32"/>
          <w:szCs w:val="32"/>
          <w:lang w:val="en-US" w:eastAsia="zh-CN"/>
        </w:rPr>
        <w:t>情况</w:t>
      </w:r>
      <w:r>
        <w:rPr>
          <w:rFonts w:ascii="Times New Roman" w:hAnsi="Times New Roman" w:eastAsia="仿宋_GB2312"/>
          <w:sz w:val="32"/>
          <w:szCs w:val="32"/>
        </w:rPr>
        <w:t>。项目支出严格按照批复的项目和用途使用，</w:t>
      </w:r>
      <w:r>
        <w:rPr>
          <w:rFonts w:hint="eastAsia"/>
          <w:sz w:val="32"/>
          <w:szCs w:val="32"/>
          <w:lang w:val="en-US" w:eastAsia="zh-CN"/>
        </w:rPr>
        <w:t>无</w:t>
      </w:r>
      <w:r>
        <w:rPr>
          <w:rFonts w:ascii="Times New Roman" w:hAnsi="Times New Roman" w:eastAsia="仿宋_GB2312"/>
          <w:sz w:val="32"/>
          <w:szCs w:val="32"/>
        </w:rPr>
        <w:t>自行改变项目内容</w:t>
      </w:r>
      <w:r>
        <w:rPr>
          <w:rFonts w:hint="eastAsia"/>
          <w:sz w:val="32"/>
          <w:szCs w:val="32"/>
          <w:lang w:val="en-US" w:eastAsia="zh-CN"/>
        </w:rPr>
        <w:t>及</w:t>
      </w:r>
      <w:r>
        <w:rPr>
          <w:rFonts w:ascii="Times New Roman" w:hAnsi="Times New Roman" w:eastAsia="仿宋_GB2312"/>
          <w:sz w:val="32"/>
          <w:szCs w:val="32"/>
        </w:rPr>
        <w:t>扩大使用范围</w:t>
      </w:r>
      <w:r>
        <w:rPr>
          <w:rFonts w:hint="eastAsia"/>
          <w:sz w:val="32"/>
          <w:szCs w:val="32"/>
          <w:lang w:val="en-US" w:eastAsia="zh-CN"/>
        </w:rPr>
        <w:t>情况</w:t>
      </w:r>
      <w:r>
        <w:rPr>
          <w:rFonts w:ascii="Times New Roman" w:hAnsi="Times New Roman" w:eastAsia="仿宋_GB2312"/>
          <w:sz w:val="32"/>
          <w:szCs w:val="32"/>
        </w:rPr>
        <w:t>，保证专款专用，</w:t>
      </w:r>
      <w:r>
        <w:rPr>
          <w:rFonts w:hint="eastAsia"/>
          <w:sz w:val="32"/>
          <w:szCs w:val="32"/>
          <w:lang w:val="en-US" w:eastAsia="zh-CN"/>
        </w:rPr>
        <w:t>无</w:t>
      </w:r>
      <w:r>
        <w:rPr>
          <w:rFonts w:ascii="Times New Roman" w:hAnsi="Times New Roman" w:eastAsia="仿宋_GB2312"/>
          <w:sz w:val="32"/>
          <w:szCs w:val="32"/>
        </w:rPr>
        <w:t>截留、挪用专项资金</w:t>
      </w:r>
      <w:r>
        <w:rPr>
          <w:rFonts w:hint="eastAsia"/>
          <w:sz w:val="32"/>
          <w:szCs w:val="32"/>
          <w:lang w:val="en-US" w:eastAsia="zh-CN"/>
        </w:rPr>
        <w:t>情况</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353" w:lineRule="auto"/>
        <w:ind w:firstLine="643" w:firstLineChars="200"/>
        <w:textAlignment w:val="auto"/>
        <w:outlineLvl w:val="9"/>
        <w:rPr>
          <w:rFonts w:hint="eastAsia" w:ascii="Times New Roman" w:hAnsi="Times New Roman" w:eastAsia="仿宋_GB2312" w:cs="Times New Roman"/>
          <w:sz w:val="32"/>
          <w:szCs w:val="32"/>
          <w:lang w:eastAsia="zh-CN"/>
        </w:rPr>
      </w:pPr>
      <w:r>
        <w:rPr>
          <w:rFonts w:eastAsia="楷体_GB2312"/>
          <w:b/>
          <w:lang w:val="zh-CN"/>
        </w:rPr>
        <w:t>（三）项目监管情况。</w:t>
      </w:r>
      <w:r>
        <w:rPr>
          <w:rFonts w:hint="eastAsia" w:ascii="Times New Roman" w:hAnsi="Times New Roman" w:eastAsia="仿宋_GB2312" w:cs="Times New Roman"/>
          <w:sz w:val="32"/>
          <w:szCs w:val="32"/>
          <w:lang w:val="en-US" w:eastAsia="zh-CN"/>
        </w:rPr>
        <w:t>保证</w:t>
      </w:r>
      <w:r>
        <w:rPr>
          <w:rFonts w:ascii="Times New Roman" w:hAnsi="Times New Roman" w:eastAsia="仿宋_GB2312"/>
          <w:sz w:val="32"/>
          <w:szCs w:val="32"/>
        </w:rPr>
        <w:t>在财政批复部门预算后20</w:t>
      </w:r>
      <w:r>
        <w:rPr>
          <w:rFonts w:ascii="Times New Roman" w:hAnsi="Times New Roman" w:eastAsia="仿宋_GB2312"/>
          <w:sz w:val="32"/>
          <w:szCs w:val="32"/>
          <w:highlight w:val="none"/>
        </w:rPr>
        <w:t>日内</w:t>
      </w:r>
      <w:r>
        <w:rPr>
          <w:rFonts w:ascii="Times New Roman" w:hAnsi="Times New Roman" w:eastAsia="仿宋_GB2312"/>
          <w:sz w:val="32"/>
          <w:szCs w:val="32"/>
        </w:rPr>
        <w:t>，通过攀枝花市西区人民政府网站预决算公开统一平台公开绩效目标情况，并妥善做好解释说明工作，确保公开信息规范化、标准化</w:t>
      </w:r>
      <w:r>
        <w:rPr>
          <w:rFonts w:hint="eastAsia"/>
          <w:sz w:val="32"/>
          <w:szCs w:val="32"/>
          <w:lang w:eastAsia="zh-CN"/>
        </w:rPr>
        <w:t>，</w:t>
      </w:r>
      <w:r>
        <w:rPr>
          <w:rFonts w:ascii="Times New Roman" w:hAnsi="Times New Roman" w:eastAsia="仿宋_GB2312" w:cs="Times New Roman"/>
          <w:sz w:val="32"/>
          <w:szCs w:val="32"/>
        </w:rPr>
        <w:t>主动接受预算监督</w:t>
      </w:r>
      <w:r>
        <w:rPr>
          <w:rFonts w:hint="eastAsia" w:ascii="Times New Roman" w:hAnsi="Times New Roman" w:cs="Times New Roman"/>
          <w:sz w:val="32"/>
          <w:szCs w:val="32"/>
          <w:lang w:eastAsia="zh-CN"/>
        </w:rPr>
        <w:t>。</w:t>
      </w:r>
    </w:p>
    <w:p>
      <w:pPr>
        <w:adjustRightInd w:val="0"/>
        <w:snapToGrid w:val="0"/>
        <w:spacing w:line="600" w:lineRule="exact"/>
        <w:ind w:firstLine="720"/>
        <w:rPr>
          <w:rFonts w:hint="eastAsia" w:ascii="Times New Roman" w:hAnsi="Times New Roman" w:eastAsia="仿宋_GB2312" w:cs="Times New Roman"/>
          <w:sz w:val="32"/>
          <w:szCs w:val="32"/>
          <w:u w:val="none"/>
          <w:lang w:eastAsia="zh-CN"/>
        </w:rPr>
      </w:pPr>
      <w:r>
        <w:rPr>
          <w:rFonts w:eastAsia="黑体"/>
        </w:rPr>
        <w:t>四、项目绩效情况</w:t>
      </w:r>
      <w:r>
        <w:rPr>
          <w:lang w:val="zh-CN"/>
        </w:rPr>
        <w:tab/>
      </w:r>
    </w:p>
    <w:p>
      <w:pPr>
        <w:widowControl/>
        <w:ind w:firstLine="2530" w:firstLineChars="1200"/>
        <w:jc w:val="left"/>
        <w:rPr>
          <w:rFonts w:ascii="仿宋_GB2312" w:hAnsi="宋体"/>
          <w:szCs w:val="32"/>
          <w:u w:val="none"/>
        </w:rPr>
      </w:pPr>
      <w:r>
        <w:rPr>
          <w:rFonts w:hint="eastAsia" w:ascii="宋体" w:hAnsi="宋体" w:eastAsia="宋体"/>
          <w:b/>
          <w:sz w:val="21"/>
          <w:szCs w:val="21"/>
          <w:u w:val="none"/>
        </w:rPr>
        <w:t>攀枝花市西区区级</w:t>
      </w:r>
      <w:r>
        <w:rPr>
          <w:rFonts w:hint="eastAsia" w:ascii="宋体" w:hAnsi="宋体" w:eastAsia="宋体"/>
          <w:b/>
          <w:sz w:val="21"/>
          <w:szCs w:val="21"/>
          <w:u w:val="none"/>
          <w:lang w:eastAsia="zh-CN"/>
        </w:rPr>
        <w:t>接访费用</w:t>
      </w:r>
      <w:r>
        <w:rPr>
          <w:rFonts w:ascii="宋体" w:hAnsi="宋体" w:eastAsia="宋体"/>
          <w:b/>
          <w:sz w:val="21"/>
          <w:szCs w:val="21"/>
          <w:u w:val="none"/>
        </w:rPr>
        <w:t>绩效</w:t>
      </w:r>
      <w:r>
        <w:rPr>
          <w:rFonts w:hint="eastAsia" w:ascii="宋体" w:hAnsi="宋体" w:eastAsia="宋体"/>
          <w:b/>
          <w:sz w:val="21"/>
          <w:szCs w:val="21"/>
          <w:u w:val="none"/>
        </w:rPr>
        <w:t>目标</w:t>
      </w:r>
      <w:r>
        <w:rPr>
          <w:rFonts w:ascii="宋体" w:hAnsi="宋体" w:eastAsia="宋体"/>
          <w:b/>
          <w:sz w:val="21"/>
          <w:szCs w:val="21"/>
          <w:u w:val="none"/>
        </w:rPr>
        <w:t>表</w:t>
      </w:r>
    </w:p>
    <w:tbl>
      <w:tblPr>
        <w:tblStyle w:val="6"/>
        <w:tblW w:w="9291" w:type="dxa"/>
        <w:tblInd w:w="15" w:type="dxa"/>
        <w:tblLayout w:type="fixed"/>
        <w:tblCellMar>
          <w:top w:w="0" w:type="dxa"/>
          <w:left w:w="0" w:type="dxa"/>
          <w:bottom w:w="0" w:type="dxa"/>
          <w:right w:w="0" w:type="dxa"/>
        </w:tblCellMar>
      </w:tblPr>
      <w:tblGrid>
        <w:gridCol w:w="1101"/>
        <w:gridCol w:w="1365"/>
        <w:gridCol w:w="2220"/>
        <w:gridCol w:w="4605"/>
      </w:tblGrid>
      <w:tr>
        <w:tblPrEx>
          <w:tblLayout w:type="fixed"/>
          <w:tblCellMar>
            <w:top w:w="0" w:type="dxa"/>
            <w:left w:w="0" w:type="dxa"/>
            <w:bottom w:w="0" w:type="dxa"/>
            <w:right w:w="0" w:type="dxa"/>
          </w:tblCellMar>
        </w:tblPrEx>
        <w:trPr>
          <w:trHeight w:val="340" w:hRule="atLeast"/>
        </w:trPr>
        <w:tc>
          <w:tcPr>
            <w:tcW w:w="11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绩效指标</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一级指标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二级指标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三级指标</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完成指标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数量指标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保障全年接待上访群众的经费</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79"/>
              </w:tabs>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b/>
            </w:r>
            <w:r>
              <w:rPr>
                <w:rFonts w:hint="eastAsia" w:ascii="宋体" w:hAnsi="宋体" w:eastAsia="宋体" w:cs="宋体"/>
                <w:i w:val="0"/>
                <w:color w:val="000000"/>
                <w:kern w:val="0"/>
                <w:sz w:val="20"/>
                <w:szCs w:val="20"/>
                <w:u w:val="none"/>
                <w:lang w:val="en-US" w:eastAsia="zh-CN" w:bidi="ar"/>
              </w:rPr>
              <w:t xml:space="preserve">  质量指标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完成本年度内来信、来访、来电、网上信访等工作</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时效指标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全年</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成本指标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20000</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效益指标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社会效益指标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年度内未发生重大群体性事项</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满意度指标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服务对象满意度指标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w:t>
            </w:r>
          </w:p>
        </w:tc>
      </w:tr>
    </w:tbl>
    <w:p>
      <w:pPr>
        <w:adjustRightInd w:val="0"/>
        <w:snapToGrid w:val="0"/>
        <w:spacing w:line="600" w:lineRule="exact"/>
        <w:ind w:firstLine="720"/>
        <w:rPr>
          <w:rFonts w:eastAsia="黑体"/>
        </w:rPr>
      </w:pPr>
      <w:r>
        <w:rPr>
          <w:rFonts w:eastAsia="黑体"/>
        </w:rPr>
        <w:t>五、评价结论及建议</w:t>
      </w:r>
    </w:p>
    <w:p>
      <w:pPr>
        <w:adjustRightInd w:val="0"/>
        <w:snapToGrid w:val="0"/>
        <w:spacing w:line="600" w:lineRule="exact"/>
        <w:ind w:firstLine="720"/>
        <w:rPr>
          <w:rFonts w:eastAsia="楷体_GB2312"/>
          <w:b/>
          <w:lang w:val="zh-CN"/>
        </w:rPr>
      </w:pPr>
      <w:r>
        <w:rPr>
          <w:rFonts w:eastAsia="楷体_GB2312"/>
          <w:b/>
          <w:lang w:val="zh-CN"/>
        </w:rPr>
        <w:t>（一）评价结论。</w:t>
      </w:r>
    </w:p>
    <w:p>
      <w:pPr>
        <w:spacing w:line="560" w:lineRule="exact"/>
        <w:ind w:firstLine="640" w:firstLineChars="200"/>
        <w:rPr>
          <w:rFonts w:hint="eastAsia" w:ascii="Times New Roman" w:hAnsi="Times New Roman" w:eastAsia="仿宋_GB2312"/>
          <w:sz w:val="32"/>
          <w:szCs w:val="32"/>
          <w:u w:val="none"/>
          <w:lang w:eastAsia="zh-CN"/>
        </w:rPr>
      </w:pPr>
      <w:r>
        <w:rPr>
          <w:rFonts w:hint="eastAsia" w:ascii="Times New Roman" w:hAnsi="Times New Roman" w:eastAsia="仿宋_GB2312" w:cs="Times New Roman"/>
          <w:bCs/>
          <w:sz w:val="32"/>
          <w:szCs w:val="32"/>
          <w:u w:val="none"/>
          <w:lang w:eastAsia="zh-CN"/>
        </w:rPr>
        <w:t>该项目资金</w:t>
      </w:r>
      <w:r>
        <w:rPr>
          <w:rFonts w:ascii="Times New Roman" w:hAnsi="Times New Roman" w:eastAsia="仿宋_GB2312" w:cs="Times New Roman"/>
          <w:bCs/>
          <w:sz w:val="32"/>
          <w:szCs w:val="32"/>
          <w:u w:val="none"/>
        </w:rPr>
        <w:t>预期产出和效果能满足需求、</w:t>
      </w:r>
      <w:r>
        <w:rPr>
          <w:rFonts w:hint="eastAsia" w:ascii="Times New Roman" w:hAnsi="Times New Roman" w:eastAsia="仿宋_GB2312" w:cs="Times New Roman"/>
          <w:bCs/>
          <w:sz w:val="32"/>
          <w:szCs w:val="32"/>
          <w:u w:val="none"/>
          <w:lang w:eastAsia="zh-CN"/>
        </w:rPr>
        <w:t>不需</w:t>
      </w:r>
      <w:r>
        <w:rPr>
          <w:rFonts w:ascii="Times New Roman" w:hAnsi="Times New Roman" w:eastAsia="仿宋_GB2312" w:cs="Times New Roman"/>
          <w:bCs/>
          <w:sz w:val="32"/>
          <w:szCs w:val="32"/>
          <w:u w:val="none"/>
        </w:rPr>
        <w:t>核减预算安排、</w:t>
      </w:r>
      <w:r>
        <w:rPr>
          <w:rFonts w:hint="eastAsia" w:ascii="Times New Roman" w:hAnsi="Times New Roman" w:eastAsia="仿宋_GB2312" w:cs="Times New Roman"/>
          <w:bCs/>
          <w:sz w:val="32"/>
          <w:szCs w:val="32"/>
          <w:u w:val="none"/>
          <w:lang w:eastAsia="zh-CN"/>
        </w:rPr>
        <w:t>该笔资金需继续</w:t>
      </w:r>
      <w:r>
        <w:rPr>
          <w:rFonts w:ascii="Times New Roman" w:hAnsi="Times New Roman" w:eastAsia="仿宋_GB2312" w:cs="Times New Roman"/>
          <w:bCs/>
          <w:sz w:val="32"/>
          <w:szCs w:val="32"/>
          <w:u w:val="none"/>
        </w:rPr>
        <w:t>保留</w:t>
      </w:r>
      <w:r>
        <w:rPr>
          <w:rFonts w:hint="eastAsia" w:ascii="Times New Roman" w:hAnsi="Times New Roman" w:eastAsia="仿宋_GB2312" w:cs="Times New Roman"/>
          <w:bCs/>
          <w:sz w:val="32"/>
          <w:szCs w:val="32"/>
          <w:u w:val="none"/>
          <w:lang w:eastAsia="zh-CN"/>
        </w:rPr>
        <w:t>。</w:t>
      </w:r>
      <w:r>
        <w:rPr>
          <w:rFonts w:hint="eastAsia" w:ascii="Times New Roman" w:hAnsi="Times New Roman" w:eastAsia="仿宋_GB2312"/>
          <w:sz w:val="32"/>
          <w:szCs w:val="32"/>
          <w:u w:val="none"/>
        </w:rPr>
        <w:t>综合前述评估内容来看，该项目立项必要性和依据充分，绩效目标明确，具备实施条件，具有公共性，符合财政资金支持方向等。</w:t>
      </w:r>
      <w:r>
        <w:rPr>
          <w:rFonts w:hint="eastAsia" w:ascii="Times New Roman" w:hAnsi="Times New Roman" w:eastAsia="仿宋_GB2312"/>
          <w:b/>
          <w:sz w:val="32"/>
          <w:szCs w:val="32"/>
          <w:u w:val="none"/>
        </w:rPr>
        <w:t>建议</w:t>
      </w:r>
      <w:r>
        <w:rPr>
          <w:rFonts w:hint="eastAsia" w:ascii="Times New Roman" w:hAnsi="Times New Roman" w:eastAsia="仿宋_GB2312"/>
          <w:bCs/>
          <w:sz w:val="32"/>
          <w:szCs w:val="32"/>
          <w:u w:val="none"/>
        </w:rPr>
        <w:t>予以支持</w:t>
      </w:r>
      <w:r>
        <w:rPr>
          <w:rFonts w:hint="eastAsia" w:ascii="Times New Roman" w:hAnsi="Times New Roman" w:eastAsia="仿宋_GB2312"/>
          <w:sz w:val="32"/>
          <w:szCs w:val="32"/>
          <w:u w:val="none"/>
        </w:rPr>
        <w:t>，</w:t>
      </w:r>
      <w:r>
        <w:rPr>
          <w:rFonts w:ascii="Times New Roman" w:hAnsi="Times New Roman" w:eastAsia="仿宋_GB2312"/>
          <w:sz w:val="32"/>
          <w:szCs w:val="32"/>
          <w:u w:val="none"/>
        </w:rPr>
        <w:t>预算</w:t>
      </w:r>
      <w:r>
        <w:rPr>
          <w:rFonts w:hint="eastAsia" w:ascii="Times New Roman" w:hAnsi="Times New Roman" w:eastAsia="仿宋_GB2312"/>
          <w:sz w:val="32"/>
          <w:szCs w:val="32"/>
          <w:u w:val="none"/>
        </w:rPr>
        <w:t>控制在</w:t>
      </w:r>
      <w:r>
        <w:rPr>
          <w:rFonts w:hint="eastAsia" w:ascii="Times New Roman" w:hAnsi="Times New Roman"/>
          <w:sz w:val="32"/>
          <w:szCs w:val="32"/>
          <w:u w:val="none"/>
          <w:lang w:val="en-US" w:eastAsia="zh-CN"/>
        </w:rPr>
        <w:t>2</w:t>
      </w:r>
      <w:r>
        <w:rPr>
          <w:rFonts w:hint="eastAsia" w:ascii="Times New Roman" w:hAnsi="Times New Roman" w:eastAsia="仿宋_GB2312"/>
          <w:sz w:val="32"/>
          <w:szCs w:val="32"/>
          <w:u w:val="none"/>
        </w:rPr>
        <w:t>万元以内。该项目申请资金总预算</w:t>
      </w:r>
      <w:r>
        <w:rPr>
          <w:rFonts w:hint="eastAsia" w:ascii="Times New Roman" w:hAnsi="Times New Roman"/>
          <w:sz w:val="32"/>
          <w:szCs w:val="32"/>
          <w:u w:val="none"/>
          <w:lang w:val="en-US" w:eastAsia="zh-CN"/>
        </w:rPr>
        <w:t>2</w:t>
      </w:r>
      <w:r>
        <w:rPr>
          <w:rFonts w:hint="eastAsia" w:ascii="Times New Roman" w:hAnsi="Times New Roman" w:eastAsia="仿宋_GB2312"/>
          <w:sz w:val="32"/>
          <w:szCs w:val="32"/>
          <w:u w:val="none"/>
        </w:rPr>
        <w:t>万元，经评审，建议预算申报数</w:t>
      </w:r>
      <w:r>
        <w:rPr>
          <w:rFonts w:hint="eastAsia" w:ascii="Times New Roman" w:hAnsi="Times New Roman"/>
          <w:sz w:val="32"/>
          <w:szCs w:val="32"/>
          <w:u w:val="none"/>
          <w:lang w:val="en-US" w:eastAsia="zh-CN"/>
        </w:rPr>
        <w:t>2</w:t>
      </w:r>
      <w:r>
        <w:rPr>
          <w:rFonts w:hint="eastAsia" w:ascii="Times New Roman" w:hAnsi="Times New Roman" w:eastAsia="仿宋_GB2312"/>
          <w:sz w:val="32"/>
          <w:szCs w:val="32"/>
          <w:u w:val="none"/>
        </w:rPr>
        <w:t>万元,我单位将</w:t>
      </w:r>
      <w:r>
        <w:rPr>
          <w:rFonts w:ascii="Times New Roman" w:hAnsi="Times New Roman" w:eastAsia="仿宋_GB2312"/>
          <w:sz w:val="32"/>
          <w:szCs w:val="32"/>
          <w:u w:val="none"/>
        </w:rPr>
        <w:t>进一步优化完善实施方案</w:t>
      </w:r>
      <w:r>
        <w:rPr>
          <w:rFonts w:hint="eastAsia" w:ascii="Times New Roman" w:hAnsi="Times New Roman" w:eastAsia="仿宋_GB2312"/>
          <w:sz w:val="32"/>
          <w:szCs w:val="32"/>
          <w:u w:val="none"/>
        </w:rPr>
        <w:t>和</w:t>
      </w:r>
      <w:r>
        <w:rPr>
          <w:rFonts w:ascii="Times New Roman" w:hAnsi="Times New Roman" w:eastAsia="仿宋_GB2312"/>
          <w:sz w:val="32"/>
          <w:szCs w:val="32"/>
          <w:u w:val="none"/>
        </w:rPr>
        <w:t>绩效目标，</w:t>
      </w:r>
      <w:r>
        <w:rPr>
          <w:rFonts w:hint="eastAsia" w:ascii="Times New Roman" w:hAnsi="Times New Roman" w:eastAsia="仿宋_GB2312"/>
          <w:sz w:val="32"/>
          <w:szCs w:val="32"/>
          <w:u w:val="none"/>
        </w:rPr>
        <w:t>加强运行监控，节约</w:t>
      </w:r>
      <w:r>
        <w:rPr>
          <w:rFonts w:ascii="Times New Roman" w:hAnsi="Times New Roman" w:eastAsia="仿宋_GB2312"/>
          <w:sz w:val="32"/>
          <w:szCs w:val="32"/>
          <w:u w:val="none"/>
        </w:rPr>
        <w:t>财政资金并提升资金效益</w:t>
      </w:r>
      <w:r>
        <w:rPr>
          <w:rFonts w:hint="eastAsia" w:ascii="Times New Roman" w:hAnsi="Times New Roman" w:eastAsia="仿宋_GB2312"/>
          <w:sz w:val="32"/>
          <w:szCs w:val="32"/>
          <w:u w:val="none"/>
        </w:rPr>
        <w:t>，提升预算绩效管理水平</w:t>
      </w:r>
      <w:r>
        <w:rPr>
          <w:rFonts w:hint="eastAsia" w:ascii="Times New Roman" w:hAnsi="Times New Roman"/>
          <w:sz w:val="32"/>
          <w:szCs w:val="32"/>
          <w:u w:val="none"/>
          <w:lang w:eastAsia="zh-CN"/>
        </w:rPr>
        <w:t>。</w:t>
      </w:r>
    </w:p>
    <w:p>
      <w:pPr>
        <w:adjustRightInd w:val="0"/>
        <w:snapToGrid w:val="0"/>
        <w:spacing w:line="600" w:lineRule="exact"/>
        <w:ind w:firstLine="720"/>
        <w:rPr>
          <w:rFonts w:eastAsia="楷体_GB2312"/>
          <w:b/>
          <w:lang w:val="zh-CN"/>
        </w:rPr>
      </w:pPr>
      <w:r>
        <w:rPr>
          <w:rFonts w:eastAsia="楷体_GB2312"/>
          <w:b/>
          <w:lang w:val="zh-CN"/>
        </w:rPr>
        <w:t>（二）存在的问题。</w:t>
      </w:r>
    </w:p>
    <w:p>
      <w:pPr>
        <w:adjustRightInd w:val="0"/>
        <w:snapToGrid w:val="0"/>
        <w:spacing w:line="600" w:lineRule="exact"/>
        <w:ind w:firstLine="640" w:firstLineChars="200"/>
        <w:rPr>
          <w:lang w:val="zh-CN"/>
        </w:rPr>
      </w:pPr>
      <w:r>
        <w:rPr>
          <w:rFonts w:hint="eastAsia"/>
          <w:lang w:val="en-US" w:eastAsia="zh-CN"/>
        </w:rPr>
        <w:t>无</w:t>
      </w:r>
      <w:r>
        <w:rPr>
          <w:lang w:val="zh-CN"/>
        </w:rPr>
        <w:t>。</w:t>
      </w:r>
      <w:r>
        <w:rPr>
          <w:lang w:val="zh-CN"/>
        </w:rPr>
        <w:tab/>
      </w:r>
    </w:p>
    <w:p>
      <w:pPr>
        <w:adjustRightInd w:val="0"/>
        <w:snapToGrid w:val="0"/>
        <w:spacing w:line="600" w:lineRule="exact"/>
        <w:ind w:firstLine="720"/>
        <w:rPr>
          <w:rFonts w:eastAsia="楷体_GB2312"/>
          <w:b/>
          <w:lang w:val="zh-CN"/>
        </w:rPr>
      </w:pPr>
      <w:r>
        <w:rPr>
          <w:rFonts w:eastAsia="楷体_GB2312"/>
          <w:b/>
          <w:lang w:val="zh-CN"/>
        </w:rPr>
        <w:t>（三）相关建议。</w:t>
      </w:r>
    </w:p>
    <w:p>
      <w:pPr>
        <w:adjustRightInd w:val="0"/>
        <w:snapToGrid w:val="0"/>
        <w:spacing w:line="600" w:lineRule="exact"/>
        <w:ind w:firstLine="640" w:firstLineChars="200"/>
        <w:rPr>
          <w:lang w:val="zh-CN"/>
        </w:rPr>
      </w:pPr>
      <w:r>
        <w:rPr>
          <w:rFonts w:hint="eastAsia"/>
          <w:lang w:val="en-US" w:eastAsia="zh-CN"/>
        </w:rPr>
        <w:t>无</w:t>
      </w:r>
      <w:r>
        <w:rPr>
          <w:lang w:val="zh-CN"/>
        </w:rPr>
        <w:t>。</w:t>
      </w:r>
    </w:p>
    <w:p/>
    <w:p>
      <w:pPr>
        <w:pStyle w:val="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项目支出绩效自评报告</w:t>
      </w:r>
    </w:p>
    <w:p>
      <w:pPr>
        <w:pStyle w:val="8"/>
        <w:spacing w:line="600" w:lineRule="exact"/>
        <w:jc w:val="center"/>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eastAsia="zh-CN"/>
        </w:rPr>
        <w:t>矛盾化解和疑难信访问题费用</w:t>
      </w:r>
      <w:r>
        <w:rPr>
          <w:rFonts w:ascii="Times New Roman" w:hAnsi="Times New Roman" w:eastAsia="仿宋_GB2312" w:cs="Times New Roman"/>
          <w:color w:val="auto"/>
          <w:kern w:val="2"/>
          <w:sz w:val="32"/>
          <w:szCs w:val="32"/>
        </w:rPr>
        <w:t>）</w:t>
      </w:r>
    </w:p>
    <w:p>
      <w:pPr>
        <w:pStyle w:val="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lang w:val="zh-CN"/>
        </w:rPr>
      </w:pPr>
      <w:r>
        <w:rPr>
          <w:rFonts w:eastAsia="黑体"/>
        </w:rPr>
        <w:t>一、</w:t>
      </w:r>
      <w:r>
        <w:rPr>
          <w:rFonts w:eastAsia="黑体"/>
          <w:lang w:val="zh-CN"/>
        </w:rPr>
        <w:t>项目概况</w:t>
      </w:r>
    </w:p>
    <w:p>
      <w:pPr>
        <w:adjustRightInd w:val="0"/>
        <w:snapToGrid w:val="0"/>
        <w:spacing w:line="600" w:lineRule="exact"/>
        <w:ind w:firstLine="720"/>
        <w:rPr>
          <w:rFonts w:eastAsia="楷体_GB2312"/>
          <w:b/>
          <w:lang w:val="zh-CN"/>
        </w:rPr>
      </w:pPr>
      <w:r>
        <w:rPr>
          <w:rFonts w:eastAsia="楷体_GB2312"/>
          <w:b/>
          <w:lang w:val="zh-CN"/>
        </w:rPr>
        <w:t>（一）项目基本情况。</w:t>
      </w:r>
    </w:p>
    <w:p>
      <w:pPr>
        <w:adjustRightInd w:val="0"/>
        <w:snapToGrid w:val="0"/>
        <w:spacing w:line="600" w:lineRule="exact"/>
        <w:ind w:left="640" w:leftChars="200" w:firstLine="80" w:firstLineChars="25"/>
        <w:rPr>
          <w:rFonts w:hint="eastAsia" w:ascii="方正仿宋简体" w:eastAsia="方正仿宋简体" w:cs="方正仿宋简体"/>
          <w:sz w:val="33"/>
          <w:szCs w:val="33"/>
          <w:u w:val="none"/>
        </w:rPr>
      </w:pPr>
      <w:r>
        <w:rPr>
          <w:rFonts w:hint="eastAsia"/>
          <w:lang w:val="en-US" w:eastAsia="zh-CN"/>
        </w:rPr>
        <w:t>1.</w:t>
      </w:r>
      <w:r>
        <w:rPr>
          <w:rFonts w:hint="eastAsia" w:ascii="方正仿宋简体" w:eastAsia="方正仿宋简体" w:cs="方正仿宋简体"/>
          <w:sz w:val="33"/>
          <w:szCs w:val="33"/>
          <w:u w:val="none"/>
        </w:rPr>
        <w:t>保障本年度内两名保安人员的经费，确保信访安保</w:t>
      </w:r>
    </w:p>
    <w:p>
      <w:pPr>
        <w:adjustRightInd w:val="0"/>
        <w:snapToGrid w:val="0"/>
        <w:spacing w:line="600" w:lineRule="exact"/>
        <w:rPr>
          <w:rFonts w:hint="eastAsia" w:ascii="方正仿宋简体" w:eastAsia="方正仿宋简体" w:cs="方正仿宋简体"/>
          <w:sz w:val="33"/>
          <w:szCs w:val="33"/>
          <w:u w:val="none"/>
          <w:lang w:eastAsia="zh-CN"/>
        </w:rPr>
      </w:pPr>
      <w:r>
        <w:rPr>
          <w:rFonts w:hint="eastAsia" w:ascii="方正仿宋简体" w:eastAsia="方正仿宋简体" w:cs="方正仿宋简体"/>
          <w:sz w:val="33"/>
          <w:szCs w:val="33"/>
          <w:u w:val="none"/>
        </w:rPr>
        <w:t>工作质量，完成本年度内信访安保工作</w:t>
      </w:r>
      <w:r>
        <w:rPr>
          <w:rFonts w:hint="eastAsia" w:ascii="方正仿宋简体" w:eastAsia="方正仿宋简体" w:cs="方正仿宋简体"/>
          <w:sz w:val="33"/>
          <w:szCs w:val="33"/>
          <w:u w:val="none"/>
          <w:lang w:eastAsia="zh-CN"/>
        </w:rPr>
        <w:t>。</w:t>
      </w:r>
    </w:p>
    <w:p>
      <w:pPr>
        <w:spacing w:line="353" w:lineRule="auto"/>
        <w:ind w:firstLine="640" w:firstLineChars="200"/>
        <w:rPr>
          <w:rFonts w:ascii="Times New Roman" w:hAnsi="Times New Roman" w:cs="Times New Roman"/>
          <w:szCs w:val="32"/>
          <w:u w:val="none"/>
        </w:rPr>
      </w:pPr>
      <w:r>
        <w:rPr>
          <w:rFonts w:hint="eastAsia" w:ascii="Times New Roman" w:hAnsi="Times New Roman" w:cs="Times New Roman"/>
          <w:szCs w:val="32"/>
          <w:u w:val="none"/>
          <w:lang w:val="en-US" w:eastAsia="zh-CN"/>
        </w:rPr>
        <w:t>2.</w:t>
      </w:r>
      <w:r>
        <w:rPr>
          <w:rFonts w:hint="eastAsia" w:ascii="Times New Roman" w:hAnsi="Times New Roman" w:eastAsia="仿宋_GB2312" w:cs="仿宋_GB2312"/>
          <w:sz w:val="32"/>
          <w:szCs w:val="32"/>
          <w:u w:val="none"/>
        </w:rPr>
        <w:t>按照国家信访局相关部署，全国信访系统将继续开展重点领域、重点群体、重点问题、重点人员信访矛盾化解攻坚战，并将此项工作作为</w:t>
      </w:r>
      <w:r>
        <w:rPr>
          <w:rFonts w:ascii="Times New Roman" w:hAnsi="Times New Roman" w:eastAsia="仿宋_GB2312" w:cs="Times New Roman"/>
          <w:sz w:val="32"/>
          <w:szCs w:val="32"/>
          <w:u w:val="none"/>
        </w:rPr>
        <w:t xml:space="preserve"> 2019 </w:t>
      </w:r>
      <w:r>
        <w:rPr>
          <w:rFonts w:hint="eastAsia" w:ascii="Times New Roman" w:hAnsi="Times New Roman" w:eastAsia="仿宋_GB2312" w:cs="仿宋_GB2312"/>
          <w:sz w:val="32"/>
          <w:szCs w:val="32"/>
          <w:u w:val="none"/>
        </w:rPr>
        <w:t>年重点工作予以部署推动。省信访局结合全省工作实际，制定了《</w:t>
      </w:r>
      <w:r>
        <w:rPr>
          <w:rFonts w:ascii="Times New Roman" w:hAnsi="Times New Roman" w:eastAsia="仿宋_GB2312" w:cs="Times New Roman"/>
          <w:sz w:val="32"/>
          <w:szCs w:val="32"/>
          <w:u w:val="none"/>
        </w:rPr>
        <w:t xml:space="preserve">2019 </w:t>
      </w:r>
      <w:r>
        <w:rPr>
          <w:rFonts w:hint="eastAsia" w:ascii="Times New Roman" w:hAnsi="Times New Roman" w:eastAsia="仿宋_GB2312" w:cs="仿宋_GB2312"/>
          <w:sz w:val="32"/>
          <w:szCs w:val="32"/>
          <w:u w:val="none"/>
        </w:rPr>
        <w:t>年信访矛盾化解攻坚战实施方案》，并明确了此项工作长期实施。</w:t>
      </w:r>
    </w:p>
    <w:p>
      <w:pPr>
        <w:numPr>
          <w:ilvl w:val="0"/>
          <w:numId w:val="0"/>
        </w:numPr>
        <w:snapToGrid w:val="0"/>
        <w:spacing w:line="600" w:lineRule="exact"/>
        <w:ind w:firstLine="640" w:firstLineChars="200"/>
        <w:rPr>
          <w:lang w:val="zh-CN"/>
        </w:rPr>
      </w:pPr>
      <w:r>
        <w:rPr>
          <w:rFonts w:hint="eastAsia"/>
          <w:szCs w:val="32"/>
          <w:u w:val="none"/>
          <w:lang w:val="en-US" w:eastAsia="zh-CN"/>
        </w:rPr>
        <w:t>3.</w:t>
      </w:r>
      <w:r>
        <w:rPr>
          <w:rFonts w:hint="eastAsia" w:ascii="Times New Roman" w:hAnsi="Times New Roman"/>
          <w:szCs w:val="32"/>
          <w:u w:val="none"/>
        </w:rPr>
        <w:t>根据</w:t>
      </w:r>
      <w:r>
        <w:rPr>
          <w:rFonts w:ascii="Times New Roman" w:hAnsi="Times New Roman"/>
          <w:szCs w:val="32"/>
          <w:u w:val="none"/>
        </w:rPr>
        <w:t>20</w:t>
      </w:r>
      <w:r>
        <w:rPr>
          <w:rFonts w:hint="eastAsia" w:ascii="Times New Roman" w:hAnsi="Times New Roman"/>
          <w:szCs w:val="32"/>
          <w:u w:val="none"/>
          <w:lang w:val="en-US" w:eastAsia="zh-CN"/>
        </w:rPr>
        <w:t>24</w:t>
      </w:r>
      <w:r>
        <w:rPr>
          <w:rFonts w:hint="eastAsia" w:ascii="Times New Roman" w:hAnsi="Times New Roman"/>
          <w:szCs w:val="32"/>
          <w:u w:val="none"/>
        </w:rPr>
        <w:t>年预算编制要求，绩效评估本着真正过紧日子的原则，厉行节约、精打细算，从严从紧控制项目申报和预算安排，非必要项目和工作内容可压尽压、应压尽压，做到客观、绩效、精准。</w:t>
      </w:r>
    </w:p>
    <w:p>
      <w:pPr>
        <w:spacing w:line="353" w:lineRule="auto"/>
        <w:ind w:firstLine="640" w:firstLineChars="200"/>
        <w:rPr>
          <w:lang w:val="zh-CN"/>
        </w:rPr>
      </w:pPr>
      <w:r>
        <w:rPr>
          <w:lang w:val="zh-CN"/>
        </w:rPr>
        <w:t xml:space="preserve">4. </w:t>
      </w:r>
      <w:r>
        <w:rPr>
          <w:rFonts w:hint="eastAsia" w:ascii="Times New Roman" w:hAnsi="Times New Roman"/>
          <w:szCs w:val="32"/>
          <w:u w:val="none"/>
        </w:rPr>
        <w:t>202</w:t>
      </w:r>
      <w:r>
        <w:rPr>
          <w:rFonts w:hint="eastAsia" w:ascii="Times New Roman" w:hAnsi="Times New Roman"/>
          <w:szCs w:val="32"/>
          <w:u w:val="none"/>
          <w:lang w:val="en-US" w:eastAsia="zh-CN"/>
        </w:rPr>
        <w:t>2</w:t>
      </w:r>
      <w:r>
        <w:rPr>
          <w:rFonts w:hint="eastAsia" w:ascii="Times New Roman" w:hAnsi="Times New Roman"/>
          <w:szCs w:val="32"/>
          <w:u w:val="none"/>
        </w:rPr>
        <w:t>年预算安排</w:t>
      </w:r>
      <w:r>
        <w:rPr>
          <w:rFonts w:hint="eastAsia" w:ascii="Times New Roman" w:hAnsi="Times New Roman"/>
          <w:szCs w:val="32"/>
          <w:u w:val="none"/>
          <w:lang w:val="en-US" w:eastAsia="zh-CN"/>
        </w:rPr>
        <w:t>8</w:t>
      </w:r>
      <w:r>
        <w:rPr>
          <w:rFonts w:hint="eastAsia" w:ascii="Times New Roman" w:hAnsi="Times New Roman"/>
          <w:szCs w:val="32"/>
          <w:u w:val="none"/>
        </w:rPr>
        <w:t>万元，实际执行</w:t>
      </w:r>
      <w:r>
        <w:rPr>
          <w:rFonts w:hint="eastAsia" w:ascii="Times New Roman" w:hAnsi="Times New Roman"/>
          <w:szCs w:val="32"/>
          <w:u w:val="none"/>
          <w:lang w:val="en-US" w:eastAsia="zh-CN"/>
        </w:rPr>
        <w:t>8</w:t>
      </w:r>
      <w:r>
        <w:rPr>
          <w:rFonts w:hint="eastAsia" w:ascii="Times New Roman" w:hAnsi="Times New Roman"/>
          <w:szCs w:val="32"/>
          <w:u w:val="none"/>
        </w:rPr>
        <w:t>万元；202</w:t>
      </w:r>
      <w:r>
        <w:rPr>
          <w:rFonts w:hint="eastAsia" w:ascii="Times New Roman" w:hAnsi="Times New Roman"/>
          <w:szCs w:val="32"/>
          <w:u w:val="none"/>
          <w:lang w:val="en-US" w:eastAsia="zh-CN"/>
        </w:rPr>
        <w:t>3</w:t>
      </w:r>
      <w:r>
        <w:rPr>
          <w:rFonts w:hint="eastAsia" w:ascii="Times New Roman" w:hAnsi="Times New Roman"/>
          <w:szCs w:val="32"/>
          <w:u w:val="none"/>
        </w:rPr>
        <w:t>年预算安排</w:t>
      </w:r>
      <w:r>
        <w:rPr>
          <w:rFonts w:hint="eastAsia" w:ascii="Times New Roman" w:hAnsi="Times New Roman"/>
          <w:szCs w:val="32"/>
          <w:u w:val="none"/>
          <w:lang w:val="en-US" w:eastAsia="zh-CN"/>
        </w:rPr>
        <w:t>8</w:t>
      </w:r>
      <w:r>
        <w:rPr>
          <w:rFonts w:hint="eastAsia" w:ascii="Times New Roman" w:hAnsi="Times New Roman"/>
          <w:szCs w:val="32"/>
          <w:u w:val="none"/>
        </w:rPr>
        <w:t>万元，实际执行</w:t>
      </w:r>
      <w:r>
        <w:rPr>
          <w:rFonts w:hint="eastAsia" w:ascii="Times New Roman" w:hAnsi="Times New Roman"/>
          <w:szCs w:val="32"/>
          <w:u w:val="none"/>
          <w:lang w:val="en-US" w:eastAsia="zh-CN"/>
        </w:rPr>
        <w:t>8</w:t>
      </w:r>
      <w:r>
        <w:rPr>
          <w:rFonts w:hint="eastAsia" w:ascii="Times New Roman" w:hAnsi="Times New Roman"/>
          <w:szCs w:val="32"/>
          <w:u w:val="none"/>
        </w:rPr>
        <w:t>万元，</w:t>
      </w:r>
      <w:r>
        <w:rPr>
          <w:rFonts w:ascii="Times New Roman" w:hAnsi="Times New Roman"/>
          <w:szCs w:val="32"/>
          <w:u w:val="none"/>
        </w:rPr>
        <w:t>较上年</w:t>
      </w:r>
      <w:r>
        <w:rPr>
          <w:rFonts w:hint="eastAsia" w:ascii="Times New Roman" w:hAnsi="Times New Roman"/>
          <w:szCs w:val="32"/>
          <w:u w:val="none"/>
          <w:lang w:eastAsia="zh-CN"/>
        </w:rPr>
        <w:t>无变化</w:t>
      </w:r>
      <w:r>
        <w:rPr>
          <w:rFonts w:hint="eastAsia" w:ascii="Times New Roman" w:hAnsi="Times New Roman"/>
          <w:szCs w:val="32"/>
          <w:u w:val="none"/>
        </w:rPr>
        <w:t>。</w:t>
      </w:r>
    </w:p>
    <w:p>
      <w:pPr>
        <w:adjustRightInd w:val="0"/>
        <w:snapToGrid w:val="0"/>
        <w:spacing w:line="600" w:lineRule="exact"/>
        <w:ind w:firstLine="720"/>
        <w:rPr>
          <w:rFonts w:eastAsia="楷体_GB2312"/>
          <w:b/>
          <w:lang w:val="zh-CN"/>
        </w:rPr>
      </w:pPr>
      <w:r>
        <w:rPr>
          <w:rFonts w:eastAsia="楷体_GB2312"/>
          <w:b/>
          <w:lang w:val="zh-CN"/>
        </w:rPr>
        <w:t>（二）项目绩效目标。</w:t>
      </w:r>
    </w:p>
    <w:p>
      <w:pPr>
        <w:numPr>
          <w:ilvl w:val="0"/>
          <w:numId w:val="0"/>
        </w:numPr>
        <w:spacing w:line="353" w:lineRule="auto"/>
        <w:ind w:firstLine="640" w:firstLineChars="200"/>
        <w:rPr>
          <w:rFonts w:ascii="方正仿宋简体" w:eastAsia="方正仿宋简体" w:cs="Times New Roman"/>
          <w:sz w:val="33"/>
          <w:szCs w:val="33"/>
          <w:u w:val="none"/>
        </w:rPr>
      </w:pPr>
      <w:r>
        <w:rPr>
          <w:lang w:val="zh-CN"/>
        </w:rPr>
        <w:t>1. 项目主要内容。</w:t>
      </w:r>
      <w:r>
        <w:rPr>
          <w:rFonts w:hint="eastAsia" w:ascii="Times New Roman" w:hAnsi="Times New Roman" w:eastAsia="仿宋_GB2312" w:cs="仿宋_GB2312"/>
          <w:sz w:val="32"/>
          <w:szCs w:val="32"/>
          <w:u w:val="none"/>
        </w:rPr>
        <w:t>为为深入贯彻落实攀枝花市信访局关于转发《省信访局</w:t>
      </w:r>
      <w:r>
        <w:rPr>
          <w:rFonts w:ascii="Times New Roman" w:hAnsi="Times New Roman" w:eastAsia="仿宋_GB2312" w:cs="Times New Roman"/>
          <w:sz w:val="32"/>
          <w:szCs w:val="32"/>
          <w:u w:val="none"/>
        </w:rPr>
        <w:t xml:space="preserve"> 2019 </w:t>
      </w:r>
      <w:r>
        <w:rPr>
          <w:rFonts w:hint="eastAsia" w:ascii="Times New Roman" w:hAnsi="Times New Roman" w:eastAsia="仿宋_GB2312" w:cs="仿宋_GB2312"/>
          <w:sz w:val="32"/>
          <w:szCs w:val="32"/>
          <w:u w:val="none"/>
        </w:rPr>
        <w:t>年信访矛盾化解攻坚战实施方案》的通知（攀信发〔</w:t>
      </w:r>
      <w:r>
        <w:rPr>
          <w:rFonts w:ascii="Times New Roman" w:hAnsi="Times New Roman" w:eastAsia="仿宋_GB2312" w:cs="Times New Roman"/>
          <w:sz w:val="32"/>
          <w:szCs w:val="32"/>
          <w:u w:val="none"/>
        </w:rPr>
        <w:t>2019</w:t>
      </w:r>
      <w:r>
        <w:rPr>
          <w:rFonts w:hint="eastAsia" w:ascii="Times New Roman" w:hAnsi="Times New Roman" w:eastAsia="仿宋_GB2312" w:cs="仿宋_GB2312"/>
          <w:sz w:val="32"/>
          <w:szCs w:val="32"/>
          <w:u w:val="none"/>
        </w:rPr>
        <w:t>〕</w:t>
      </w:r>
      <w:r>
        <w:rPr>
          <w:rFonts w:ascii="Times New Roman" w:hAnsi="Times New Roman" w:eastAsia="仿宋_GB2312" w:cs="Times New Roman"/>
          <w:sz w:val="32"/>
          <w:szCs w:val="32"/>
          <w:u w:val="none"/>
        </w:rPr>
        <w:t xml:space="preserve">10 </w:t>
      </w:r>
      <w:r>
        <w:rPr>
          <w:rFonts w:hint="eastAsia" w:ascii="Times New Roman" w:hAnsi="Times New Roman" w:eastAsia="仿宋_GB2312" w:cs="仿宋_GB2312"/>
          <w:sz w:val="32"/>
          <w:szCs w:val="32"/>
          <w:u w:val="none"/>
        </w:rPr>
        <w:t>号）。解决全年特殊疑难信访问题，保障本年度确保无因特殊疑难信访问题引发的进京赴省缠访、闹访。</w:t>
      </w:r>
    </w:p>
    <w:p>
      <w:pPr>
        <w:adjustRightInd w:val="0"/>
        <w:snapToGrid w:val="0"/>
        <w:spacing w:line="600" w:lineRule="exact"/>
        <w:ind w:firstLine="720"/>
        <w:rPr>
          <w:rFonts w:hint="eastAsia" w:ascii="Times New Roman" w:hAnsi="Times New Roman" w:eastAsia="仿宋_GB2312" w:cs="仿宋_GB2312"/>
          <w:sz w:val="32"/>
          <w:szCs w:val="32"/>
        </w:rPr>
      </w:pPr>
      <w:r>
        <w:rPr>
          <w:lang w:val="zh-CN"/>
        </w:rPr>
        <w:t xml:space="preserve">2. </w:t>
      </w:r>
      <w:r>
        <w:rPr>
          <w:rFonts w:hint="eastAsia" w:ascii="Times New Roman" w:hAnsi="Times New Roman" w:eastAsia="仿宋_GB2312" w:cs="仿宋_GB2312"/>
          <w:sz w:val="32"/>
          <w:szCs w:val="32"/>
        </w:rPr>
        <w:t>有效地保障全年无因特殊疑难信访问题引发费缠访、闹访，提高群众满意度。</w:t>
      </w:r>
    </w:p>
    <w:p>
      <w:pPr>
        <w:snapToGrid w:val="0"/>
        <w:spacing w:line="600" w:lineRule="atLeast"/>
        <w:ind w:firstLine="627" w:firstLineChars="196"/>
        <w:jc w:val="left"/>
        <w:rPr>
          <w:rFonts w:hint="eastAsia" w:ascii="仿宋_GB2312" w:cs="仿宋_GB2312"/>
          <w:sz w:val="32"/>
          <w:szCs w:val="32"/>
          <w:u w:val="none"/>
          <w:lang w:eastAsia="zh-CN"/>
        </w:rPr>
      </w:pPr>
      <w:r>
        <w:rPr>
          <w:lang w:val="zh-CN"/>
        </w:rPr>
        <w:t xml:space="preserve">3. </w:t>
      </w:r>
      <w:r>
        <w:rPr>
          <w:rFonts w:hint="eastAsia" w:ascii="仿宋_GB2312" w:eastAsia="仿宋_GB2312" w:cs="仿宋_GB2312"/>
          <w:sz w:val="32"/>
          <w:szCs w:val="32"/>
          <w:u w:val="none"/>
        </w:rPr>
        <w:t>按照</w:t>
      </w:r>
      <w:r>
        <w:rPr>
          <w:rFonts w:hint="eastAsia" w:ascii="仿宋_GB2312" w:cs="仿宋_GB2312"/>
          <w:sz w:val="32"/>
          <w:szCs w:val="32"/>
          <w:u w:val="none"/>
          <w:lang w:eastAsia="zh-CN"/>
        </w:rPr>
        <w:t>攀枝花市信访联席会议办公室</w:t>
      </w:r>
      <w:r>
        <w:rPr>
          <w:rFonts w:hint="eastAsia" w:ascii="仿宋_GB2312" w:eastAsia="仿宋_GB2312" w:cs="仿宋_GB2312"/>
          <w:sz w:val="32"/>
          <w:szCs w:val="32"/>
          <w:u w:val="none"/>
        </w:rPr>
        <w:t>《关于</w:t>
      </w:r>
      <w:r>
        <w:rPr>
          <w:rFonts w:hint="eastAsia" w:ascii="仿宋_GB2312" w:cs="仿宋_GB2312"/>
          <w:sz w:val="32"/>
          <w:szCs w:val="32"/>
          <w:u w:val="none"/>
          <w:lang w:eastAsia="zh-CN"/>
        </w:rPr>
        <w:t>进一步做好涉稳涉访重点问题和重点人员信访稳定工作</w:t>
      </w:r>
      <w:r>
        <w:rPr>
          <w:rFonts w:hint="eastAsia" w:ascii="仿宋_GB2312" w:eastAsia="仿宋_GB2312" w:cs="仿宋_GB2312"/>
          <w:sz w:val="32"/>
          <w:szCs w:val="32"/>
          <w:u w:val="none"/>
        </w:rPr>
        <w:t>的通知》（攀信联办〔</w:t>
      </w:r>
      <w:r>
        <w:rPr>
          <w:rFonts w:ascii="仿宋_GB2312" w:eastAsia="仿宋_GB2312" w:cs="仿宋_GB2312"/>
          <w:sz w:val="32"/>
          <w:szCs w:val="32"/>
          <w:u w:val="none"/>
        </w:rPr>
        <w:t>20</w:t>
      </w:r>
      <w:r>
        <w:rPr>
          <w:rFonts w:hint="eastAsia" w:ascii="仿宋_GB2312" w:cs="仿宋_GB2312"/>
          <w:sz w:val="32"/>
          <w:szCs w:val="32"/>
          <w:u w:val="none"/>
          <w:lang w:val="en-US" w:eastAsia="zh-CN"/>
        </w:rPr>
        <w:t>22</w:t>
      </w:r>
      <w:r>
        <w:rPr>
          <w:rFonts w:hint="eastAsia" w:ascii="仿宋_GB2312" w:eastAsia="仿宋_GB2312" w:cs="仿宋_GB2312"/>
          <w:sz w:val="32"/>
          <w:szCs w:val="32"/>
          <w:u w:val="none"/>
        </w:rPr>
        <w:t>〕</w:t>
      </w:r>
      <w:r>
        <w:rPr>
          <w:rFonts w:hint="eastAsia" w:ascii="仿宋_GB2312" w:cs="仿宋_GB2312"/>
          <w:sz w:val="32"/>
          <w:szCs w:val="32"/>
          <w:u w:val="none"/>
          <w:lang w:val="en-US" w:eastAsia="zh-CN"/>
        </w:rPr>
        <w:t>34</w:t>
      </w:r>
      <w:r>
        <w:rPr>
          <w:rFonts w:hint="eastAsia" w:ascii="仿宋_GB2312" w:eastAsia="仿宋_GB2312" w:cs="仿宋_GB2312"/>
          <w:sz w:val="32"/>
          <w:szCs w:val="32"/>
          <w:u w:val="none"/>
        </w:rPr>
        <w:t>号）</w:t>
      </w:r>
      <w:r>
        <w:rPr>
          <w:rFonts w:hint="eastAsia" w:ascii="仿宋_GB2312" w:cs="仿宋_GB2312"/>
          <w:sz w:val="32"/>
          <w:szCs w:val="32"/>
          <w:u w:val="none"/>
          <w:lang w:eastAsia="zh-CN"/>
        </w:rPr>
        <w:t>，攀枝花市信访联席会议办公室关于转发</w:t>
      </w:r>
      <w:r>
        <w:rPr>
          <w:rFonts w:hint="eastAsia" w:ascii="仿宋_GB2312" w:eastAsia="仿宋_GB2312" w:cs="仿宋_GB2312"/>
          <w:sz w:val="32"/>
          <w:szCs w:val="32"/>
          <w:u w:val="none"/>
        </w:rPr>
        <w:t>《</w:t>
      </w:r>
      <w:r>
        <w:rPr>
          <w:rFonts w:hint="eastAsia" w:ascii="仿宋_GB2312" w:cs="仿宋_GB2312"/>
          <w:sz w:val="32"/>
          <w:szCs w:val="32"/>
          <w:u w:val="none"/>
          <w:lang w:eastAsia="zh-CN"/>
        </w:rPr>
        <w:t>四川省信访联席会议办公室关于进一步做好信访安全稳定风险事项化解稳定工作</w:t>
      </w:r>
      <w:r>
        <w:rPr>
          <w:rFonts w:hint="eastAsia" w:ascii="仿宋_GB2312" w:eastAsia="仿宋_GB2312" w:cs="仿宋_GB2312"/>
          <w:sz w:val="32"/>
          <w:szCs w:val="32"/>
          <w:u w:val="none"/>
        </w:rPr>
        <w:t>的通知》文件要求，</w:t>
      </w:r>
      <w:r>
        <w:rPr>
          <w:rFonts w:ascii="仿宋_GB2312" w:eastAsia="仿宋_GB2312" w:cs="仿宋_GB2312"/>
          <w:sz w:val="32"/>
          <w:szCs w:val="32"/>
          <w:u w:val="none"/>
        </w:rPr>
        <w:t>20</w:t>
      </w:r>
      <w:r>
        <w:rPr>
          <w:rFonts w:hint="eastAsia" w:ascii="仿宋_GB2312" w:cs="仿宋_GB2312"/>
          <w:sz w:val="32"/>
          <w:szCs w:val="32"/>
          <w:u w:val="none"/>
          <w:lang w:val="en-US" w:eastAsia="zh-CN"/>
        </w:rPr>
        <w:t>22</w:t>
      </w:r>
      <w:r>
        <w:rPr>
          <w:rFonts w:hint="eastAsia" w:ascii="仿宋_GB2312" w:eastAsia="仿宋_GB2312" w:cs="仿宋_GB2312"/>
          <w:sz w:val="32"/>
          <w:szCs w:val="32"/>
          <w:u w:val="none"/>
        </w:rPr>
        <w:t>年</w:t>
      </w:r>
      <w:r>
        <w:rPr>
          <w:rFonts w:hint="eastAsia" w:ascii="仿宋_GB2312" w:cs="仿宋_GB2312"/>
          <w:sz w:val="32"/>
          <w:szCs w:val="32"/>
          <w:u w:val="none"/>
          <w:lang w:val="en-US" w:eastAsia="zh-CN"/>
        </w:rPr>
        <w:t>9</w:t>
      </w:r>
      <w:r>
        <w:rPr>
          <w:rFonts w:hint="eastAsia" w:ascii="仿宋_GB2312" w:eastAsia="仿宋_GB2312" w:cs="仿宋_GB2312"/>
          <w:sz w:val="32"/>
          <w:szCs w:val="32"/>
          <w:u w:val="none"/>
        </w:rPr>
        <w:t>月</w:t>
      </w:r>
      <w:r>
        <w:rPr>
          <w:rFonts w:hint="eastAsia" w:ascii="仿宋_GB2312" w:cs="仿宋_GB2312"/>
          <w:sz w:val="32"/>
          <w:szCs w:val="32"/>
          <w:u w:val="none"/>
          <w:lang w:val="en-US" w:eastAsia="zh-CN"/>
        </w:rPr>
        <w:t>15</w:t>
      </w:r>
      <w:r>
        <w:rPr>
          <w:rFonts w:hint="eastAsia" w:ascii="仿宋_GB2312" w:eastAsia="仿宋_GB2312" w:cs="仿宋_GB2312"/>
          <w:sz w:val="32"/>
          <w:szCs w:val="32"/>
          <w:u w:val="none"/>
        </w:rPr>
        <w:t>日，</w:t>
      </w:r>
      <w:r>
        <w:rPr>
          <w:rFonts w:hint="eastAsia" w:ascii="仿宋_GB2312" w:cs="仿宋_GB2312"/>
          <w:sz w:val="32"/>
          <w:szCs w:val="32"/>
          <w:u w:val="none"/>
          <w:lang w:eastAsia="zh-CN"/>
        </w:rPr>
        <w:t>市政府副市长、市公安局局长周强</w:t>
      </w:r>
      <w:r>
        <w:rPr>
          <w:rFonts w:hint="eastAsia" w:ascii="仿宋_GB2312" w:eastAsia="仿宋_GB2312" w:cs="仿宋_GB2312"/>
          <w:sz w:val="32"/>
          <w:szCs w:val="32"/>
          <w:u w:val="none"/>
        </w:rPr>
        <w:t>组织召开了</w:t>
      </w:r>
      <w:r>
        <w:rPr>
          <w:rFonts w:hint="eastAsia" w:ascii="仿宋_GB2312" w:cs="仿宋_GB2312"/>
          <w:sz w:val="32"/>
          <w:szCs w:val="32"/>
          <w:u w:val="none"/>
          <w:lang w:eastAsia="zh-CN"/>
        </w:rPr>
        <w:t>信访安全保障工作专题会议</w:t>
      </w:r>
      <w:r>
        <w:rPr>
          <w:rFonts w:hint="eastAsia" w:ascii="仿宋_GB2312" w:eastAsia="仿宋_GB2312" w:cs="仿宋_GB2312"/>
          <w:sz w:val="32"/>
          <w:szCs w:val="32"/>
          <w:u w:val="none"/>
        </w:rPr>
        <w:t>，</w:t>
      </w:r>
      <w:r>
        <w:rPr>
          <w:rFonts w:hint="eastAsia" w:ascii="仿宋_GB2312" w:cs="仿宋_GB2312"/>
          <w:sz w:val="32"/>
          <w:szCs w:val="32"/>
          <w:u w:val="none"/>
          <w:lang w:eastAsia="zh-CN"/>
        </w:rPr>
        <w:t>要求做好信访安全保障工作，营造安全稳定和谐社会环境。</w:t>
      </w:r>
    </w:p>
    <w:p>
      <w:pPr>
        <w:adjustRightInd w:val="0"/>
        <w:snapToGrid w:val="0"/>
        <w:spacing w:line="600" w:lineRule="exact"/>
        <w:ind w:firstLine="643" w:firstLineChars="200"/>
        <w:rPr>
          <w:rFonts w:eastAsia="楷体_GB2312"/>
          <w:b/>
          <w:lang w:val="zh-CN"/>
        </w:rPr>
      </w:pPr>
      <w:r>
        <w:rPr>
          <w:rFonts w:eastAsia="楷体_GB2312"/>
          <w:b/>
          <w:lang w:val="zh-CN"/>
        </w:rPr>
        <w:t>（三）项目自评步骤及方法。</w:t>
      </w:r>
    </w:p>
    <w:p>
      <w:pPr>
        <w:snapToGrid w:val="0"/>
        <w:spacing w:line="600" w:lineRule="exact"/>
        <w:ind w:firstLine="643" w:firstLineChars="200"/>
        <w:jc w:val="left"/>
        <w:rPr>
          <w:rFonts w:ascii="楷体_GB2312" w:hAnsi="Times New Roman" w:eastAsia="楷体_GB2312"/>
          <w:b/>
          <w:szCs w:val="32"/>
          <w:u w:val="none"/>
        </w:rPr>
      </w:pPr>
      <w:r>
        <w:rPr>
          <w:rFonts w:hint="eastAsia" w:ascii="楷体_GB2312" w:hAnsi="Times New Roman" w:eastAsia="楷体_GB2312"/>
          <w:b/>
          <w:szCs w:val="32"/>
          <w:u w:val="none"/>
          <w:lang w:val="en-US" w:eastAsia="zh-CN"/>
        </w:rPr>
        <w:t>1.</w:t>
      </w:r>
      <w:r>
        <w:rPr>
          <w:rFonts w:ascii="楷体_GB2312" w:hAnsi="Times New Roman" w:eastAsia="楷体_GB2312"/>
          <w:b/>
          <w:szCs w:val="32"/>
          <w:u w:val="none"/>
        </w:rPr>
        <w:t>评估程序</w:t>
      </w:r>
    </w:p>
    <w:p>
      <w:pPr>
        <w:snapToGrid w:val="0"/>
        <w:spacing w:line="600" w:lineRule="exact"/>
        <w:ind w:firstLine="640" w:firstLineChars="200"/>
        <w:rPr>
          <w:rFonts w:ascii="Times New Roman" w:hAnsi="Times New Roman"/>
          <w:szCs w:val="32"/>
          <w:u w:val="none"/>
        </w:rPr>
      </w:pPr>
      <w:r>
        <w:rPr>
          <w:rFonts w:ascii="Times New Roman" w:hAnsi="Times New Roman"/>
          <w:szCs w:val="32"/>
          <w:u w:val="none"/>
        </w:rPr>
        <w:t>20</w:t>
      </w:r>
      <w:r>
        <w:rPr>
          <w:rFonts w:hint="eastAsia" w:ascii="Times New Roman" w:hAnsi="Times New Roman"/>
          <w:szCs w:val="32"/>
          <w:u w:val="none"/>
          <w:lang w:val="en-US" w:eastAsia="zh-CN"/>
        </w:rPr>
        <w:t>24</w:t>
      </w:r>
      <w:r>
        <w:rPr>
          <w:rFonts w:hint="eastAsia" w:ascii="Times New Roman" w:hAnsi="Times New Roman"/>
          <w:szCs w:val="32"/>
          <w:u w:val="none"/>
        </w:rPr>
        <w:t>年度</w:t>
      </w:r>
      <w:r>
        <w:rPr>
          <w:rFonts w:ascii="Times New Roman" w:hAnsi="Times New Roman"/>
          <w:szCs w:val="32"/>
          <w:u w:val="none"/>
        </w:rPr>
        <w:t>预算</w:t>
      </w:r>
      <w:r>
        <w:rPr>
          <w:rFonts w:hint="eastAsia" w:ascii="Times New Roman" w:hAnsi="Times New Roman"/>
          <w:szCs w:val="32"/>
          <w:u w:val="none"/>
        </w:rPr>
        <w:t>项目</w:t>
      </w:r>
      <w:r>
        <w:rPr>
          <w:rFonts w:ascii="Times New Roman" w:hAnsi="Times New Roman"/>
          <w:szCs w:val="32"/>
          <w:u w:val="none"/>
        </w:rPr>
        <w:t>绩效评估工作通过线上与线下相结合方式开展。</w:t>
      </w:r>
      <w:r>
        <w:rPr>
          <w:rFonts w:hint="eastAsia" w:ascii="Times New Roman" w:hAnsi="Times New Roman"/>
          <w:szCs w:val="32"/>
          <w:u w:val="none"/>
        </w:rPr>
        <w:t>按照有关规定和工作安排，我单位开展自行评估，通过自行成立组建评估组，</w:t>
      </w:r>
      <w:r>
        <w:rPr>
          <w:rFonts w:ascii="Times New Roman" w:hAnsi="Times New Roman"/>
          <w:szCs w:val="32"/>
          <w:u w:val="none"/>
        </w:rPr>
        <w:t>通过</w:t>
      </w:r>
      <w:r>
        <w:rPr>
          <w:rFonts w:hint="eastAsia" w:ascii="Times New Roman" w:hAnsi="Times New Roman"/>
          <w:szCs w:val="32"/>
          <w:u w:val="none"/>
        </w:rPr>
        <w:t>收集被评估</w:t>
      </w:r>
      <w:r>
        <w:rPr>
          <w:rFonts w:ascii="Times New Roman" w:hAnsi="Times New Roman"/>
          <w:szCs w:val="32"/>
          <w:u w:val="none"/>
        </w:rPr>
        <w:t>项目</w:t>
      </w:r>
      <w:r>
        <w:rPr>
          <w:rFonts w:hint="eastAsia" w:ascii="Times New Roman" w:hAnsi="Times New Roman"/>
          <w:szCs w:val="32"/>
          <w:u w:val="none"/>
        </w:rPr>
        <w:t>相关</w:t>
      </w:r>
      <w:r>
        <w:rPr>
          <w:rFonts w:ascii="Times New Roman" w:hAnsi="Times New Roman"/>
          <w:szCs w:val="32"/>
          <w:u w:val="none"/>
        </w:rPr>
        <w:t>基础资料，</w:t>
      </w:r>
      <w:r>
        <w:rPr>
          <w:rFonts w:hint="eastAsia" w:ascii="Times New Roman" w:hAnsi="Times New Roman"/>
          <w:szCs w:val="32"/>
          <w:u w:val="none"/>
        </w:rPr>
        <w:t>并</w:t>
      </w:r>
      <w:r>
        <w:rPr>
          <w:rFonts w:ascii="Times New Roman" w:hAnsi="Times New Roman"/>
          <w:szCs w:val="32"/>
          <w:u w:val="none"/>
        </w:rPr>
        <w:t>查阅资料、</w:t>
      </w:r>
      <w:r>
        <w:rPr>
          <w:rFonts w:hint="eastAsia" w:ascii="Times New Roman" w:hAnsi="Times New Roman"/>
          <w:szCs w:val="32"/>
          <w:u w:val="none"/>
        </w:rPr>
        <w:t>收集数据信息</w:t>
      </w:r>
      <w:r>
        <w:rPr>
          <w:rFonts w:ascii="Times New Roman" w:hAnsi="Times New Roman"/>
          <w:szCs w:val="32"/>
          <w:u w:val="none"/>
        </w:rPr>
        <w:t>等</w:t>
      </w:r>
      <w:r>
        <w:rPr>
          <w:rFonts w:hint="eastAsia" w:ascii="Times New Roman" w:hAnsi="Times New Roman"/>
          <w:szCs w:val="32"/>
          <w:u w:val="none"/>
        </w:rPr>
        <w:t>，深入论证</w:t>
      </w:r>
      <w:r>
        <w:rPr>
          <w:rFonts w:ascii="Times New Roman" w:hAnsi="Times New Roman"/>
          <w:szCs w:val="32"/>
          <w:u w:val="none"/>
        </w:rPr>
        <w:t>分析后，形成绩效评估报告。</w:t>
      </w:r>
    </w:p>
    <w:p>
      <w:pPr>
        <w:snapToGrid w:val="0"/>
        <w:spacing w:line="600" w:lineRule="exact"/>
        <w:ind w:firstLine="643" w:firstLineChars="200"/>
        <w:jc w:val="left"/>
        <w:rPr>
          <w:rFonts w:ascii="楷体_GB2312" w:hAnsi="Times New Roman" w:eastAsia="楷体_GB2312"/>
          <w:b/>
          <w:szCs w:val="32"/>
          <w:u w:val="none"/>
        </w:rPr>
      </w:pPr>
      <w:r>
        <w:rPr>
          <w:rFonts w:hint="eastAsia" w:ascii="楷体_GB2312" w:hAnsi="Times New Roman" w:eastAsia="楷体_GB2312"/>
          <w:b/>
          <w:szCs w:val="32"/>
          <w:u w:val="none"/>
          <w:lang w:val="en-US" w:eastAsia="zh-CN"/>
        </w:rPr>
        <w:t>2.</w:t>
      </w:r>
      <w:r>
        <w:rPr>
          <w:rFonts w:hint="eastAsia" w:ascii="楷体_GB2312" w:hAnsi="Times New Roman" w:eastAsia="楷体_GB2312"/>
          <w:b/>
          <w:szCs w:val="32"/>
          <w:u w:val="none"/>
        </w:rPr>
        <w:t>评估方法</w:t>
      </w:r>
    </w:p>
    <w:p>
      <w:pPr>
        <w:snapToGrid w:val="0"/>
        <w:spacing w:line="600" w:lineRule="exact"/>
        <w:ind w:firstLine="640" w:firstLineChars="200"/>
        <w:rPr>
          <w:rFonts w:ascii="Times New Roman" w:hAnsi="Times New Roman"/>
          <w:szCs w:val="32"/>
          <w:u w:val="none"/>
        </w:rPr>
      </w:pPr>
      <w:r>
        <w:rPr>
          <w:rFonts w:hint="eastAsia" w:ascii="Times New Roman" w:hAnsi="Times New Roman"/>
          <w:szCs w:val="32"/>
          <w:u w:val="none"/>
        </w:rPr>
        <w:t>本项目通过现场踏勘、与项目相关人员座谈或讨论、</w:t>
      </w:r>
      <w:r>
        <w:rPr>
          <w:rFonts w:ascii="Times New Roman"/>
          <w:szCs w:val="32"/>
          <w:u w:val="none"/>
        </w:rPr>
        <w:t>聘请相关专业专家、市场调研</w:t>
      </w:r>
      <w:r>
        <w:rPr>
          <w:rFonts w:hint="eastAsia" w:ascii="Times New Roman"/>
          <w:szCs w:val="32"/>
          <w:u w:val="none"/>
        </w:rPr>
        <w:t>等方法</w:t>
      </w:r>
      <w:r>
        <w:rPr>
          <w:rFonts w:ascii="Times New Roman"/>
          <w:szCs w:val="32"/>
          <w:u w:val="none"/>
        </w:rPr>
        <w:t>了解项目情况</w:t>
      </w:r>
      <w:r>
        <w:rPr>
          <w:rFonts w:hint="eastAsia" w:ascii="Times New Roman" w:hAnsi="Times New Roman"/>
          <w:szCs w:val="32"/>
          <w:u w:val="none"/>
        </w:rPr>
        <w:t>，收集相关资料，综合分析相关情况后，对项目的立项必要性、投入经济性、目标合理性、方案可行性以及筹资合规性实施评估。</w:t>
      </w:r>
    </w:p>
    <w:p>
      <w:pPr>
        <w:adjustRightInd w:val="0"/>
        <w:snapToGrid w:val="0"/>
        <w:spacing w:line="600" w:lineRule="exact"/>
        <w:ind w:firstLine="720"/>
        <w:rPr>
          <w:rFonts w:eastAsia="黑体"/>
        </w:rPr>
      </w:pPr>
      <w:r>
        <w:rPr>
          <w:rFonts w:eastAsia="黑体"/>
        </w:rPr>
        <w:t>二、项目资金申报及使用情况</w:t>
      </w:r>
    </w:p>
    <w:p>
      <w:pPr>
        <w:adjustRightInd w:val="0"/>
        <w:snapToGrid w:val="0"/>
        <w:spacing w:line="600" w:lineRule="exact"/>
        <w:ind w:firstLine="720"/>
        <w:rPr>
          <w:rFonts w:eastAsia="楷体_GB2312"/>
          <w:b/>
          <w:lang w:val="zh-CN"/>
        </w:rPr>
      </w:pPr>
      <w:r>
        <w:rPr>
          <w:rFonts w:eastAsia="楷体_GB2312"/>
          <w:b/>
          <w:lang w:val="zh-CN"/>
        </w:rPr>
        <w:t>（一）项目资金申报及批复情况。</w:t>
      </w:r>
    </w:p>
    <w:p>
      <w:pPr>
        <w:adjustRightInd w:val="0"/>
        <w:snapToGrid w:val="0"/>
        <w:spacing w:line="600" w:lineRule="exact"/>
        <w:ind w:firstLine="720"/>
        <w:rPr>
          <w:lang w:val="zh-CN"/>
        </w:rPr>
      </w:pPr>
      <w:r>
        <w:rPr>
          <w:rFonts w:hint="eastAsia"/>
          <w:lang w:val="en-US" w:eastAsia="zh-CN"/>
        </w:rPr>
        <w:t>该</w:t>
      </w:r>
      <w:r>
        <w:rPr>
          <w:lang w:val="zh-CN"/>
        </w:rPr>
        <w:t>项资金</w:t>
      </w:r>
      <w:r>
        <w:rPr>
          <w:rFonts w:hint="eastAsia"/>
          <w:lang w:val="en-US" w:eastAsia="zh-CN"/>
        </w:rPr>
        <w:t>于2022年12月</w:t>
      </w:r>
      <w:r>
        <w:rPr>
          <w:lang w:val="zh-CN"/>
        </w:rPr>
        <w:t>申报</w:t>
      </w:r>
      <w:r>
        <w:rPr>
          <w:rFonts w:hint="eastAsia"/>
          <w:lang w:val="zh-CN"/>
        </w:rPr>
        <w:t>，</w:t>
      </w:r>
      <w:r>
        <w:rPr>
          <w:rFonts w:hint="eastAsia"/>
          <w:lang w:val="en-US" w:eastAsia="zh-CN"/>
        </w:rPr>
        <w:t>2023年2月批复并于3月在政府信息公开网公开</w:t>
      </w:r>
      <w:r>
        <w:rPr>
          <w:lang w:val="zh-CN"/>
        </w:rPr>
        <w:t>。</w:t>
      </w:r>
    </w:p>
    <w:p>
      <w:pPr>
        <w:numPr>
          <w:ilvl w:val="0"/>
          <w:numId w:val="1"/>
        </w:numPr>
        <w:adjustRightInd w:val="0"/>
        <w:snapToGrid w:val="0"/>
        <w:spacing w:line="600" w:lineRule="exact"/>
        <w:ind w:firstLine="720"/>
        <w:rPr>
          <w:rFonts w:eastAsia="楷体_GB2312"/>
          <w:b/>
          <w:lang w:val="zh-CN"/>
        </w:rPr>
      </w:pPr>
      <w:r>
        <w:rPr>
          <w:rFonts w:eastAsia="楷体_GB2312"/>
          <w:b/>
          <w:lang w:val="zh-CN"/>
        </w:rPr>
        <w:t>资金计划、到位及使用情况。</w:t>
      </w:r>
    </w:p>
    <w:p>
      <w:pPr>
        <w:pStyle w:val="3"/>
        <w:numPr>
          <w:ilvl w:val="0"/>
          <w:numId w:val="0"/>
        </w:numPr>
        <w:rPr>
          <w:rFonts w:hint="default" w:eastAsia="仿宋_GB2312"/>
          <w:lang w:val="en-US" w:eastAsia="zh-CN"/>
        </w:rPr>
      </w:pPr>
      <w:r>
        <w:rPr>
          <w:rFonts w:hint="eastAsia"/>
          <w:lang w:val="en-US" w:eastAsia="zh-CN"/>
        </w:rPr>
        <w:t xml:space="preserve">    该项目资金年初预算8万元，区财政已及时拨付到位，全年完成数8万元。</w:t>
      </w:r>
    </w:p>
    <w:p>
      <w:pPr>
        <w:adjustRightInd w:val="0"/>
        <w:snapToGrid w:val="0"/>
        <w:spacing w:line="600" w:lineRule="exact"/>
        <w:ind w:firstLine="720"/>
        <w:rPr>
          <w:rFonts w:eastAsia="楷体_GB2312"/>
          <w:b/>
          <w:lang w:val="zh-CN"/>
        </w:rPr>
      </w:pPr>
      <w:r>
        <w:rPr>
          <w:rFonts w:eastAsia="楷体_GB2312"/>
          <w:b/>
          <w:lang w:val="zh-CN"/>
        </w:rPr>
        <w:t>（三）项目财务管理情况。</w:t>
      </w:r>
    </w:p>
    <w:p>
      <w:pPr>
        <w:adjustRightInd w:val="0"/>
        <w:snapToGrid w:val="0"/>
        <w:spacing w:line="600" w:lineRule="exact"/>
        <w:ind w:firstLine="720"/>
        <w:rPr>
          <w:lang w:val="zh-CN"/>
        </w:rPr>
      </w:pPr>
      <w:r>
        <w:rPr>
          <w:rFonts w:hint="eastAsia"/>
          <w:lang w:val="en-US" w:eastAsia="zh-CN"/>
        </w:rPr>
        <w:t>该</w:t>
      </w:r>
      <w:r>
        <w:rPr>
          <w:lang w:val="zh-CN"/>
        </w:rPr>
        <w:t>项目实施财务管理制度健全，严格执行财务管理制度，账务处理及时，会计核算规范。</w:t>
      </w:r>
    </w:p>
    <w:p>
      <w:pPr>
        <w:adjustRightInd w:val="0"/>
        <w:snapToGrid w:val="0"/>
        <w:spacing w:line="600" w:lineRule="exact"/>
        <w:ind w:firstLine="720"/>
        <w:rPr>
          <w:rFonts w:eastAsia="黑体"/>
        </w:rPr>
      </w:pPr>
      <w:r>
        <w:rPr>
          <w:rFonts w:eastAsia="黑体"/>
        </w:rPr>
        <w:t>三、项目实施及管理情况</w:t>
      </w:r>
    </w:p>
    <w:p>
      <w:pPr>
        <w:adjustRightInd w:val="0"/>
        <w:snapToGrid w:val="0"/>
        <w:spacing w:line="560" w:lineRule="exact"/>
        <w:ind w:firstLine="643" w:firstLineChars="200"/>
        <w:rPr>
          <w:rFonts w:eastAsia="楷体_GB2312"/>
          <w:b/>
          <w:lang w:val="zh-CN"/>
        </w:rPr>
      </w:pPr>
      <w:r>
        <w:rPr>
          <w:rFonts w:eastAsia="楷体_GB2312"/>
          <w:b/>
          <w:lang w:val="zh-CN"/>
        </w:rPr>
        <w:t>（一）项目组织架构及实施流程。</w:t>
      </w:r>
      <w:r>
        <w:rPr>
          <w:rFonts w:hint="eastAsia" w:ascii="Times New Roman" w:hAnsi="Times New Roman" w:eastAsia="仿宋_GB2312" w:cs="Times New Roman"/>
          <w:sz w:val="32"/>
          <w:szCs w:val="32"/>
          <w:u w:val="none"/>
          <w:lang w:eastAsia="zh-CN"/>
        </w:rPr>
        <w:t>该笔</w:t>
      </w:r>
      <w:r>
        <w:rPr>
          <w:rFonts w:ascii="Times New Roman" w:hAnsi="Times New Roman" w:eastAsia="仿宋_GB2312" w:cs="Times New Roman"/>
          <w:sz w:val="32"/>
          <w:szCs w:val="32"/>
          <w:u w:val="none"/>
        </w:rPr>
        <w:t>资金来源渠道的合法合规，评估内容具有公共性，属于公共财政支持范围，筹资渠道符合法律法规规定，筹资结构合理，资金来源渠道明确</w:t>
      </w:r>
      <w:r>
        <w:rPr>
          <w:rFonts w:hint="eastAsia"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353" w:lineRule="auto"/>
        <w:ind w:firstLine="643" w:firstLineChars="200"/>
        <w:textAlignment w:val="auto"/>
        <w:outlineLvl w:val="9"/>
        <w:rPr>
          <w:lang w:val="zh-CN"/>
        </w:rPr>
      </w:pPr>
      <w:r>
        <w:rPr>
          <w:rFonts w:eastAsia="楷体_GB2312"/>
          <w:b/>
          <w:lang w:val="zh-CN"/>
        </w:rPr>
        <w:t>（二）项目管理情况。</w:t>
      </w:r>
      <w:r>
        <w:rPr>
          <w:rFonts w:ascii="Times New Roman" w:hAnsi="Times New Roman" w:eastAsia="仿宋_GB2312"/>
          <w:sz w:val="32"/>
          <w:szCs w:val="32"/>
        </w:rPr>
        <w:t>严格按照批复的支出预算执行，对人员经费严格按照上级的有关政策规定执行，</w:t>
      </w:r>
      <w:r>
        <w:rPr>
          <w:rFonts w:hint="eastAsia"/>
          <w:sz w:val="32"/>
          <w:szCs w:val="32"/>
          <w:lang w:val="en-US" w:eastAsia="zh-CN"/>
        </w:rPr>
        <w:t>无</w:t>
      </w:r>
      <w:r>
        <w:rPr>
          <w:rFonts w:ascii="Times New Roman" w:hAnsi="Times New Roman" w:eastAsia="仿宋_GB2312"/>
          <w:sz w:val="32"/>
          <w:szCs w:val="32"/>
        </w:rPr>
        <w:t>擅自扩大开支范围和提高开支标准</w:t>
      </w:r>
      <w:r>
        <w:rPr>
          <w:rFonts w:hint="eastAsia"/>
          <w:sz w:val="32"/>
          <w:szCs w:val="32"/>
          <w:lang w:val="en-US" w:eastAsia="zh-CN"/>
        </w:rPr>
        <w:t>情况</w:t>
      </w:r>
      <w:r>
        <w:rPr>
          <w:rFonts w:ascii="Times New Roman" w:hAnsi="Times New Roman" w:eastAsia="仿宋_GB2312"/>
          <w:sz w:val="32"/>
          <w:szCs w:val="32"/>
        </w:rPr>
        <w:t>。项目支出严格按照批复的项目和用途使用，</w:t>
      </w:r>
      <w:r>
        <w:rPr>
          <w:rFonts w:hint="eastAsia"/>
          <w:sz w:val="32"/>
          <w:szCs w:val="32"/>
          <w:lang w:val="en-US" w:eastAsia="zh-CN"/>
        </w:rPr>
        <w:t>无</w:t>
      </w:r>
      <w:r>
        <w:rPr>
          <w:rFonts w:ascii="Times New Roman" w:hAnsi="Times New Roman" w:eastAsia="仿宋_GB2312"/>
          <w:sz w:val="32"/>
          <w:szCs w:val="32"/>
        </w:rPr>
        <w:t>自行改变项目内容</w:t>
      </w:r>
      <w:r>
        <w:rPr>
          <w:rFonts w:hint="eastAsia"/>
          <w:sz w:val="32"/>
          <w:szCs w:val="32"/>
          <w:lang w:val="en-US" w:eastAsia="zh-CN"/>
        </w:rPr>
        <w:t>及</w:t>
      </w:r>
      <w:r>
        <w:rPr>
          <w:rFonts w:ascii="Times New Roman" w:hAnsi="Times New Roman" w:eastAsia="仿宋_GB2312"/>
          <w:sz w:val="32"/>
          <w:szCs w:val="32"/>
        </w:rPr>
        <w:t>扩大使用范围</w:t>
      </w:r>
      <w:r>
        <w:rPr>
          <w:rFonts w:hint="eastAsia"/>
          <w:sz w:val="32"/>
          <w:szCs w:val="32"/>
          <w:lang w:val="en-US" w:eastAsia="zh-CN"/>
        </w:rPr>
        <w:t>情况</w:t>
      </w:r>
      <w:r>
        <w:rPr>
          <w:rFonts w:ascii="Times New Roman" w:hAnsi="Times New Roman" w:eastAsia="仿宋_GB2312"/>
          <w:sz w:val="32"/>
          <w:szCs w:val="32"/>
        </w:rPr>
        <w:t>，保证专款专用，</w:t>
      </w:r>
      <w:r>
        <w:rPr>
          <w:rFonts w:hint="eastAsia"/>
          <w:sz w:val="32"/>
          <w:szCs w:val="32"/>
          <w:lang w:val="en-US" w:eastAsia="zh-CN"/>
        </w:rPr>
        <w:t>无</w:t>
      </w:r>
      <w:r>
        <w:rPr>
          <w:rFonts w:ascii="Times New Roman" w:hAnsi="Times New Roman" w:eastAsia="仿宋_GB2312"/>
          <w:sz w:val="32"/>
          <w:szCs w:val="32"/>
        </w:rPr>
        <w:t>截留、挪用专项资金</w:t>
      </w:r>
      <w:r>
        <w:rPr>
          <w:rFonts w:hint="eastAsia"/>
          <w:sz w:val="32"/>
          <w:szCs w:val="32"/>
          <w:lang w:val="en-US" w:eastAsia="zh-CN"/>
        </w:rPr>
        <w:t>情况</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353" w:lineRule="auto"/>
        <w:ind w:firstLine="643" w:firstLineChars="200"/>
        <w:textAlignment w:val="auto"/>
        <w:outlineLvl w:val="9"/>
        <w:rPr>
          <w:rFonts w:hint="eastAsia" w:ascii="Times New Roman" w:hAnsi="Times New Roman" w:eastAsia="仿宋_GB2312" w:cs="Times New Roman"/>
          <w:sz w:val="32"/>
          <w:szCs w:val="32"/>
          <w:lang w:eastAsia="zh-CN"/>
        </w:rPr>
      </w:pPr>
      <w:r>
        <w:rPr>
          <w:rFonts w:eastAsia="楷体_GB2312"/>
          <w:b/>
          <w:lang w:val="zh-CN"/>
        </w:rPr>
        <w:t>（三）项目监管情况。</w:t>
      </w:r>
      <w:r>
        <w:rPr>
          <w:rFonts w:hint="eastAsia" w:ascii="Times New Roman" w:hAnsi="Times New Roman" w:eastAsia="仿宋_GB2312" w:cs="Times New Roman"/>
          <w:sz w:val="32"/>
          <w:szCs w:val="32"/>
          <w:lang w:val="en-US" w:eastAsia="zh-CN"/>
        </w:rPr>
        <w:t>保证</w:t>
      </w:r>
      <w:r>
        <w:rPr>
          <w:rFonts w:ascii="Times New Roman" w:hAnsi="Times New Roman" w:eastAsia="仿宋_GB2312"/>
          <w:sz w:val="32"/>
          <w:szCs w:val="32"/>
        </w:rPr>
        <w:t>在财政批复部门预算后20</w:t>
      </w:r>
      <w:r>
        <w:rPr>
          <w:rFonts w:ascii="Times New Roman" w:hAnsi="Times New Roman" w:eastAsia="仿宋_GB2312"/>
          <w:sz w:val="32"/>
          <w:szCs w:val="32"/>
          <w:highlight w:val="none"/>
        </w:rPr>
        <w:t>日内</w:t>
      </w:r>
      <w:r>
        <w:rPr>
          <w:rFonts w:ascii="Times New Roman" w:hAnsi="Times New Roman" w:eastAsia="仿宋_GB2312"/>
          <w:sz w:val="32"/>
          <w:szCs w:val="32"/>
        </w:rPr>
        <w:t>，通过攀枝花市西区人民政府网站预决算公开统一平台公开绩效目标情况，并妥善做好解释说明工作，确保公开信息规范化、标准化</w:t>
      </w:r>
      <w:r>
        <w:rPr>
          <w:rFonts w:hint="eastAsia"/>
          <w:sz w:val="32"/>
          <w:szCs w:val="32"/>
          <w:lang w:eastAsia="zh-CN"/>
        </w:rPr>
        <w:t>，</w:t>
      </w:r>
      <w:r>
        <w:rPr>
          <w:rFonts w:ascii="Times New Roman" w:hAnsi="Times New Roman" w:eastAsia="仿宋_GB2312" w:cs="Times New Roman"/>
          <w:sz w:val="32"/>
          <w:szCs w:val="32"/>
        </w:rPr>
        <w:t>主动接受预算监督</w:t>
      </w:r>
      <w:r>
        <w:rPr>
          <w:rFonts w:hint="eastAsia" w:ascii="Times New Roman" w:hAnsi="Times New Roman" w:cs="Times New Roman"/>
          <w:sz w:val="32"/>
          <w:szCs w:val="32"/>
          <w:lang w:eastAsia="zh-CN"/>
        </w:rPr>
        <w:t>。</w:t>
      </w:r>
    </w:p>
    <w:p>
      <w:pPr>
        <w:adjustRightInd w:val="0"/>
        <w:snapToGrid w:val="0"/>
        <w:spacing w:line="600" w:lineRule="exact"/>
        <w:ind w:firstLine="720"/>
        <w:rPr>
          <w:lang w:val="zh-CN"/>
        </w:rPr>
      </w:pPr>
      <w:r>
        <w:rPr>
          <w:rFonts w:eastAsia="黑体"/>
        </w:rPr>
        <w:t>四、项目绩效情况</w:t>
      </w:r>
      <w:r>
        <w:rPr>
          <w:lang w:val="zh-CN"/>
        </w:rPr>
        <w:tab/>
      </w:r>
    </w:p>
    <w:p>
      <w:pPr>
        <w:widowControl/>
        <w:ind w:firstLine="2108" w:firstLineChars="1000"/>
        <w:jc w:val="left"/>
        <w:rPr>
          <w:rFonts w:ascii="仿宋_GB2312" w:hAnsi="宋体"/>
          <w:szCs w:val="32"/>
          <w:u w:val="none"/>
        </w:rPr>
      </w:pPr>
      <w:r>
        <w:rPr>
          <w:rFonts w:hint="eastAsia" w:ascii="宋体" w:hAnsi="宋体" w:eastAsia="宋体"/>
          <w:b/>
          <w:sz w:val="21"/>
          <w:szCs w:val="21"/>
          <w:u w:val="none"/>
        </w:rPr>
        <w:t>攀枝花市西区区级</w:t>
      </w:r>
      <w:r>
        <w:rPr>
          <w:rFonts w:hint="eastAsia" w:ascii="宋体" w:hAnsi="宋体" w:eastAsia="宋体" w:cs="Times New Roman"/>
          <w:b/>
          <w:sz w:val="21"/>
          <w:szCs w:val="21"/>
          <w:u w:val="none"/>
          <w:lang w:eastAsia="zh-CN"/>
        </w:rPr>
        <w:t>矛盾化解和疑难信访问题费用</w:t>
      </w:r>
      <w:r>
        <w:rPr>
          <w:rFonts w:ascii="宋体" w:hAnsi="宋体" w:eastAsia="宋体"/>
          <w:b/>
          <w:sz w:val="21"/>
          <w:szCs w:val="21"/>
          <w:u w:val="none"/>
        </w:rPr>
        <w:t>绩效</w:t>
      </w:r>
      <w:r>
        <w:rPr>
          <w:rFonts w:hint="eastAsia" w:ascii="宋体" w:hAnsi="宋体" w:eastAsia="宋体"/>
          <w:b/>
          <w:sz w:val="21"/>
          <w:szCs w:val="21"/>
          <w:u w:val="none"/>
        </w:rPr>
        <w:t>目标</w:t>
      </w:r>
      <w:r>
        <w:rPr>
          <w:rFonts w:ascii="宋体" w:hAnsi="宋体" w:eastAsia="宋体"/>
          <w:b/>
          <w:sz w:val="21"/>
          <w:szCs w:val="21"/>
          <w:u w:val="none"/>
        </w:rPr>
        <w:t>表</w:t>
      </w:r>
    </w:p>
    <w:tbl>
      <w:tblPr>
        <w:tblStyle w:val="6"/>
        <w:tblW w:w="9291" w:type="dxa"/>
        <w:tblInd w:w="15" w:type="dxa"/>
        <w:tblLayout w:type="fixed"/>
        <w:tblCellMar>
          <w:top w:w="0" w:type="dxa"/>
          <w:left w:w="0" w:type="dxa"/>
          <w:bottom w:w="0" w:type="dxa"/>
          <w:right w:w="0" w:type="dxa"/>
        </w:tblCellMar>
      </w:tblPr>
      <w:tblGrid>
        <w:gridCol w:w="1101"/>
        <w:gridCol w:w="1365"/>
        <w:gridCol w:w="2220"/>
        <w:gridCol w:w="4605"/>
      </w:tblGrid>
      <w:tr>
        <w:tblPrEx>
          <w:tblLayout w:type="fixed"/>
          <w:tblCellMar>
            <w:top w:w="0" w:type="dxa"/>
            <w:left w:w="0" w:type="dxa"/>
            <w:bottom w:w="0" w:type="dxa"/>
            <w:right w:w="0" w:type="dxa"/>
          </w:tblCellMar>
        </w:tblPrEx>
        <w:trPr>
          <w:trHeight w:val="340" w:hRule="atLeast"/>
        </w:trPr>
        <w:tc>
          <w:tcPr>
            <w:tcW w:w="11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绩效指标</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一级指标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二级指标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三级指标</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完成指标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数量指标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保障全年无因特殊疑难信访问题引发费缠访、闹访</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79"/>
              </w:tabs>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b/>
            </w:r>
            <w:r>
              <w:rPr>
                <w:rFonts w:hint="eastAsia" w:ascii="宋体" w:hAnsi="宋体" w:eastAsia="宋体" w:cs="宋体"/>
                <w:i w:val="0"/>
                <w:color w:val="000000"/>
                <w:kern w:val="0"/>
                <w:sz w:val="20"/>
                <w:szCs w:val="20"/>
                <w:u w:val="none"/>
                <w:lang w:val="en-US" w:eastAsia="zh-CN" w:bidi="ar"/>
              </w:rPr>
              <w:t xml:space="preserve">  质量指标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确保无因特殊疑难信访问题引发的进京赴省缠访、闹访</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时效指标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全年</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成本指标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80000</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效益指标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社会效益指标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减少特殊疑难信访问题，提高群众满意度</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满意度指标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服务对象满意度指标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w:t>
            </w:r>
          </w:p>
        </w:tc>
      </w:tr>
    </w:tbl>
    <w:p>
      <w:pPr>
        <w:adjustRightInd w:val="0"/>
        <w:snapToGrid w:val="0"/>
        <w:spacing w:line="600" w:lineRule="exact"/>
        <w:ind w:firstLine="720"/>
        <w:rPr>
          <w:rFonts w:eastAsia="黑体"/>
        </w:rPr>
      </w:pPr>
      <w:r>
        <w:rPr>
          <w:rFonts w:eastAsia="黑体"/>
        </w:rPr>
        <w:t>五、评价结论及建议</w:t>
      </w:r>
    </w:p>
    <w:p>
      <w:pPr>
        <w:adjustRightInd w:val="0"/>
        <w:snapToGrid w:val="0"/>
        <w:spacing w:line="600" w:lineRule="exact"/>
        <w:ind w:firstLine="720"/>
        <w:rPr>
          <w:rFonts w:eastAsia="楷体_GB2312"/>
          <w:b/>
          <w:lang w:val="zh-CN"/>
        </w:rPr>
      </w:pPr>
      <w:r>
        <w:rPr>
          <w:rFonts w:eastAsia="楷体_GB2312"/>
          <w:b/>
          <w:lang w:val="zh-CN"/>
        </w:rPr>
        <w:t>（一）评价结论。</w:t>
      </w:r>
    </w:p>
    <w:p>
      <w:pPr>
        <w:spacing w:line="560" w:lineRule="exact"/>
        <w:ind w:firstLine="640" w:firstLineChars="200"/>
        <w:rPr>
          <w:rFonts w:hint="eastAsia" w:ascii="Times New Roman" w:hAnsi="Times New Roman" w:eastAsia="仿宋_GB2312"/>
          <w:sz w:val="32"/>
          <w:szCs w:val="32"/>
          <w:u w:val="none"/>
          <w:lang w:eastAsia="zh-CN"/>
        </w:rPr>
      </w:pPr>
      <w:r>
        <w:rPr>
          <w:rFonts w:hint="eastAsia" w:ascii="Times New Roman" w:hAnsi="Times New Roman" w:eastAsia="仿宋_GB2312" w:cs="Times New Roman"/>
          <w:bCs/>
          <w:sz w:val="32"/>
          <w:szCs w:val="32"/>
          <w:u w:val="none"/>
          <w:lang w:eastAsia="zh-CN"/>
        </w:rPr>
        <w:t>该项目资金</w:t>
      </w:r>
      <w:r>
        <w:rPr>
          <w:rFonts w:ascii="Times New Roman" w:hAnsi="Times New Roman" w:eastAsia="仿宋_GB2312" w:cs="Times New Roman"/>
          <w:bCs/>
          <w:sz w:val="32"/>
          <w:szCs w:val="32"/>
          <w:u w:val="none"/>
        </w:rPr>
        <w:t>预期产出和效果能满足需求、</w:t>
      </w:r>
      <w:r>
        <w:rPr>
          <w:rFonts w:hint="eastAsia" w:ascii="Times New Roman" w:hAnsi="Times New Roman" w:eastAsia="仿宋_GB2312" w:cs="Times New Roman"/>
          <w:bCs/>
          <w:sz w:val="32"/>
          <w:szCs w:val="32"/>
          <w:u w:val="none"/>
          <w:lang w:eastAsia="zh-CN"/>
        </w:rPr>
        <w:t>不需</w:t>
      </w:r>
      <w:r>
        <w:rPr>
          <w:rFonts w:ascii="Times New Roman" w:hAnsi="Times New Roman" w:eastAsia="仿宋_GB2312" w:cs="Times New Roman"/>
          <w:bCs/>
          <w:sz w:val="32"/>
          <w:szCs w:val="32"/>
          <w:u w:val="none"/>
        </w:rPr>
        <w:t>核减预算安排、</w:t>
      </w:r>
      <w:r>
        <w:rPr>
          <w:rFonts w:hint="eastAsia" w:ascii="Times New Roman" w:hAnsi="Times New Roman" w:eastAsia="仿宋_GB2312" w:cs="Times New Roman"/>
          <w:bCs/>
          <w:sz w:val="32"/>
          <w:szCs w:val="32"/>
          <w:u w:val="none"/>
          <w:lang w:eastAsia="zh-CN"/>
        </w:rPr>
        <w:t>该笔资金需继续</w:t>
      </w:r>
      <w:r>
        <w:rPr>
          <w:rFonts w:ascii="Times New Roman" w:hAnsi="Times New Roman" w:eastAsia="仿宋_GB2312" w:cs="Times New Roman"/>
          <w:bCs/>
          <w:sz w:val="32"/>
          <w:szCs w:val="32"/>
          <w:u w:val="none"/>
        </w:rPr>
        <w:t>保留</w:t>
      </w:r>
      <w:r>
        <w:rPr>
          <w:rFonts w:hint="eastAsia" w:ascii="Times New Roman" w:hAnsi="Times New Roman" w:eastAsia="仿宋_GB2312" w:cs="Times New Roman"/>
          <w:bCs/>
          <w:sz w:val="32"/>
          <w:szCs w:val="32"/>
          <w:u w:val="none"/>
          <w:lang w:eastAsia="zh-CN"/>
        </w:rPr>
        <w:t>。</w:t>
      </w:r>
      <w:r>
        <w:rPr>
          <w:rFonts w:hint="eastAsia" w:ascii="Times New Roman" w:hAnsi="Times New Roman" w:eastAsia="仿宋_GB2312"/>
          <w:sz w:val="32"/>
          <w:szCs w:val="32"/>
          <w:u w:val="none"/>
        </w:rPr>
        <w:t>综合前述评估内容来看，该项目立项必要性和依据充分，绩效目标明确，具备实施条件，具有公共性，符合财政资金支持方向等。</w:t>
      </w:r>
      <w:r>
        <w:rPr>
          <w:rFonts w:hint="eastAsia" w:ascii="Times New Roman" w:hAnsi="Times New Roman" w:eastAsia="仿宋_GB2312"/>
          <w:b/>
          <w:sz w:val="32"/>
          <w:szCs w:val="32"/>
          <w:u w:val="none"/>
        </w:rPr>
        <w:t>建议</w:t>
      </w:r>
      <w:r>
        <w:rPr>
          <w:rFonts w:hint="eastAsia" w:ascii="Times New Roman" w:hAnsi="Times New Roman" w:eastAsia="仿宋_GB2312"/>
          <w:bCs/>
          <w:sz w:val="32"/>
          <w:szCs w:val="32"/>
          <w:u w:val="none"/>
        </w:rPr>
        <w:t>予以支持</w:t>
      </w:r>
      <w:r>
        <w:rPr>
          <w:rFonts w:hint="eastAsia" w:ascii="Times New Roman" w:hAnsi="Times New Roman" w:eastAsia="仿宋_GB2312"/>
          <w:sz w:val="32"/>
          <w:szCs w:val="32"/>
          <w:u w:val="none"/>
        </w:rPr>
        <w:t>，</w:t>
      </w:r>
      <w:r>
        <w:rPr>
          <w:rFonts w:ascii="Times New Roman" w:hAnsi="Times New Roman" w:eastAsia="仿宋_GB2312"/>
          <w:sz w:val="32"/>
          <w:szCs w:val="32"/>
          <w:u w:val="none"/>
        </w:rPr>
        <w:t>预算</w:t>
      </w:r>
      <w:r>
        <w:rPr>
          <w:rFonts w:hint="eastAsia" w:ascii="Times New Roman" w:hAnsi="Times New Roman" w:eastAsia="仿宋_GB2312"/>
          <w:sz w:val="32"/>
          <w:szCs w:val="32"/>
          <w:u w:val="none"/>
        </w:rPr>
        <w:t>控制在</w:t>
      </w:r>
      <w:r>
        <w:rPr>
          <w:rFonts w:hint="eastAsia" w:ascii="Times New Roman" w:hAnsi="Times New Roman"/>
          <w:sz w:val="32"/>
          <w:szCs w:val="32"/>
          <w:u w:val="none"/>
          <w:lang w:val="en-US" w:eastAsia="zh-CN"/>
        </w:rPr>
        <w:t>8</w:t>
      </w:r>
      <w:r>
        <w:rPr>
          <w:rFonts w:hint="eastAsia" w:ascii="Times New Roman" w:hAnsi="Times New Roman" w:eastAsia="仿宋_GB2312"/>
          <w:sz w:val="32"/>
          <w:szCs w:val="32"/>
          <w:u w:val="none"/>
        </w:rPr>
        <w:t>万元以内。该项目申请资金总预算</w:t>
      </w:r>
      <w:r>
        <w:rPr>
          <w:rFonts w:hint="eastAsia" w:ascii="Times New Roman" w:hAnsi="Times New Roman"/>
          <w:sz w:val="32"/>
          <w:szCs w:val="32"/>
          <w:u w:val="none"/>
          <w:lang w:val="en-US" w:eastAsia="zh-CN"/>
        </w:rPr>
        <w:t>8</w:t>
      </w:r>
      <w:r>
        <w:rPr>
          <w:rFonts w:hint="eastAsia" w:ascii="Times New Roman" w:hAnsi="Times New Roman" w:eastAsia="仿宋_GB2312"/>
          <w:sz w:val="32"/>
          <w:szCs w:val="32"/>
          <w:u w:val="none"/>
        </w:rPr>
        <w:t>万元，经评审，建议预算申报数</w:t>
      </w:r>
      <w:r>
        <w:rPr>
          <w:rFonts w:hint="eastAsia" w:ascii="Times New Roman" w:hAnsi="Times New Roman"/>
          <w:sz w:val="32"/>
          <w:szCs w:val="32"/>
          <w:u w:val="none"/>
          <w:lang w:val="en-US" w:eastAsia="zh-CN"/>
        </w:rPr>
        <w:t>8</w:t>
      </w:r>
      <w:r>
        <w:rPr>
          <w:rFonts w:hint="eastAsia" w:ascii="Times New Roman" w:hAnsi="Times New Roman" w:eastAsia="仿宋_GB2312"/>
          <w:sz w:val="32"/>
          <w:szCs w:val="32"/>
          <w:u w:val="none"/>
        </w:rPr>
        <w:t>万元,我单位将</w:t>
      </w:r>
      <w:r>
        <w:rPr>
          <w:rFonts w:ascii="Times New Roman" w:hAnsi="Times New Roman" w:eastAsia="仿宋_GB2312"/>
          <w:sz w:val="32"/>
          <w:szCs w:val="32"/>
          <w:u w:val="none"/>
        </w:rPr>
        <w:t>进一步优化完善实施方案</w:t>
      </w:r>
      <w:r>
        <w:rPr>
          <w:rFonts w:hint="eastAsia" w:ascii="Times New Roman" w:hAnsi="Times New Roman" w:eastAsia="仿宋_GB2312"/>
          <w:sz w:val="32"/>
          <w:szCs w:val="32"/>
          <w:u w:val="none"/>
        </w:rPr>
        <w:t>和</w:t>
      </w:r>
      <w:r>
        <w:rPr>
          <w:rFonts w:ascii="Times New Roman" w:hAnsi="Times New Roman" w:eastAsia="仿宋_GB2312"/>
          <w:sz w:val="32"/>
          <w:szCs w:val="32"/>
          <w:u w:val="none"/>
        </w:rPr>
        <w:t>绩效目标，</w:t>
      </w:r>
      <w:r>
        <w:rPr>
          <w:rFonts w:hint="eastAsia" w:ascii="Times New Roman" w:hAnsi="Times New Roman" w:eastAsia="仿宋_GB2312"/>
          <w:sz w:val="32"/>
          <w:szCs w:val="32"/>
          <w:u w:val="none"/>
        </w:rPr>
        <w:t>加强运行监控，节约</w:t>
      </w:r>
      <w:r>
        <w:rPr>
          <w:rFonts w:ascii="Times New Roman" w:hAnsi="Times New Roman" w:eastAsia="仿宋_GB2312"/>
          <w:sz w:val="32"/>
          <w:szCs w:val="32"/>
          <w:u w:val="none"/>
        </w:rPr>
        <w:t>财政资金并提升资金效益</w:t>
      </w:r>
      <w:r>
        <w:rPr>
          <w:rFonts w:hint="eastAsia" w:ascii="Times New Roman" w:hAnsi="Times New Roman" w:eastAsia="仿宋_GB2312"/>
          <w:sz w:val="32"/>
          <w:szCs w:val="32"/>
          <w:u w:val="none"/>
        </w:rPr>
        <w:t>，提升预算绩效管理水平</w:t>
      </w:r>
      <w:r>
        <w:rPr>
          <w:rFonts w:hint="eastAsia" w:ascii="Times New Roman" w:hAnsi="Times New Roman"/>
          <w:sz w:val="32"/>
          <w:szCs w:val="32"/>
          <w:u w:val="none"/>
          <w:lang w:eastAsia="zh-CN"/>
        </w:rPr>
        <w:t>。</w:t>
      </w:r>
    </w:p>
    <w:p>
      <w:pPr>
        <w:adjustRightInd w:val="0"/>
        <w:snapToGrid w:val="0"/>
        <w:spacing w:line="600" w:lineRule="exact"/>
        <w:ind w:firstLine="720"/>
        <w:rPr>
          <w:rFonts w:eastAsia="楷体_GB2312"/>
          <w:b/>
          <w:lang w:val="zh-CN"/>
        </w:rPr>
      </w:pPr>
      <w:r>
        <w:rPr>
          <w:rFonts w:eastAsia="楷体_GB2312"/>
          <w:b/>
          <w:lang w:val="zh-CN"/>
        </w:rPr>
        <w:t>（二）存在的问题。</w:t>
      </w:r>
    </w:p>
    <w:p>
      <w:pPr>
        <w:adjustRightInd w:val="0"/>
        <w:snapToGrid w:val="0"/>
        <w:spacing w:line="600" w:lineRule="exact"/>
        <w:ind w:firstLine="640" w:firstLineChars="200"/>
        <w:rPr>
          <w:lang w:val="zh-CN"/>
        </w:rPr>
      </w:pPr>
      <w:r>
        <w:rPr>
          <w:rFonts w:hint="eastAsia"/>
          <w:lang w:val="en-US" w:eastAsia="zh-CN"/>
        </w:rPr>
        <w:t>无</w:t>
      </w:r>
      <w:r>
        <w:rPr>
          <w:lang w:val="zh-CN"/>
        </w:rPr>
        <w:t>。</w:t>
      </w:r>
      <w:r>
        <w:rPr>
          <w:lang w:val="zh-CN"/>
        </w:rPr>
        <w:tab/>
      </w:r>
    </w:p>
    <w:p>
      <w:pPr>
        <w:adjustRightInd w:val="0"/>
        <w:snapToGrid w:val="0"/>
        <w:spacing w:line="600" w:lineRule="exact"/>
        <w:ind w:firstLine="720"/>
        <w:rPr>
          <w:rFonts w:eastAsia="楷体_GB2312"/>
          <w:b/>
          <w:lang w:val="zh-CN"/>
        </w:rPr>
      </w:pPr>
      <w:r>
        <w:rPr>
          <w:rFonts w:eastAsia="楷体_GB2312"/>
          <w:b/>
          <w:lang w:val="zh-CN"/>
        </w:rPr>
        <w:t>（三）相关建议。</w:t>
      </w:r>
    </w:p>
    <w:p>
      <w:pPr>
        <w:adjustRightInd w:val="0"/>
        <w:snapToGrid w:val="0"/>
        <w:spacing w:line="600" w:lineRule="exact"/>
        <w:ind w:firstLine="640" w:firstLineChars="200"/>
        <w:rPr>
          <w:lang w:val="zh-CN"/>
        </w:rPr>
      </w:pPr>
      <w:r>
        <w:rPr>
          <w:rFonts w:hint="eastAsia"/>
          <w:lang w:val="en-US" w:eastAsia="zh-CN"/>
        </w:rPr>
        <w:t>无</w:t>
      </w:r>
      <w:r>
        <w:rPr>
          <w:lang w:val="zh-CN"/>
        </w:rPr>
        <w:t>。</w:t>
      </w:r>
    </w:p>
    <w:p>
      <w:pPr>
        <w:pStyle w:val="2"/>
      </w:pPr>
    </w:p>
    <w:p>
      <w:pPr>
        <w:pStyle w:val="8"/>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项目支出绩效自评报告</w:t>
      </w:r>
    </w:p>
    <w:p>
      <w:pPr>
        <w:pStyle w:val="8"/>
        <w:spacing w:line="600" w:lineRule="exact"/>
        <w:jc w:val="center"/>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eastAsia="zh-CN"/>
        </w:rPr>
        <w:t>驻京驻蓉信访维稳经费</w:t>
      </w:r>
      <w:r>
        <w:rPr>
          <w:rFonts w:ascii="Times New Roman" w:hAnsi="Times New Roman" w:eastAsia="仿宋_GB2312" w:cs="Times New Roman"/>
          <w:color w:val="auto"/>
          <w:kern w:val="2"/>
          <w:sz w:val="32"/>
          <w:szCs w:val="32"/>
        </w:rPr>
        <w:t>）</w:t>
      </w:r>
    </w:p>
    <w:p>
      <w:pPr>
        <w:pStyle w:val="8"/>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lang w:val="zh-CN"/>
        </w:rPr>
      </w:pPr>
      <w:r>
        <w:rPr>
          <w:rFonts w:eastAsia="黑体"/>
        </w:rPr>
        <w:t>一、</w:t>
      </w:r>
      <w:r>
        <w:rPr>
          <w:rFonts w:eastAsia="黑体"/>
          <w:lang w:val="zh-CN"/>
        </w:rPr>
        <w:t>项目概况</w:t>
      </w:r>
    </w:p>
    <w:p>
      <w:pPr>
        <w:adjustRightInd w:val="0"/>
        <w:snapToGrid w:val="0"/>
        <w:spacing w:line="600" w:lineRule="exact"/>
        <w:ind w:firstLine="720"/>
        <w:rPr>
          <w:rFonts w:eastAsia="楷体_GB2312"/>
          <w:b/>
          <w:lang w:val="zh-CN"/>
        </w:rPr>
      </w:pPr>
      <w:r>
        <w:rPr>
          <w:rFonts w:eastAsia="楷体_GB2312"/>
          <w:b/>
          <w:lang w:val="zh-CN"/>
        </w:rPr>
        <w:t>（一）项目基本情况。</w:t>
      </w:r>
    </w:p>
    <w:p>
      <w:pPr>
        <w:adjustRightInd w:val="0"/>
        <w:snapToGrid w:val="0"/>
        <w:spacing w:line="600" w:lineRule="exact"/>
        <w:ind w:firstLine="640" w:firstLineChars="200"/>
        <w:rPr>
          <w:rFonts w:hint="eastAsia" w:ascii="方正仿宋简体" w:eastAsia="方正仿宋简体" w:cs="方正仿宋简体"/>
          <w:sz w:val="33"/>
          <w:szCs w:val="33"/>
          <w:u w:val="none"/>
          <w:lang w:eastAsia="zh-CN"/>
        </w:rPr>
      </w:pPr>
      <w:r>
        <w:rPr>
          <w:rFonts w:hint="eastAsia"/>
          <w:lang w:val="en-US" w:eastAsia="zh-CN"/>
        </w:rPr>
        <w:t>1.</w:t>
      </w:r>
      <w:r>
        <w:rPr>
          <w:rFonts w:hint="eastAsia" w:ascii="方正仿宋简体" w:eastAsia="方正仿宋简体" w:cs="方正仿宋简体"/>
          <w:sz w:val="33"/>
          <w:szCs w:val="33"/>
          <w:u w:val="none"/>
        </w:rPr>
        <w:t>保障做好本年度内进京赴蓉劝返工作，确保年度内无因进京赴蓉发生滋事倒流事项，保障全区和谐稳定。</w:t>
      </w:r>
    </w:p>
    <w:p>
      <w:pPr>
        <w:snapToGrid w:val="0"/>
        <w:spacing w:line="600" w:lineRule="exact"/>
        <w:ind w:firstLine="640" w:firstLineChars="200"/>
        <w:jc w:val="left"/>
        <w:rPr>
          <w:rFonts w:ascii="Times New Roman" w:hAnsi="Times New Roman"/>
          <w:szCs w:val="32"/>
          <w:u w:val="none"/>
        </w:rPr>
      </w:pPr>
      <w:r>
        <w:rPr>
          <w:rFonts w:hint="eastAsia" w:ascii="Times New Roman" w:hAnsi="Times New Roman" w:cs="Times New Roman"/>
          <w:szCs w:val="32"/>
          <w:u w:val="none"/>
          <w:lang w:val="en-US" w:eastAsia="zh-CN"/>
        </w:rPr>
        <w:t>2.</w:t>
      </w:r>
      <w:r>
        <w:rPr>
          <w:rFonts w:hint="eastAsia" w:ascii="仿宋_GB2312" w:eastAsia="仿宋_GB2312" w:cs="仿宋_GB2312"/>
          <w:sz w:val="32"/>
          <w:szCs w:val="32"/>
          <w:u w:val="none"/>
        </w:rPr>
        <w:t>按照《关于加强驻京驻蓉信访工作的通知》（攀信联办发〔</w:t>
      </w:r>
      <w:r>
        <w:rPr>
          <w:rFonts w:ascii="仿宋_GB2312" w:eastAsia="仿宋_GB2312" w:cs="仿宋_GB2312"/>
          <w:sz w:val="32"/>
          <w:szCs w:val="32"/>
          <w:u w:val="none"/>
        </w:rPr>
        <w:t>2016</w:t>
      </w:r>
      <w:r>
        <w:rPr>
          <w:rFonts w:hint="eastAsia" w:ascii="仿宋_GB2312" w:eastAsia="仿宋_GB2312" w:cs="仿宋_GB2312"/>
          <w:sz w:val="32"/>
          <w:szCs w:val="32"/>
          <w:u w:val="none"/>
        </w:rPr>
        <w:t>〕</w:t>
      </w:r>
      <w:r>
        <w:rPr>
          <w:rFonts w:ascii="仿宋_GB2312" w:eastAsia="仿宋_GB2312" w:cs="仿宋_GB2312"/>
          <w:sz w:val="32"/>
          <w:szCs w:val="32"/>
          <w:u w:val="none"/>
        </w:rPr>
        <w:t>80</w:t>
      </w:r>
      <w:r>
        <w:rPr>
          <w:rFonts w:hint="eastAsia" w:ascii="仿宋_GB2312" w:eastAsia="仿宋_GB2312" w:cs="仿宋_GB2312"/>
          <w:sz w:val="32"/>
          <w:szCs w:val="32"/>
          <w:u w:val="none"/>
        </w:rPr>
        <w:t>号）文件要求，</w:t>
      </w:r>
      <w:r>
        <w:rPr>
          <w:rFonts w:ascii="仿宋_GB2312" w:eastAsia="仿宋_GB2312" w:cs="仿宋_GB2312"/>
          <w:sz w:val="32"/>
          <w:szCs w:val="32"/>
          <w:u w:val="none"/>
        </w:rPr>
        <w:t>2016</w:t>
      </w:r>
      <w:r>
        <w:rPr>
          <w:rFonts w:hint="eastAsia" w:ascii="仿宋_GB2312" w:eastAsia="仿宋_GB2312" w:cs="仿宋_GB2312"/>
          <w:sz w:val="32"/>
          <w:szCs w:val="32"/>
          <w:u w:val="none"/>
        </w:rPr>
        <w:t>年</w:t>
      </w:r>
      <w:r>
        <w:rPr>
          <w:rFonts w:ascii="仿宋_GB2312" w:eastAsia="仿宋_GB2312" w:cs="仿宋_GB2312"/>
          <w:sz w:val="32"/>
          <w:szCs w:val="32"/>
          <w:u w:val="none"/>
        </w:rPr>
        <w:t>8</w:t>
      </w:r>
      <w:r>
        <w:rPr>
          <w:rFonts w:hint="eastAsia" w:ascii="仿宋_GB2312" w:eastAsia="仿宋_GB2312" w:cs="仿宋_GB2312"/>
          <w:sz w:val="32"/>
          <w:szCs w:val="32"/>
          <w:u w:val="none"/>
        </w:rPr>
        <w:t>月</w:t>
      </w:r>
      <w:r>
        <w:rPr>
          <w:rFonts w:ascii="仿宋_GB2312" w:eastAsia="仿宋_GB2312" w:cs="仿宋_GB2312"/>
          <w:sz w:val="32"/>
          <w:szCs w:val="32"/>
          <w:u w:val="none"/>
        </w:rPr>
        <w:t>31</w:t>
      </w:r>
      <w:r>
        <w:rPr>
          <w:rFonts w:hint="eastAsia" w:ascii="仿宋_GB2312" w:eastAsia="仿宋_GB2312" w:cs="仿宋_GB2312"/>
          <w:sz w:val="32"/>
          <w:szCs w:val="32"/>
          <w:u w:val="none"/>
        </w:rPr>
        <w:t>日，市委副秘书长徐明义组织召开了驻京驻蓉信访工作站（组）派驻人员工作会，对我市各县（区）驻京驻蓉信访工作进行安排部署。</w:t>
      </w:r>
    </w:p>
    <w:p>
      <w:pPr>
        <w:numPr>
          <w:ilvl w:val="0"/>
          <w:numId w:val="0"/>
        </w:numPr>
        <w:snapToGrid w:val="0"/>
        <w:spacing w:line="600" w:lineRule="exact"/>
        <w:ind w:firstLine="640" w:firstLineChars="200"/>
        <w:rPr>
          <w:lang w:val="zh-CN"/>
        </w:rPr>
      </w:pPr>
      <w:r>
        <w:rPr>
          <w:rFonts w:hint="eastAsia"/>
          <w:szCs w:val="32"/>
          <w:u w:val="none"/>
          <w:lang w:val="en-US" w:eastAsia="zh-CN"/>
        </w:rPr>
        <w:t>3.</w:t>
      </w:r>
      <w:r>
        <w:rPr>
          <w:rFonts w:hint="eastAsia" w:ascii="Times New Roman" w:hAnsi="Times New Roman"/>
          <w:szCs w:val="32"/>
          <w:u w:val="none"/>
        </w:rPr>
        <w:t>根据</w:t>
      </w:r>
      <w:r>
        <w:rPr>
          <w:rFonts w:ascii="Times New Roman" w:hAnsi="Times New Roman"/>
          <w:szCs w:val="32"/>
          <w:u w:val="none"/>
        </w:rPr>
        <w:t>20</w:t>
      </w:r>
      <w:r>
        <w:rPr>
          <w:rFonts w:hint="eastAsia" w:ascii="Times New Roman" w:hAnsi="Times New Roman"/>
          <w:szCs w:val="32"/>
          <w:u w:val="none"/>
          <w:lang w:val="en-US" w:eastAsia="zh-CN"/>
        </w:rPr>
        <w:t>24</w:t>
      </w:r>
      <w:r>
        <w:rPr>
          <w:rFonts w:hint="eastAsia" w:ascii="Times New Roman" w:hAnsi="Times New Roman"/>
          <w:szCs w:val="32"/>
          <w:u w:val="none"/>
        </w:rPr>
        <w:t>年预算编制要求，绩效评估本着真正过紧日子的原则，厉行节约、精打细算，从严从紧控制项目申报和预算安排，非必要项目和工作内容可压尽压、应压尽压，做到客观、绩效、精准。</w:t>
      </w:r>
    </w:p>
    <w:p>
      <w:pPr>
        <w:snapToGrid w:val="0"/>
        <w:spacing w:line="600" w:lineRule="exact"/>
        <w:ind w:firstLine="640" w:firstLineChars="200"/>
        <w:jc w:val="left"/>
        <w:rPr>
          <w:rFonts w:ascii="Times New Roman" w:hAnsi="Times New Roman"/>
          <w:szCs w:val="32"/>
          <w:u w:val="none"/>
        </w:rPr>
      </w:pPr>
      <w:r>
        <w:rPr>
          <w:lang w:val="zh-CN"/>
        </w:rPr>
        <w:t xml:space="preserve">4. </w:t>
      </w:r>
      <w:r>
        <w:rPr>
          <w:rFonts w:hint="eastAsia" w:ascii="Times New Roman" w:hAnsi="Times New Roman"/>
          <w:szCs w:val="32"/>
          <w:u w:val="none"/>
        </w:rPr>
        <w:t>202</w:t>
      </w:r>
      <w:r>
        <w:rPr>
          <w:rFonts w:hint="eastAsia" w:ascii="Times New Roman" w:hAnsi="Times New Roman"/>
          <w:szCs w:val="32"/>
          <w:u w:val="none"/>
          <w:lang w:val="en-US" w:eastAsia="zh-CN"/>
        </w:rPr>
        <w:t>2</w:t>
      </w:r>
      <w:r>
        <w:rPr>
          <w:rFonts w:hint="eastAsia" w:ascii="Times New Roman" w:hAnsi="Times New Roman"/>
          <w:szCs w:val="32"/>
          <w:u w:val="none"/>
        </w:rPr>
        <w:t>年预算安排</w:t>
      </w:r>
      <w:r>
        <w:rPr>
          <w:rFonts w:hint="eastAsia" w:ascii="Times New Roman" w:hAnsi="Times New Roman"/>
          <w:szCs w:val="32"/>
          <w:u w:val="none"/>
          <w:lang w:val="en-US" w:eastAsia="zh-CN"/>
        </w:rPr>
        <w:t>5</w:t>
      </w:r>
      <w:r>
        <w:rPr>
          <w:rFonts w:hint="eastAsia" w:ascii="Times New Roman" w:hAnsi="Times New Roman"/>
          <w:szCs w:val="32"/>
          <w:u w:val="none"/>
        </w:rPr>
        <w:t>万元，实际执行</w:t>
      </w:r>
      <w:r>
        <w:rPr>
          <w:rFonts w:hint="eastAsia" w:ascii="Times New Roman" w:hAnsi="Times New Roman"/>
          <w:szCs w:val="32"/>
          <w:u w:val="none"/>
          <w:lang w:val="en-US" w:eastAsia="zh-CN"/>
        </w:rPr>
        <w:t>5</w:t>
      </w:r>
      <w:r>
        <w:rPr>
          <w:rFonts w:hint="eastAsia" w:ascii="Times New Roman" w:hAnsi="Times New Roman"/>
          <w:szCs w:val="32"/>
          <w:u w:val="none"/>
        </w:rPr>
        <w:t>万元；202</w:t>
      </w:r>
      <w:r>
        <w:rPr>
          <w:rFonts w:hint="eastAsia" w:ascii="Times New Roman" w:hAnsi="Times New Roman"/>
          <w:szCs w:val="32"/>
          <w:u w:val="none"/>
          <w:lang w:val="en-US" w:eastAsia="zh-CN"/>
        </w:rPr>
        <w:t>3</w:t>
      </w:r>
      <w:r>
        <w:rPr>
          <w:rFonts w:hint="eastAsia" w:ascii="Times New Roman" w:hAnsi="Times New Roman"/>
          <w:szCs w:val="32"/>
          <w:u w:val="none"/>
        </w:rPr>
        <w:t>年预算安排</w:t>
      </w:r>
      <w:r>
        <w:rPr>
          <w:rFonts w:hint="eastAsia" w:ascii="Times New Roman" w:hAnsi="Times New Roman"/>
          <w:szCs w:val="32"/>
          <w:u w:val="none"/>
          <w:lang w:val="en-US" w:eastAsia="zh-CN"/>
        </w:rPr>
        <w:t>5</w:t>
      </w:r>
      <w:r>
        <w:rPr>
          <w:rFonts w:hint="eastAsia" w:ascii="Times New Roman" w:hAnsi="Times New Roman"/>
          <w:szCs w:val="32"/>
          <w:u w:val="none"/>
        </w:rPr>
        <w:t>万元，</w:t>
      </w:r>
      <w:r>
        <w:rPr>
          <w:rFonts w:hint="eastAsia"/>
          <w:szCs w:val="32"/>
          <w:u w:val="none"/>
          <w:lang w:val="en-US" w:eastAsia="zh-CN"/>
        </w:rPr>
        <w:t>追加10万，</w:t>
      </w:r>
      <w:r>
        <w:rPr>
          <w:rFonts w:hint="eastAsia" w:ascii="Times New Roman" w:hAnsi="Times New Roman"/>
          <w:szCs w:val="32"/>
          <w:u w:val="none"/>
        </w:rPr>
        <w:t>实际执行</w:t>
      </w:r>
      <w:r>
        <w:rPr>
          <w:rFonts w:hint="eastAsia"/>
          <w:szCs w:val="32"/>
          <w:u w:val="none"/>
          <w:lang w:val="en-US" w:eastAsia="zh-CN"/>
        </w:rPr>
        <w:t>1</w:t>
      </w:r>
      <w:r>
        <w:rPr>
          <w:rFonts w:hint="eastAsia" w:ascii="Times New Roman" w:hAnsi="Times New Roman"/>
          <w:szCs w:val="32"/>
          <w:u w:val="none"/>
          <w:lang w:val="en-US" w:eastAsia="zh-CN"/>
        </w:rPr>
        <w:t>5</w:t>
      </w:r>
      <w:r>
        <w:rPr>
          <w:rFonts w:hint="eastAsia" w:ascii="Times New Roman" w:hAnsi="Times New Roman"/>
          <w:szCs w:val="32"/>
          <w:u w:val="none"/>
        </w:rPr>
        <w:t>万元</w:t>
      </w:r>
      <w:r>
        <w:rPr>
          <w:rFonts w:ascii="Times New Roman" w:hAnsi="Times New Roman"/>
          <w:szCs w:val="32"/>
          <w:u w:val="none"/>
        </w:rPr>
        <w:t>，较上年增长</w:t>
      </w:r>
      <w:r>
        <w:rPr>
          <w:rFonts w:hint="eastAsia"/>
          <w:szCs w:val="32"/>
          <w:u w:val="none"/>
          <w:lang w:val="en-US" w:eastAsia="zh-CN"/>
        </w:rPr>
        <w:t>66</w:t>
      </w:r>
      <w:r>
        <w:rPr>
          <w:rFonts w:ascii="Times New Roman" w:hAnsi="Times New Roman"/>
          <w:szCs w:val="32"/>
          <w:u w:val="none"/>
        </w:rPr>
        <w:t>%</w:t>
      </w:r>
      <w:r>
        <w:rPr>
          <w:rFonts w:hint="eastAsia" w:ascii="Times New Roman" w:hAnsi="Times New Roman"/>
          <w:szCs w:val="32"/>
          <w:u w:val="none"/>
        </w:rPr>
        <w:t>，增加的</w:t>
      </w:r>
      <w:r>
        <w:rPr>
          <w:rFonts w:ascii="Times New Roman" w:hAnsi="Times New Roman"/>
          <w:szCs w:val="32"/>
          <w:u w:val="none"/>
        </w:rPr>
        <w:t>主要原</w:t>
      </w:r>
      <w:r>
        <w:rPr>
          <w:rFonts w:hint="eastAsia" w:ascii="Times New Roman" w:hAnsi="Times New Roman"/>
          <w:szCs w:val="32"/>
          <w:u w:val="none"/>
        </w:rPr>
        <w:t>因为</w:t>
      </w:r>
      <w:r>
        <w:rPr>
          <w:rFonts w:hint="eastAsia"/>
          <w:szCs w:val="32"/>
          <w:u w:val="none"/>
          <w:lang w:eastAsia="zh-CN"/>
        </w:rPr>
        <w:t>：</w:t>
      </w:r>
      <w:r>
        <w:rPr>
          <w:rFonts w:hint="eastAsia" w:ascii="Times New Roman" w:hAnsi="Times New Roman"/>
          <w:szCs w:val="32"/>
          <w:u w:val="none"/>
          <w:lang w:eastAsia="zh-CN"/>
        </w:rPr>
        <w:t>信访稳定工作形势严峻，不稳定群体和重点信访人员表现较为活跃，</w:t>
      </w:r>
      <w:r>
        <w:rPr>
          <w:rFonts w:hint="eastAsia"/>
          <w:szCs w:val="32"/>
          <w:u w:val="none"/>
          <w:lang w:val="en-US" w:eastAsia="zh-CN"/>
        </w:rPr>
        <w:t>特殊敏感时期或重大活动期间，</w:t>
      </w:r>
      <w:r>
        <w:rPr>
          <w:rFonts w:hint="eastAsia" w:ascii="Times New Roman" w:hAnsi="Times New Roman"/>
          <w:szCs w:val="32"/>
          <w:u w:val="none"/>
          <w:lang w:eastAsia="zh-CN"/>
        </w:rPr>
        <w:t>择机进京、以访施压的现象愈发突出。</w:t>
      </w:r>
    </w:p>
    <w:p>
      <w:pPr>
        <w:adjustRightInd w:val="0"/>
        <w:snapToGrid w:val="0"/>
        <w:spacing w:line="600" w:lineRule="exact"/>
        <w:ind w:firstLine="720"/>
        <w:rPr>
          <w:rFonts w:eastAsia="楷体_GB2312"/>
          <w:b/>
          <w:lang w:val="zh-CN"/>
        </w:rPr>
      </w:pPr>
      <w:r>
        <w:rPr>
          <w:rFonts w:eastAsia="楷体_GB2312"/>
          <w:b/>
          <w:lang w:val="zh-CN"/>
        </w:rPr>
        <w:t>（二）项目绩效目标。</w:t>
      </w:r>
    </w:p>
    <w:p>
      <w:pPr>
        <w:numPr>
          <w:ilvl w:val="0"/>
          <w:numId w:val="0"/>
        </w:numPr>
        <w:spacing w:line="353" w:lineRule="auto"/>
        <w:ind w:firstLine="640" w:firstLineChars="200"/>
        <w:rPr>
          <w:rFonts w:ascii="方正仿宋简体" w:eastAsia="方正仿宋简体" w:cs="Times New Roman"/>
          <w:sz w:val="33"/>
          <w:szCs w:val="33"/>
          <w:u w:val="none"/>
        </w:rPr>
      </w:pPr>
      <w:r>
        <w:rPr>
          <w:lang w:val="zh-CN"/>
        </w:rPr>
        <w:t>1. 项目主要内容。</w:t>
      </w:r>
      <w:r>
        <w:rPr>
          <w:rFonts w:hint="eastAsia" w:ascii="Times New Roman" w:hAnsi="Times New Roman" w:eastAsia="仿宋_GB2312" w:cs="仿宋_GB2312"/>
          <w:sz w:val="32"/>
          <w:szCs w:val="32"/>
          <w:u w:val="none"/>
        </w:rPr>
        <w:t>为贯彻落实</w:t>
      </w:r>
      <w:r>
        <w:rPr>
          <w:rFonts w:hint="eastAsia" w:ascii="仿宋_GB2312" w:eastAsia="仿宋_GB2312" w:cs="仿宋_GB2312"/>
          <w:sz w:val="32"/>
          <w:szCs w:val="32"/>
          <w:u w:val="none"/>
        </w:rPr>
        <w:t>《关于加强驻京驻蓉信访工作的通知》（攀信联办发〔</w:t>
      </w:r>
      <w:r>
        <w:rPr>
          <w:rFonts w:ascii="仿宋_GB2312" w:eastAsia="仿宋_GB2312" w:cs="仿宋_GB2312"/>
          <w:sz w:val="32"/>
          <w:szCs w:val="32"/>
          <w:u w:val="none"/>
        </w:rPr>
        <w:t>2016</w:t>
      </w:r>
      <w:r>
        <w:rPr>
          <w:rFonts w:hint="eastAsia" w:ascii="仿宋_GB2312" w:eastAsia="仿宋_GB2312" w:cs="仿宋_GB2312"/>
          <w:sz w:val="32"/>
          <w:szCs w:val="32"/>
          <w:u w:val="none"/>
        </w:rPr>
        <w:t>〕</w:t>
      </w:r>
      <w:r>
        <w:rPr>
          <w:rFonts w:ascii="仿宋_GB2312" w:eastAsia="仿宋_GB2312" w:cs="仿宋_GB2312"/>
          <w:sz w:val="32"/>
          <w:szCs w:val="32"/>
          <w:u w:val="none"/>
        </w:rPr>
        <w:t>80</w:t>
      </w:r>
      <w:r>
        <w:rPr>
          <w:rFonts w:hint="eastAsia" w:ascii="仿宋_GB2312" w:eastAsia="仿宋_GB2312" w:cs="仿宋_GB2312"/>
          <w:sz w:val="32"/>
          <w:szCs w:val="32"/>
          <w:u w:val="none"/>
        </w:rPr>
        <w:t>号）文件要求</w:t>
      </w:r>
      <w:r>
        <w:rPr>
          <w:rFonts w:hint="eastAsia" w:ascii="仿宋_GB2312" w:cs="仿宋_GB2312"/>
          <w:sz w:val="32"/>
          <w:szCs w:val="32"/>
          <w:u w:val="none"/>
          <w:lang w:eastAsia="zh-CN"/>
        </w:rPr>
        <w:t>：选派政治素质高、业务能力强、工作作风实的在职在岗干部驻京开展信访工作，严格按照驻京办要求完成驻京信访值班工作</w:t>
      </w:r>
      <w:r>
        <w:rPr>
          <w:rFonts w:hint="eastAsia" w:ascii="Times New Roman" w:hAnsi="Times New Roman" w:eastAsia="仿宋_GB2312" w:cs="仿宋_GB2312"/>
          <w:sz w:val="32"/>
          <w:szCs w:val="32"/>
          <w:u w:val="none"/>
        </w:rPr>
        <w:t>。</w:t>
      </w:r>
    </w:p>
    <w:p>
      <w:pPr>
        <w:adjustRightInd w:val="0"/>
        <w:snapToGrid w:val="0"/>
        <w:spacing w:line="600" w:lineRule="exact"/>
        <w:ind w:firstLine="720"/>
        <w:rPr>
          <w:rFonts w:hint="eastAsia" w:ascii="Times New Roman" w:hAnsi="Times New Roman" w:eastAsia="仿宋_GB2312" w:cs="仿宋_GB2312"/>
          <w:sz w:val="32"/>
          <w:szCs w:val="32"/>
        </w:rPr>
      </w:pPr>
      <w:r>
        <w:rPr>
          <w:lang w:val="zh-CN"/>
        </w:rPr>
        <w:t xml:space="preserve">2. </w:t>
      </w:r>
      <w:r>
        <w:rPr>
          <w:rFonts w:hint="eastAsia" w:ascii="Times New Roman" w:hAnsi="Times New Roman" w:eastAsia="仿宋_GB2312" w:cs="仿宋_GB2312"/>
          <w:sz w:val="32"/>
          <w:szCs w:val="32"/>
        </w:rPr>
        <w:t>有效地保障</w:t>
      </w:r>
      <w:r>
        <w:rPr>
          <w:rFonts w:hint="eastAsia" w:ascii="Times New Roman" w:hAnsi="Times New Roman" w:eastAsia="仿宋_GB2312" w:cs="仿宋_GB2312"/>
          <w:sz w:val="32"/>
          <w:szCs w:val="32"/>
          <w:u w:val="none"/>
        </w:rPr>
        <w:t>本年度内上访人员进京赴蓉滋事倒流</w:t>
      </w:r>
      <w:r>
        <w:rPr>
          <w:rFonts w:hint="eastAsia" w:cs="仿宋_GB2312"/>
          <w:sz w:val="32"/>
          <w:szCs w:val="32"/>
          <w:u w:val="none"/>
          <w:lang w:eastAsia="zh-CN"/>
        </w:rPr>
        <w:t>，</w:t>
      </w:r>
      <w:r>
        <w:rPr>
          <w:rFonts w:hint="eastAsia" w:ascii="Times New Roman" w:hAnsi="Times New Roman" w:eastAsia="仿宋_GB2312" w:cs="仿宋_GB2312"/>
          <w:sz w:val="32"/>
          <w:szCs w:val="32"/>
          <w:u w:val="none"/>
        </w:rPr>
        <w:t>无因进京赴蓉发生滋事倒流事项</w:t>
      </w:r>
      <w:r>
        <w:rPr>
          <w:rFonts w:hint="eastAsia" w:ascii="Times New Roman" w:hAnsi="Times New Roman" w:cs="仿宋_GB2312"/>
          <w:sz w:val="32"/>
          <w:szCs w:val="32"/>
          <w:u w:val="none"/>
          <w:lang w:eastAsia="zh-CN"/>
        </w:rPr>
        <w:t>，</w:t>
      </w:r>
      <w:r>
        <w:rPr>
          <w:rFonts w:hint="eastAsia" w:ascii="Times New Roman" w:hAnsi="Times New Roman" w:eastAsia="仿宋_GB2312" w:cs="仿宋_GB2312"/>
          <w:sz w:val="32"/>
          <w:szCs w:val="32"/>
        </w:rPr>
        <w:t>提高群众满意度。</w:t>
      </w:r>
    </w:p>
    <w:p>
      <w:pPr>
        <w:spacing w:line="560" w:lineRule="exact"/>
        <w:ind w:firstLine="643"/>
        <w:rPr>
          <w:rFonts w:hint="eastAsia" w:ascii="仿宋_GB2312" w:cs="仿宋_GB2312"/>
          <w:sz w:val="32"/>
          <w:szCs w:val="32"/>
          <w:u w:val="none"/>
          <w:lang w:eastAsia="zh-CN"/>
        </w:rPr>
      </w:pPr>
      <w:r>
        <w:rPr>
          <w:lang w:val="zh-CN"/>
        </w:rPr>
        <w:t xml:space="preserve">3. </w:t>
      </w:r>
      <w:r>
        <w:rPr>
          <w:rFonts w:hint="eastAsia" w:ascii="Times New Roman" w:hAnsi="仿宋_GB2312" w:eastAsia="仿宋_GB2312" w:cs="仿宋_GB2312"/>
          <w:sz w:val="32"/>
          <w:szCs w:val="32"/>
          <w:u w:val="none"/>
        </w:rPr>
        <w:t>根据</w:t>
      </w:r>
      <w:r>
        <w:rPr>
          <w:rFonts w:hint="eastAsia" w:ascii="仿宋_GB2312" w:eastAsia="仿宋_GB2312" w:cs="仿宋_GB2312"/>
          <w:sz w:val="32"/>
          <w:szCs w:val="32"/>
          <w:u w:val="none"/>
        </w:rPr>
        <w:t>《关于加强驻京驻蓉信访工作的通知》（攀信联办发〔</w:t>
      </w:r>
      <w:r>
        <w:rPr>
          <w:rFonts w:ascii="仿宋_GB2312" w:eastAsia="仿宋_GB2312" w:cs="仿宋_GB2312"/>
          <w:sz w:val="32"/>
          <w:szCs w:val="32"/>
          <w:u w:val="none"/>
        </w:rPr>
        <w:t>2016</w:t>
      </w:r>
      <w:r>
        <w:rPr>
          <w:rFonts w:hint="eastAsia" w:ascii="仿宋_GB2312" w:eastAsia="仿宋_GB2312" w:cs="仿宋_GB2312"/>
          <w:sz w:val="32"/>
          <w:szCs w:val="32"/>
          <w:u w:val="none"/>
        </w:rPr>
        <w:t>〕</w:t>
      </w:r>
      <w:r>
        <w:rPr>
          <w:rFonts w:ascii="仿宋_GB2312" w:eastAsia="仿宋_GB2312" w:cs="仿宋_GB2312"/>
          <w:sz w:val="32"/>
          <w:szCs w:val="32"/>
          <w:u w:val="none"/>
        </w:rPr>
        <w:t>80</w:t>
      </w:r>
      <w:r>
        <w:rPr>
          <w:rFonts w:hint="eastAsia" w:ascii="仿宋_GB2312" w:eastAsia="仿宋_GB2312" w:cs="仿宋_GB2312"/>
          <w:sz w:val="32"/>
          <w:szCs w:val="32"/>
          <w:u w:val="none"/>
        </w:rPr>
        <w:t>号）</w:t>
      </w:r>
      <w:r>
        <w:rPr>
          <w:rFonts w:hint="eastAsia" w:ascii="Times New Roman" w:hAnsi="仿宋_GB2312" w:eastAsia="仿宋_GB2312" w:cs="仿宋_GB2312"/>
          <w:sz w:val="32"/>
          <w:szCs w:val="32"/>
          <w:u w:val="none"/>
        </w:rPr>
        <w:t>文件，文件明确了</w:t>
      </w:r>
      <w:r>
        <w:rPr>
          <w:rFonts w:hint="eastAsia" w:ascii="仿宋_GB2312" w:eastAsia="仿宋_GB2312" w:cs="仿宋_GB2312"/>
          <w:b/>
          <w:bCs/>
          <w:sz w:val="32"/>
          <w:szCs w:val="32"/>
          <w:u w:val="none"/>
        </w:rPr>
        <w:t>一是</w:t>
      </w:r>
      <w:r>
        <w:rPr>
          <w:rFonts w:hint="eastAsia" w:ascii="仿宋_GB2312" w:eastAsia="仿宋_GB2312" w:cs="仿宋_GB2312"/>
          <w:sz w:val="32"/>
          <w:szCs w:val="32"/>
          <w:u w:val="none"/>
        </w:rPr>
        <w:t>驻京信访工作。按照《关于加强驻京驻蓉信访工作的通知》（攀信联办发〔</w:t>
      </w:r>
      <w:r>
        <w:rPr>
          <w:rFonts w:ascii="仿宋_GB2312" w:eastAsia="仿宋_GB2312" w:cs="仿宋_GB2312"/>
          <w:sz w:val="32"/>
          <w:szCs w:val="32"/>
          <w:u w:val="none"/>
        </w:rPr>
        <w:t>2016</w:t>
      </w:r>
      <w:r>
        <w:rPr>
          <w:rFonts w:hint="eastAsia" w:ascii="仿宋_GB2312" w:eastAsia="仿宋_GB2312" w:cs="仿宋_GB2312"/>
          <w:sz w:val="32"/>
          <w:szCs w:val="32"/>
          <w:u w:val="none"/>
        </w:rPr>
        <w:t>〕</w:t>
      </w:r>
      <w:r>
        <w:rPr>
          <w:rFonts w:ascii="仿宋_GB2312" w:eastAsia="仿宋_GB2312" w:cs="仿宋_GB2312"/>
          <w:sz w:val="32"/>
          <w:szCs w:val="32"/>
          <w:u w:val="none"/>
        </w:rPr>
        <w:t>80</w:t>
      </w:r>
      <w:r>
        <w:rPr>
          <w:rFonts w:hint="eastAsia" w:ascii="仿宋_GB2312" w:eastAsia="仿宋_GB2312" w:cs="仿宋_GB2312"/>
          <w:sz w:val="32"/>
          <w:szCs w:val="32"/>
          <w:u w:val="none"/>
        </w:rPr>
        <w:t>号）文件要求，由市信访局和各县（区）轮流派人到京值班，协调处置驻京信访劝返处置工作。</w:t>
      </w:r>
      <w:r>
        <w:rPr>
          <w:rFonts w:hint="eastAsia" w:ascii="仿宋_GB2312" w:eastAsia="仿宋_GB2312" w:cs="仿宋_GB2312"/>
          <w:b/>
          <w:bCs/>
          <w:sz w:val="32"/>
          <w:szCs w:val="32"/>
          <w:u w:val="none"/>
        </w:rPr>
        <w:t>二是</w:t>
      </w:r>
      <w:r>
        <w:rPr>
          <w:rFonts w:hint="eastAsia" w:ascii="仿宋_GB2312" w:eastAsia="仿宋_GB2312" w:cs="仿宋_GB2312"/>
          <w:sz w:val="32"/>
          <w:szCs w:val="32"/>
          <w:u w:val="none"/>
        </w:rPr>
        <w:t>驻蓉信访工作。由攀枝花市驻成都办事处牵头，各县（区）选派人员，协调处置驻蓉信访劝返处置工作，人员选派可采用以下两种方式：安排相对固定人员长期驻守和轮流安排各县（区）抽调人员驻守相结合的方式。一是五个县（区）均安排</w:t>
      </w:r>
      <w:r>
        <w:rPr>
          <w:rFonts w:ascii="仿宋_GB2312" w:eastAsia="仿宋_GB2312" w:cs="仿宋_GB2312"/>
          <w:sz w:val="32"/>
          <w:szCs w:val="32"/>
          <w:u w:val="none"/>
        </w:rPr>
        <w:t>1-2</w:t>
      </w:r>
      <w:r>
        <w:rPr>
          <w:rFonts w:hint="eastAsia" w:ascii="仿宋_GB2312" w:eastAsia="仿宋_GB2312" w:cs="仿宋_GB2312"/>
          <w:sz w:val="32"/>
          <w:szCs w:val="32"/>
          <w:u w:val="none"/>
        </w:rPr>
        <w:t>人长期在蓉驻守处理进京赴蓉上访人员工作；二是各县（区）轮流抽调</w:t>
      </w:r>
      <w:r>
        <w:rPr>
          <w:rFonts w:ascii="仿宋_GB2312" w:eastAsia="仿宋_GB2312" w:cs="仿宋_GB2312"/>
          <w:sz w:val="32"/>
          <w:szCs w:val="32"/>
          <w:u w:val="none"/>
        </w:rPr>
        <w:t>1-2</w:t>
      </w:r>
      <w:r>
        <w:rPr>
          <w:rFonts w:hint="eastAsia" w:ascii="仿宋_GB2312" w:eastAsia="仿宋_GB2312" w:cs="仿宋_GB2312"/>
          <w:sz w:val="32"/>
          <w:szCs w:val="32"/>
          <w:u w:val="none"/>
        </w:rPr>
        <w:t>人协助驻蓉信访工作站开展群众信访劝返分流处置工作，每期两个县区、两个月两个人轮换。</w:t>
      </w:r>
    </w:p>
    <w:p>
      <w:pPr>
        <w:adjustRightInd w:val="0"/>
        <w:snapToGrid w:val="0"/>
        <w:spacing w:line="600" w:lineRule="exact"/>
        <w:ind w:firstLine="643" w:firstLineChars="200"/>
        <w:rPr>
          <w:rFonts w:eastAsia="楷体_GB2312"/>
          <w:b/>
          <w:lang w:val="zh-CN"/>
        </w:rPr>
      </w:pPr>
      <w:r>
        <w:rPr>
          <w:rFonts w:eastAsia="楷体_GB2312"/>
          <w:b/>
          <w:lang w:val="zh-CN"/>
        </w:rPr>
        <w:t>（三）项目自评步骤及方法。</w:t>
      </w:r>
    </w:p>
    <w:p>
      <w:pPr>
        <w:snapToGrid w:val="0"/>
        <w:spacing w:line="600" w:lineRule="exact"/>
        <w:ind w:firstLine="643" w:firstLineChars="200"/>
        <w:jc w:val="left"/>
        <w:rPr>
          <w:rFonts w:ascii="楷体_GB2312" w:hAnsi="Times New Roman" w:eastAsia="楷体_GB2312"/>
          <w:b/>
          <w:szCs w:val="32"/>
          <w:u w:val="none"/>
        </w:rPr>
      </w:pPr>
      <w:r>
        <w:rPr>
          <w:rFonts w:hint="eastAsia" w:ascii="楷体_GB2312" w:hAnsi="Times New Roman" w:eastAsia="楷体_GB2312"/>
          <w:b/>
          <w:szCs w:val="32"/>
          <w:u w:val="none"/>
          <w:lang w:val="en-US" w:eastAsia="zh-CN"/>
        </w:rPr>
        <w:t>1.</w:t>
      </w:r>
      <w:r>
        <w:rPr>
          <w:rFonts w:ascii="楷体_GB2312" w:hAnsi="Times New Roman" w:eastAsia="楷体_GB2312"/>
          <w:b/>
          <w:szCs w:val="32"/>
          <w:u w:val="none"/>
        </w:rPr>
        <w:t>评估程序</w:t>
      </w:r>
    </w:p>
    <w:p>
      <w:pPr>
        <w:snapToGrid w:val="0"/>
        <w:spacing w:line="600" w:lineRule="exact"/>
        <w:ind w:firstLine="640" w:firstLineChars="200"/>
        <w:rPr>
          <w:rFonts w:ascii="Times New Roman" w:hAnsi="Times New Roman"/>
          <w:szCs w:val="32"/>
          <w:u w:val="none"/>
        </w:rPr>
      </w:pPr>
      <w:r>
        <w:rPr>
          <w:rFonts w:ascii="Times New Roman" w:hAnsi="Times New Roman"/>
          <w:szCs w:val="32"/>
          <w:u w:val="none"/>
        </w:rPr>
        <w:t>20</w:t>
      </w:r>
      <w:r>
        <w:rPr>
          <w:rFonts w:hint="eastAsia" w:ascii="Times New Roman" w:hAnsi="Times New Roman"/>
          <w:szCs w:val="32"/>
          <w:u w:val="none"/>
          <w:lang w:val="en-US" w:eastAsia="zh-CN"/>
        </w:rPr>
        <w:t>24</w:t>
      </w:r>
      <w:r>
        <w:rPr>
          <w:rFonts w:hint="eastAsia" w:ascii="Times New Roman" w:hAnsi="Times New Roman"/>
          <w:szCs w:val="32"/>
          <w:u w:val="none"/>
        </w:rPr>
        <w:t>年度</w:t>
      </w:r>
      <w:r>
        <w:rPr>
          <w:rFonts w:ascii="Times New Roman" w:hAnsi="Times New Roman"/>
          <w:szCs w:val="32"/>
          <w:u w:val="none"/>
        </w:rPr>
        <w:t>预算</w:t>
      </w:r>
      <w:r>
        <w:rPr>
          <w:rFonts w:hint="eastAsia" w:ascii="Times New Roman" w:hAnsi="Times New Roman"/>
          <w:szCs w:val="32"/>
          <w:u w:val="none"/>
        </w:rPr>
        <w:t>项目</w:t>
      </w:r>
      <w:r>
        <w:rPr>
          <w:rFonts w:ascii="Times New Roman" w:hAnsi="Times New Roman"/>
          <w:szCs w:val="32"/>
          <w:u w:val="none"/>
        </w:rPr>
        <w:t>绩效评估工作通过线上与线下相结合方式开展。</w:t>
      </w:r>
      <w:r>
        <w:rPr>
          <w:rFonts w:hint="eastAsia" w:ascii="Times New Roman" w:hAnsi="Times New Roman"/>
          <w:szCs w:val="32"/>
          <w:u w:val="none"/>
        </w:rPr>
        <w:t>按照有关规定和工作安排，我单位开展自行评估，通过自行成立组建评估组，</w:t>
      </w:r>
      <w:r>
        <w:rPr>
          <w:rFonts w:ascii="Times New Roman" w:hAnsi="Times New Roman"/>
          <w:szCs w:val="32"/>
          <w:u w:val="none"/>
        </w:rPr>
        <w:t>通过</w:t>
      </w:r>
      <w:r>
        <w:rPr>
          <w:rFonts w:hint="eastAsia" w:ascii="Times New Roman" w:hAnsi="Times New Roman"/>
          <w:szCs w:val="32"/>
          <w:u w:val="none"/>
        </w:rPr>
        <w:t>收集被评估</w:t>
      </w:r>
      <w:r>
        <w:rPr>
          <w:rFonts w:ascii="Times New Roman" w:hAnsi="Times New Roman"/>
          <w:szCs w:val="32"/>
          <w:u w:val="none"/>
        </w:rPr>
        <w:t>项目</w:t>
      </w:r>
      <w:r>
        <w:rPr>
          <w:rFonts w:hint="eastAsia" w:ascii="Times New Roman" w:hAnsi="Times New Roman"/>
          <w:szCs w:val="32"/>
          <w:u w:val="none"/>
        </w:rPr>
        <w:t>相关</w:t>
      </w:r>
      <w:r>
        <w:rPr>
          <w:rFonts w:ascii="Times New Roman" w:hAnsi="Times New Roman"/>
          <w:szCs w:val="32"/>
          <w:u w:val="none"/>
        </w:rPr>
        <w:t>基础资料，</w:t>
      </w:r>
      <w:r>
        <w:rPr>
          <w:rFonts w:hint="eastAsia" w:ascii="Times New Roman" w:hAnsi="Times New Roman"/>
          <w:szCs w:val="32"/>
          <w:u w:val="none"/>
        </w:rPr>
        <w:t>并</w:t>
      </w:r>
      <w:r>
        <w:rPr>
          <w:rFonts w:ascii="Times New Roman" w:hAnsi="Times New Roman"/>
          <w:szCs w:val="32"/>
          <w:u w:val="none"/>
        </w:rPr>
        <w:t>查阅资料、</w:t>
      </w:r>
      <w:r>
        <w:rPr>
          <w:rFonts w:hint="eastAsia" w:ascii="Times New Roman" w:hAnsi="Times New Roman"/>
          <w:szCs w:val="32"/>
          <w:u w:val="none"/>
        </w:rPr>
        <w:t>收集数据信息</w:t>
      </w:r>
      <w:r>
        <w:rPr>
          <w:rFonts w:ascii="Times New Roman" w:hAnsi="Times New Roman"/>
          <w:szCs w:val="32"/>
          <w:u w:val="none"/>
        </w:rPr>
        <w:t>等</w:t>
      </w:r>
      <w:r>
        <w:rPr>
          <w:rFonts w:hint="eastAsia" w:ascii="Times New Roman" w:hAnsi="Times New Roman"/>
          <w:szCs w:val="32"/>
          <w:u w:val="none"/>
        </w:rPr>
        <w:t>，深入论证</w:t>
      </w:r>
      <w:r>
        <w:rPr>
          <w:rFonts w:ascii="Times New Roman" w:hAnsi="Times New Roman"/>
          <w:szCs w:val="32"/>
          <w:u w:val="none"/>
        </w:rPr>
        <w:t>分析后，形成绩效评估报告。</w:t>
      </w:r>
    </w:p>
    <w:p>
      <w:pPr>
        <w:snapToGrid w:val="0"/>
        <w:spacing w:line="600" w:lineRule="exact"/>
        <w:ind w:firstLine="643" w:firstLineChars="200"/>
        <w:jc w:val="left"/>
        <w:rPr>
          <w:rFonts w:ascii="楷体_GB2312" w:hAnsi="Times New Roman" w:eastAsia="楷体_GB2312"/>
          <w:b/>
          <w:szCs w:val="32"/>
          <w:u w:val="none"/>
        </w:rPr>
      </w:pPr>
      <w:r>
        <w:rPr>
          <w:rFonts w:hint="eastAsia" w:ascii="楷体_GB2312" w:hAnsi="Times New Roman" w:eastAsia="楷体_GB2312"/>
          <w:b/>
          <w:szCs w:val="32"/>
          <w:u w:val="none"/>
          <w:lang w:val="en-US" w:eastAsia="zh-CN"/>
        </w:rPr>
        <w:t>2.</w:t>
      </w:r>
      <w:r>
        <w:rPr>
          <w:rFonts w:hint="eastAsia" w:ascii="楷体_GB2312" w:hAnsi="Times New Roman" w:eastAsia="楷体_GB2312"/>
          <w:b/>
          <w:szCs w:val="32"/>
          <w:u w:val="none"/>
        </w:rPr>
        <w:t>评估方法</w:t>
      </w:r>
    </w:p>
    <w:p>
      <w:pPr>
        <w:snapToGrid w:val="0"/>
        <w:spacing w:line="600" w:lineRule="exact"/>
        <w:ind w:firstLine="640" w:firstLineChars="200"/>
        <w:rPr>
          <w:rFonts w:ascii="Times New Roman" w:hAnsi="Times New Roman"/>
          <w:szCs w:val="32"/>
          <w:u w:val="none"/>
        </w:rPr>
      </w:pPr>
      <w:r>
        <w:rPr>
          <w:rFonts w:hint="eastAsia" w:ascii="Times New Roman" w:hAnsi="Times New Roman"/>
          <w:szCs w:val="32"/>
          <w:u w:val="none"/>
        </w:rPr>
        <w:t>本项目通过现场踏勘、与项目相关人员座谈或讨论、</w:t>
      </w:r>
      <w:r>
        <w:rPr>
          <w:rFonts w:ascii="Times New Roman"/>
          <w:szCs w:val="32"/>
          <w:u w:val="none"/>
        </w:rPr>
        <w:t>聘请相关专业专家、市场调研</w:t>
      </w:r>
      <w:r>
        <w:rPr>
          <w:rFonts w:hint="eastAsia" w:ascii="Times New Roman"/>
          <w:szCs w:val="32"/>
          <w:u w:val="none"/>
        </w:rPr>
        <w:t>等方法</w:t>
      </w:r>
      <w:r>
        <w:rPr>
          <w:rFonts w:ascii="Times New Roman"/>
          <w:szCs w:val="32"/>
          <w:u w:val="none"/>
        </w:rPr>
        <w:t>了解项目情况</w:t>
      </w:r>
      <w:r>
        <w:rPr>
          <w:rFonts w:hint="eastAsia" w:ascii="Times New Roman" w:hAnsi="Times New Roman"/>
          <w:szCs w:val="32"/>
          <w:u w:val="none"/>
        </w:rPr>
        <w:t>，收集相关资料，综合分析相关情况后，对项目的立项必要性、投入经济性、目标合理性、方案可行性以及筹资合规性实施评估。</w:t>
      </w:r>
    </w:p>
    <w:p>
      <w:pPr>
        <w:adjustRightInd w:val="0"/>
        <w:snapToGrid w:val="0"/>
        <w:spacing w:line="600" w:lineRule="exact"/>
        <w:ind w:firstLine="720"/>
        <w:rPr>
          <w:rFonts w:eastAsia="黑体"/>
        </w:rPr>
      </w:pPr>
      <w:r>
        <w:rPr>
          <w:rFonts w:eastAsia="黑体"/>
        </w:rPr>
        <w:t>二、项目资金申报及使用情况</w:t>
      </w:r>
    </w:p>
    <w:p>
      <w:pPr>
        <w:adjustRightInd w:val="0"/>
        <w:snapToGrid w:val="0"/>
        <w:spacing w:line="600" w:lineRule="exact"/>
        <w:ind w:firstLine="720"/>
        <w:rPr>
          <w:rFonts w:eastAsia="楷体_GB2312"/>
          <w:b/>
          <w:lang w:val="zh-CN"/>
        </w:rPr>
      </w:pPr>
      <w:r>
        <w:rPr>
          <w:rFonts w:eastAsia="楷体_GB2312"/>
          <w:b/>
          <w:lang w:val="zh-CN"/>
        </w:rPr>
        <w:t>（一）项目资金申报及批复情况。</w:t>
      </w:r>
    </w:p>
    <w:p>
      <w:pPr>
        <w:adjustRightInd w:val="0"/>
        <w:snapToGrid w:val="0"/>
        <w:spacing w:line="600" w:lineRule="exact"/>
        <w:ind w:firstLine="720"/>
        <w:rPr>
          <w:lang w:val="zh-CN"/>
        </w:rPr>
      </w:pPr>
      <w:r>
        <w:rPr>
          <w:rFonts w:hint="eastAsia"/>
          <w:lang w:val="en-US" w:eastAsia="zh-CN"/>
        </w:rPr>
        <w:t>该</w:t>
      </w:r>
      <w:r>
        <w:rPr>
          <w:lang w:val="zh-CN"/>
        </w:rPr>
        <w:t>项资金</w:t>
      </w:r>
      <w:r>
        <w:rPr>
          <w:rFonts w:hint="eastAsia"/>
          <w:lang w:val="en-US" w:eastAsia="zh-CN"/>
        </w:rPr>
        <w:t>于2022年12月</w:t>
      </w:r>
      <w:r>
        <w:rPr>
          <w:lang w:val="zh-CN"/>
        </w:rPr>
        <w:t>申报</w:t>
      </w:r>
      <w:r>
        <w:rPr>
          <w:rFonts w:hint="eastAsia"/>
          <w:lang w:val="zh-CN"/>
        </w:rPr>
        <w:t>，</w:t>
      </w:r>
      <w:r>
        <w:rPr>
          <w:rFonts w:hint="eastAsia"/>
          <w:lang w:val="en-US" w:eastAsia="zh-CN"/>
        </w:rPr>
        <w:t>2023年2月批复并于3月在政府信息公开网公开</w:t>
      </w:r>
      <w:r>
        <w:rPr>
          <w:lang w:val="zh-CN"/>
        </w:rPr>
        <w:t>。</w:t>
      </w:r>
    </w:p>
    <w:p>
      <w:pPr>
        <w:numPr>
          <w:ilvl w:val="0"/>
          <w:numId w:val="1"/>
        </w:numPr>
        <w:adjustRightInd w:val="0"/>
        <w:snapToGrid w:val="0"/>
        <w:spacing w:line="600" w:lineRule="exact"/>
        <w:ind w:firstLine="720"/>
        <w:rPr>
          <w:rFonts w:eastAsia="楷体_GB2312"/>
          <w:b/>
          <w:lang w:val="zh-CN"/>
        </w:rPr>
      </w:pPr>
      <w:r>
        <w:rPr>
          <w:rFonts w:eastAsia="楷体_GB2312"/>
          <w:b/>
          <w:lang w:val="zh-CN"/>
        </w:rPr>
        <w:t>资金计划、到位及使用情况。</w:t>
      </w:r>
    </w:p>
    <w:p>
      <w:pPr>
        <w:pStyle w:val="3"/>
        <w:numPr>
          <w:ilvl w:val="0"/>
          <w:numId w:val="0"/>
        </w:numPr>
        <w:rPr>
          <w:rFonts w:hint="default" w:eastAsia="仿宋_GB2312"/>
          <w:lang w:val="en-US" w:eastAsia="zh-CN"/>
        </w:rPr>
      </w:pPr>
      <w:r>
        <w:rPr>
          <w:rFonts w:hint="eastAsia"/>
          <w:lang w:val="en-US" w:eastAsia="zh-CN"/>
        </w:rPr>
        <w:t xml:space="preserve">    该项目资金年初预算5万元，追加10万，区财政已及时拨付到位，全年完成数15万元。</w:t>
      </w:r>
    </w:p>
    <w:p>
      <w:pPr>
        <w:adjustRightInd w:val="0"/>
        <w:snapToGrid w:val="0"/>
        <w:spacing w:line="600" w:lineRule="exact"/>
        <w:ind w:firstLine="720"/>
        <w:rPr>
          <w:rFonts w:eastAsia="楷体_GB2312"/>
          <w:b/>
          <w:lang w:val="zh-CN"/>
        </w:rPr>
      </w:pPr>
      <w:r>
        <w:rPr>
          <w:rFonts w:eastAsia="楷体_GB2312"/>
          <w:b/>
          <w:lang w:val="zh-CN"/>
        </w:rPr>
        <w:t>（三）项目财务管理情况。</w:t>
      </w:r>
    </w:p>
    <w:p>
      <w:pPr>
        <w:adjustRightInd w:val="0"/>
        <w:snapToGrid w:val="0"/>
        <w:spacing w:line="600" w:lineRule="exact"/>
        <w:ind w:firstLine="720"/>
        <w:rPr>
          <w:lang w:val="zh-CN"/>
        </w:rPr>
      </w:pPr>
      <w:r>
        <w:rPr>
          <w:rFonts w:hint="eastAsia"/>
          <w:lang w:val="en-US" w:eastAsia="zh-CN"/>
        </w:rPr>
        <w:t>该</w:t>
      </w:r>
      <w:r>
        <w:rPr>
          <w:lang w:val="zh-CN"/>
        </w:rPr>
        <w:t>项目实施财务管理制度健全，严格执行财务管理制度，账务处理及时，会计核算规范。</w:t>
      </w:r>
    </w:p>
    <w:p>
      <w:pPr>
        <w:adjustRightInd w:val="0"/>
        <w:snapToGrid w:val="0"/>
        <w:spacing w:line="600" w:lineRule="exact"/>
        <w:ind w:firstLine="720"/>
        <w:rPr>
          <w:rFonts w:eastAsia="黑体"/>
        </w:rPr>
      </w:pPr>
      <w:r>
        <w:rPr>
          <w:rFonts w:eastAsia="黑体"/>
        </w:rPr>
        <w:t>三、项目实施及管理情况</w:t>
      </w:r>
    </w:p>
    <w:p>
      <w:pPr>
        <w:adjustRightInd w:val="0"/>
        <w:snapToGrid w:val="0"/>
        <w:spacing w:line="560" w:lineRule="exact"/>
        <w:ind w:firstLine="643" w:firstLineChars="200"/>
        <w:rPr>
          <w:rFonts w:eastAsia="楷体_GB2312"/>
          <w:b/>
          <w:lang w:val="zh-CN"/>
        </w:rPr>
      </w:pPr>
      <w:r>
        <w:rPr>
          <w:rFonts w:eastAsia="楷体_GB2312"/>
          <w:b/>
          <w:lang w:val="zh-CN"/>
        </w:rPr>
        <w:t>（一）项目组织架构及实施流程。</w:t>
      </w:r>
      <w:r>
        <w:rPr>
          <w:rFonts w:hint="eastAsia" w:ascii="Times New Roman" w:hAnsi="Times New Roman" w:eastAsia="仿宋_GB2312" w:cs="Times New Roman"/>
          <w:sz w:val="32"/>
          <w:szCs w:val="32"/>
          <w:u w:val="none"/>
          <w:lang w:eastAsia="zh-CN"/>
        </w:rPr>
        <w:t>该笔</w:t>
      </w:r>
      <w:r>
        <w:rPr>
          <w:rFonts w:ascii="Times New Roman" w:hAnsi="Times New Roman" w:eastAsia="仿宋_GB2312" w:cs="Times New Roman"/>
          <w:sz w:val="32"/>
          <w:szCs w:val="32"/>
          <w:u w:val="none"/>
        </w:rPr>
        <w:t>资金来源渠道的合法合规，评估内容具有公共性，属于公共财政支持范围，筹资渠道符合法律法规规定，筹资结构合理，资金来源渠道明确</w:t>
      </w:r>
      <w:r>
        <w:rPr>
          <w:rFonts w:hint="eastAsia"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353" w:lineRule="auto"/>
        <w:ind w:firstLine="643" w:firstLineChars="200"/>
        <w:textAlignment w:val="auto"/>
        <w:outlineLvl w:val="9"/>
        <w:rPr>
          <w:lang w:val="zh-CN"/>
        </w:rPr>
      </w:pPr>
      <w:r>
        <w:rPr>
          <w:rFonts w:eastAsia="楷体_GB2312"/>
          <w:b/>
          <w:lang w:val="zh-CN"/>
        </w:rPr>
        <w:t>（二）项目管理情况。</w:t>
      </w:r>
      <w:r>
        <w:rPr>
          <w:rFonts w:ascii="Times New Roman" w:hAnsi="Times New Roman" w:eastAsia="仿宋_GB2312"/>
          <w:sz w:val="32"/>
          <w:szCs w:val="32"/>
        </w:rPr>
        <w:t>严格按照批复的支出预算执行，对人员经费严格按照上级的有关政策规定执行，</w:t>
      </w:r>
      <w:r>
        <w:rPr>
          <w:rFonts w:hint="eastAsia"/>
          <w:sz w:val="32"/>
          <w:szCs w:val="32"/>
          <w:lang w:val="en-US" w:eastAsia="zh-CN"/>
        </w:rPr>
        <w:t>无</w:t>
      </w:r>
      <w:r>
        <w:rPr>
          <w:rFonts w:ascii="Times New Roman" w:hAnsi="Times New Roman" w:eastAsia="仿宋_GB2312"/>
          <w:sz w:val="32"/>
          <w:szCs w:val="32"/>
        </w:rPr>
        <w:t>擅自扩大开支范围和提高开支标准</w:t>
      </w:r>
      <w:r>
        <w:rPr>
          <w:rFonts w:hint="eastAsia"/>
          <w:sz w:val="32"/>
          <w:szCs w:val="32"/>
          <w:lang w:val="en-US" w:eastAsia="zh-CN"/>
        </w:rPr>
        <w:t>情况</w:t>
      </w:r>
      <w:r>
        <w:rPr>
          <w:rFonts w:ascii="Times New Roman" w:hAnsi="Times New Roman" w:eastAsia="仿宋_GB2312"/>
          <w:sz w:val="32"/>
          <w:szCs w:val="32"/>
        </w:rPr>
        <w:t>。项目支出严格按照批复的项目和用途使用，</w:t>
      </w:r>
      <w:r>
        <w:rPr>
          <w:rFonts w:hint="eastAsia"/>
          <w:sz w:val="32"/>
          <w:szCs w:val="32"/>
          <w:lang w:val="en-US" w:eastAsia="zh-CN"/>
        </w:rPr>
        <w:t>无</w:t>
      </w:r>
      <w:r>
        <w:rPr>
          <w:rFonts w:ascii="Times New Roman" w:hAnsi="Times New Roman" w:eastAsia="仿宋_GB2312"/>
          <w:sz w:val="32"/>
          <w:szCs w:val="32"/>
        </w:rPr>
        <w:t>自行改变项目内容</w:t>
      </w:r>
      <w:r>
        <w:rPr>
          <w:rFonts w:hint="eastAsia"/>
          <w:sz w:val="32"/>
          <w:szCs w:val="32"/>
          <w:lang w:val="en-US" w:eastAsia="zh-CN"/>
        </w:rPr>
        <w:t>及</w:t>
      </w:r>
      <w:r>
        <w:rPr>
          <w:rFonts w:ascii="Times New Roman" w:hAnsi="Times New Roman" w:eastAsia="仿宋_GB2312"/>
          <w:sz w:val="32"/>
          <w:szCs w:val="32"/>
        </w:rPr>
        <w:t>扩大使用范围</w:t>
      </w:r>
      <w:r>
        <w:rPr>
          <w:rFonts w:hint="eastAsia"/>
          <w:sz w:val="32"/>
          <w:szCs w:val="32"/>
          <w:lang w:val="en-US" w:eastAsia="zh-CN"/>
        </w:rPr>
        <w:t>情况</w:t>
      </w:r>
      <w:r>
        <w:rPr>
          <w:rFonts w:ascii="Times New Roman" w:hAnsi="Times New Roman" w:eastAsia="仿宋_GB2312"/>
          <w:sz w:val="32"/>
          <w:szCs w:val="32"/>
        </w:rPr>
        <w:t>，保证专款专用，</w:t>
      </w:r>
      <w:r>
        <w:rPr>
          <w:rFonts w:hint="eastAsia"/>
          <w:sz w:val="32"/>
          <w:szCs w:val="32"/>
          <w:lang w:val="en-US" w:eastAsia="zh-CN"/>
        </w:rPr>
        <w:t>无</w:t>
      </w:r>
      <w:r>
        <w:rPr>
          <w:rFonts w:ascii="Times New Roman" w:hAnsi="Times New Roman" w:eastAsia="仿宋_GB2312"/>
          <w:sz w:val="32"/>
          <w:szCs w:val="32"/>
        </w:rPr>
        <w:t>截留、挪用专项资金</w:t>
      </w:r>
      <w:r>
        <w:rPr>
          <w:rFonts w:hint="eastAsia"/>
          <w:sz w:val="32"/>
          <w:szCs w:val="32"/>
          <w:lang w:val="en-US" w:eastAsia="zh-CN"/>
        </w:rPr>
        <w:t>情况</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353" w:lineRule="auto"/>
        <w:ind w:firstLine="643" w:firstLineChars="200"/>
        <w:textAlignment w:val="auto"/>
        <w:outlineLvl w:val="9"/>
        <w:rPr>
          <w:rFonts w:hint="eastAsia" w:ascii="Times New Roman" w:hAnsi="Times New Roman" w:eastAsia="仿宋_GB2312" w:cs="Times New Roman"/>
          <w:sz w:val="32"/>
          <w:szCs w:val="32"/>
          <w:lang w:eastAsia="zh-CN"/>
        </w:rPr>
      </w:pPr>
      <w:r>
        <w:rPr>
          <w:rFonts w:eastAsia="楷体_GB2312"/>
          <w:b/>
          <w:lang w:val="zh-CN"/>
        </w:rPr>
        <w:t>（三）项目监管情况。</w:t>
      </w:r>
      <w:r>
        <w:rPr>
          <w:rFonts w:hint="eastAsia" w:ascii="Times New Roman" w:hAnsi="Times New Roman" w:eastAsia="仿宋_GB2312" w:cs="Times New Roman"/>
          <w:sz w:val="32"/>
          <w:szCs w:val="32"/>
          <w:lang w:val="en-US" w:eastAsia="zh-CN"/>
        </w:rPr>
        <w:t>保证</w:t>
      </w:r>
      <w:r>
        <w:rPr>
          <w:rFonts w:ascii="Times New Roman" w:hAnsi="Times New Roman" w:eastAsia="仿宋_GB2312"/>
          <w:sz w:val="32"/>
          <w:szCs w:val="32"/>
        </w:rPr>
        <w:t>在财政批复部门预算后20</w:t>
      </w:r>
      <w:r>
        <w:rPr>
          <w:rFonts w:ascii="Times New Roman" w:hAnsi="Times New Roman" w:eastAsia="仿宋_GB2312"/>
          <w:sz w:val="32"/>
          <w:szCs w:val="32"/>
          <w:highlight w:val="none"/>
        </w:rPr>
        <w:t>日内</w:t>
      </w:r>
      <w:r>
        <w:rPr>
          <w:rFonts w:ascii="Times New Roman" w:hAnsi="Times New Roman" w:eastAsia="仿宋_GB2312"/>
          <w:sz w:val="32"/>
          <w:szCs w:val="32"/>
        </w:rPr>
        <w:t>，通过攀枝花市西区人民政府网站预决算公开统一平台公开绩效目标情况，并妥善做好解释说明工作，确保公开信息规范化、标准化</w:t>
      </w:r>
      <w:r>
        <w:rPr>
          <w:rFonts w:hint="eastAsia"/>
          <w:sz w:val="32"/>
          <w:szCs w:val="32"/>
          <w:lang w:eastAsia="zh-CN"/>
        </w:rPr>
        <w:t>，</w:t>
      </w:r>
      <w:r>
        <w:rPr>
          <w:rFonts w:ascii="Times New Roman" w:hAnsi="Times New Roman" w:eastAsia="仿宋_GB2312" w:cs="Times New Roman"/>
          <w:sz w:val="32"/>
          <w:szCs w:val="32"/>
        </w:rPr>
        <w:t>主动接受预算监督</w:t>
      </w:r>
      <w:r>
        <w:rPr>
          <w:rFonts w:hint="eastAsia" w:ascii="Times New Roman" w:hAnsi="Times New Roman" w:cs="Times New Roman"/>
          <w:sz w:val="32"/>
          <w:szCs w:val="32"/>
          <w:lang w:eastAsia="zh-CN"/>
        </w:rPr>
        <w:t>。</w:t>
      </w:r>
    </w:p>
    <w:p>
      <w:pPr>
        <w:adjustRightInd w:val="0"/>
        <w:snapToGrid w:val="0"/>
        <w:spacing w:line="600" w:lineRule="exact"/>
        <w:ind w:firstLine="720"/>
        <w:rPr>
          <w:lang w:val="zh-CN"/>
        </w:rPr>
      </w:pPr>
      <w:r>
        <w:rPr>
          <w:rFonts w:eastAsia="黑体"/>
        </w:rPr>
        <w:t>四、项目绩效情况</w:t>
      </w:r>
      <w:r>
        <w:rPr>
          <w:lang w:val="zh-CN"/>
        </w:rPr>
        <w:tab/>
      </w:r>
    </w:p>
    <w:p>
      <w:pPr>
        <w:snapToGrid w:val="0"/>
        <w:spacing w:line="600" w:lineRule="atLeast"/>
        <w:jc w:val="center"/>
        <w:rPr>
          <w:rFonts w:ascii="仿宋_GB2312" w:hAnsi="宋体"/>
          <w:szCs w:val="32"/>
          <w:u w:val="none"/>
        </w:rPr>
      </w:pPr>
      <w:r>
        <w:rPr>
          <w:rFonts w:hint="eastAsia" w:ascii="宋体" w:hAnsi="宋体" w:eastAsia="宋体"/>
          <w:b/>
          <w:sz w:val="21"/>
          <w:szCs w:val="21"/>
          <w:u w:val="none"/>
        </w:rPr>
        <w:t>攀枝花市西区区级驻京驻蓉信访维稳经费</w:t>
      </w:r>
      <w:r>
        <w:rPr>
          <w:rFonts w:ascii="宋体" w:hAnsi="宋体" w:eastAsia="宋体"/>
          <w:b/>
          <w:sz w:val="21"/>
          <w:szCs w:val="21"/>
          <w:u w:val="none"/>
        </w:rPr>
        <w:t>绩效</w:t>
      </w:r>
      <w:r>
        <w:rPr>
          <w:rFonts w:hint="eastAsia" w:ascii="宋体" w:hAnsi="宋体" w:eastAsia="宋体"/>
          <w:b/>
          <w:sz w:val="21"/>
          <w:szCs w:val="21"/>
          <w:u w:val="none"/>
        </w:rPr>
        <w:t>目标</w:t>
      </w:r>
      <w:r>
        <w:rPr>
          <w:rFonts w:ascii="宋体" w:hAnsi="宋体" w:eastAsia="宋体"/>
          <w:b/>
          <w:sz w:val="21"/>
          <w:szCs w:val="21"/>
          <w:u w:val="none"/>
        </w:rPr>
        <w:t>表</w:t>
      </w:r>
    </w:p>
    <w:tbl>
      <w:tblPr>
        <w:tblStyle w:val="6"/>
        <w:tblW w:w="9291" w:type="dxa"/>
        <w:tblInd w:w="15" w:type="dxa"/>
        <w:tblLayout w:type="fixed"/>
        <w:tblCellMar>
          <w:top w:w="0" w:type="dxa"/>
          <w:left w:w="0" w:type="dxa"/>
          <w:bottom w:w="0" w:type="dxa"/>
          <w:right w:w="0" w:type="dxa"/>
        </w:tblCellMar>
      </w:tblPr>
      <w:tblGrid>
        <w:gridCol w:w="1101"/>
        <w:gridCol w:w="1365"/>
        <w:gridCol w:w="2220"/>
        <w:gridCol w:w="4605"/>
      </w:tblGrid>
      <w:tr>
        <w:tblPrEx>
          <w:tblLayout w:type="fixed"/>
          <w:tblCellMar>
            <w:top w:w="0" w:type="dxa"/>
            <w:left w:w="0" w:type="dxa"/>
            <w:bottom w:w="0" w:type="dxa"/>
            <w:right w:w="0" w:type="dxa"/>
          </w:tblCellMar>
        </w:tblPrEx>
        <w:trPr>
          <w:trHeight w:val="340" w:hRule="atLeast"/>
        </w:trPr>
        <w:tc>
          <w:tcPr>
            <w:tcW w:w="11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绩效指标</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一级指标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二级指标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b/>
                <w:bCs/>
                <w:color w:val="000000"/>
                <w:sz w:val="18"/>
                <w:szCs w:val="18"/>
                <w:u w:val="none"/>
              </w:rPr>
            </w:pPr>
            <w:r>
              <w:rPr>
                <w:rFonts w:hint="eastAsia" w:ascii="宋体" w:hAnsi="宋体" w:eastAsia="宋体" w:cs="宋体"/>
                <w:i w:val="0"/>
                <w:color w:val="000000"/>
                <w:kern w:val="0"/>
                <w:sz w:val="20"/>
                <w:szCs w:val="20"/>
                <w:u w:val="none"/>
                <w:lang w:val="en-US" w:eastAsia="zh-CN" w:bidi="ar"/>
              </w:rPr>
              <w:t>三级指标</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完成指标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数量指标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b/>
                <w:bCs/>
                <w:color w:val="000000"/>
                <w:kern w:val="0"/>
                <w:sz w:val="18"/>
                <w:szCs w:val="18"/>
                <w:u w:val="none"/>
                <w:lang w:bidi="ar"/>
              </w:rPr>
            </w:pPr>
            <w:r>
              <w:rPr>
                <w:rFonts w:hint="eastAsia" w:ascii="宋体" w:hAnsi="宋体" w:eastAsia="宋体" w:cs="宋体"/>
                <w:i w:val="0"/>
                <w:color w:val="000000"/>
                <w:kern w:val="0"/>
                <w:sz w:val="20"/>
                <w:szCs w:val="20"/>
                <w:u w:val="none"/>
                <w:lang w:val="en-US" w:eastAsia="zh-CN" w:bidi="ar"/>
              </w:rPr>
              <w:t>本年度内进京赴蓉信访事项</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79"/>
              </w:tabs>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b/>
            </w:r>
            <w:r>
              <w:rPr>
                <w:rFonts w:hint="eastAsia" w:ascii="宋体" w:hAnsi="宋体" w:eastAsia="宋体" w:cs="宋体"/>
                <w:i w:val="0"/>
                <w:color w:val="000000"/>
                <w:kern w:val="0"/>
                <w:sz w:val="20"/>
                <w:szCs w:val="20"/>
                <w:u w:val="none"/>
                <w:lang w:val="en-US" w:eastAsia="zh-CN" w:bidi="ar"/>
              </w:rPr>
              <w:t xml:space="preserve">  质量指标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确保年度内无滋事倒流情况</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时效指标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全年</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成本指标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150000</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效益指标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社会效益指标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保障全区和谐稳定</w:t>
            </w:r>
          </w:p>
        </w:tc>
      </w:tr>
      <w:tr>
        <w:tblPrEx>
          <w:tblLayout w:type="fixed"/>
          <w:tblCellMar>
            <w:top w:w="0" w:type="dxa"/>
            <w:left w:w="0" w:type="dxa"/>
            <w:bottom w:w="0" w:type="dxa"/>
            <w:right w:w="0" w:type="dxa"/>
          </w:tblCellMar>
        </w:tblPrEx>
        <w:trPr>
          <w:trHeight w:val="340" w:hRule="atLeast"/>
        </w:trPr>
        <w:tc>
          <w:tcPr>
            <w:tcW w:w="110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b/>
                <w:bCs/>
                <w:color w:val="000000"/>
                <w:kern w:val="0"/>
                <w:sz w:val="18"/>
                <w:szCs w:val="18"/>
                <w:u w:val="none"/>
                <w:lang w:bidi="ar"/>
              </w:rPr>
            </w:pP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满意度指标</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服务对象满意度指标</w:t>
            </w:r>
          </w:p>
        </w:tc>
        <w:tc>
          <w:tcPr>
            <w:tcW w:w="4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w:t>
            </w:r>
          </w:p>
        </w:tc>
      </w:tr>
    </w:tbl>
    <w:p>
      <w:pPr>
        <w:adjustRightInd w:val="0"/>
        <w:snapToGrid w:val="0"/>
        <w:spacing w:line="600" w:lineRule="exact"/>
        <w:ind w:firstLine="720"/>
        <w:rPr>
          <w:rFonts w:eastAsia="黑体"/>
        </w:rPr>
      </w:pPr>
      <w:r>
        <w:rPr>
          <w:rFonts w:eastAsia="黑体"/>
        </w:rPr>
        <w:t>五、评价结论及建议</w:t>
      </w:r>
    </w:p>
    <w:p>
      <w:pPr>
        <w:adjustRightInd w:val="0"/>
        <w:snapToGrid w:val="0"/>
        <w:spacing w:line="600" w:lineRule="exact"/>
        <w:ind w:firstLine="720"/>
        <w:rPr>
          <w:rFonts w:eastAsia="楷体_GB2312"/>
          <w:b/>
          <w:lang w:val="zh-CN"/>
        </w:rPr>
      </w:pPr>
      <w:r>
        <w:rPr>
          <w:rFonts w:eastAsia="楷体_GB2312"/>
          <w:b/>
          <w:lang w:val="zh-CN"/>
        </w:rPr>
        <w:t>（一）评价结论。</w:t>
      </w:r>
    </w:p>
    <w:p>
      <w:pPr>
        <w:spacing w:line="560" w:lineRule="exact"/>
        <w:ind w:firstLine="640" w:firstLineChars="200"/>
        <w:rPr>
          <w:rFonts w:hint="eastAsia" w:ascii="Times New Roman" w:hAnsi="Times New Roman" w:eastAsia="仿宋_GB2312"/>
          <w:sz w:val="32"/>
          <w:szCs w:val="32"/>
          <w:u w:val="none"/>
          <w:lang w:eastAsia="zh-CN"/>
        </w:rPr>
      </w:pPr>
      <w:r>
        <w:rPr>
          <w:rFonts w:hint="eastAsia" w:ascii="Times New Roman" w:hAnsi="Times New Roman" w:eastAsia="仿宋_GB2312" w:cs="Times New Roman"/>
          <w:bCs/>
          <w:sz w:val="32"/>
          <w:szCs w:val="32"/>
          <w:u w:val="none"/>
          <w:lang w:eastAsia="zh-CN"/>
        </w:rPr>
        <w:t>该项目资金</w:t>
      </w:r>
      <w:r>
        <w:rPr>
          <w:rFonts w:ascii="Times New Roman" w:hAnsi="Times New Roman" w:eastAsia="仿宋_GB2312" w:cs="Times New Roman"/>
          <w:bCs/>
          <w:sz w:val="32"/>
          <w:szCs w:val="32"/>
          <w:u w:val="none"/>
        </w:rPr>
        <w:t>预期产出和效果能满足需求、</w:t>
      </w:r>
      <w:r>
        <w:rPr>
          <w:rFonts w:hint="eastAsia" w:ascii="Times New Roman" w:hAnsi="Times New Roman" w:eastAsia="仿宋_GB2312" w:cs="Times New Roman"/>
          <w:bCs/>
          <w:sz w:val="32"/>
          <w:szCs w:val="32"/>
          <w:u w:val="none"/>
          <w:lang w:eastAsia="zh-CN"/>
        </w:rPr>
        <w:t>不需</w:t>
      </w:r>
      <w:r>
        <w:rPr>
          <w:rFonts w:ascii="Times New Roman" w:hAnsi="Times New Roman" w:eastAsia="仿宋_GB2312" w:cs="Times New Roman"/>
          <w:bCs/>
          <w:sz w:val="32"/>
          <w:szCs w:val="32"/>
          <w:u w:val="none"/>
        </w:rPr>
        <w:t>核减预算安排、</w:t>
      </w:r>
      <w:r>
        <w:rPr>
          <w:rFonts w:hint="eastAsia" w:ascii="Times New Roman" w:hAnsi="Times New Roman" w:eastAsia="仿宋_GB2312" w:cs="Times New Roman"/>
          <w:bCs/>
          <w:sz w:val="32"/>
          <w:szCs w:val="32"/>
          <w:u w:val="none"/>
          <w:lang w:eastAsia="zh-CN"/>
        </w:rPr>
        <w:t>该笔资金需继续</w:t>
      </w:r>
      <w:r>
        <w:rPr>
          <w:rFonts w:ascii="Times New Roman" w:hAnsi="Times New Roman" w:eastAsia="仿宋_GB2312" w:cs="Times New Roman"/>
          <w:bCs/>
          <w:sz w:val="32"/>
          <w:szCs w:val="32"/>
          <w:u w:val="none"/>
        </w:rPr>
        <w:t>保留</w:t>
      </w:r>
      <w:r>
        <w:rPr>
          <w:rFonts w:hint="eastAsia" w:ascii="Times New Roman" w:hAnsi="Times New Roman" w:eastAsia="仿宋_GB2312" w:cs="Times New Roman"/>
          <w:bCs/>
          <w:sz w:val="32"/>
          <w:szCs w:val="32"/>
          <w:u w:val="none"/>
          <w:lang w:eastAsia="zh-CN"/>
        </w:rPr>
        <w:t>。</w:t>
      </w:r>
      <w:r>
        <w:rPr>
          <w:rFonts w:hint="eastAsia" w:ascii="Times New Roman" w:hAnsi="Times New Roman" w:eastAsia="仿宋_GB2312"/>
          <w:sz w:val="32"/>
          <w:szCs w:val="32"/>
          <w:u w:val="none"/>
        </w:rPr>
        <w:t>综合前述评估内容来看，该项目立项必要性和依据充分，绩效目标明确，具备实施条件，具有公共性，符合财政资金支持方向等。</w:t>
      </w:r>
      <w:r>
        <w:rPr>
          <w:rFonts w:hint="eastAsia" w:ascii="Times New Roman" w:hAnsi="Times New Roman" w:eastAsia="仿宋_GB2312"/>
          <w:b/>
          <w:sz w:val="32"/>
          <w:szCs w:val="32"/>
          <w:u w:val="none"/>
        </w:rPr>
        <w:t>建议</w:t>
      </w:r>
      <w:r>
        <w:rPr>
          <w:rFonts w:hint="eastAsia" w:ascii="Times New Roman" w:hAnsi="Times New Roman" w:eastAsia="仿宋_GB2312"/>
          <w:bCs/>
          <w:sz w:val="32"/>
          <w:szCs w:val="32"/>
          <w:u w:val="none"/>
        </w:rPr>
        <w:t>予以支持</w:t>
      </w:r>
      <w:r>
        <w:rPr>
          <w:rFonts w:hint="eastAsia" w:ascii="Times New Roman" w:hAnsi="Times New Roman" w:eastAsia="仿宋_GB2312"/>
          <w:sz w:val="32"/>
          <w:szCs w:val="32"/>
          <w:u w:val="none"/>
        </w:rPr>
        <w:t>，</w:t>
      </w:r>
      <w:r>
        <w:rPr>
          <w:rFonts w:ascii="Times New Roman" w:hAnsi="Times New Roman" w:eastAsia="仿宋_GB2312"/>
          <w:sz w:val="32"/>
          <w:szCs w:val="32"/>
          <w:u w:val="none"/>
        </w:rPr>
        <w:t>预算</w:t>
      </w:r>
      <w:r>
        <w:rPr>
          <w:rFonts w:hint="eastAsia" w:ascii="Times New Roman" w:hAnsi="Times New Roman" w:eastAsia="仿宋_GB2312"/>
          <w:sz w:val="32"/>
          <w:szCs w:val="32"/>
          <w:u w:val="none"/>
        </w:rPr>
        <w:t>控制在</w:t>
      </w:r>
      <w:r>
        <w:rPr>
          <w:rFonts w:hint="eastAsia" w:ascii="Times New Roman" w:hAnsi="Times New Roman"/>
          <w:sz w:val="32"/>
          <w:szCs w:val="32"/>
          <w:u w:val="none"/>
          <w:lang w:val="en-US" w:eastAsia="zh-CN"/>
        </w:rPr>
        <w:t>5</w:t>
      </w:r>
      <w:r>
        <w:rPr>
          <w:rFonts w:hint="eastAsia" w:ascii="Times New Roman" w:hAnsi="Times New Roman" w:eastAsia="仿宋_GB2312"/>
          <w:sz w:val="32"/>
          <w:szCs w:val="32"/>
          <w:u w:val="none"/>
        </w:rPr>
        <w:t>万元以内。该项目申请资金总预算</w:t>
      </w:r>
      <w:r>
        <w:rPr>
          <w:rFonts w:hint="eastAsia" w:ascii="Times New Roman" w:hAnsi="Times New Roman"/>
          <w:sz w:val="32"/>
          <w:szCs w:val="32"/>
          <w:u w:val="none"/>
          <w:lang w:val="en-US" w:eastAsia="zh-CN"/>
        </w:rPr>
        <w:t>5</w:t>
      </w:r>
      <w:r>
        <w:rPr>
          <w:rFonts w:hint="eastAsia" w:ascii="Times New Roman" w:hAnsi="Times New Roman" w:eastAsia="仿宋_GB2312"/>
          <w:sz w:val="32"/>
          <w:szCs w:val="32"/>
          <w:u w:val="none"/>
        </w:rPr>
        <w:t>万元，经评审，建议预算申报数</w:t>
      </w:r>
      <w:r>
        <w:rPr>
          <w:rFonts w:hint="eastAsia" w:ascii="Times New Roman" w:hAnsi="Times New Roman"/>
          <w:sz w:val="32"/>
          <w:szCs w:val="32"/>
          <w:u w:val="none"/>
          <w:lang w:val="en-US" w:eastAsia="zh-CN"/>
        </w:rPr>
        <w:t>5</w:t>
      </w:r>
      <w:r>
        <w:rPr>
          <w:rFonts w:hint="eastAsia" w:ascii="Times New Roman" w:hAnsi="Times New Roman" w:eastAsia="仿宋_GB2312"/>
          <w:sz w:val="32"/>
          <w:szCs w:val="32"/>
          <w:u w:val="none"/>
        </w:rPr>
        <w:t>万元,</w:t>
      </w:r>
      <w:r>
        <w:rPr>
          <w:rFonts w:hint="eastAsia"/>
          <w:sz w:val="32"/>
          <w:szCs w:val="32"/>
          <w:u w:val="none"/>
          <w:lang w:val="en-US" w:eastAsia="zh-CN"/>
        </w:rPr>
        <w:t>追加10万，</w:t>
      </w:r>
      <w:bookmarkStart w:id="0" w:name="_GoBack"/>
      <w:bookmarkEnd w:id="0"/>
      <w:r>
        <w:rPr>
          <w:rFonts w:hint="eastAsia" w:ascii="Times New Roman" w:hAnsi="Times New Roman" w:eastAsia="仿宋_GB2312"/>
          <w:sz w:val="32"/>
          <w:szCs w:val="32"/>
          <w:u w:val="none"/>
        </w:rPr>
        <w:t>我单位将</w:t>
      </w:r>
      <w:r>
        <w:rPr>
          <w:rFonts w:ascii="Times New Roman" w:hAnsi="Times New Roman" w:eastAsia="仿宋_GB2312"/>
          <w:sz w:val="32"/>
          <w:szCs w:val="32"/>
          <w:u w:val="none"/>
        </w:rPr>
        <w:t>进一步优化完善实施方案</w:t>
      </w:r>
      <w:r>
        <w:rPr>
          <w:rFonts w:hint="eastAsia" w:ascii="Times New Roman" w:hAnsi="Times New Roman" w:eastAsia="仿宋_GB2312"/>
          <w:sz w:val="32"/>
          <w:szCs w:val="32"/>
          <w:u w:val="none"/>
        </w:rPr>
        <w:t>和</w:t>
      </w:r>
      <w:r>
        <w:rPr>
          <w:rFonts w:ascii="Times New Roman" w:hAnsi="Times New Roman" w:eastAsia="仿宋_GB2312"/>
          <w:sz w:val="32"/>
          <w:szCs w:val="32"/>
          <w:u w:val="none"/>
        </w:rPr>
        <w:t>绩效目标，</w:t>
      </w:r>
      <w:r>
        <w:rPr>
          <w:rFonts w:hint="eastAsia" w:ascii="Times New Roman" w:hAnsi="Times New Roman" w:eastAsia="仿宋_GB2312"/>
          <w:sz w:val="32"/>
          <w:szCs w:val="32"/>
          <w:u w:val="none"/>
        </w:rPr>
        <w:t>加强运行监控，节约</w:t>
      </w:r>
      <w:r>
        <w:rPr>
          <w:rFonts w:ascii="Times New Roman" w:hAnsi="Times New Roman" w:eastAsia="仿宋_GB2312"/>
          <w:sz w:val="32"/>
          <w:szCs w:val="32"/>
          <w:u w:val="none"/>
        </w:rPr>
        <w:t>财政资金并提升资金效益</w:t>
      </w:r>
      <w:r>
        <w:rPr>
          <w:rFonts w:hint="eastAsia" w:ascii="Times New Roman" w:hAnsi="Times New Roman" w:eastAsia="仿宋_GB2312"/>
          <w:sz w:val="32"/>
          <w:szCs w:val="32"/>
          <w:u w:val="none"/>
        </w:rPr>
        <w:t>，提升预算绩效管理水平</w:t>
      </w:r>
      <w:r>
        <w:rPr>
          <w:rFonts w:hint="eastAsia" w:ascii="Times New Roman" w:hAnsi="Times New Roman"/>
          <w:sz w:val="32"/>
          <w:szCs w:val="32"/>
          <w:u w:val="none"/>
          <w:lang w:eastAsia="zh-CN"/>
        </w:rPr>
        <w:t>。</w:t>
      </w:r>
    </w:p>
    <w:p>
      <w:pPr>
        <w:adjustRightInd w:val="0"/>
        <w:snapToGrid w:val="0"/>
        <w:spacing w:line="600" w:lineRule="exact"/>
        <w:ind w:firstLine="720"/>
        <w:rPr>
          <w:rFonts w:eastAsia="楷体_GB2312"/>
          <w:b/>
          <w:lang w:val="zh-CN"/>
        </w:rPr>
      </w:pPr>
      <w:r>
        <w:rPr>
          <w:rFonts w:eastAsia="楷体_GB2312"/>
          <w:b/>
          <w:lang w:val="zh-CN"/>
        </w:rPr>
        <w:t>（二）存在的问题。</w:t>
      </w:r>
    </w:p>
    <w:p>
      <w:pPr>
        <w:adjustRightInd w:val="0"/>
        <w:snapToGrid w:val="0"/>
        <w:spacing w:line="600" w:lineRule="exact"/>
        <w:ind w:firstLine="640" w:firstLineChars="200"/>
        <w:rPr>
          <w:lang w:val="zh-CN"/>
        </w:rPr>
      </w:pPr>
      <w:r>
        <w:rPr>
          <w:rFonts w:hint="eastAsia"/>
          <w:lang w:val="en-US" w:eastAsia="zh-CN"/>
        </w:rPr>
        <w:t>无</w:t>
      </w:r>
      <w:r>
        <w:rPr>
          <w:lang w:val="zh-CN"/>
        </w:rPr>
        <w:t>。</w:t>
      </w:r>
      <w:r>
        <w:rPr>
          <w:lang w:val="zh-CN"/>
        </w:rPr>
        <w:tab/>
      </w:r>
    </w:p>
    <w:p>
      <w:pPr>
        <w:adjustRightInd w:val="0"/>
        <w:snapToGrid w:val="0"/>
        <w:spacing w:line="600" w:lineRule="exact"/>
        <w:ind w:firstLine="720"/>
        <w:rPr>
          <w:rFonts w:eastAsia="楷体_GB2312"/>
          <w:b/>
          <w:lang w:val="zh-CN"/>
        </w:rPr>
      </w:pPr>
      <w:r>
        <w:rPr>
          <w:rFonts w:eastAsia="楷体_GB2312"/>
          <w:b/>
          <w:lang w:val="zh-CN"/>
        </w:rPr>
        <w:t>（三）相关建议。</w:t>
      </w:r>
    </w:p>
    <w:p>
      <w:pPr>
        <w:adjustRightInd w:val="0"/>
        <w:snapToGrid w:val="0"/>
        <w:spacing w:line="600" w:lineRule="exact"/>
        <w:ind w:firstLine="640" w:firstLineChars="200"/>
        <w:rPr>
          <w:lang w:val="zh-CN"/>
        </w:rPr>
      </w:pPr>
      <w:r>
        <w:rPr>
          <w:rFonts w:hint="eastAsia"/>
          <w:lang w:val="en-US" w:eastAsia="zh-CN"/>
        </w:rPr>
        <w:t>无</w:t>
      </w:r>
      <w:r>
        <w:rPr>
          <w:lang w:val="zh-CN"/>
        </w:rPr>
        <w:t>。</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22F851"/>
    <w:multiLevelType w:val="singleLevel"/>
    <w:tmpl w:val="9A22F85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MzQxYTRlNjk4MDU3ODhkODNhNzlhZWNhNGRmZDIifQ=="/>
  </w:docVars>
  <w:rsids>
    <w:rsidRoot w:val="771D4D51"/>
    <w:rsid w:val="003E0697"/>
    <w:rsid w:val="009137C6"/>
    <w:rsid w:val="00993141"/>
    <w:rsid w:val="00A51A86"/>
    <w:rsid w:val="00B04AD2"/>
    <w:rsid w:val="00EB3EED"/>
    <w:rsid w:val="0A3A5A26"/>
    <w:rsid w:val="10C85938"/>
    <w:rsid w:val="1C00091A"/>
    <w:rsid w:val="1C25106F"/>
    <w:rsid w:val="22AD555F"/>
    <w:rsid w:val="2AF86ED7"/>
    <w:rsid w:val="2B385C88"/>
    <w:rsid w:val="2C58488D"/>
    <w:rsid w:val="2EBB69BB"/>
    <w:rsid w:val="313D2B21"/>
    <w:rsid w:val="35874596"/>
    <w:rsid w:val="41A147C9"/>
    <w:rsid w:val="55E76C0D"/>
    <w:rsid w:val="59DC21C3"/>
    <w:rsid w:val="6F1F41F1"/>
    <w:rsid w:val="714F49F0"/>
    <w:rsid w:val="71A678CF"/>
    <w:rsid w:val="74A708C5"/>
    <w:rsid w:val="771D4D51"/>
    <w:rsid w:val="7F5972FE"/>
    <w:rsid w:val="F1F6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uiPriority w:val="99"/>
    <w:pPr>
      <w:spacing w:after="120"/>
    </w:pPr>
  </w:style>
  <w:style w:type="paragraph" w:styleId="3">
    <w:name w:val="Normal Indent"/>
    <w:basedOn w:val="1"/>
    <w:qFormat/>
    <w:uiPriority w:val="0"/>
    <w:pPr>
      <w:ind w:firstLine="200" w:firstLineChars="200"/>
    </w:pPr>
    <w:rPr>
      <w:rFonts w:ascii="Times New Roman" w:hAnsi="Times New Roman"/>
    </w:rPr>
  </w:style>
  <w:style w:type="paragraph" w:styleId="4">
    <w:name w:val="footer"/>
    <w:basedOn w:val="1"/>
    <w:unhideWhenUsed/>
    <w:qFormat/>
    <w:uiPriority w:val="99"/>
    <w:pPr>
      <w:tabs>
        <w:tab w:val="center" w:pos="4153"/>
        <w:tab w:val="right" w:pos="8306"/>
      </w:tabs>
      <w:snapToGrid w:val="0"/>
      <w:jc w:val="left"/>
    </w:pPr>
    <w:rPr>
      <w:sz w:val="18"/>
      <w:szCs w:val="18"/>
      <w:lang w:val="zh-CN"/>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customStyle="1" w:styleId="8">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201</Words>
  <Characters>1149</Characters>
  <Lines>9</Lines>
  <Paragraphs>2</Paragraphs>
  <TotalTime>3</TotalTime>
  <ScaleCrop>false</ScaleCrop>
  <LinksUpToDate>false</LinksUpToDate>
  <CharactersWithSpaces>1348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2020-07-01T00:13:00Z</dcterms:created>
  <dc:creator>Administrator</dc:creator>
  <cp:lastModifiedBy>高玮</cp:lastModifiedBy>
  <dcterms:modified xsi:type="dcterms:W3CDTF">2024-05-29T03:01:46Z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6B35AFF76176401586BB4CC33CC8F777_12</vt:lpwstr>
  </property>
</Properties>
</file>