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5</w:t>
      </w:r>
    </w:p>
    <w:p>
      <w:pPr>
        <w:spacing w:line="560" w:lineRule="exact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pStyle w:val="4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国有企业退休人员人事档案管理工作经费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 w:eastAsia="zh-CN"/>
        </w:rPr>
        <w:t>攀枝花市第十九小学校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  <w:lang w:val="zh-CN"/>
        </w:rPr>
      </w:pP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</w:t>
      </w:r>
      <w:r>
        <w:rPr>
          <w:rFonts w:hint="eastAsia" w:ascii="楷体_GB2312" w:hAnsi="宋体" w:eastAsia="楷体_GB2312"/>
          <w:b/>
          <w:lang w:val="zh-CN"/>
        </w:rPr>
        <w:t>项目资金申报及批复情况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攀枝花市第十九小学校是该项目的具体实施主体。按照运转需求进行申报。根据攀西财行﹝2023﹞559-41号文件批复，下拨国有企业退休人员人事档案管理工作经费，该项目资金的申报、批复符合资金管理办法的有关规定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本项目建设目标明确，符合国家政策和省、市有关项目建设的要求，符合西区的地方社会事业发展方向。项目主要是帮助解决国有企业退休人员人事档案管理工作经费问题， 项目主要用于水电费支出。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lang w:val="zh-CN" w:eastAsia="zh-CN"/>
        </w:rPr>
      </w:pPr>
      <w:r>
        <w:rPr>
          <w:rFonts w:hint="eastAsia" w:ascii="仿宋_GB2312" w:hAnsi="宋体"/>
          <w:lang w:val="zh-CN" w:eastAsia="zh-CN"/>
        </w:rPr>
        <w:t>国有企业退休人员人事档案管理工作经费</w:t>
      </w:r>
      <w:r>
        <w:rPr>
          <w:rFonts w:hint="eastAsia" w:ascii="仿宋_GB2312" w:hAnsi="宋体"/>
          <w:lang w:val="en-US" w:eastAsia="zh-CN"/>
        </w:rPr>
        <w:t>的申报内容与具体实施内容相符、申报目标合理可行。</w:t>
      </w:r>
      <w:r>
        <w:rPr>
          <w:rFonts w:hint="eastAsia" w:ascii="仿宋_GB2312" w:hAnsi="宋体" w:cs="仿宋_GB2312"/>
        </w:rPr>
        <w:t>制定</w:t>
      </w:r>
      <w:r>
        <w:rPr>
          <w:rFonts w:hint="eastAsia" w:ascii="仿宋_GB2312" w:hAnsi="宋体" w:cs="仿宋_GB2312"/>
          <w:lang w:val="en-US" w:eastAsia="zh-CN"/>
        </w:rPr>
        <w:t>了</w:t>
      </w:r>
      <w:r>
        <w:rPr>
          <w:rFonts w:hint="eastAsia" w:ascii="仿宋_GB2312" w:hAnsi="宋体" w:cs="仿宋_GB2312"/>
        </w:rPr>
        <w:t>实施方案，组织机构健全，职责分工明确</w:t>
      </w:r>
      <w:r>
        <w:rPr>
          <w:rFonts w:hint="eastAsia" w:ascii="仿宋_GB2312" w:hAnsi="宋体" w:cs="仿宋_GB231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 w:eastAsia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宋体"/>
          <w:lang w:val="zh-CN"/>
        </w:rPr>
        <w:t>本项目资金筹资渠道符合法律法规规定，筹资结构合理，</w:t>
      </w:r>
      <w:r>
        <w:rPr>
          <w:rFonts w:hint="eastAsia" w:ascii="仿宋_GB2312" w:hAnsi="宋体"/>
          <w:lang w:val="en-US" w:eastAsia="zh-CN"/>
        </w:rPr>
        <w:t>及时到位。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本项目将严格按照专项资金进行管理，该项目只能用于学校水电方面的工作经费，不能用于人员经费等其他方面支出，</w:t>
      </w:r>
      <w:r>
        <w:rPr>
          <w:rFonts w:hint="eastAsia" w:ascii="仿宋_GB2312" w:hAnsi="宋体"/>
          <w:lang w:val="en-US" w:eastAsia="zh-CN"/>
        </w:rPr>
        <w:t>根据实施方案，</w:t>
      </w:r>
      <w:r>
        <w:rPr>
          <w:rFonts w:hint="eastAsia" w:ascii="仿宋_GB2312" w:hAnsi="宋体"/>
          <w:lang w:val="zh-CN"/>
        </w:rPr>
        <w:t>有具体的实施时间，有明确的工作程序。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财务管理制度使用项目资金，学校设置了财务管理小组，由校长任组长，副书记、副校长任副组长，财务人员、教职工代表任成员。严格执行财务管理制度，严格资金的审批及上会。会计核算及账务处理及时，符合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zh-CN"/>
        </w:rPr>
        <w:t>国有企业退休人员人事档案管理工作经费</w:t>
      </w:r>
      <w:r>
        <w:rPr>
          <w:rFonts w:hint="eastAsia" w:ascii="仿宋_GB2312" w:hAnsi="宋体"/>
          <w:lang w:val="en-US" w:eastAsia="zh-CN"/>
        </w:rPr>
        <w:t>根据工作进度和时间节点按时完成支付。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截止2023年底，本</w:t>
      </w:r>
      <w:r>
        <w:rPr>
          <w:rFonts w:hint="eastAsia" w:ascii="仿宋_GB2312" w:hAnsi="宋体"/>
          <w:lang w:val="zh-CN"/>
        </w:rPr>
        <w:t>项目</w:t>
      </w:r>
      <w:r>
        <w:rPr>
          <w:rFonts w:hint="eastAsia" w:ascii="仿宋_GB2312" w:hAnsi="宋体"/>
          <w:lang w:val="en-US" w:eastAsia="zh-CN"/>
        </w:rPr>
        <w:t>资金全部</w:t>
      </w:r>
      <w:r>
        <w:rPr>
          <w:rFonts w:hint="eastAsia" w:ascii="仿宋_GB2312" w:hAnsi="宋体"/>
          <w:lang w:val="zh-CN"/>
        </w:rPr>
        <w:t>完成</w:t>
      </w:r>
      <w:r>
        <w:rPr>
          <w:rFonts w:hint="eastAsia" w:ascii="仿宋_GB2312" w:hAnsi="宋体"/>
          <w:lang w:val="en-US" w:eastAsia="zh-CN"/>
        </w:rPr>
        <w:t>支付。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国有企业退休人员人事档案管理工作经费</w:t>
      </w:r>
      <w:r>
        <w:rPr>
          <w:rFonts w:hint="eastAsia" w:ascii="仿宋_GB2312" w:hAnsi="宋体"/>
          <w:lang w:val="en-US" w:eastAsia="zh-CN"/>
        </w:rPr>
        <w:t>确保了日常运转，维护地方正常秩序，推动了地方的稳定发展。服务对象满意度达标。</w:t>
      </w:r>
      <w:r>
        <w:rPr>
          <w:rFonts w:hint="eastAsia" w:ascii="仿宋_GB2312" w:hAnsi="宋体"/>
          <w:lang w:val="zh-CN"/>
        </w:rPr>
        <w:t>为地方经济发展助力。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无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en-US" w:eastAsia="zh-CN"/>
        </w:rPr>
        <w:t>无</w:t>
      </w:r>
    </w:p>
    <w:sectPr>
      <w:pgSz w:w="11906" w:h="16838"/>
      <w:pgMar w:top="1327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FE522"/>
    <w:multiLevelType w:val="singleLevel"/>
    <w:tmpl w:val="8D8FE5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9EE7286"/>
    <w:multiLevelType w:val="singleLevel"/>
    <w:tmpl w:val="C9EE72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D9292C4"/>
    <w:multiLevelType w:val="singleLevel"/>
    <w:tmpl w:val="CD929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2D7B689"/>
    <w:multiLevelType w:val="singleLevel"/>
    <w:tmpl w:val="22D7B68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TE0MjkxNjMwNDgzODhhMmU2N2NjYzI1NjI1YmEifQ=="/>
  </w:docVars>
  <w:rsids>
    <w:rsidRoot w:val="291C455A"/>
    <w:rsid w:val="003414A3"/>
    <w:rsid w:val="00515A0C"/>
    <w:rsid w:val="00866E99"/>
    <w:rsid w:val="067272DC"/>
    <w:rsid w:val="0EDB478C"/>
    <w:rsid w:val="11A36766"/>
    <w:rsid w:val="19272594"/>
    <w:rsid w:val="274D3E1C"/>
    <w:rsid w:val="291C455A"/>
    <w:rsid w:val="34267E9E"/>
    <w:rsid w:val="36926D0C"/>
    <w:rsid w:val="3E294134"/>
    <w:rsid w:val="3F867230"/>
    <w:rsid w:val="4A091ED0"/>
    <w:rsid w:val="4DAF2BCF"/>
    <w:rsid w:val="4DDB6F66"/>
    <w:rsid w:val="6DBE0908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750</Words>
  <Characters>761</Characters>
  <Lines>6</Lines>
  <Paragraphs>1</Paragraphs>
  <TotalTime>8</TotalTime>
  <ScaleCrop>false</ScaleCrop>
  <LinksUpToDate>false</LinksUpToDate>
  <CharactersWithSpaces>764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譕痕</cp:lastModifiedBy>
  <dcterms:modified xsi:type="dcterms:W3CDTF">2024-05-22T10:58:28Z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