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475"/>
      <w:bookmarkStart w:id="3" w:name="_Toc15396597"/>
      <w:bookmarkStart w:id="4" w:name="_Toc15377193"/>
      <w:bookmarkStart w:id="5" w:name="_Toc15378441"/>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476"/>
      <w:bookmarkStart w:id="8" w:name="_Toc15378442"/>
      <w:bookmarkStart w:id="9" w:name="_Toc15396598"/>
      <w:bookmarkStart w:id="10" w:name="_Toc15306268"/>
      <w:bookmarkStart w:id="11" w:name="_Toc15377426"/>
      <w:r>
        <w:rPr>
          <w:rFonts w:hint="eastAsia" w:ascii="方正小标宋简体" w:hAnsi="方正小标宋简体" w:eastAsia="方正小标宋简体" w:cs="方正小标宋简体"/>
          <w:sz w:val="72"/>
          <w:szCs w:val="72"/>
        </w:rPr>
        <w:t>攀枝花市西区文化馆（西区文物保护中心）单位决算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公开时间：2023年10月30日</w:t>
      </w:r>
    </w:p>
    <w:p/>
    <w:p>
      <w:pPr>
        <w:pStyle w:val="10"/>
        <w:adjustRightInd w:val="0"/>
        <w:snapToGrid w:val="0"/>
        <w:spacing w:before="0" w:line="440" w:lineRule="exact"/>
        <w:jc w:val="left"/>
        <w:rPr>
          <w:rFonts w:hint="eastAsia" w:ascii="Times New Roman" w:hAnsi="Times New Roman" w:eastAsia="宋体" w:cstheme="minorBidi"/>
          <w:sz w:val="24"/>
          <w:szCs w:val="24"/>
          <w:lang w:eastAsia="zh-CN"/>
        </w:rPr>
      </w:pPr>
      <w:r>
        <w:rPr>
          <w:rFonts w:hint="eastAsia" w:ascii="Times New Roman" w:hAnsi="Times New Roman" w:eastAsia="宋体"/>
          <w:sz w:val="24"/>
          <w:lang w:eastAsia="zh-CN"/>
        </w:rPr>
        <w:t>一、</w:t>
      </w:r>
      <w:r>
        <w:rPr>
          <w:rFonts w:hint="eastAsia" w:ascii="Times New Roman" w:hAnsi="Times New Roman" w:eastAsia="宋体"/>
          <w:sz w:val="24"/>
        </w:rPr>
        <w:t>单位概况</w:t>
      </w:r>
      <w:r>
        <w:rPr>
          <w:rFonts w:ascii="Times New Roman" w:hAnsi="Times New Roman" w:eastAsia="宋体" w:cstheme="minorBidi"/>
          <w:sz w:val="24"/>
          <w:szCs w:val="24"/>
        </w:rPr>
        <w:tab/>
      </w:r>
      <w:r>
        <w:rPr>
          <w:rFonts w:hint="eastAsia" w:ascii="Times New Roman" w:hAnsi="Times New Roman" w:eastAsia="宋体" w:cstheme="minorBidi"/>
          <w:sz w:val="24"/>
          <w:szCs w:val="24"/>
          <w:lang w:val="en-US" w:eastAsia="zh-CN"/>
        </w:rPr>
        <w:t>1</w:t>
      </w:r>
    </w:p>
    <w:p>
      <w:pPr>
        <w:pStyle w:val="11"/>
        <w:adjustRightInd w:val="0"/>
        <w:snapToGrid w:val="0"/>
        <w:spacing w:line="440" w:lineRule="exact"/>
        <w:jc w:val="left"/>
        <w:rPr>
          <w:rFonts w:hint="eastAsia" w:ascii="Times New Roman" w:hAnsi="Times New Roman" w:eastAsia="宋体"/>
          <w:sz w:val="24"/>
          <w:lang w:eastAsia="zh-CN"/>
        </w:rPr>
      </w:pPr>
      <w:r>
        <w:rPr>
          <w:rFonts w:hint="eastAsia"/>
          <w:sz w:val="24"/>
          <w:lang w:eastAsia="zh-CN"/>
        </w:rPr>
        <w:t>（一）</w:t>
      </w:r>
      <w:r>
        <w:rPr>
          <w:rFonts w:hint="eastAsia" w:ascii="Times New Roman" w:hAnsi="Times New Roman" w:eastAsia="宋体"/>
          <w:sz w:val="24"/>
        </w:rPr>
        <w:t>主要职责</w:t>
      </w:r>
      <w:r>
        <w:rPr>
          <w:rFonts w:ascii="Times New Roman" w:hAnsi="Times New Roman" w:eastAsia="宋体" w:cstheme="minorBidi"/>
          <w:sz w:val="24"/>
        </w:rPr>
        <w:tab/>
      </w:r>
      <w:r>
        <w:rPr>
          <w:rFonts w:hint="eastAsia" w:ascii="Times New Roman" w:hAnsi="Times New Roman" w:eastAsia="宋体" w:cstheme="minorBidi"/>
          <w:sz w:val="24"/>
          <w:lang w:val="en-US" w:eastAsia="zh-CN"/>
        </w:rPr>
        <w:t>1</w:t>
      </w:r>
    </w:p>
    <w:p>
      <w:pPr>
        <w:pStyle w:val="11"/>
        <w:adjustRightInd w:val="0"/>
        <w:snapToGrid w:val="0"/>
        <w:spacing w:line="440" w:lineRule="exact"/>
        <w:jc w:val="left"/>
        <w:rPr>
          <w:rFonts w:hint="eastAsia" w:ascii="Times New Roman" w:hAnsi="Times New Roman" w:eastAsia="宋体"/>
          <w:lang w:eastAsia="zh-CN"/>
        </w:rPr>
      </w:pPr>
      <w:r>
        <w:rPr>
          <w:rFonts w:hint="eastAsia"/>
          <w:sz w:val="24"/>
          <w:lang w:eastAsia="zh-CN"/>
        </w:rPr>
        <w:t>（二）</w:t>
      </w:r>
      <w:r>
        <w:rPr>
          <w:rFonts w:hint="eastAsia" w:ascii="Times New Roman" w:hAnsi="Times New Roman" w:eastAsia="宋体"/>
          <w:sz w:val="24"/>
        </w:rPr>
        <w:t>机构设置</w:t>
      </w:r>
      <w:r>
        <w:rPr>
          <w:rFonts w:ascii="Times New Roman" w:hAnsi="Times New Roman" w:eastAsia="宋体" w:cstheme="minorBidi"/>
          <w:sz w:val="24"/>
        </w:rPr>
        <w:tab/>
      </w:r>
      <w:r>
        <w:rPr>
          <w:rFonts w:hint="eastAsia" w:ascii="Times New Roman" w:hAnsi="Times New Roman" w:eastAsia="宋体" w:cstheme="minorBidi"/>
          <w:sz w:val="24"/>
          <w:lang w:val="en-US" w:eastAsia="zh-CN"/>
        </w:rPr>
        <w:t>1</w:t>
      </w:r>
    </w:p>
    <w:p>
      <w:pPr>
        <w:pStyle w:val="10"/>
        <w:adjustRightInd w:val="0"/>
        <w:snapToGrid w:val="0"/>
        <w:spacing w:before="0" w:line="440" w:lineRule="exact"/>
        <w:jc w:val="left"/>
        <w:rPr>
          <w:rFonts w:hint="eastAsia" w:ascii="Times New Roman" w:hAnsi="Times New Roman" w:eastAsia="宋体"/>
          <w:sz w:val="24"/>
          <w:szCs w:val="24"/>
          <w:lang w:eastAsia="zh-CN"/>
        </w:rPr>
      </w:pPr>
      <w:r>
        <w:rPr>
          <w:rFonts w:hint="eastAsia" w:ascii="Times New Roman" w:hAnsi="Times New Roman" w:eastAsia="宋体"/>
          <w:sz w:val="24"/>
          <w:lang w:eastAsia="zh-CN"/>
        </w:rPr>
        <w:t>二、</w:t>
      </w:r>
      <w:r>
        <w:rPr>
          <w:rFonts w:hint="eastAsia" w:ascii="Times New Roman" w:hAnsi="Times New Roman" w:eastAsia="宋体"/>
          <w:sz w:val="24"/>
        </w:rPr>
        <w:t xml:space="preserve"> 2022年度单位决算情况说明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2</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sz w:val="24"/>
          <w:lang w:eastAsia="zh-CN"/>
        </w:rPr>
        <w:t>（一）</w:t>
      </w:r>
      <w:r>
        <w:rPr>
          <w:rFonts w:hint="eastAsia" w:ascii="Times New Roman" w:hAnsi="Times New Roman" w:eastAsia="宋体"/>
          <w:sz w:val="24"/>
        </w:rPr>
        <w:t>收入支出决算总体情况说明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2</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sz w:val="24"/>
          <w:lang w:eastAsia="zh-CN"/>
        </w:rPr>
        <w:t>（二）</w:t>
      </w:r>
      <w:r>
        <w:rPr>
          <w:rFonts w:hint="eastAsia" w:ascii="Times New Roman" w:hAnsi="Times New Roman" w:eastAsia="宋体"/>
          <w:sz w:val="24"/>
        </w:rPr>
        <w:t>收入决算情况说明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2</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sz w:val="24"/>
          <w:lang w:eastAsia="zh-CN"/>
        </w:rPr>
        <w:t>（三）</w:t>
      </w:r>
      <w:r>
        <w:rPr>
          <w:rFonts w:hint="eastAsia" w:ascii="Times New Roman" w:hAnsi="Times New Roman" w:eastAsia="宋体"/>
          <w:sz w:val="24"/>
        </w:rPr>
        <w:t>支出决算情况说明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3</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sz w:val="24"/>
          <w:lang w:eastAsia="zh-CN"/>
        </w:rPr>
        <w:t>（四）</w:t>
      </w:r>
      <w:r>
        <w:rPr>
          <w:rFonts w:hint="eastAsia" w:ascii="Times New Roman" w:hAnsi="Times New Roman" w:eastAsia="宋体"/>
          <w:sz w:val="24"/>
        </w:rPr>
        <w:t>财政拨款收入支出决算总体情况说明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3</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sz w:val="24"/>
          <w:lang w:eastAsia="zh-CN"/>
        </w:rPr>
        <w:t>（五）</w:t>
      </w:r>
      <w:r>
        <w:rPr>
          <w:rFonts w:hint="eastAsia" w:ascii="Times New Roman" w:hAnsi="Times New Roman" w:eastAsia="宋体"/>
          <w:sz w:val="24"/>
        </w:rPr>
        <w:t>一般公共预算财政拨款支出决算情况说明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4</w:t>
      </w:r>
    </w:p>
    <w:p>
      <w:pPr>
        <w:pStyle w:val="11"/>
        <w:adjustRightInd w:val="0"/>
        <w:snapToGrid w:val="0"/>
        <w:spacing w:line="440" w:lineRule="exact"/>
        <w:jc w:val="left"/>
        <w:rPr>
          <w:rFonts w:ascii="Times New Roman" w:hAnsi="Times New Roman" w:eastAsia="宋体" w:cstheme="minorBidi"/>
          <w:sz w:val="24"/>
        </w:rPr>
      </w:pPr>
      <w:r>
        <w:rPr>
          <w:rFonts w:hint="eastAsia"/>
          <w:sz w:val="24"/>
          <w:lang w:eastAsia="zh-CN"/>
        </w:rPr>
        <w:t>（六）</w:t>
      </w:r>
      <w:r>
        <w:rPr>
          <w:rFonts w:hint="eastAsia" w:ascii="Times New Roman" w:hAnsi="Times New Roman" w:eastAsia="宋体"/>
          <w:sz w:val="24"/>
        </w:rPr>
        <w:t>一般公共预算财政拨款基本支出决算情况说明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6</w:t>
      </w:r>
    </w:p>
    <w:p>
      <w:pPr>
        <w:pStyle w:val="11"/>
        <w:adjustRightInd w:val="0"/>
        <w:snapToGrid w:val="0"/>
        <w:spacing w:line="440" w:lineRule="exact"/>
        <w:jc w:val="left"/>
        <w:rPr>
          <w:rFonts w:hint="eastAsia" w:ascii="Times New Roman" w:hAnsi="Times New Roman" w:eastAsia="宋体" w:cstheme="minorBidi"/>
          <w:sz w:val="24"/>
          <w:lang w:val="en-US" w:eastAsia="zh-CN"/>
        </w:rPr>
      </w:pPr>
      <w:r>
        <w:rPr>
          <w:rFonts w:hint="eastAsia"/>
          <w:sz w:val="24"/>
          <w:lang w:eastAsia="zh-CN"/>
        </w:rPr>
        <w:t>（七）</w:t>
      </w:r>
      <w:r>
        <w:rPr>
          <w:rFonts w:hint="eastAsia" w:ascii="Times New Roman" w:hAnsi="Times New Roman" w:eastAsia="宋体"/>
          <w:sz w:val="24"/>
        </w:rPr>
        <w:t>财政拨款“三公”经费支出决算情况说明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6</w:t>
      </w:r>
    </w:p>
    <w:p>
      <w:pPr>
        <w:pStyle w:val="11"/>
        <w:adjustRightInd w:val="0"/>
        <w:snapToGrid w:val="0"/>
        <w:spacing w:line="440" w:lineRule="exact"/>
        <w:jc w:val="left"/>
        <w:rPr>
          <w:rFonts w:hint="eastAsia" w:ascii="Times New Roman" w:hAnsi="Times New Roman" w:eastAsia="宋体" w:cstheme="minorBidi"/>
          <w:sz w:val="24"/>
          <w:lang w:eastAsia="zh-CN"/>
        </w:rPr>
      </w:pPr>
      <w:r>
        <w:rPr>
          <w:rFonts w:hint="eastAsia"/>
          <w:sz w:val="24"/>
          <w:lang w:eastAsia="zh-CN"/>
        </w:rPr>
        <w:t>（</w:t>
      </w:r>
      <w:r>
        <w:rPr>
          <w:rFonts w:hint="eastAsia" w:ascii="Times New Roman" w:hAnsi="Times New Roman" w:eastAsia="宋体"/>
          <w:sz w:val="24"/>
        </w:rPr>
        <w:t>八</w:t>
      </w:r>
      <w:r>
        <w:rPr>
          <w:rFonts w:hint="eastAsia"/>
          <w:sz w:val="24"/>
          <w:lang w:eastAsia="zh-CN"/>
        </w:rPr>
        <w:t>）</w:t>
      </w:r>
      <w:r>
        <w:rPr>
          <w:rFonts w:hint="eastAsia" w:ascii="Times New Roman" w:hAnsi="Times New Roman" w:eastAsia="宋体"/>
          <w:sz w:val="24"/>
        </w:rPr>
        <w:t>政府性基金预算支出决算情况说明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8</w:t>
      </w:r>
    </w:p>
    <w:p>
      <w:pPr>
        <w:pStyle w:val="11"/>
        <w:adjustRightInd w:val="0"/>
        <w:snapToGrid w:val="0"/>
        <w:spacing w:line="440" w:lineRule="exact"/>
        <w:jc w:val="left"/>
        <w:rPr>
          <w:rFonts w:hint="eastAsia" w:ascii="Times New Roman" w:hAnsi="Times New Roman" w:eastAsia="宋体"/>
          <w:sz w:val="24"/>
          <w:lang w:eastAsia="zh-CN"/>
        </w:rPr>
      </w:pPr>
      <w:r>
        <w:rPr>
          <w:rFonts w:hint="eastAsia"/>
          <w:sz w:val="24"/>
          <w:lang w:eastAsia="zh-CN"/>
        </w:rPr>
        <w:t>（九）</w:t>
      </w:r>
      <w:r>
        <w:rPr>
          <w:rFonts w:hint="eastAsia" w:ascii="Times New Roman" w:hAnsi="Times New Roman" w:eastAsia="宋体"/>
          <w:sz w:val="24"/>
        </w:rPr>
        <w:t>国有资本经营预算支出决算情况说明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8</w:t>
      </w:r>
    </w:p>
    <w:p>
      <w:pPr>
        <w:pStyle w:val="11"/>
        <w:adjustRightInd w:val="0"/>
        <w:snapToGrid w:val="0"/>
        <w:spacing w:line="440" w:lineRule="exact"/>
        <w:jc w:val="left"/>
        <w:rPr>
          <w:rFonts w:hint="eastAsia" w:ascii="Times New Roman" w:hAnsi="Times New Roman" w:eastAsia="宋体"/>
          <w:sz w:val="24"/>
          <w:lang w:eastAsia="zh-CN"/>
        </w:rPr>
      </w:pPr>
      <w:r>
        <w:rPr>
          <w:rFonts w:hint="eastAsia"/>
          <w:sz w:val="24"/>
          <w:lang w:eastAsia="zh-CN"/>
        </w:rPr>
        <w:t>（十）</w:t>
      </w:r>
      <w:r>
        <w:rPr>
          <w:rFonts w:hint="eastAsia" w:ascii="Times New Roman" w:hAnsi="Times New Roman" w:eastAsia="宋体"/>
          <w:sz w:val="24"/>
        </w:rPr>
        <w:t>其他重要事项的情况说明</w:t>
      </w:r>
      <w:r>
        <w:rPr>
          <w:rFonts w:ascii="Times New Roman" w:hAnsi="Times New Roman" w:eastAsia="宋体" w:cstheme="minorBidi"/>
          <w:sz w:val="24"/>
        </w:rPr>
        <w:tab/>
      </w:r>
      <w:r>
        <w:rPr>
          <w:rFonts w:hint="eastAsia" w:ascii="Times New Roman" w:hAnsi="Times New Roman" w:eastAsia="宋体" w:cstheme="minorBidi"/>
          <w:sz w:val="24"/>
          <w:lang w:val="en-US" w:eastAsia="zh-CN"/>
        </w:rPr>
        <w:t>8</w:t>
      </w:r>
    </w:p>
    <w:p>
      <w:pPr>
        <w:pStyle w:val="10"/>
        <w:adjustRightInd w:val="0"/>
        <w:snapToGrid w:val="0"/>
        <w:spacing w:before="0" w:line="440" w:lineRule="exact"/>
        <w:jc w:val="left"/>
        <w:rPr>
          <w:rFonts w:hint="default" w:ascii="Times New Roman" w:hAnsi="Times New Roman" w:eastAsia="宋体" w:cstheme="minorBidi"/>
          <w:sz w:val="24"/>
          <w:szCs w:val="24"/>
          <w:lang w:val="en-US" w:eastAsia="zh-CN"/>
        </w:rPr>
      </w:pPr>
      <w:r>
        <w:rPr>
          <w:rFonts w:hint="eastAsia" w:ascii="Times New Roman" w:hAnsi="Times New Roman" w:eastAsia="宋体"/>
          <w:sz w:val="24"/>
          <w:lang w:eastAsia="zh-CN"/>
        </w:rPr>
        <w:t>三、</w:t>
      </w:r>
      <w:r>
        <w:rPr>
          <w:rFonts w:hint="eastAsia" w:ascii="Times New Roman" w:hAnsi="Times New Roman" w:eastAsia="宋体"/>
          <w:sz w:val="24"/>
        </w:rPr>
        <w:t>名词解释</w:t>
      </w:r>
      <w:r>
        <w:rPr>
          <w:rFonts w:ascii="Times New Roman" w:hAnsi="Times New Roman" w:eastAsia="宋体" w:cstheme="minorBidi"/>
          <w:sz w:val="24"/>
        </w:rPr>
        <w:tab/>
      </w:r>
      <w:r>
        <w:rPr>
          <w:rFonts w:hint="eastAsia" w:ascii="Times New Roman" w:hAnsi="Times New Roman" w:eastAsia="宋体" w:cstheme="minorBidi"/>
          <w:sz w:val="24"/>
          <w:lang w:val="en-US" w:eastAsia="zh-CN"/>
        </w:rPr>
        <w:t>10</w:t>
      </w:r>
    </w:p>
    <w:p>
      <w:pPr>
        <w:pStyle w:val="10"/>
        <w:adjustRightInd w:val="0"/>
        <w:snapToGrid w:val="0"/>
        <w:spacing w:before="0" w:line="440" w:lineRule="exact"/>
        <w:jc w:val="left"/>
        <w:rPr>
          <w:rFonts w:ascii="Times New Roman" w:hAnsi="Times New Roman" w:eastAsia="宋体" w:cstheme="minorBidi"/>
          <w:sz w:val="24"/>
          <w:szCs w:val="24"/>
        </w:rPr>
      </w:pPr>
      <w:r>
        <w:rPr>
          <w:rFonts w:hint="eastAsia" w:ascii="Times New Roman" w:hAnsi="Times New Roman" w:eastAsia="宋体"/>
          <w:sz w:val="24"/>
          <w:lang w:eastAsia="zh-CN"/>
        </w:rPr>
        <w:t>四、</w:t>
      </w:r>
      <w:r>
        <w:rPr>
          <w:rFonts w:hint="eastAsia" w:ascii="Times New Roman" w:hAnsi="Times New Roman" w:eastAsia="宋体"/>
          <w:sz w:val="24"/>
        </w:rPr>
        <w:t>附件</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ascii="Times New Roman" w:hAnsi="Times New Roman" w:eastAsia="宋体" w:cstheme="minorBidi"/>
          <w:sz w:val="24"/>
          <w:lang w:val="en-US" w:eastAsia="zh-CN"/>
        </w:rPr>
        <w:t>3</w:t>
      </w:r>
    </w:p>
    <w:p>
      <w:pPr>
        <w:pStyle w:val="10"/>
        <w:adjustRightInd w:val="0"/>
        <w:snapToGrid w:val="0"/>
        <w:spacing w:before="0" w:line="440" w:lineRule="exact"/>
        <w:jc w:val="left"/>
        <w:rPr>
          <w:rFonts w:hint="eastAsia" w:ascii="Times New Roman" w:hAnsi="Times New Roman" w:eastAsia="宋体" w:cstheme="minorBidi"/>
          <w:sz w:val="24"/>
          <w:szCs w:val="24"/>
          <w:lang w:val="en-US" w:eastAsia="zh-CN"/>
        </w:rPr>
      </w:pPr>
      <w:r>
        <w:rPr>
          <w:rFonts w:hint="eastAsia" w:ascii="Times New Roman" w:hAnsi="Times New Roman" w:eastAsia="宋体"/>
          <w:sz w:val="24"/>
          <w:lang w:eastAsia="zh-CN"/>
        </w:rPr>
        <w:t>五、</w:t>
      </w:r>
      <w:r>
        <w:rPr>
          <w:rFonts w:hint="eastAsia" w:ascii="Times New Roman" w:hAnsi="Times New Roman" w:eastAsia="宋体"/>
          <w:sz w:val="24"/>
        </w:rPr>
        <w:t>附表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ascii="Times New Roman" w:hAnsi="Times New Roman" w:eastAsia="宋体" w:cstheme="minorBidi"/>
          <w:sz w:val="24"/>
          <w:lang w:val="en-US" w:eastAsia="zh-CN"/>
        </w:rPr>
        <w:t>4</w:t>
      </w:r>
    </w:p>
    <w:p>
      <w:pPr>
        <w:pStyle w:val="11"/>
        <w:adjustRightInd w:val="0"/>
        <w:snapToGrid w:val="0"/>
        <w:spacing w:line="440" w:lineRule="exact"/>
        <w:jc w:val="left"/>
        <w:rPr>
          <w:rFonts w:hint="default" w:ascii="Times New Roman" w:hAnsi="Times New Roman" w:eastAsia="宋体"/>
          <w:sz w:val="24"/>
          <w:lang w:val="en-US" w:eastAsia="zh-CN"/>
        </w:rPr>
      </w:pPr>
      <w:r>
        <w:rPr>
          <w:rFonts w:hint="eastAsia"/>
          <w:sz w:val="24"/>
          <w:lang w:eastAsia="zh-CN"/>
        </w:rPr>
        <w:t>（一）</w:t>
      </w:r>
      <w:r>
        <w:rPr>
          <w:rFonts w:hint="eastAsia" w:ascii="Times New Roman" w:hAnsi="Times New Roman" w:eastAsia="宋体"/>
          <w:sz w:val="24"/>
        </w:rPr>
        <w:t>收入支出决算总表</w:t>
      </w:r>
      <w:r>
        <w:rPr>
          <w:rFonts w:ascii="Times New Roman" w:hAnsi="Times New Roman" w:eastAsia="宋体" w:cstheme="minorBidi"/>
          <w:sz w:val="24"/>
        </w:rPr>
        <w:tab/>
      </w:r>
      <w:r>
        <w:rPr>
          <w:rFonts w:hint="eastAsia" w:ascii="Times New Roman" w:hAnsi="Times New Roman" w:eastAsia="宋体" w:cstheme="minorBidi"/>
          <w:sz w:val="24"/>
          <w:lang w:val="en-US" w:eastAsia="zh-CN"/>
        </w:rPr>
        <w:t>14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（二）</w:t>
      </w:r>
      <w:r>
        <w:rPr>
          <w:rFonts w:hint="eastAsia" w:ascii="Times New Roman" w:hAnsi="Times New Roman" w:eastAsia="宋体"/>
          <w:sz w:val="24"/>
        </w:rPr>
        <w:t>收入决算表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ascii="Times New Roman" w:hAnsi="Times New Roman" w:eastAsia="宋体"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（三）</w:t>
      </w:r>
      <w:r>
        <w:rPr>
          <w:rFonts w:hint="eastAsia" w:ascii="Times New Roman" w:hAnsi="Times New Roman" w:eastAsia="宋体"/>
          <w:sz w:val="24"/>
        </w:rPr>
        <w:t>支出决算表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ascii="Times New Roman" w:hAnsi="Times New Roman" w:eastAsia="宋体"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（四）</w:t>
      </w:r>
      <w:r>
        <w:rPr>
          <w:rFonts w:hint="eastAsia" w:ascii="Times New Roman" w:hAnsi="Times New Roman" w:eastAsia="宋体"/>
          <w:sz w:val="24"/>
        </w:rPr>
        <w:t>财政拨款收入支出决算总表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ascii="Times New Roman" w:hAnsi="Times New Roman" w:eastAsia="宋体"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（五）</w:t>
      </w:r>
      <w:r>
        <w:rPr>
          <w:rFonts w:hint="eastAsia" w:ascii="Times New Roman" w:hAnsi="Times New Roman" w:eastAsia="宋体"/>
          <w:sz w:val="24"/>
        </w:rPr>
        <w:t>财政拨款支出决算明细表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ascii="Times New Roman" w:hAnsi="Times New Roman" w:eastAsia="宋体"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（六）</w:t>
      </w:r>
      <w:r>
        <w:rPr>
          <w:rFonts w:hint="eastAsia" w:ascii="Times New Roman" w:hAnsi="Times New Roman" w:eastAsia="宋体"/>
          <w:sz w:val="24"/>
        </w:rPr>
        <w:t>一般公共预算财政拨款支出决算表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ascii="Times New Roman" w:hAnsi="Times New Roman" w:eastAsia="宋体"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（七）</w:t>
      </w:r>
      <w:r>
        <w:rPr>
          <w:rFonts w:hint="eastAsia" w:ascii="Times New Roman" w:hAnsi="Times New Roman" w:eastAsia="宋体"/>
          <w:sz w:val="24"/>
        </w:rPr>
        <w:t>一般公共预算财政拨款支出决算明细表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ascii="Times New Roman" w:hAnsi="Times New Roman" w:eastAsia="宋体"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（八）</w:t>
      </w:r>
      <w:r>
        <w:rPr>
          <w:rFonts w:hint="eastAsia" w:ascii="Times New Roman" w:hAnsi="Times New Roman" w:eastAsia="宋体"/>
          <w:sz w:val="24"/>
        </w:rPr>
        <w:t>一般公共预算财政拨款基本支出决算明细表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ascii="Times New Roman" w:hAnsi="Times New Roman" w:eastAsia="宋体"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（九）</w:t>
      </w:r>
      <w:r>
        <w:rPr>
          <w:rFonts w:hint="eastAsia" w:ascii="Times New Roman" w:hAnsi="Times New Roman" w:eastAsia="宋体"/>
          <w:sz w:val="24"/>
        </w:rPr>
        <w:t>一般公共预算财政拨款项目支出决算表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ascii="Times New Roman" w:hAnsi="Times New Roman" w:eastAsia="宋体"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（十）</w:t>
      </w:r>
      <w:r>
        <w:rPr>
          <w:rFonts w:hint="eastAsia" w:ascii="Times New Roman" w:hAnsi="Times New Roman" w:eastAsia="宋体"/>
          <w:sz w:val="24"/>
        </w:rPr>
        <w:t>政府性基金预算财政拨款收入支出决算表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ascii="Times New Roman" w:hAnsi="Times New Roman" w:eastAsia="宋体"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（十一）</w:t>
      </w:r>
      <w:r>
        <w:rPr>
          <w:rFonts w:hint="eastAsia" w:ascii="Times New Roman" w:hAnsi="Times New Roman" w:eastAsia="宋体"/>
          <w:sz w:val="24"/>
        </w:rPr>
        <w:t>国有资本经营预算财政拨款收入支出决算表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ascii="Times New Roman" w:hAnsi="Times New Roman" w:eastAsia="宋体" w:cstheme="minorBidi"/>
          <w:sz w:val="24"/>
          <w:lang w:val="en-US" w:eastAsia="zh-CN"/>
        </w:rPr>
        <w:t>4</w:t>
      </w:r>
    </w:p>
    <w:p>
      <w:pPr>
        <w:pStyle w:val="11"/>
        <w:adjustRightInd w:val="0"/>
        <w:snapToGrid w:val="0"/>
        <w:spacing w:line="440" w:lineRule="exact"/>
        <w:jc w:val="left"/>
        <w:rPr>
          <w:rFonts w:ascii="Times New Roman" w:hAnsi="Times New Roman" w:eastAsia="宋体"/>
          <w:sz w:val="24"/>
        </w:rPr>
      </w:pPr>
      <w:r>
        <w:rPr>
          <w:rFonts w:hint="eastAsia"/>
          <w:sz w:val="24"/>
          <w:lang w:eastAsia="zh-CN"/>
        </w:rPr>
        <w:t>（十二）</w:t>
      </w:r>
      <w:r>
        <w:rPr>
          <w:rFonts w:hint="eastAsia" w:ascii="Times New Roman" w:hAnsi="Times New Roman" w:eastAsia="宋体"/>
          <w:sz w:val="24"/>
        </w:rPr>
        <w:t>国有资本经营预算财政拨款支出决算表</w:t>
      </w:r>
      <w:r>
        <w:rPr>
          <w:rFonts w:ascii="Times New Roman" w:hAnsi="Times New Roman" w:eastAsia="宋体" w:cstheme="minorBidi"/>
          <w:sz w:val="24"/>
        </w:rPr>
        <w:tab/>
      </w:r>
      <w:r>
        <w:rPr>
          <w:rFonts w:hint="eastAsia" w:ascii="Times New Roman" w:hAnsi="Times New Roman" w:eastAsia="宋体" w:cstheme="minorBidi"/>
          <w:sz w:val="24"/>
        </w:rPr>
        <w:t>1</w:t>
      </w:r>
      <w:r>
        <w:rPr>
          <w:rFonts w:hint="eastAsia" w:ascii="Times New Roman" w:hAnsi="Times New Roman" w:eastAsia="宋体" w:cstheme="minorBidi"/>
          <w:sz w:val="24"/>
          <w:lang w:val="en-US" w:eastAsia="zh-CN"/>
        </w:rPr>
        <w:t>4</w:t>
      </w:r>
    </w:p>
    <w:p>
      <w:pPr>
        <w:pStyle w:val="11"/>
        <w:adjustRightInd w:val="0"/>
        <w:snapToGrid w:val="0"/>
        <w:spacing w:line="440" w:lineRule="exact"/>
        <w:jc w:val="left"/>
        <w:rPr>
          <w:rFonts w:hint="default" w:ascii="Times New Roman" w:hAnsi="Times New Roman" w:eastAsia="宋体"/>
          <w:sz w:val="24"/>
          <w:lang w:val="en-US" w:eastAsia="zh-CN"/>
        </w:rPr>
      </w:pPr>
      <w:r>
        <w:rPr>
          <w:rFonts w:hint="eastAsia"/>
          <w:sz w:val="24"/>
          <w:lang w:eastAsia="zh-CN"/>
        </w:rPr>
        <w:t>（十三</w:t>
      </w:r>
      <w:bookmarkStart w:id="67" w:name="_GoBack"/>
      <w:bookmarkEnd w:id="67"/>
      <w:r>
        <w:rPr>
          <w:rFonts w:hint="eastAsia"/>
          <w:sz w:val="24"/>
          <w:lang w:eastAsia="zh-CN"/>
        </w:rPr>
        <w:t>）</w:t>
      </w:r>
      <w:r>
        <w:rPr>
          <w:rFonts w:hint="eastAsia" w:ascii="Times New Roman" w:hAnsi="Times New Roman" w:eastAsia="宋体"/>
          <w:sz w:val="24"/>
        </w:rPr>
        <w:t>财政拨款“三公”经费支出决算表</w:t>
      </w:r>
      <w:r>
        <w:rPr>
          <w:rFonts w:ascii="Times New Roman" w:hAnsi="Times New Roman" w:eastAsia="宋体" w:cstheme="minorBidi"/>
          <w:sz w:val="24"/>
        </w:rPr>
        <w:tab/>
      </w:r>
      <w:r>
        <w:rPr>
          <w:rFonts w:hint="eastAsia" w:ascii="Times New Roman" w:hAnsi="Times New Roman" w:eastAsia="宋体" w:cstheme="minorBidi"/>
          <w:sz w:val="24"/>
          <w:lang w:val="en-US" w:eastAsia="zh-CN"/>
        </w:rPr>
        <w:t>14</w:t>
      </w:r>
    </w:p>
    <w:p>
      <w:pPr>
        <w:widowControl/>
        <w:spacing w:line="440" w:lineRule="exact"/>
        <w:jc w:val="left"/>
        <w:rPr>
          <w:rFonts w:ascii="仿宋" w:hAnsi="仿宋" w:eastAsia="仿宋"/>
          <w:sz w:val="24"/>
        </w:rPr>
      </w:pPr>
      <w:bookmarkStart w:id="12" w:name="_Toc15396599"/>
      <w:bookmarkStart w:id="13" w:name="_Toc15377196"/>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3"/>
        <w:jc w:val="center"/>
        <w:rPr>
          <w:rFonts w:hint="eastAsia" w:ascii="黑体" w:hAnsi="黑体" w:eastAsia="黑体"/>
          <w:b w:val="0"/>
        </w:rPr>
        <w:sectPr>
          <w:headerReference r:id="rId3" w:type="default"/>
          <w:pgSz w:w="11906" w:h="16838"/>
          <w:pgMar w:top="1440" w:right="1800" w:bottom="1440" w:left="1800" w:header="851" w:footer="992" w:gutter="0"/>
          <w:pgNumType w:start="1"/>
          <w:cols w:space="425" w:num="1"/>
          <w:titlePg/>
          <w:docGrid w:type="lines" w:linePitch="312" w:charSpace="0"/>
        </w:sectPr>
      </w:pPr>
    </w:p>
    <w:p>
      <w:pPr>
        <w:pStyle w:val="3"/>
        <w:jc w:val="center"/>
        <w:rPr>
          <w:rFonts w:ascii="黑体" w:hAnsi="黑体" w:eastAsia="黑体"/>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pStyle w:val="4"/>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rPr>
        <w:t>一、主要职责</w:t>
      </w:r>
    </w:p>
    <w:p>
      <w:pPr>
        <w:spacing w:line="353" w:lineRule="auto"/>
        <w:rPr>
          <w:rFonts w:eastAsia="仿宋"/>
          <w:sz w:val="32"/>
          <w:szCs w:val="32"/>
        </w:rPr>
      </w:pPr>
      <w:r>
        <w:rPr>
          <w:rFonts w:hint="eastAsia" w:eastAsia="仿宋"/>
          <w:sz w:val="32"/>
          <w:szCs w:val="32"/>
        </w:rPr>
        <w:t xml:space="preserve">    </w:t>
      </w:r>
      <w:r>
        <w:rPr>
          <w:rFonts w:ascii="仿宋" w:hAnsi="仿宋" w:eastAsia="仿宋"/>
          <w:sz w:val="32"/>
          <w:szCs w:val="32"/>
        </w:rPr>
        <w:t>开展公益性文化艺术活动和社会公益培训，实行免费开放；组织指导和推广群众性文艺创作；对基层群众文化组织进行业务指导；组织开展群众文化理论研究和交流活动；收集整理、研究非物质文化遗产，开展非物质文化遗产的普查、展示、宣传活动，指导传承人开展传习活动</w:t>
      </w:r>
      <w:r>
        <w:rPr>
          <w:rFonts w:eastAsia="仿宋"/>
          <w:sz w:val="32"/>
          <w:szCs w:val="32"/>
        </w:rPr>
        <w:t>。</w:t>
      </w:r>
    </w:p>
    <w:p>
      <w:pPr>
        <w:pStyle w:val="4"/>
        <w:rPr>
          <w:rFonts w:ascii="黑体" w:hAnsi="黑体" w:eastAsia="黑体"/>
          <w:b w:val="0"/>
        </w:rPr>
      </w:pPr>
      <w:r>
        <w:rPr>
          <w:rFonts w:hint="eastAsia" w:ascii="黑体" w:hAnsi="黑体" w:eastAsia="黑体"/>
          <w:b w:val="0"/>
        </w:rPr>
        <w:t>二、机构设置</w:t>
      </w:r>
    </w:p>
    <w:bookmarkEnd w:id="14"/>
    <w:bookmarkEnd w:id="15"/>
    <w:p>
      <w:pPr>
        <w:pStyle w:val="2"/>
        <w:adjustRightInd w:val="0"/>
        <w:snapToGrid w:val="0"/>
        <w:spacing w:before="93" w:line="353" w:lineRule="auto"/>
        <w:ind w:firstLine="640" w:firstLineChars="200"/>
        <w:rPr>
          <w:rFonts w:ascii="Times New Roman" w:eastAsia="仿宋"/>
          <w:sz w:val="32"/>
          <w:szCs w:val="32"/>
        </w:rPr>
      </w:pPr>
      <w:r>
        <w:rPr>
          <w:rFonts w:hint="eastAsia" w:ascii="Times New Roman" w:eastAsia="仿宋"/>
          <w:sz w:val="32"/>
          <w:szCs w:val="32"/>
        </w:rPr>
        <w:t>西区文化馆（西区文物保护中心）</w:t>
      </w:r>
      <w:r>
        <w:rPr>
          <w:rFonts w:ascii="Times New Roman" w:eastAsia="仿宋"/>
          <w:sz w:val="32"/>
          <w:szCs w:val="32"/>
        </w:rPr>
        <w:t>下属二级单位0个，其中行政单位0个，参照公务员法管理的事业单位0个，其他事业单位0个。</w:t>
      </w:r>
    </w:p>
    <w:p>
      <w:pPr>
        <w:widowControl/>
        <w:jc w:val="left"/>
        <w:rPr>
          <w:rFonts w:ascii="仿宋" w:hAnsi="仿宋" w:eastAsia="仿宋"/>
          <w:kern w:val="0"/>
          <w:sz w:val="32"/>
          <w:szCs w:val="32"/>
        </w:rPr>
      </w:pPr>
      <w:r>
        <w:rPr>
          <w:rFonts w:hint="eastAsia" w:eastAsia="仿宋"/>
          <w:sz w:val="32"/>
          <w:szCs w:val="32"/>
        </w:rPr>
        <w:t xml:space="preserve">    </w:t>
      </w:r>
      <w:r>
        <w:rPr>
          <w:rFonts w:eastAsia="仿宋"/>
          <w:sz w:val="32"/>
          <w:szCs w:val="32"/>
        </w:rPr>
        <w:t>纳入</w:t>
      </w:r>
      <w:r>
        <w:rPr>
          <w:rFonts w:hint="eastAsia" w:eastAsia="仿宋"/>
          <w:sz w:val="32"/>
          <w:szCs w:val="32"/>
        </w:rPr>
        <w:t>西区文化馆（西区文物保护中心）</w:t>
      </w:r>
      <w:r>
        <w:rPr>
          <w:rFonts w:eastAsia="仿宋"/>
          <w:sz w:val="32"/>
          <w:szCs w:val="32"/>
        </w:rPr>
        <w:t>20</w:t>
      </w:r>
      <w:r>
        <w:rPr>
          <w:rFonts w:hint="eastAsia" w:eastAsia="仿宋"/>
          <w:sz w:val="32"/>
          <w:szCs w:val="32"/>
        </w:rPr>
        <w:t>22</w:t>
      </w:r>
      <w:r>
        <w:rPr>
          <w:rFonts w:eastAsia="仿宋"/>
          <w:sz w:val="32"/>
          <w:szCs w:val="32"/>
        </w:rPr>
        <w:t>年度部门决算编制范围的二级预算单位</w:t>
      </w:r>
      <w:r>
        <w:rPr>
          <w:rFonts w:hint="eastAsia" w:eastAsia="仿宋"/>
          <w:sz w:val="32"/>
          <w:szCs w:val="32"/>
        </w:rPr>
        <w:t>无。</w:t>
      </w:r>
      <w:r>
        <w:rPr>
          <w:rFonts w:ascii="仿宋" w:hAnsi="仿宋" w:eastAsia="仿宋"/>
          <w:sz w:val="32"/>
          <w:szCs w:val="32"/>
        </w:rPr>
        <w:br w:type="page"/>
      </w:r>
    </w:p>
    <w:p>
      <w:pPr>
        <w:pStyle w:val="3"/>
        <w:ind w:right="440"/>
        <w:jc w:val="center"/>
        <w:rPr>
          <w:rStyle w:val="24"/>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
      <w:pPr>
        <w:pStyle w:val="23"/>
        <w:numPr>
          <w:ilvl w:val="0"/>
          <w:numId w:val="1"/>
        </w:numPr>
        <w:spacing w:line="60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2022年度收、支总计131.77万元。与2021年相比，收、支总计各减少21.74万元，下降14.16</w:t>
      </w:r>
      <w:r>
        <w:rPr>
          <w:rFonts w:ascii="仿宋" w:hAnsi="仿宋" w:eastAsia="仿宋"/>
          <w:sz w:val="32"/>
          <w:szCs w:val="32"/>
        </w:rPr>
        <w:t>%</w:t>
      </w:r>
      <w:r>
        <w:rPr>
          <w:rFonts w:hint="eastAsia" w:ascii="仿宋" w:hAnsi="仿宋" w:eastAsia="仿宋"/>
          <w:sz w:val="32"/>
          <w:szCs w:val="32"/>
        </w:rPr>
        <w:t>。主要变动原因是减少了项目经费。</w:t>
      </w:r>
    </w:p>
    <w:p>
      <w:pPr>
        <w:widowControl/>
        <w:jc w:val="left"/>
        <w:rPr>
          <w:rFonts w:ascii="宋体" w:hAnsi="宋体" w:cs="宋体"/>
          <w:kern w:val="0"/>
          <w:sz w:val="24"/>
        </w:rPr>
      </w:pPr>
      <w:r>
        <w:rPr>
          <w:rFonts w:ascii="宋体" w:hAnsi="宋体" w:cs="宋体"/>
          <w:kern w:val="0"/>
          <w:sz w:val="24"/>
        </w:rPr>
        <w:drawing>
          <wp:inline distT="0" distB="0" distL="0" distR="0">
            <wp:extent cx="3762375" cy="2314575"/>
            <wp:effectExtent l="19050" t="0" r="9525" b="0"/>
            <wp:docPr id="4" name="图片 1" descr="C:\Users\Administrator\AppData\Roaming\Tencent\Users\248301485\QQ\WinTemp\RichOle\`ARNIYYU1[EQ~$@Z)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AppData\Roaming\Tencent\Users\248301485\QQ\WinTemp\RichOle\`ARNIYYU1[EQ~$@Z)B~}@~6.png"/>
                    <pic:cNvPicPr>
                      <a:picLocks noChangeAspect="1" noChangeArrowheads="1"/>
                    </pic:cNvPicPr>
                  </pic:nvPicPr>
                  <pic:blipFill>
                    <a:blip r:embed="rId7"/>
                    <a:srcRect/>
                    <a:stretch>
                      <a:fillRect/>
                    </a:stretch>
                  </pic:blipFill>
                  <pic:spPr>
                    <a:xfrm>
                      <a:off x="0" y="0"/>
                      <a:ext cx="3762375" cy="231457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3"/>
        <w:numPr>
          <w:ilvl w:val="0"/>
          <w:numId w:val="1"/>
        </w:numPr>
        <w:spacing w:line="600" w:lineRule="exact"/>
        <w:ind w:firstLineChars="0"/>
        <w:outlineLvl w:val="1"/>
        <w:rPr>
          <w:rStyle w:val="25"/>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22年本年收入合计131.77万元，其中：一般公共预算财政拨款收入131.77万元，占100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widowControl/>
        <w:jc w:val="left"/>
        <w:rPr>
          <w:rFonts w:ascii="宋体" w:hAnsi="宋体" w:cs="宋体"/>
          <w:kern w:val="0"/>
          <w:sz w:val="24"/>
        </w:rPr>
      </w:pPr>
      <w:r>
        <w:rPr>
          <w:rFonts w:ascii="宋体" w:hAnsi="宋体" w:cs="宋体"/>
          <w:kern w:val="0"/>
          <w:sz w:val="24"/>
        </w:rPr>
        <w:drawing>
          <wp:inline distT="0" distB="0" distL="0" distR="0">
            <wp:extent cx="2695575" cy="2371725"/>
            <wp:effectExtent l="19050" t="0" r="9525" b="0"/>
            <wp:docPr id="3" name="图片 3" descr="C:\Users\Administrator\AppData\Roaming\Tencent\Users\248301485\QQ\WinTemp\RichOle\15NC5C]]EB5WZ_5VT`I5X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248301485\QQ\WinTemp\RichOle\15NC5C]]EB5WZ_5VT`I5XC7.png"/>
                    <pic:cNvPicPr>
                      <a:picLocks noChangeAspect="1" noChangeArrowheads="1"/>
                    </pic:cNvPicPr>
                  </pic:nvPicPr>
                  <pic:blipFill>
                    <a:blip r:embed="rId8"/>
                    <a:srcRect/>
                    <a:stretch>
                      <a:fillRect/>
                    </a:stretch>
                  </pic:blipFill>
                  <pic:spPr>
                    <a:xfrm>
                      <a:off x="0" y="0"/>
                      <a:ext cx="2695575" cy="237172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22年本年支出合计131.77万元，其中：基本支出111.5万元，占84.62</w:t>
      </w:r>
      <w:r>
        <w:rPr>
          <w:rFonts w:ascii="仿宋" w:hAnsi="仿宋" w:eastAsia="仿宋"/>
          <w:sz w:val="32"/>
          <w:szCs w:val="32"/>
        </w:rPr>
        <w:t>%</w:t>
      </w:r>
      <w:r>
        <w:rPr>
          <w:rFonts w:hint="eastAsia" w:ascii="仿宋" w:hAnsi="仿宋" w:eastAsia="仿宋"/>
          <w:sz w:val="32"/>
          <w:szCs w:val="32"/>
        </w:rPr>
        <w:t>；项目支出20.26万元，占15.38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widowControl/>
        <w:jc w:val="left"/>
        <w:rPr>
          <w:rFonts w:ascii="宋体" w:hAnsi="宋体" w:cs="宋体"/>
          <w:kern w:val="0"/>
          <w:sz w:val="24"/>
        </w:rPr>
      </w:pPr>
      <w:r>
        <w:rPr>
          <w:rFonts w:ascii="宋体" w:hAnsi="宋体" w:cs="宋体"/>
          <w:kern w:val="0"/>
          <w:sz w:val="24"/>
        </w:rPr>
        <w:drawing>
          <wp:inline distT="0" distB="0" distL="0" distR="0">
            <wp:extent cx="2667000" cy="2362200"/>
            <wp:effectExtent l="19050" t="0" r="0" b="0"/>
            <wp:docPr id="6" name="图片 3" descr="C:\Users\Administrator\AppData\Roaming\Tencent\Users\248301485\QQ\WinTemp\RichOle\0)K1RI[PMGMDF8R27I2ALQ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istrator\AppData\Roaming\Tencent\Users\248301485\QQ\WinTemp\RichOle\0)K1RI[PMGMDF8R27I2ALQC.png"/>
                    <pic:cNvPicPr>
                      <a:picLocks noChangeAspect="1" noChangeArrowheads="1"/>
                    </pic:cNvPicPr>
                  </pic:nvPicPr>
                  <pic:blipFill>
                    <a:blip r:embed="rId9"/>
                    <a:srcRect/>
                    <a:stretch>
                      <a:fillRect/>
                    </a:stretch>
                  </pic:blipFill>
                  <pic:spPr>
                    <a:xfrm>
                      <a:off x="0" y="0"/>
                      <a:ext cx="2667000" cy="2362200"/>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5"/>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22年财政拨款收、支总计131.77万元。与2021年相比，收、支总计各减少21.74万元，下降14.16</w:t>
      </w:r>
      <w:r>
        <w:rPr>
          <w:rFonts w:ascii="仿宋" w:hAnsi="仿宋" w:eastAsia="仿宋"/>
          <w:sz w:val="32"/>
          <w:szCs w:val="32"/>
        </w:rPr>
        <w:t>%</w:t>
      </w:r>
      <w:r>
        <w:rPr>
          <w:rFonts w:hint="eastAsia" w:ascii="仿宋" w:hAnsi="仿宋" w:eastAsia="仿宋"/>
          <w:sz w:val="32"/>
          <w:szCs w:val="32"/>
        </w:rPr>
        <w:t>。主要变动原因是减少了项目经费。</w:t>
      </w:r>
    </w:p>
    <w:p>
      <w:pPr>
        <w:widowControl/>
        <w:jc w:val="left"/>
        <w:rPr>
          <w:rFonts w:ascii="宋体" w:hAnsi="宋体" w:cs="宋体"/>
          <w:kern w:val="0"/>
          <w:sz w:val="24"/>
        </w:rPr>
      </w:pPr>
      <w:r>
        <w:rPr>
          <w:rFonts w:ascii="宋体" w:hAnsi="宋体" w:cs="宋体"/>
          <w:kern w:val="0"/>
          <w:sz w:val="24"/>
        </w:rPr>
        <w:drawing>
          <wp:inline distT="0" distB="0" distL="0" distR="0">
            <wp:extent cx="3533775" cy="2352675"/>
            <wp:effectExtent l="19050" t="0" r="9525" b="0"/>
            <wp:docPr id="8" name="图片 5" descr="C:\Users\Administrator\AppData\Roaming\Tencent\Users\248301485\QQ\WinTemp\RichOle\)I$1_02Z@YSEBQ(QD31Y7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C:\Users\Administrator\AppData\Roaming\Tencent\Users\248301485\QQ\WinTemp\RichOle\)I$1_02Z@YSEBQ(QD31Y7YI.png"/>
                    <pic:cNvPicPr>
                      <a:picLocks noChangeAspect="1" noChangeArrowheads="1"/>
                    </pic:cNvPicPr>
                  </pic:nvPicPr>
                  <pic:blipFill>
                    <a:blip r:embed="rId10"/>
                    <a:srcRect/>
                    <a:stretch>
                      <a:fillRect/>
                    </a:stretch>
                  </pic:blipFill>
                  <pic:spPr>
                    <a:xfrm>
                      <a:off x="0" y="0"/>
                      <a:ext cx="3533775" cy="235267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22年一般公共预算财政拨款支出131.77万元，占本年支出合计的100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21年相比，一般公共预算财政拨款支出减少21.74万元，下降14.16</w:t>
      </w:r>
      <w:r>
        <w:rPr>
          <w:rFonts w:ascii="仿宋" w:hAnsi="仿宋" w:eastAsia="仿宋"/>
          <w:sz w:val="32"/>
          <w:szCs w:val="32"/>
        </w:rPr>
        <w:t>%</w:t>
      </w:r>
      <w:r>
        <w:rPr>
          <w:rFonts w:hint="eastAsia" w:ascii="仿宋" w:hAnsi="仿宋" w:eastAsia="仿宋"/>
          <w:sz w:val="32"/>
          <w:szCs w:val="32"/>
        </w:rPr>
        <w:t>。主要变动原因是减少了项目经费。</w:t>
      </w:r>
    </w:p>
    <w:p>
      <w:pPr>
        <w:widowControl/>
        <w:jc w:val="left"/>
        <w:rPr>
          <w:rFonts w:ascii="宋体" w:hAnsi="宋体" w:cs="宋体"/>
          <w:kern w:val="0"/>
          <w:sz w:val="24"/>
        </w:rPr>
      </w:pPr>
      <w:r>
        <w:rPr>
          <w:rFonts w:ascii="宋体" w:hAnsi="宋体" w:cs="宋体"/>
          <w:kern w:val="0"/>
          <w:sz w:val="24"/>
        </w:rPr>
        <w:drawing>
          <wp:inline distT="0" distB="0" distL="0" distR="0">
            <wp:extent cx="3448050" cy="2409825"/>
            <wp:effectExtent l="19050" t="0" r="0" b="0"/>
            <wp:docPr id="10" name="图片 7" descr="C:\Users\Administrator\AppData\Roaming\Tencent\Users\248301485\QQ\WinTemp\RichOle\A1NMQC3IP_B34M}~G}(V{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C:\Users\Administrator\AppData\Roaming\Tencent\Users\248301485\QQ\WinTemp\RichOle\A1NMQC3IP_B34M}~G}(V{65.png"/>
                    <pic:cNvPicPr>
                      <a:picLocks noChangeAspect="1" noChangeArrowheads="1"/>
                    </pic:cNvPicPr>
                  </pic:nvPicPr>
                  <pic:blipFill>
                    <a:blip r:embed="rId11"/>
                    <a:srcRect/>
                    <a:stretch>
                      <a:fillRect/>
                    </a:stretch>
                  </pic:blipFill>
                  <pic:spPr>
                    <a:xfrm>
                      <a:off x="0" y="0"/>
                      <a:ext cx="3448050" cy="240982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22年一般公共预算财政拨款支出131.77万元，主要用于以下方面</w:t>
      </w:r>
      <w:r>
        <w:rPr>
          <w:rFonts w:ascii="仿宋" w:hAnsi="仿宋" w:eastAsia="仿宋"/>
          <w:sz w:val="32"/>
          <w:szCs w:val="32"/>
        </w:rPr>
        <w:t>:</w:t>
      </w:r>
      <w:r>
        <w:rPr>
          <w:rFonts w:hint="eastAsia" w:ascii="仿宋" w:hAnsi="仿宋" w:eastAsia="仿宋"/>
          <w:b/>
          <w:bCs/>
          <w:sz w:val="32"/>
          <w:szCs w:val="32"/>
        </w:rPr>
        <w:t>文化旅游体育与传媒支出107.85万元，占81.85</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10.6万元，占8.04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5.92万元，占4.49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7.39万元，占5.62</w:t>
      </w:r>
      <w:r>
        <w:rPr>
          <w:rFonts w:ascii="仿宋" w:hAnsi="仿宋" w:eastAsia="仿宋"/>
          <w:sz w:val="32"/>
          <w:szCs w:val="32"/>
        </w:rPr>
        <w:t>%</w:t>
      </w:r>
      <w:r>
        <w:rPr>
          <w:rFonts w:hint="eastAsia" w:ascii="仿宋" w:hAnsi="仿宋" w:eastAsia="仿宋"/>
          <w:sz w:val="32"/>
          <w:szCs w:val="32"/>
        </w:rPr>
        <w:t>。</w:t>
      </w:r>
    </w:p>
    <w:p>
      <w:pPr>
        <w:rPr>
          <w:rFonts w:ascii="宋体" w:hAnsi="宋体" w:cs="宋体"/>
          <w:kern w:val="0"/>
          <w:sz w:val="24"/>
        </w:rPr>
      </w:pPr>
    </w:p>
    <w:p>
      <w:pPr>
        <w:rPr>
          <w:rFonts w:ascii="宋体" w:hAnsi="宋体" w:cs="宋体"/>
          <w:kern w:val="0"/>
          <w:sz w:val="24"/>
        </w:rPr>
      </w:pPr>
      <w:r>
        <w:rPr>
          <w:rFonts w:ascii="宋体" w:hAnsi="宋体" w:cs="宋体"/>
          <w:kern w:val="0"/>
          <w:sz w:val="24"/>
        </w:rPr>
        <w:pict>
          <v:shape id="_x0000_i1025" o:spt="75" type="#_x0000_t75" style="height:24pt;width:24pt;" filled="f" o:preferrelative="t" stroked="f" coordsize="21600,21600">
            <v:path/>
            <v:fill on="f" focussize="0,0"/>
            <v:stroke on="f" joinstyle="miter"/>
            <v:imagedata o:title=""/>
            <o:lock v:ext="edit" aspectratio="t"/>
            <w10:wrap type="none"/>
            <w10:anchorlock/>
          </v:shape>
        </w:pict>
      </w:r>
      <w:r>
        <w:rPr>
          <w:rFonts w:ascii="宋体" w:hAnsi="宋体" w:cs="宋体"/>
          <w:kern w:val="0"/>
          <w:sz w:val="24"/>
        </w:rPr>
        <w:drawing>
          <wp:inline distT="0" distB="0" distL="0" distR="0">
            <wp:extent cx="4038600" cy="2409825"/>
            <wp:effectExtent l="19050" t="0" r="0" b="0"/>
            <wp:docPr id="21" name="图片 21" descr="C:\Users\Administrator\AppData\Roaming\Tencent\Users\248301485\QQ\WinTemp\RichOle\7QLMWNQ%AQIM[R3ATBRX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AppData\Roaming\Tencent\Users\248301485\QQ\WinTemp\RichOle\7QLMWNQ%AQIM[R3ATBRXJ$K.png"/>
                    <pic:cNvPicPr>
                      <a:picLocks noChangeAspect="1" noChangeArrowheads="1"/>
                    </pic:cNvPicPr>
                  </pic:nvPicPr>
                  <pic:blipFill>
                    <a:blip r:embed="rId12"/>
                    <a:srcRect/>
                    <a:stretch>
                      <a:fillRect/>
                    </a:stretch>
                  </pic:blipFill>
                  <pic:spPr>
                    <a:xfrm>
                      <a:off x="0" y="0"/>
                      <a:ext cx="4038600" cy="2409825"/>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2022年一般公共预算支出决算数为131.77万元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color w:val="000000"/>
          <w:sz w:val="32"/>
          <w:szCs w:val="32"/>
        </w:rPr>
        <w:t>文化旅游体育与传媒支出（类）文化和旅游（款）群众文化</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支出决算为91.47万元，完成预算100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bCs/>
          <w:color w:val="000000"/>
          <w:sz w:val="32"/>
          <w:szCs w:val="32"/>
        </w:rPr>
        <w:t>文化旅游体育与传媒支出（类）其他文化旅游体育与传媒支出（款）其他文化旅游体育与传媒支出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支出决算为16.38万元，完成预算100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3</w:t>
      </w:r>
      <w:r>
        <w:rPr>
          <w:rStyle w:val="14"/>
          <w:rFonts w:ascii="仿宋" w:hAnsi="仿宋" w:eastAsia="仿宋"/>
          <w:bCs/>
          <w:sz w:val="32"/>
          <w:szCs w:val="32"/>
        </w:rPr>
        <w:t>.</w:t>
      </w:r>
      <w:r>
        <w:rPr>
          <w:rStyle w:val="14"/>
          <w:rFonts w:hint="eastAsia" w:ascii="仿宋" w:hAnsi="仿宋" w:eastAsia="仿宋"/>
          <w:bCs/>
          <w:color w:val="000000"/>
          <w:sz w:val="32"/>
          <w:szCs w:val="32"/>
        </w:rPr>
        <w:t>社会保障和就业支出（类）行政事业单位养老支出（款）事业单位离退休</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支出决算为4.07万元，完成预算100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4</w:t>
      </w:r>
      <w:r>
        <w:rPr>
          <w:rStyle w:val="14"/>
          <w:rFonts w:ascii="仿宋" w:hAnsi="仿宋" w:eastAsia="仿宋"/>
          <w:bCs/>
          <w:sz w:val="32"/>
          <w:szCs w:val="32"/>
        </w:rPr>
        <w:t>.</w:t>
      </w:r>
      <w:r>
        <w:rPr>
          <w:rStyle w:val="14"/>
          <w:rFonts w:hint="eastAsia" w:ascii="仿宋" w:hAnsi="仿宋" w:eastAsia="仿宋"/>
          <w:bCs/>
          <w:sz w:val="32"/>
          <w:szCs w:val="32"/>
        </w:rPr>
        <w:t>社</w:t>
      </w:r>
      <w:r>
        <w:rPr>
          <w:rStyle w:val="14"/>
          <w:rFonts w:hint="eastAsia" w:ascii="仿宋" w:hAnsi="仿宋" w:eastAsia="仿宋"/>
          <w:bCs/>
          <w:color w:val="000000"/>
          <w:sz w:val="32"/>
          <w:szCs w:val="32"/>
        </w:rPr>
        <w:t>会保障和就业支出（类）行政事业单位养老支出（款）机关事业单位基本养老保险缴费支出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支出决算为6.53万元，完成预算100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5</w:t>
      </w:r>
      <w:r>
        <w:rPr>
          <w:rStyle w:val="14"/>
          <w:rFonts w:ascii="仿宋" w:hAnsi="仿宋" w:eastAsia="仿宋"/>
          <w:bCs/>
          <w:sz w:val="32"/>
          <w:szCs w:val="32"/>
        </w:rPr>
        <w:t>.</w:t>
      </w:r>
      <w:r>
        <w:rPr>
          <w:rStyle w:val="14"/>
          <w:rFonts w:hint="eastAsia" w:ascii="仿宋" w:hAnsi="仿宋" w:eastAsia="仿宋"/>
          <w:bCs/>
          <w:sz w:val="32"/>
          <w:szCs w:val="32"/>
        </w:rPr>
        <w:t>卫生健康支出（类）行政事业单位医疗（款）事业单位医疗（项）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支出决算为5.11万元，完成预算100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6</w:t>
      </w:r>
      <w:r>
        <w:rPr>
          <w:rStyle w:val="14"/>
          <w:rFonts w:ascii="仿宋" w:hAnsi="仿宋" w:eastAsia="仿宋"/>
          <w:bCs/>
          <w:sz w:val="32"/>
          <w:szCs w:val="32"/>
        </w:rPr>
        <w:t>.</w:t>
      </w:r>
      <w:r>
        <w:rPr>
          <w:rStyle w:val="14"/>
          <w:rFonts w:hint="eastAsia" w:ascii="仿宋" w:hAnsi="仿宋" w:eastAsia="仿宋"/>
          <w:bCs/>
          <w:sz w:val="32"/>
          <w:szCs w:val="32"/>
        </w:rPr>
        <w:t>卫生健康支出（类）行政事业单位医疗（款）其他行政事业单位医疗支出（项）</w:t>
      </w:r>
      <w:r>
        <w:rPr>
          <w:rStyle w:val="14"/>
          <w:rFonts w:ascii="仿宋" w:hAnsi="仿宋" w:eastAsia="仿宋"/>
          <w:bCs/>
          <w:sz w:val="32"/>
          <w:szCs w:val="32"/>
        </w:rPr>
        <w:t>:</w:t>
      </w:r>
      <w:r>
        <w:rPr>
          <w:rStyle w:val="14"/>
          <w:rFonts w:hint="eastAsia" w:ascii="仿宋" w:hAnsi="仿宋" w:eastAsia="仿宋"/>
          <w:b w:val="0"/>
          <w:bCs/>
          <w:sz w:val="32"/>
          <w:szCs w:val="32"/>
        </w:rPr>
        <w:t>支出决算为0.81万元，完成预算100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7</w:t>
      </w:r>
      <w:r>
        <w:rPr>
          <w:rStyle w:val="14"/>
          <w:rFonts w:ascii="仿宋" w:hAnsi="仿宋" w:eastAsia="仿宋"/>
          <w:bCs/>
          <w:sz w:val="32"/>
          <w:szCs w:val="32"/>
        </w:rPr>
        <w:t>.</w:t>
      </w:r>
      <w:r>
        <w:rPr>
          <w:rStyle w:val="14"/>
          <w:rFonts w:hint="eastAsia" w:ascii="仿宋" w:hAnsi="仿宋" w:eastAsia="仿宋"/>
          <w:bCs/>
          <w:sz w:val="32"/>
          <w:szCs w:val="32"/>
        </w:rPr>
        <w:t>住房保障支出（类）住房改革支出（款）住房公积金（项）</w:t>
      </w:r>
      <w:r>
        <w:rPr>
          <w:rStyle w:val="14"/>
          <w:rFonts w:ascii="仿宋" w:hAnsi="仿宋" w:eastAsia="仿宋"/>
          <w:bCs/>
          <w:sz w:val="32"/>
          <w:szCs w:val="32"/>
        </w:rPr>
        <w:t>:</w:t>
      </w:r>
      <w:r>
        <w:rPr>
          <w:rStyle w:val="14"/>
          <w:rFonts w:hint="eastAsia" w:ascii="仿宋" w:hAnsi="仿宋" w:eastAsia="仿宋"/>
          <w:b w:val="0"/>
          <w:bCs/>
          <w:sz w:val="32"/>
          <w:szCs w:val="32"/>
        </w:rPr>
        <w:t>支出决算为7.39万元，完成预算100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tabs>
          <w:tab w:val="right" w:pos="8306"/>
        </w:tabs>
        <w:spacing w:line="600" w:lineRule="exact"/>
        <w:ind w:firstLine="640"/>
        <w:outlineLvl w:val="1"/>
        <w:rPr>
          <w:rStyle w:val="25"/>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22年一般公共预算财政拨款基本支出111.5万元，其中：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107.64万元，主要包括：基本工资、津贴补贴、绩效工资、机关事业单位基本养老保险缴费、职工基本医疗保险缴费、公务员医疗补助缴费、其他社会保障缴费、其他工资福利支出、生活补助、住房公积金。</w:t>
      </w:r>
      <w:r>
        <w:rPr>
          <w:rFonts w:ascii="仿宋" w:hAnsi="仿宋" w:eastAsia="仿宋"/>
          <w:sz w:val="32"/>
          <w:szCs w:val="32"/>
        </w:rPr>
        <w:br w:type="textWrapping"/>
      </w:r>
      <w:r>
        <w:rPr>
          <w:rFonts w:hint="eastAsia" w:ascii="仿宋" w:hAnsi="仿宋" w:eastAsia="仿宋"/>
          <w:sz w:val="32"/>
          <w:szCs w:val="32"/>
        </w:rPr>
        <w:t>　　公用经费3.87万元，主要包括：办公费、咨询费、水费、电费、差旅费、劳务费、工会经费、福利费。</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22年“三公”经费财政拨款支出决算为0万元，完成预算0</w:t>
      </w:r>
      <w:r>
        <w:rPr>
          <w:rFonts w:ascii="仿宋" w:hAnsi="仿宋" w:eastAsia="仿宋"/>
          <w:sz w:val="32"/>
          <w:szCs w:val="32"/>
        </w:rPr>
        <w:t>%</w:t>
      </w:r>
      <w:r>
        <w:rPr>
          <w:rFonts w:hint="eastAsia" w:ascii="仿宋" w:hAnsi="仿宋" w:eastAsia="仿宋"/>
          <w:sz w:val="32"/>
          <w:szCs w:val="32"/>
        </w:rPr>
        <w:t>，与预算数持平。</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，与上年预算持平。</w:t>
      </w:r>
      <w:r>
        <w:rPr>
          <w:rFonts w:hint="eastAsia" w:ascii="仿宋" w:hAnsi="仿宋" w:eastAsia="仿宋"/>
          <w:sz w:val="32"/>
          <w:szCs w:val="32"/>
        </w:rPr>
        <w:t>全年安排因公出国（境）团组0次，出国（境）0人。</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，与上年预算持平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r>
        <w:rPr>
          <w:rFonts w:hint="eastAsia" w:ascii="仿宋" w:hAnsi="仿宋" w:eastAsia="仿宋"/>
          <w:sz w:val="32"/>
          <w:szCs w:val="32"/>
        </w:rPr>
        <w:t>全年按规定更新购置公务用车0辆，其中：轿车0辆、金额0万元，越野车0辆、金额0万元，载客汽车0辆、金额0万元。截至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，与上年预算持平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40" w:name="_Toc15377218"/>
      <w:bookmarkStart w:id="41" w:name="_Toc15396610"/>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22年政府性基金预算财政拨款支出0万元。</w:t>
      </w:r>
    </w:p>
    <w:p>
      <w:pPr>
        <w:numPr>
          <w:ilvl w:val="0"/>
          <w:numId w:val="2"/>
        </w:numPr>
        <w:spacing w:line="600" w:lineRule="exact"/>
        <w:ind w:firstLine="64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rPr>
        <w:t>国有资本经营预算支出决算情况说明</w:t>
      </w:r>
      <w:bookmarkEnd w:id="42"/>
      <w:bookmarkEnd w:id="43"/>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22年国有资本经营预算财政拨款支出0万元。</w:t>
      </w:r>
    </w:p>
    <w:p>
      <w:pPr>
        <w:numPr>
          <w:ilvl w:val="0"/>
          <w:numId w:val="2"/>
        </w:numPr>
        <w:spacing w:line="600" w:lineRule="exact"/>
        <w:ind w:firstLine="640"/>
        <w:outlineLvl w:val="1"/>
        <w:rPr>
          <w:rStyle w:val="25"/>
          <w:rFonts w:ascii="黑体" w:hAnsi="黑体" w:eastAsia="黑体"/>
          <w:b w:val="0"/>
        </w:rPr>
      </w:pPr>
      <w:bookmarkStart w:id="44" w:name="_Toc15396612"/>
      <w:bookmarkStart w:id="45" w:name="_Toc15377221"/>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22年，西区文化馆（西区文物保护中心）</w:t>
      </w:r>
      <w:r>
        <w:rPr>
          <w:rFonts w:hint="eastAsia" w:ascii="仿宋" w:hAnsi="仿宋" w:eastAsia="仿宋"/>
          <w:sz w:val="32"/>
          <w:szCs w:val="32"/>
          <w:lang w:eastAsia="zh-CN"/>
        </w:rPr>
        <w:t>机关</w:t>
      </w:r>
      <w:r>
        <w:rPr>
          <w:rFonts w:hint="eastAsia" w:ascii="仿宋" w:hAnsi="仿宋" w:eastAsia="仿宋"/>
          <w:sz w:val="32"/>
          <w:szCs w:val="32"/>
        </w:rPr>
        <w:t>无运行经费。</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22年，西区文化馆（西区文物保护中心）政府采购支出总额0万元，其中：政府采购货物支出0万元、政府采购工程支出0万元、政府采购服务支出0万元。授予中小企业合同金额0万元，占政府采购支出总额的0</w:t>
      </w:r>
      <w:r>
        <w:rPr>
          <w:rFonts w:ascii="仿宋" w:hAnsi="仿宋" w:eastAsia="仿宋"/>
          <w:sz w:val="32"/>
          <w:szCs w:val="32"/>
        </w:rPr>
        <w:t>%</w:t>
      </w:r>
      <w:r>
        <w:rPr>
          <w:rFonts w:hint="eastAsia" w:ascii="仿宋" w:hAnsi="仿宋" w:eastAsia="仿宋"/>
          <w:sz w:val="32"/>
          <w:szCs w:val="32"/>
        </w:rPr>
        <w:t>，其中：授予小微企业合同金额0万元，占政府采购支出总额的0</w:t>
      </w:r>
      <w:r>
        <w:rPr>
          <w:rFonts w:ascii="仿宋" w:hAnsi="仿宋" w:eastAsia="仿宋"/>
          <w:sz w:val="32"/>
          <w:szCs w:val="32"/>
        </w:rPr>
        <w:t>%</w:t>
      </w:r>
      <w:r>
        <w:rPr>
          <w:rFonts w:hint="eastAsia" w:ascii="仿宋" w:hAnsi="仿宋" w:eastAsia="仿宋"/>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spacing w:line="600" w:lineRule="exact"/>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日，西区文化馆（西区文物保护中心）共有车辆0辆，其中：主要领导干部用车0辆、机要通信用车0辆、应急保障用车0辆、其他用车0辆。单价</w:t>
      </w:r>
      <w:r>
        <w:rPr>
          <w:rFonts w:ascii="仿宋" w:hAnsi="仿宋" w:eastAsia="仿宋"/>
          <w:sz w:val="32"/>
          <w:szCs w:val="32"/>
        </w:rPr>
        <w:t>100</w:t>
      </w:r>
      <w:r>
        <w:rPr>
          <w:rFonts w:hint="eastAsia" w:ascii="仿宋" w:hAnsi="仿宋" w:eastAsia="仿宋"/>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预算绩效管理要求，本单位在2022年度预算编制阶段，组织对免费开放资金、苏铁剧场及文化活动进基层等18个项目开展了预算事前绩效评估，对18个项目编制了绩效目标，预算执行过程中，选取18个项目开展绩效监控，组织对0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1.财政拨款收入：指单位从同级财政部门取得的财政预算资金。</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事业收入：指事业单位开展专业业务活动及辅助活动取得的收入。</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经营收入：指事业单位在专业业务活动及其辅助活动之外开展非独立核算经营活动取得的收入。</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其他收入：指单位取得的除上述收入以外的各项收入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5.使用非财政拨款结余：指事业单位使用以前年度积累的非财政拨款结余弥补当年收支差额的金额。</w:t>
      </w:r>
    </w:p>
    <w:p>
      <w:pPr>
        <w:spacing w:line="60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年初结转和结余：指以前年度尚未完成、结转到本年按有关规定继续使用的资金。</w:t>
      </w:r>
    </w:p>
    <w:p>
      <w:pPr>
        <w:spacing w:line="60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结余分配：指事业单位按照会计制度规定缴纳的所得税、提取的专用结余以及转入非财政拨款结余的金额等。</w:t>
      </w:r>
    </w:p>
    <w:p>
      <w:pPr>
        <w:spacing w:line="60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.年末结转和结余：指单位按有关规定结转到下年或以后年度继续使用的资金。</w:t>
      </w:r>
    </w:p>
    <w:p>
      <w:pPr>
        <w:pStyle w:val="22"/>
        <w:spacing w:line="560" w:lineRule="exact"/>
        <w:ind w:firstLine="640" w:firstLineChars="200"/>
        <w:rPr>
          <w:rFonts w:hAnsi="仿宋"/>
          <w:sz w:val="32"/>
          <w:szCs w:val="32"/>
        </w:rPr>
      </w:pPr>
      <w:r>
        <w:rPr>
          <w:rFonts w:hint="eastAsia" w:hAnsi="仿宋"/>
          <w:sz w:val="32"/>
          <w:szCs w:val="32"/>
        </w:rPr>
        <w:t>9.文化旅游体育与传媒支出（类）文化和旅游（款） 群众文化（项）：反映群众文化方面的支出,包括基层文化馆(站)、群众艺术馆支出等。</w:t>
      </w:r>
    </w:p>
    <w:p>
      <w:pPr>
        <w:pStyle w:val="22"/>
        <w:spacing w:line="560" w:lineRule="exact"/>
        <w:ind w:firstLine="640" w:firstLineChars="200"/>
        <w:rPr>
          <w:rFonts w:hAnsi="仿宋"/>
          <w:sz w:val="32"/>
          <w:szCs w:val="32"/>
        </w:rPr>
      </w:pPr>
      <w:r>
        <w:rPr>
          <w:rFonts w:hint="eastAsia" w:hAnsi="仿宋"/>
          <w:sz w:val="32"/>
          <w:szCs w:val="32"/>
        </w:rPr>
        <w:t xml:space="preserve">10.文化旅游体育与传媒支出（类）文化和旅游（款）其他文化和旅游支出（项）:反映除上述项目以外其他用于文化和旅游方面的支出。 </w:t>
      </w:r>
    </w:p>
    <w:p>
      <w:pPr>
        <w:spacing w:line="600" w:lineRule="exac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11.文化旅游体育与传媒支出（类）其他文化旅游体育与传媒支出（款） 其他文化旅游体育与传媒支出（项）:反映除上述项目以外其他用于文化旅游体育与传媒方面的支出。 </w:t>
      </w:r>
    </w:p>
    <w:p>
      <w:pPr>
        <w:spacing w:line="600" w:lineRule="exac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12.社会保障和就业（类）行政事业单位养老支出（款） 机关事业单位基本养老保险缴费支出（项）:指机关事业单 位实施养老保险制度由单位缴纳的基本养老保险费。 </w:t>
      </w:r>
    </w:p>
    <w:p>
      <w:pPr>
        <w:spacing w:line="600" w:lineRule="exac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13.社会保障和就业（类）行政事业单位养老支出（款）机关事业单位职业年金缴费支出（项):反映机关事业单位实施养老保险制度由单位实际缴纳的职业年金支出。 </w:t>
      </w:r>
    </w:p>
    <w:p>
      <w:pPr>
        <w:spacing w:line="600" w:lineRule="exac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14.卫生健康支出（类）行政事业单位医疗（款）事业单位医疗（项）:反映财政部门安排的事业单位基本医疗保险缴费经费，未参加医疗保险的事业单位的公费同医疗经费，按国家规定享受离休人员待遇的医疗经费。 </w:t>
      </w:r>
    </w:p>
    <w:p>
      <w:pPr>
        <w:spacing w:line="600" w:lineRule="exac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15.卫生健康支出（类）行政事业单位医疗（款）其他行政事业单位医疗支出（项）:反映财政部门安排的公务员医疗补助经费。 </w:t>
      </w:r>
    </w:p>
    <w:p>
      <w:pPr>
        <w:spacing w:line="600" w:lineRule="exact"/>
        <w:ind w:firstLine="640" w:firstLineChars="200"/>
        <w:rPr>
          <w:rFonts w:ascii="仿宋" w:hAnsi="仿宋" w:eastAsia="仿宋"/>
          <w:sz w:val="32"/>
          <w:szCs w:val="32"/>
        </w:rPr>
      </w:pPr>
      <w:r>
        <w:rPr>
          <w:rFonts w:hint="eastAsia" w:ascii="仿宋" w:hAnsi="仿宋" w:eastAsia="仿宋" w:cs="仿宋"/>
          <w:color w:val="000000"/>
          <w:kern w:val="0"/>
          <w:sz w:val="32"/>
          <w:szCs w:val="32"/>
        </w:rPr>
        <w:t>16.住房保障支出（类）住房改革支出（款）住房公积金（项）:指行政事业单位按人力资源和社会保障部、财政部规定的基本工资和津贴补贴以及规定比例为职工缴纳的住房公积金</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7.</w:t>
      </w:r>
      <w:r>
        <w:rPr>
          <w:rFonts w:hint="eastAsia" w:ascii="仿宋" w:hAnsi="仿宋" w:eastAsia="仿宋"/>
          <w:sz w:val="32"/>
          <w:szCs w:val="32"/>
        </w:rPr>
        <w:t>基本支出：指为保障机构正常运转、完成日常工作任务而发生的人员支出和公用支出。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8.</w:t>
      </w:r>
      <w:r>
        <w:rPr>
          <w:rFonts w:hint="eastAsia" w:ascii="仿宋" w:hAnsi="仿宋" w:eastAsia="仿宋"/>
          <w:sz w:val="32"/>
          <w:szCs w:val="32"/>
        </w:rPr>
        <w:t>项目支出：指在基本支出之外为完成特定行政任务和事业发展目标所发生的支出。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9.</w:t>
      </w:r>
      <w:r>
        <w:rPr>
          <w:rFonts w:hint="eastAsia" w:ascii="仿宋" w:hAnsi="仿宋" w:eastAsia="仿宋"/>
          <w:sz w:val="32"/>
          <w:szCs w:val="32"/>
        </w:rPr>
        <w:t>经营支出：指事业单位在专业业务活动及其辅助活动之外开展非独立核算经营活动发生的支出。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Style w:val="24"/>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4"/>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53" w:name="_Toc15396618"/>
      <w:r>
        <w:rPr>
          <w:rFonts w:hint="eastAsia" w:ascii="宋体" w:hAnsi="宋体" w:cs="宋体"/>
          <w:kern w:val="0"/>
          <w:sz w:val="32"/>
          <w:szCs w:val="32"/>
        </w:rPr>
        <w:t>部门预算项目支出绩效自评表（2022年度）见附件</w:t>
      </w:r>
    </w:p>
    <w:p>
      <w:pPr>
        <w:spacing w:line="600" w:lineRule="exact"/>
        <w:jc w:val="left"/>
        <w:outlineLvl w:val="0"/>
        <w:rPr>
          <w:rFonts w:ascii="仿宋_GB2312" w:hAnsi="Calibri" w:eastAsia="仿宋_GB2312" w:cs="仿宋"/>
          <w:kern w:val="0"/>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5"/>
          <w:rFonts w:hint="eastAsia" w:ascii="仿宋" w:hAnsi="仿宋" w:eastAsia="仿宋"/>
          <w:b w:val="0"/>
          <w:bCs w:val="0"/>
        </w:rPr>
        <w:t>十、</w:t>
      </w:r>
      <w:bookmarkEnd w:id="63"/>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5"/>
          <w:rFonts w:hint="eastAsia" w:ascii="仿宋" w:hAnsi="仿宋" w:eastAsia="仿宋"/>
          <w:b w:val="0"/>
          <w:bCs w:val="0"/>
        </w:rPr>
        <w:t>十一、</w:t>
      </w:r>
      <w:bookmarkEnd w:id="64"/>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5"/>
          <w:rFonts w:hint="eastAsia" w:ascii="仿宋" w:hAnsi="仿宋" w:eastAsia="仿宋"/>
          <w:b w:val="0"/>
          <w:bCs w:val="0"/>
        </w:rPr>
        <w:t>十二、</w:t>
      </w:r>
      <w:bookmarkEnd w:id="65"/>
      <w:r>
        <w:rPr>
          <w:rStyle w:val="25"/>
          <w:rFonts w:hint="eastAsia" w:ascii="仿宋" w:hAnsi="仿宋" w:eastAsia="仿宋"/>
          <w:b w:val="0"/>
          <w:bCs w:val="0"/>
        </w:rPr>
        <w:t>国有资本经营预算财政拨款支出决算表</w:t>
      </w:r>
    </w:p>
    <w:p>
      <w:pPr>
        <w:pStyle w:val="4"/>
        <w:rPr>
          <w:rFonts w:eastAsia="仿宋"/>
        </w:rPr>
      </w:pPr>
      <w:bookmarkStart w:id="66" w:name="_Toc15396631"/>
      <w:r>
        <w:rPr>
          <w:rStyle w:val="25"/>
          <w:rFonts w:hint="eastAsia" w:ascii="仿宋" w:hAnsi="仿宋" w:eastAsia="仿宋"/>
          <w:b w:val="0"/>
          <w:bCs w:val="0"/>
        </w:rPr>
        <w:t>十三、</w:t>
      </w:r>
      <w:bookmarkEnd w:id="66"/>
      <w:r>
        <w:rPr>
          <w:rStyle w:val="25"/>
          <w:rFonts w:hint="eastAsia" w:ascii="仿宋" w:hAnsi="仿宋" w:eastAsia="仿宋"/>
          <w:b w:val="0"/>
          <w:bCs w:val="0"/>
        </w:rPr>
        <w:t>财政拨款“三公”经费支出决算表</w:t>
      </w:r>
    </w:p>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14</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2ZWExMDIwMTAyNTlkY2I3MDQ0MGE2NzkwYzQ5NG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7BD"/>
    <w:rsid w:val="000B6FF3"/>
    <w:rsid w:val="000C3467"/>
    <w:rsid w:val="000C3CA6"/>
    <w:rsid w:val="000D1267"/>
    <w:rsid w:val="000D1D50"/>
    <w:rsid w:val="000D5782"/>
    <w:rsid w:val="000E6613"/>
    <w:rsid w:val="000E7119"/>
    <w:rsid w:val="000F3D30"/>
    <w:rsid w:val="00114E9B"/>
    <w:rsid w:val="00123991"/>
    <w:rsid w:val="00141BE0"/>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40A7"/>
    <w:rsid w:val="001F7506"/>
    <w:rsid w:val="002006CD"/>
    <w:rsid w:val="00202B36"/>
    <w:rsid w:val="00204B7A"/>
    <w:rsid w:val="00204CDE"/>
    <w:rsid w:val="0021101A"/>
    <w:rsid w:val="002146A1"/>
    <w:rsid w:val="00220536"/>
    <w:rsid w:val="00233CE2"/>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27DFC"/>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72ED"/>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07A58"/>
    <w:rsid w:val="00512FDA"/>
    <w:rsid w:val="00520DA0"/>
    <w:rsid w:val="00553BD2"/>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271D5"/>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56D85"/>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254F4"/>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14A42"/>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E4E9C"/>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1D90"/>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24D8"/>
    <w:rsid w:val="00B77EA6"/>
    <w:rsid w:val="00B81598"/>
    <w:rsid w:val="00B841F1"/>
    <w:rsid w:val="00B9434A"/>
    <w:rsid w:val="00B944D6"/>
    <w:rsid w:val="00BB4DF0"/>
    <w:rsid w:val="00BC289F"/>
    <w:rsid w:val="00BC2D50"/>
    <w:rsid w:val="00BC5361"/>
    <w:rsid w:val="00BC5460"/>
    <w:rsid w:val="00BC6B50"/>
    <w:rsid w:val="00BD0E25"/>
    <w:rsid w:val="00BF5BD6"/>
    <w:rsid w:val="00C03E31"/>
    <w:rsid w:val="00C30A33"/>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CF1A49"/>
    <w:rsid w:val="00D0000B"/>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3403"/>
    <w:rsid w:val="00FD3CC1"/>
    <w:rsid w:val="00FE61F1"/>
    <w:rsid w:val="00FF1E02"/>
    <w:rsid w:val="00FF30B4"/>
    <w:rsid w:val="053A62B5"/>
    <w:rsid w:val="05D112B4"/>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0D61A7F"/>
    <w:rsid w:val="319F7F4E"/>
    <w:rsid w:val="383D272C"/>
    <w:rsid w:val="39AE70AB"/>
    <w:rsid w:val="3C0C0783"/>
    <w:rsid w:val="3F9F3A96"/>
    <w:rsid w:val="48BF60AB"/>
    <w:rsid w:val="493C27E9"/>
    <w:rsid w:val="496F39ED"/>
    <w:rsid w:val="49FF41D3"/>
    <w:rsid w:val="4BE068DB"/>
    <w:rsid w:val="4BF6002B"/>
    <w:rsid w:val="4ECE2238"/>
    <w:rsid w:val="515135CA"/>
    <w:rsid w:val="51DB4B86"/>
    <w:rsid w:val="55333C3E"/>
    <w:rsid w:val="64CA39A1"/>
    <w:rsid w:val="66C90AEC"/>
    <w:rsid w:val="69630ADE"/>
    <w:rsid w:val="6C4A05C8"/>
    <w:rsid w:val="6D3B1A89"/>
    <w:rsid w:val="71BF4EC2"/>
    <w:rsid w:val="72734D90"/>
    <w:rsid w:val="7412278C"/>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18</Pages>
  <Words>4945</Words>
  <Characters>618</Characters>
  <Lines>5</Lines>
  <Paragraphs>11</Paragraphs>
  <TotalTime>5</TotalTime>
  <ScaleCrop>false</ScaleCrop>
  <LinksUpToDate>false</LinksUpToDate>
  <CharactersWithSpaces>5552</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2023-10-30T09:14:00Z</cp:lastPrinted>
  <dcterms:modified xsi:type="dcterms:W3CDTF">2024-05-23T10:13:26Z</dcterms:modified>
  <dc:title>四川省***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46250A3C7F81477E9398D00FE0508E05_12</vt:lpwstr>
  </property>
</Properties>
</file>