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425"/>
      <w:bookmarkStart w:id="3" w:name="_Toc15396475"/>
      <w:bookmarkStart w:id="4" w:name="_Toc15378441"/>
      <w:bookmarkStart w:id="5" w:name="_Toc15377193"/>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8442"/>
      <w:bookmarkStart w:id="7" w:name="_Toc15396598"/>
      <w:bookmarkStart w:id="8" w:name="_Toc15396476"/>
      <w:bookmarkStart w:id="9" w:name="_Toc15377426"/>
      <w:bookmarkStart w:id="10" w:name="_Toc15306268"/>
      <w:bookmarkStart w:id="11" w:name="_Toc15377194"/>
      <w:r>
        <w:rPr>
          <w:rFonts w:hint="eastAsia" w:ascii="方正小标宋简体" w:hAnsi="方正小标宋简体" w:eastAsia="方正小标宋简体" w:cs="方正小标宋简体"/>
          <w:sz w:val="72"/>
          <w:szCs w:val="72"/>
        </w:rPr>
        <w:t>攀枝花市西区文化广播电视和旅游局单位决算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公开时间：2023年10月30日</w:t>
      </w:r>
    </w:p>
    <w:p/>
    <w:p>
      <w:pPr>
        <w:pStyle w:val="10"/>
        <w:adjustRightInd w:val="0"/>
        <w:snapToGrid w:val="0"/>
        <w:spacing w:before="0" w:line="440" w:lineRule="exact"/>
        <w:jc w:val="left"/>
        <w:rPr>
          <w:rFonts w:hint="eastAsia" w:ascii="Times New Roman" w:hAnsi="Times New Roman" w:eastAsia="宋体" w:cs="Times New Roman"/>
          <w:kern w:val="2"/>
          <w:sz w:val="24"/>
          <w:szCs w:val="24"/>
          <w:lang w:val="en-US" w:eastAsia="zh-CN" w:bidi="ar-SA"/>
        </w:rPr>
      </w:pPr>
      <w:bookmarkStart w:id="71" w:name="_GoBack"/>
      <w:r>
        <w:rPr>
          <w:rFonts w:hint="eastAsia" w:ascii="Times New Roman" w:hAnsi="Times New Roman" w:eastAsia="宋体" w:cs="Times New Roman"/>
          <w:kern w:val="2"/>
          <w:sz w:val="24"/>
          <w:szCs w:val="24"/>
          <w:lang w:val="en-US" w:eastAsia="zh-CN" w:bidi="ar-SA"/>
        </w:rPr>
        <w:t>一、单位概况</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1</w:t>
      </w:r>
    </w:p>
    <w:p>
      <w:pPr>
        <w:pStyle w:val="11"/>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（一）主要职责</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1</w:t>
      </w:r>
    </w:p>
    <w:p>
      <w:pPr>
        <w:pStyle w:val="11"/>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（二）机构设置</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3</w:t>
      </w:r>
    </w:p>
    <w:p>
      <w:pPr>
        <w:pStyle w:val="10"/>
        <w:adjustRightInd w:val="0"/>
        <w:snapToGrid w:val="0"/>
        <w:spacing w:before="0"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二、 2022年度单位决算情况说明</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4</w:t>
      </w:r>
    </w:p>
    <w:p>
      <w:pPr>
        <w:pStyle w:val="11"/>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（一）收入支出决算总体情况说明</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4</w:t>
      </w:r>
    </w:p>
    <w:p>
      <w:pPr>
        <w:pStyle w:val="11"/>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（二）收入决算情况说明</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4</w:t>
      </w:r>
    </w:p>
    <w:p>
      <w:pPr>
        <w:pStyle w:val="11"/>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（三）支出决算情况说明</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5</w:t>
      </w:r>
    </w:p>
    <w:p>
      <w:pPr>
        <w:pStyle w:val="11"/>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（四）财政拨款收入支出决算总体情况说明</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5</w:t>
      </w:r>
    </w:p>
    <w:p>
      <w:pPr>
        <w:pStyle w:val="11"/>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（五）一般公共预算财政拨款支出决算情况说明</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6</w:t>
      </w:r>
    </w:p>
    <w:p>
      <w:pPr>
        <w:pStyle w:val="11"/>
        <w:adjustRightInd w:val="0"/>
        <w:snapToGrid w:val="0"/>
        <w:spacing w:line="440"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（六）一般公共预算财政拨款基本支出决算情况说明</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10</w:t>
      </w:r>
    </w:p>
    <w:p>
      <w:pPr>
        <w:pStyle w:val="11"/>
        <w:adjustRightInd w:val="0"/>
        <w:snapToGrid w:val="0"/>
        <w:spacing w:line="440" w:lineRule="exact"/>
        <w:jc w:val="left"/>
        <w:rPr>
          <w:rFonts w:hint="eastAsia"/>
          <w:sz w:val="24"/>
          <w:lang w:val="en-US" w:eastAsia="zh-CN"/>
        </w:rPr>
      </w:pPr>
      <w:r>
        <w:rPr>
          <w:rFonts w:hint="eastAsia" w:ascii="Times New Roman" w:hAnsi="Times New Roman" w:eastAsia="宋体" w:cs="Times New Roman"/>
          <w:kern w:val="2"/>
          <w:sz w:val="24"/>
          <w:szCs w:val="24"/>
          <w:lang w:val="en-US" w:eastAsia="zh-CN" w:bidi="ar-SA"/>
        </w:rPr>
        <w:t>（七）财政拨款“三公”经费支出决算情况说明</w:t>
      </w:r>
      <w:r>
        <w:rPr>
          <w:rFonts w:hint="eastAsia"/>
          <w:sz w:val="24"/>
          <w:lang w:val="en-US" w:eastAsia="zh-CN"/>
        </w:rPr>
        <w:tab/>
      </w:r>
      <w:r>
        <w:rPr>
          <w:rFonts w:hint="eastAsia"/>
          <w:sz w:val="24"/>
          <w:lang w:val="en-US" w:eastAsia="zh-CN"/>
        </w:rPr>
        <w:t>10</w:t>
      </w:r>
    </w:p>
    <w:p>
      <w:pPr>
        <w:pStyle w:val="11"/>
        <w:adjustRightInd w:val="0"/>
        <w:snapToGrid w:val="0"/>
        <w:spacing w:line="440" w:lineRule="exact"/>
        <w:jc w:val="left"/>
        <w:rPr>
          <w:rFonts w:hint="default"/>
          <w:sz w:val="24"/>
          <w:lang w:val="en-US" w:eastAsia="zh-CN"/>
        </w:rPr>
      </w:pPr>
      <w:r>
        <w:rPr>
          <w:rFonts w:hint="eastAsia"/>
          <w:sz w:val="24"/>
          <w:lang w:val="en-US" w:eastAsia="zh-CN"/>
        </w:rPr>
        <w:t>（八）政府性基金预算支出决算情况说明</w:t>
      </w:r>
      <w:r>
        <w:rPr>
          <w:rFonts w:hint="eastAsia"/>
          <w:sz w:val="24"/>
          <w:lang w:val="en-US" w:eastAsia="zh-CN"/>
        </w:rPr>
        <w:tab/>
      </w:r>
      <w:r>
        <w:rPr>
          <w:rFonts w:hint="eastAsia"/>
          <w:sz w:val="24"/>
          <w:lang w:val="en-US" w:eastAsia="zh-CN"/>
        </w:rPr>
        <w:t>11</w:t>
      </w:r>
    </w:p>
    <w:p>
      <w:pPr>
        <w:pStyle w:val="11"/>
        <w:adjustRightInd w:val="0"/>
        <w:snapToGrid w:val="0"/>
        <w:spacing w:line="440" w:lineRule="exact"/>
        <w:jc w:val="left"/>
        <w:rPr>
          <w:rFonts w:hint="eastAsia"/>
          <w:sz w:val="24"/>
          <w:lang w:val="en-US" w:eastAsia="zh-CN"/>
        </w:rPr>
      </w:pPr>
      <w:r>
        <w:rPr>
          <w:rFonts w:hint="eastAsia"/>
          <w:sz w:val="24"/>
          <w:lang w:val="en-US" w:eastAsia="zh-CN"/>
        </w:rPr>
        <w:t>（九）国有资本经营预算支出决算情况说明</w:t>
      </w:r>
      <w:r>
        <w:rPr>
          <w:rFonts w:hint="eastAsia"/>
          <w:sz w:val="24"/>
          <w:lang w:val="en-US" w:eastAsia="zh-CN"/>
        </w:rPr>
        <w:tab/>
      </w:r>
      <w:r>
        <w:rPr>
          <w:rFonts w:hint="eastAsia"/>
          <w:sz w:val="24"/>
          <w:lang w:val="en-US" w:eastAsia="zh-CN"/>
        </w:rPr>
        <w:t>11</w:t>
      </w:r>
    </w:p>
    <w:p>
      <w:pPr>
        <w:pStyle w:val="11"/>
        <w:adjustRightInd w:val="0"/>
        <w:snapToGrid w:val="0"/>
        <w:spacing w:line="440" w:lineRule="exact"/>
        <w:jc w:val="left"/>
        <w:rPr>
          <w:rFonts w:hint="eastAsia"/>
          <w:sz w:val="24"/>
          <w:lang w:eastAsia="zh-CN"/>
        </w:rPr>
      </w:pPr>
      <w:r>
        <w:rPr>
          <w:rFonts w:hint="eastAsia"/>
          <w:sz w:val="24"/>
          <w:lang w:val="en-US" w:eastAsia="zh-CN"/>
        </w:rPr>
        <w:t>（十）其他重要事项的情况</w:t>
      </w:r>
      <w:r>
        <w:rPr>
          <w:rFonts w:hint="eastAsia"/>
          <w:sz w:val="24"/>
        </w:rPr>
        <w:t>说明</w:t>
      </w:r>
      <w:r>
        <w:rPr>
          <w:rFonts w:hint="eastAsia"/>
          <w:sz w:val="24"/>
        </w:rPr>
        <w:tab/>
      </w:r>
      <w:r>
        <w:rPr>
          <w:rFonts w:hint="eastAsia"/>
          <w:sz w:val="24"/>
        </w:rPr>
        <w:t>1</w:t>
      </w:r>
      <w:r>
        <w:rPr>
          <w:rFonts w:hint="eastAsia"/>
          <w:sz w:val="24"/>
          <w:lang w:val="en-US" w:eastAsia="zh-CN"/>
        </w:rPr>
        <w:t>2</w:t>
      </w:r>
    </w:p>
    <w:p>
      <w:pPr>
        <w:pStyle w:val="11"/>
        <w:adjustRightInd w:val="0"/>
        <w:snapToGrid w:val="0"/>
        <w:spacing w:line="440" w:lineRule="exact"/>
        <w:ind w:left="0" w:leftChars="0" w:firstLine="0" w:firstLineChars="0"/>
        <w:jc w:val="left"/>
        <w:rPr>
          <w:rFonts w:hint="default" w:eastAsia="仿宋" w:cstheme="minorBidi"/>
          <w:sz w:val="24"/>
          <w:szCs w:val="24"/>
          <w:lang w:val="en-US" w:eastAsia="zh-CN"/>
        </w:rPr>
      </w:pPr>
      <w:r>
        <w:rPr>
          <w:rFonts w:hint="eastAsia"/>
          <w:sz w:val="24"/>
          <w:lang w:eastAsia="zh-CN"/>
        </w:rPr>
        <w:t>三、</w:t>
      </w:r>
      <w:r>
        <w:rPr>
          <w:rFonts w:hint="eastAsia"/>
          <w:sz w:val="24"/>
        </w:rPr>
        <w:t>名词解释</w:t>
      </w:r>
      <w:r>
        <w:rPr>
          <w:rFonts w:cstheme="minorBidi"/>
          <w:sz w:val="24"/>
        </w:rPr>
        <w:tab/>
      </w:r>
      <w:r>
        <w:rPr>
          <w:rFonts w:hint="eastAsia" w:cstheme="minorBidi"/>
          <w:sz w:val="24"/>
          <w:lang w:val="en-US" w:eastAsia="zh-CN"/>
        </w:rPr>
        <w:t>14</w:t>
      </w:r>
    </w:p>
    <w:p>
      <w:pPr>
        <w:pStyle w:val="10"/>
        <w:adjustRightInd w:val="0"/>
        <w:snapToGrid w:val="0"/>
        <w:spacing w:before="0" w:line="440"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四、附件</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17</w:t>
      </w:r>
    </w:p>
    <w:p>
      <w:pPr>
        <w:pStyle w:val="10"/>
        <w:adjustRightInd w:val="0"/>
        <w:snapToGrid w:val="0"/>
        <w:spacing w:before="0" w:line="440"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五、附表</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18</w:t>
      </w:r>
    </w:p>
    <w:p>
      <w:pPr>
        <w:pStyle w:val="11"/>
        <w:adjustRightInd w:val="0"/>
        <w:snapToGrid w:val="0"/>
        <w:spacing w:line="440" w:lineRule="exact"/>
        <w:jc w:val="left"/>
        <w:rPr>
          <w:rFonts w:hint="default" w:eastAsia="宋体"/>
          <w:sz w:val="24"/>
          <w:lang w:val="en-US" w:eastAsia="zh-CN"/>
        </w:rPr>
      </w:pPr>
      <w:r>
        <w:rPr>
          <w:rFonts w:hint="eastAsia" w:ascii="Times New Roman" w:hAnsi="Times New Roman" w:eastAsia="宋体" w:cs="Times New Roman"/>
          <w:kern w:val="2"/>
          <w:sz w:val="24"/>
          <w:szCs w:val="24"/>
          <w:lang w:val="en-US" w:eastAsia="zh-CN" w:bidi="ar-SA"/>
        </w:rPr>
        <w:t>（一）收入支出决算总表</w:t>
      </w:r>
      <w:r>
        <w:rPr>
          <w:rFonts w:hint="eastAsia" w:ascii="Times New Roman" w:hAnsi="Times New Roman" w:eastAsia="宋体" w:cs="Times New Roman"/>
          <w:kern w:val="2"/>
          <w:sz w:val="24"/>
          <w:szCs w:val="24"/>
          <w:lang w:val="en-US" w:eastAsia="zh-CN" w:bidi="ar-SA"/>
        </w:rPr>
        <w:tab/>
      </w:r>
      <w:r>
        <w:rPr>
          <w:rFonts w:hint="eastAsia" w:cstheme="minorBidi"/>
          <w:sz w:val="24"/>
          <w:lang w:val="en-US" w:eastAsia="zh-CN"/>
        </w:rPr>
        <w:t>18</w:t>
      </w:r>
    </w:p>
    <w:p>
      <w:pPr>
        <w:pStyle w:val="11"/>
        <w:adjustRightInd w:val="0"/>
        <w:snapToGrid w:val="0"/>
        <w:spacing w:line="440" w:lineRule="exact"/>
        <w:jc w:val="left"/>
        <w:rPr>
          <w:rFonts w:hint="default"/>
          <w:sz w:val="24"/>
          <w:lang w:val="en-US" w:eastAsia="zh-CN"/>
        </w:rPr>
      </w:pPr>
      <w:r>
        <w:rPr>
          <w:rFonts w:hint="eastAsia"/>
          <w:sz w:val="24"/>
          <w:lang w:eastAsia="zh-CN"/>
        </w:rPr>
        <w:t>（二）</w:t>
      </w:r>
      <w:r>
        <w:rPr>
          <w:rFonts w:hint="eastAsia"/>
          <w:sz w:val="24"/>
        </w:rPr>
        <w:t>收入决算表</w:t>
      </w:r>
      <w:r>
        <w:rPr>
          <w:rFonts w:hint="eastAsia"/>
          <w:sz w:val="24"/>
        </w:rPr>
        <w:tab/>
      </w:r>
      <w:r>
        <w:rPr>
          <w:rFonts w:hint="eastAsia"/>
          <w:sz w:val="24"/>
          <w:lang w:val="en-US" w:eastAsia="zh-CN"/>
        </w:rPr>
        <w:t>18</w:t>
      </w:r>
    </w:p>
    <w:p>
      <w:pPr>
        <w:pStyle w:val="11"/>
        <w:adjustRightInd w:val="0"/>
        <w:snapToGrid w:val="0"/>
        <w:spacing w:line="440" w:lineRule="exact"/>
        <w:jc w:val="left"/>
        <w:rPr>
          <w:rFonts w:hint="default"/>
          <w:sz w:val="24"/>
          <w:lang w:val="en-US" w:eastAsia="zh-CN"/>
        </w:rPr>
      </w:pPr>
      <w:r>
        <w:rPr>
          <w:rFonts w:hint="eastAsia"/>
          <w:sz w:val="24"/>
          <w:lang w:eastAsia="zh-CN"/>
        </w:rPr>
        <w:t>（三）</w:t>
      </w:r>
      <w:r>
        <w:rPr>
          <w:rFonts w:hint="eastAsia"/>
          <w:sz w:val="24"/>
        </w:rPr>
        <w:t>支出决算表</w:t>
      </w:r>
      <w:r>
        <w:rPr>
          <w:rFonts w:hint="eastAsia"/>
          <w:sz w:val="24"/>
        </w:rPr>
        <w:tab/>
      </w:r>
      <w:r>
        <w:rPr>
          <w:rFonts w:hint="eastAsia"/>
          <w:sz w:val="24"/>
          <w:lang w:val="en-US" w:eastAsia="zh-CN"/>
        </w:rPr>
        <w:t>18</w:t>
      </w:r>
    </w:p>
    <w:p>
      <w:pPr>
        <w:pStyle w:val="11"/>
        <w:adjustRightInd w:val="0"/>
        <w:snapToGrid w:val="0"/>
        <w:spacing w:line="440" w:lineRule="exact"/>
        <w:jc w:val="left"/>
        <w:rPr>
          <w:rFonts w:hint="default"/>
          <w:sz w:val="24"/>
          <w:lang w:val="en-US" w:eastAsia="zh-CN"/>
        </w:rPr>
      </w:pPr>
      <w:r>
        <w:rPr>
          <w:rFonts w:hint="eastAsia"/>
          <w:sz w:val="24"/>
          <w:lang w:eastAsia="zh-CN"/>
        </w:rPr>
        <w:t>（四）</w:t>
      </w:r>
      <w:r>
        <w:rPr>
          <w:rFonts w:hint="eastAsia"/>
          <w:sz w:val="24"/>
        </w:rPr>
        <w:t>财政拨款收入支出决算总表</w:t>
      </w:r>
      <w:r>
        <w:rPr>
          <w:rFonts w:hint="eastAsia"/>
          <w:sz w:val="24"/>
        </w:rPr>
        <w:tab/>
      </w:r>
      <w:r>
        <w:rPr>
          <w:rFonts w:hint="eastAsia"/>
          <w:sz w:val="24"/>
          <w:lang w:val="en-US" w:eastAsia="zh-CN"/>
        </w:rPr>
        <w:t>18</w:t>
      </w:r>
    </w:p>
    <w:p>
      <w:pPr>
        <w:pStyle w:val="11"/>
        <w:adjustRightInd w:val="0"/>
        <w:snapToGrid w:val="0"/>
        <w:spacing w:line="440" w:lineRule="exact"/>
        <w:jc w:val="left"/>
        <w:rPr>
          <w:rFonts w:hint="default"/>
          <w:sz w:val="24"/>
          <w:lang w:val="en-US" w:eastAsia="zh-CN"/>
        </w:rPr>
      </w:pPr>
      <w:r>
        <w:rPr>
          <w:rFonts w:hint="eastAsia"/>
          <w:sz w:val="24"/>
          <w:lang w:eastAsia="zh-CN"/>
        </w:rPr>
        <w:t>（五）</w:t>
      </w:r>
      <w:r>
        <w:rPr>
          <w:rFonts w:hint="eastAsia"/>
          <w:sz w:val="24"/>
        </w:rPr>
        <w:t>财政拨款支出决算明细表</w:t>
      </w:r>
      <w:r>
        <w:rPr>
          <w:rFonts w:hint="eastAsia"/>
          <w:sz w:val="24"/>
        </w:rPr>
        <w:tab/>
      </w:r>
      <w:r>
        <w:rPr>
          <w:rFonts w:hint="eastAsia"/>
          <w:sz w:val="24"/>
          <w:lang w:val="en-US" w:eastAsia="zh-CN"/>
        </w:rPr>
        <w:t>18</w:t>
      </w:r>
    </w:p>
    <w:p>
      <w:pPr>
        <w:pStyle w:val="11"/>
        <w:adjustRightInd w:val="0"/>
        <w:snapToGrid w:val="0"/>
        <w:spacing w:line="440" w:lineRule="exact"/>
        <w:jc w:val="left"/>
        <w:rPr>
          <w:rFonts w:hint="default"/>
          <w:sz w:val="24"/>
          <w:lang w:val="en-US" w:eastAsia="zh-CN"/>
        </w:rPr>
      </w:pPr>
      <w:r>
        <w:rPr>
          <w:rFonts w:hint="eastAsia"/>
          <w:sz w:val="24"/>
          <w:lang w:eastAsia="zh-CN"/>
        </w:rPr>
        <w:t>（六）</w:t>
      </w:r>
      <w:r>
        <w:rPr>
          <w:rFonts w:hint="eastAsia"/>
          <w:sz w:val="24"/>
        </w:rPr>
        <w:t>一般公共预算财政拨款支出决算表</w:t>
      </w:r>
      <w:r>
        <w:rPr>
          <w:rFonts w:hint="eastAsia"/>
          <w:sz w:val="24"/>
        </w:rPr>
        <w:tab/>
      </w:r>
      <w:r>
        <w:rPr>
          <w:rFonts w:hint="eastAsia"/>
          <w:sz w:val="24"/>
          <w:lang w:val="en-US" w:eastAsia="zh-CN"/>
        </w:rPr>
        <w:t>18</w:t>
      </w:r>
    </w:p>
    <w:p>
      <w:pPr>
        <w:pStyle w:val="11"/>
        <w:adjustRightInd w:val="0"/>
        <w:snapToGrid w:val="0"/>
        <w:spacing w:line="440" w:lineRule="exact"/>
        <w:jc w:val="left"/>
        <w:rPr>
          <w:rFonts w:hint="default"/>
          <w:sz w:val="24"/>
          <w:lang w:val="en-US" w:eastAsia="zh-CN"/>
        </w:rPr>
      </w:pPr>
      <w:r>
        <w:rPr>
          <w:rFonts w:hint="eastAsia"/>
          <w:sz w:val="24"/>
          <w:lang w:eastAsia="zh-CN"/>
        </w:rPr>
        <w:t>（七）</w:t>
      </w:r>
      <w:r>
        <w:rPr>
          <w:rFonts w:hint="eastAsia"/>
          <w:sz w:val="24"/>
        </w:rPr>
        <w:t>一般公共预算财政拨款支出决算明细表</w:t>
      </w:r>
      <w:r>
        <w:rPr>
          <w:rFonts w:hint="eastAsia"/>
          <w:sz w:val="24"/>
        </w:rPr>
        <w:tab/>
      </w:r>
      <w:r>
        <w:rPr>
          <w:rFonts w:hint="eastAsia"/>
          <w:sz w:val="24"/>
          <w:lang w:val="en-US" w:eastAsia="zh-CN"/>
        </w:rPr>
        <w:t>18</w:t>
      </w:r>
    </w:p>
    <w:p>
      <w:pPr>
        <w:pStyle w:val="11"/>
        <w:adjustRightInd w:val="0"/>
        <w:snapToGrid w:val="0"/>
        <w:spacing w:line="440" w:lineRule="exact"/>
        <w:jc w:val="left"/>
        <w:rPr>
          <w:rFonts w:hint="default"/>
          <w:sz w:val="24"/>
          <w:lang w:val="en-US" w:eastAsia="zh-CN"/>
        </w:rPr>
      </w:pPr>
      <w:r>
        <w:rPr>
          <w:rFonts w:hint="eastAsia"/>
          <w:sz w:val="24"/>
          <w:lang w:eastAsia="zh-CN"/>
        </w:rPr>
        <w:t>（八）</w:t>
      </w:r>
      <w:r>
        <w:rPr>
          <w:rFonts w:hint="eastAsia"/>
          <w:sz w:val="24"/>
        </w:rPr>
        <w:t>一般公共预算财政拨款基本支出决算明细表</w:t>
      </w:r>
      <w:r>
        <w:rPr>
          <w:rFonts w:hint="eastAsia"/>
          <w:sz w:val="24"/>
        </w:rPr>
        <w:tab/>
      </w:r>
      <w:r>
        <w:rPr>
          <w:rFonts w:hint="eastAsia"/>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lang w:eastAsia="zh-CN"/>
        </w:rPr>
        <w:t>（九）</w:t>
      </w:r>
      <w:r>
        <w:rPr>
          <w:rFonts w:hint="eastAsia"/>
          <w:sz w:val="24"/>
        </w:rPr>
        <w:t>一般公共预算财政拨款项目支出决算表</w:t>
      </w:r>
      <w:r>
        <w:rPr>
          <w:rFonts w:hint="eastAsia"/>
          <w:sz w:val="24"/>
        </w:rPr>
        <w:tab/>
      </w:r>
      <w:r>
        <w:rPr>
          <w:rFonts w:hint="eastAsia" w:cstheme="minorBidi"/>
          <w:sz w:val="24"/>
          <w:lang w:val="en-US" w:eastAsia="zh-CN"/>
        </w:rPr>
        <w:t>18</w:t>
      </w:r>
    </w:p>
    <w:p>
      <w:pPr>
        <w:pStyle w:val="11"/>
        <w:adjustRightInd w:val="0"/>
        <w:snapToGrid w:val="0"/>
        <w:spacing w:line="440" w:lineRule="exact"/>
        <w:jc w:val="left"/>
        <w:rPr>
          <w:rFonts w:hint="default"/>
          <w:sz w:val="24"/>
          <w:lang w:val="en-US" w:eastAsia="zh-CN"/>
        </w:rPr>
      </w:pPr>
      <w:r>
        <w:rPr>
          <w:rFonts w:hint="eastAsia"/>
          <w:sz w:val="24"/>
          <w:lang w:eastAsia="zh-CN"/>
        </w:rPr>
        <w:t>（十）</w:t>
      </w:r>
      <w:r>
        <w:rPr>
          <w:rFonts w:hint="eastAsia"/>
          <w:sz w:val="24"/>
        </w:rPr>
        <w:t>政府性基金预算财政拨款收入支出决算表</w:t>
      </w:r>
      <w:r>
        <w:rPr>
          <w:rFonts w:hint="eastAsia"/>
          <w:sz w:val="24"/>
        </w:rPr>
        <w:tab/>
      </w:r>
      <w:r>
        <w:rPr>
          <w:rFonts w:hint="eastAsia"/>
          <w:sz w:val="24"/>
          <w:lang w:val="en-US" w:eastAsia="zh-CN"/>
        </w:rPr>
        <w:t>18</w:t>
      </w:r>
    </w:p>
    <w:p>
      <w:pPr>
        <w:pStyle w:val="11"/>
        <w:adjustRightInd w:val="0"/>
        <w:snapToGrid w:val="0"/>
        <w:spacing w:line="440" w:lineRule="exact"/>
        <w:jc w:val="left"/>
        <w:rPr>
          <w:rFonts w:hint="default"/>
          <w:sz w:val="24"/>
          <w:lang w:val="en-US" w:eastAsia="zh-CN"/>
        </w:rPr>
      </w:pPr>
      <w:r>
        <w:rPr>
          <w:rFonts w:hint="eastAsia"/>
          <w:sz w:val="24"/>
          <w:lang w:eastAsia="zh-CN"/>
        </w:rPr>
        <w:t>（十一）</w:t>
      </w:r>
      <w:r>
        <w:rPr>
          <w:rFonts w:hint="eastAsia"/>
          <w:sz w:val="24"/>
        </w:rPr>
        <w:t>国有资本经营预算财政拨款收入支出决算表</w:t>
      </w:r>
      <w:r>
        <w:rPr>
          <w:rFonts w:hint="eastAsia"/>
          <w:sz w:val="24"/>
        </w:rPr>
        <w:tab/>
      </w:r>
      <w:r>
        <w:rPr>
          <w:rFonts w:hint="eastAsia"/>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lang w:eastAsia="zh-CN"/>
        </w:rPr>
        <w:t>（十二）</w:t>
      </w:r>
      <w:r>
        <w:rPr>
          <w:rFonts w:hint="eastAsia"/>
          <w:sz w:val="24"/>
        </w:rPr>
        <w:t>国有资本经营预算财政拨款支出决算表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lang w:eastAsia="zh-CN"/>
        </w:rPr>
        <w:t>（十三）</w:t>
      </w:r>
      <w:r>
        <w:rPr>
          <w:rFonts w:hint="eastAsia"/>
          <w:sz w:val="24"/>
        </w:rPr>
        <w:t>财政拨款“三公”经费支出决算表</w:t>
      </w:r>
      <w:r>
        <w:rPr>
          <w:rFonts w:cstheme="minorBidi"/>
          <w:sz w:val="24"/>
        </w:rPr>
        <w:tab/>
      </w:r>
      <w:r>
        <w:rPr>
          <w:rFonts w:hint="eastAsia" w:cstheme="minorBidi"/>
          <w:sz w:val="24"/>
          <w:lang w:val="en-US" w:eastAsia="zh-CN"/>
        </w:rPr>
        <w:t>18</w:t>
      </w:r>
    </w:p>
    <w:bookmarkEnd w:id="71"/>
    <w:p>
      <w:pPr>
        <w:widowControl/>
        <w:adjustRightInd w:val="0"/>
        <w:snapToGrid w:val="0"/>
        <w:spacing w:line="440" w:lineRule="exact"/>
        <w:ind w:firstLine="1320" w:firstLineChars="550"/>
        <w:jc w:val="left"/>
        <w:rPr>
          <w:rFonts w:ascii="仿宋" w:hAnsi="仿宋" w:eastAsia="仿宋"/>
          <w:sz w:val="24"/>
        </w:rPr>
      </w:pPr>
    </w:p>
    <w:p>
      <w:pPr>
        <w:pStyle w:val="3"/>
        <w:jc w:val="center"/>
        <w:rPr>
          <w:rFonts w:hint="eastAsia" w:ascii="黑体" w:hAnsi="黑体" w:eastAsia="黑体"/>
          <w:b w:val="0"/>
        </w:rPr>
        <w:sectPr>
          <w:headerReference r:id="rId3" w:type="default"/>
          <w:pgSz w:w="11906" w:h="16838"/>
          <w:pgMar w:top="1440" w:right="1800" w:bottom="1440" w:left="1800" w:header="851" w:footer="992" w:gutter="0"/>
          <w:pgNumType w:start="1"/>
          <w:cols w:space="425" w:num="1"/>
          <w:titlePg/>
          <w:docGrid w:type="lines" w:linePitch="312" w:charSpace="0"/>
        </w:sectPr>
      </w:pPr>
      <w:bookmarkStart w:id="12" w:name="_Toc15377196"/>
      <w:bookmarkStart w:id="13" w:name="_Toc15396599"/>
    </w:p>
    <w:p>
      <w:pPr>
        <w:pStyle w:val="3"/>
        <w:jc w:val="center"/>
        <w:rPr>
          <w:rStyle w:val="25"/>
          <w:rFonts w:ascii="黑体" w:hAnsi="黑体" w:eastAsia="黑体"/>
          <w:b/>
          <w:bCs w:val="0"/>
        </w:rPr>
      </w:pPr>
      <w:r>
        <w:rPr>
          <w:rFonts w:hint="eastAsia" w:ascii="黑体" w:hAnsi="黑体" w:eastAsia="黑体"/>
          <w:b w:val="0"/>
        </w:rPr>
        <w:t>第一部分 单位</w:t>
      </w:r>
      <w:r>
        <w:rPr>
          <w:rStyle w:val="25"/>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rPr>
          <w:rStyle w:val="26"/>
          <w:rFonts w:ascii="黑体" w:hAnsi="黑体" w:eastAsia="黑体"/>
          <w:b w:val="0"/>
          <w:bCs w:val="0"/>
        </w:rPr>
      </w:pPr>
      <w:bookmarkStart w:id="14" w:name="_Toc15377197"/>
      <w:bookmarkStart w:id="15" w:name="_Toc15396600"/>
      <w:r>
        <w:rPr>
          <w:rStyle w:val="26"/>
          <w:rFonts w:hint="eastAsia" w:ascii="黑体" w:hAnsi="黑体" w:eastAsia="黑体"/>
          <w:b w:val="0"/>
          <w:bCs w:val="0"/>
        </w:rPr>
        <w:t>一、主要职责</w:t>
      </w:r>
    </w:p>
    <w:p>
      <w:pPr>
        <w:spacing w:line="353" w:lineRule="auto"/>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1.拟订文化广播电视和旅游政策措施、规范性文件，加强文化广播电视阵地建设，把握正确的舆论导向和创作导向，负责本系统、本部门依法行政工作。</w:t>
      </w:r>
    </w:p>
    <w:p>
      <w:pPr>
        <w:spacing w:line="353" w:lineRule="auto"/>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2.组织推动全区文化、广播电视和旅游业发展，拟订发展规划并组织实施，推进文化广播电视和旅游体制机制改革，推进文化广播电视和旅游融合发展。</w:t>
      </w:r>
    </w:p>
    <w:p>
      <w:pPr>
        <w:spacing w:line="353" w:lineRule="auto"/>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3.管理全区重大文化广播电视和旅游活动，指导全区重点文化广播电视和旅游基础设施建设，组织全区文化广播电视和旅游宣传推广活动，促进文化广播电视和旅游产业对外合作与市场推广，制定旅游市场开发战略并组织实施，推进全域旅游。</w:t>
      </w:r>
    </w:p>
    <w:p>
      <w:pPr>
        <w:widowControl/>
        <w:shd w:val="clear" w:color="auto" w:fill="FFFFFF"/>
        <w:spacing w:line="353" w:lineRule="auto"/>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4.指导管理文化艺术、广播电视事业，推动文化艺术、广播电视创作生产，扶持体现社会主义核心价值观、具有导向性代表性示范性的文化艺术、广播电视作品，推动各门类文化艺术及艺术品种发展，推动中华优秀传统文化传承发展。</w:t>
      </w:r>
    </w:p>
    <w:p>
      <w:pPr>
        <w:pStyle w:val="12"/>
        <w:spacing w:line="353" w:lineRule="auto"/>
        <w:jc w:val="both"/>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5.负责公共文化事业发展，推进全区公共文化服务体系、广播电视基本公共服务和旅游公共服务建设，组织实施公共服务重大公益工程和公益活动，深入实施惠民工程，统筹推进文化和广播电视基本公共服务标准化、均等化。</w:t>
      </w:r>
    </w:p>
    <w:p>
      <w:pPr>
        <w:pStyle w:val="12"/>
        <w:spacing w:line="353" w:lineRule="auto"/>
        <w:jc w:val="both"/>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6.推进文化广播电视和旅游行业信息化、标准化建设。组织实施文化和旅游资源普查、挖掘、保护与利用工作，促进产业发展。</w:t>
      </w:r>
    </w:p>
    <w:p>
      <w:pPr>
        <w:pStyle w:val="12"/>
        <w:spacing w:line="353" w:lineRule="auto"/>
        <w:jc w:val="both"/>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7.指导文化广播电视和旅游市场发展，对文化广播电视和旅游市场经营活动进行行业监管，推进行业信用体系建设，依法规范文化广播电视和旅游市场。负责全区文化旅游市场领域综合行政执法，组织或参与查处全区性跨区域文化、就让我、广播电视、旅游等市场的违法行为，督查督办大案要案，维护市场秩序。</w:t>
      </w:r>
    </w:p>
    <w:p>
      <w:pPr>
        <w:pStyle w:val="12"/>
        <w:spacing w:line="353" w:lineRule="auto"/>
        <w:jc w:val="both"/>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8.管理和指导全区文物保护利用与考古工作、协调、指导和监督全区文物安全，履行文物行政督察职责。监督管理全区文化遗产保护和博物馆事业，负责地方文物保护单位申报工作，推进全区文化遗产的管理、保护、传承、普及、弘扬和振兴工作。</w:t>
      </w:r>
    </w:p>
    <w:p>
      <w:pPr>
        <w:pStyle w:val="12"/>
        <w:spacing w:line="353" w:lineRule="auto"/>
        <w:jc w:val="both"/>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9.负责对各类广播电视机构进行业务指导和行业监管，会同有关部门对网络视听节目服务机构及内容进行管理。负责广播电视与新媒体新技术新业态融合发展，推进“三网”融合。负责广播电视节目传输覆盖、监测和安全播出的监督管理，指导、推进应急广播电视体系建设。</w:t>
      </w:r>
    </w:p>
    <w:p>
      <w:pPr>
        <w:pStyle w:val="12"/>
        <w:spacing w:line="353" w:lineRule="auto"/>
        <w:jc w:val="both"/>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10.承担全区文化广播电视和旅游、文物对外以及对港澳台的交流与合作。</w:t>
      </w:r>
    </w:p>
    <w:p>
      <w:pPr>
        <w:pStyle w:val="2"/>
        <w:adjustRightInd w:val="0"/>
        <w:snapToGrid w:val="0"/>
        <w:spacing w:before="93" w:line="353" w:lineRule="auto"/>
        <w:outlineLvl w:val="2"/>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11.负责职责范围内的安全生产和职业健康、生态环境保护、审批服务便民化等工作。</w:t>
      </w:r>
    </w:p>
    <w:p>
      <w:pPr>
        <w:pStyle w:val="2"/>
        <w:adjustRightInd w:val="0"/>
        <w:snapToGrid w:val="0"/>
        <w:spacing w:before="93" w:line="353" w:lineRule="auto"/>
        <w:outlineLvl w:val="2"/>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12.完成区委、区政府交办的其他任务。</w:t>
      </w:r>
    </w:p>
    <w:p>
      <w:pPr>
        <w:pStyle w:val="4"/>
        <w:rPr>
          <w:rFonts w:ascii="黑体" w:hAnsi="黑体" w:eastAsia="黑体"/>
          <w:b w:val="0"/>
        </w:rPr>
      </w:pPr>
      <w:r>
        <w:rPr>
          <w:rFonts w:hint="eastAsia" w:ascii="黑体" w:hAnsi="黑体" w:eastAsia="黑体"/>
          <w:b w:val="0"/>
        </w:rPr>
        <w:t>二、机构设置</w:t>
      </w:r>
    </w:p>
    <w:bookmarkEnd w:id="14"/>
    <w:bookmarkEnd w:id="15"/>
    <w:p>
      <w:pPr>
        <w:spacing w:line="353" w:lineRule="auto"/>
        <w:rPr>
          <w:rFonts w:ascii="仿宋" w:hAnsi="仿宋" w:eastAsia="仿宋"/>
          <w:sz w:val="32"/>
          <w:szCs w:val="32"/>
        </w:rPr>
      </w:pPr>
      <w:r>
        <w:rPr>
          <w:rFonts w:hint="eastAsia" w:ascii="仿宋" w:hAnsi="仿宋" w:eastAsia="仿宋"/>
          <w:bCs/>
          <w:sz w:val="32"/>
          <w:szCs w:val="32"/>
        </w:rPr>
        <w:t xml:space="preserve">    </w:t>
      </w:r>
      <w:r>
        <w:rPr>
          <w:rFonts w:ascii="仿宋" w:hAnsi="仿宋" w:eastAsia="仿宋"/>
          <w:bCs/>
          <w:sz w:val="32"/>
          <w:szCs w:val="32"/>
        </w:rPr>
        <w:t>西区文化广播电视和旅游局下</w:t>
      </w:r>
      <w:r>
        <w:rPr>
          <w:rFonts w:ascii="仿宋" w:hAnsi="仿宋" w:eastAsia="仿宋"/>
          <w:sz w:val="32"/>
          <w:szCs w:val="32"/>
        </w:rPr>
        <w:t>属二级单位4个，其中行政单位0个，参照公务员法管理的事业单位</w:t>
      </w:r>
      <w:r>
        <w:rPr>
          <w:rFonts w:ascii="仿宋" w:hAnsi="仿宋" w:eastAsia="仿宋"/>
          <w:bCs/>
          <w:sz w:val="32"/>
          <w:szCs w:val="32"/>
        </w:rPr>
        <w:t>1</w:t>
      </w:r>
      <w:r>
        <w:rPr>
          <w:rFonts w:ascii="仿宋" w:hAnsi="仿宋" w:eastAsia="仿宋"/>
          <w:sz w:val="32"/>
          <w:szCs w:val="32"/>
        </w:rPr>
        <w:t>个，其他事业单位3个。</w:t>
      </w:r>
    </w:p>
    <w:p>
      <w:pPr>
        <w:pStyle w:val="2"/>
        <w:adjustRightInd w:val="0"/>
        <w:snapToGrid w:val="0"/>
        <w:spacing w:before="93" w:line="353" w:lineRule="auto"/>
        <w:ind w:firstLine="640" w:firstLineChars="200"/>
        <w:rPr>
          <w:rFonts w:ascii="仿宋" w:hAnsi="仿宋" w:eastAsia="仿宋"/>
          <w:color w:val="000000"/>
          <w:sz w:val="32"/>
          <w:szCs w:val="32"/>
        </w:rPr>
      </w:pPr>
      <w:r>
        <w:rPr>
          <w:rFonts w:ascii="仿宋" w:hAnsi="仿宋" w:eastAsia="仿宋"/>
          <w:color w:val="000000"/>
          <w:sz w:val="32"/>
          <w:szCs w:val="32"/>
        </w:rPr>
        <w:t>纳入</w:t>
      </w:r>
      <w:r>
        <w:rPr>
          <w:rFonts w:ascii="仿宋" w:hAnsi="仿宋" w:eastAsia="仿宋"/>
          <w:sz w:val="32"/>
          <w:szCs w:val="32"/>
        </w:rPr>
        <w:t>西区文化广播电视和旅游局</w:t>
      </w:r>
      <w:r>
        <w:rPr>
          <w:rFonts w:ascii="仿宋" w:hAnsi="仿宋" w:eastAsia="仿宋"/>
          <w:color w:val="000000"/>
          <w:sz w:val="32"/>
          <w:szCs w:val="32"/>
        </w:rPr>
        <w:t>202</w:t>
      </w:r>
      <w:r>
        <w:rPr>
          <w:rFonts w:hint="eastAsia" w:ascii="仿宋" w:hAnsi="仿宋" w:eastAsia="仿宋"/>
          <w:color w:val="000000"/>
          <w:sz w:val="32"/>
          <w:szCs w:val="32"/>
        </w:rPr>
        <w:t>2</w:t>
      </w:r>
      <w:r>
        <w:rPr>
          <w:rFonts w:ascii="仿宋" w:hAnsi="仿宋" w:eastAsia="仿宋"/>
          <w:color w:val="000000"/>
          <w:sz w:val="32"/>
          <w:szCs w:val="32"/>
        </w:rPr>
        <w:t>年度部门决算编制范围的二级预算单位包括：</w:t>
      </w:r>
    </w:p>
    <w:p>
      <w:pPr>
        <w:pStyle w:val="2"/>
        <w:adjustRightInd w:val="0"/>
        <w:snapToGrid w:val="0"/>
        <w:spacing w:before="93" w:line="353" w:lineRule="auto"/>
        <w:ind w:firstLine="640" w:firstLineChars="200"/>
        <w:rPr>
          <w:rFonts w:ascii="仿宋" w:hAnsi="仿宋" w:eastAsia="仿宋"/>
          <w:color w:val="000000"/>
          <w:sz w:val="32"/>
          <w:szCs w:val="32"/>
        </w:rPr>
      </w:pPr>
      <w:bookmarkStart w:id="16" w:name="_Toc15378449"/>
      <w:bookmarkStart w:id="17" w:name="_Toc15377202"/>
      <w:bookmarkStart w:id="18" w:name="_Toc15377433"/>
      <w:bookmarkStart w:id="19" w:name="_Toc15306276"/>
      <w:r>
        <w:rPr>
          <w:rFonts w:ascii="仿宋" w:hAnsi="仿宋" w:eastAsia="仿宋"/>
          <w:color w:val="000000"/>
          <w:sz w:val="32"/>
          <w:szCs w:val="32"/>
        </w:rPr>
        <w:t>1.西区文化馆（西区文物保护中心）</w:t>
      </w:r>
      <w:bookmarkEnd w:id="16"/>
      <w:bookmarkEnd w:id="17"/>
      <w:bookmarkEnd w:id="18"/>
      <w:bookmarkEnd w:id="19"/>
    </w:p>
    <w:p>
      <w:pPr>
        <w:pStyle w:val="2"/>
        <w:adjustRightInd w:val="0"/>
        <w:snapToGrid w:val="0"/>
        <w:spacing w:before="93" w:line="353" w:lineRule="auto"/>
        <w:ind w:firstLine="640" w:firstLineChars="200"/>
        <w:rPr>
          <w:rFonts w:ascii="仿宋" w:hAnsi="仿宋" w:eastAsia="仿宋"/>
          <w:color w:val="000000"/>
          <w:sz w:val="32"/>
          <w:szCs w:val="32"/>
        </w:rPr>
      </w:pPr>
      <w:r>
        <w:rPr>
          <w:rFonts w:ascii="仿宋" w:hAnsi="仿宋" w:eastAsia="仿宋"/>
          <w:color w:val="000000"/>
          <w:sz w:val="32"/>
          <w:szCs w:val="32"/>
        </w:rPr>
        <w:t>2.西区图书馆</w:t>
      </w:r>
    </w:p>
    <w:p>
      <w:pPr>
        <w:pStyle w:val="2"/>
        <w:adjustRightInd w:val="0"/>
        <w:snapToGrid w:val="0"/>
        <w:spacing w:before="93" w:line="353" w:lineRule="auto"/>
        <w:ind w:firstLine="640" w:firstLineChars="200"/>
        <w:rPr>
          <w:rFonts w:ascii="仿宋" w:hAnsi="仿宋" w:eastAsia="仿宋"/>
          <w:color w:val="000000"/>
          <w:sz w:val="32"/>
          <w:szCs w:val="32"/>
        </w:rPr>
      </w:pPr>
      <w:r>
        <w:rPr>
          <w:rFonts w:ascii="仿宋" w:hAnsi="仿宋" w:eastAsia="仿宋"/>
          <w:color w:val="000000"/>
          <w:sz w:val="32"/>
          <w:szCs w:val="32"/>
        </w:rPr>
        <w:t>3.文化市场综合行政执法大队</w:t>
      </w:r>
    </w:p>
    <w:p>
      <w:pPr>
        <w:widowControl/>
        <w:jc w:val="left"/>
        <w:rPr>
          <w:rFonts w:ascii="仿宋" w:hAnsi="仿宋" w:eastAsia="仿宋"/>
          <w:kern w:val="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4.文化旅游产业发展服务中心</w:t>
      </w:r>
      <w:r>
        <w:rPr>
          <w:rFonts w:ascii="仿宋" w:hAnsi="仿宋" w:eastAsia="仿宋"/>
          <w:sz w:val="32"/>
          <w:szCs w:val="32"/>
        </w:rPr>
        <w:br w:type="page"/>
      </w:r>
    </w:p>
    <w:p>
      <w:pPr>
        <w:pStyle w:val="3"/>
        <w:ind w:right="440"/>
        <w:jc w:val="center"/>
        <w:rPr>
          <w:rStyle w:val="25"/>
          <w:rFonts w:ascii="黑体" w:hAnsi="黑体" w:eastAsia="黑体"/>
          <w:b w:val="0"/>
          <w:bCs/>
        </w:rPr>
      </w:pPr>
      <w:bookmarkStart w:id="20" w:name="_Toc15396602"/>
      <w:bookmarkStart w:id="21" w:name="_Toc15377204"/>
      <w:r>
        <w:rPr>
          <w:rFonts w:hint="eastAsia" w:ascii="黑体" w:hAnsi="黑体" w:eastAsia="黑体"/>
          <w:b w:val="0"/>
        </w:rPr>
        <w:t>第二部分 2022年度</w:t>
      </w:r>
      <w:r>
        <w:rPr>
          <w:rStyle w:val="25"/>
          <w:rFonts w:hint="eastAsia" w:ascii="黑体" w:hAnsi="黑体" w:eastAsia="黑体"/>
          <w:b w:val="0"/>
          <w:bCs/>
        </w:rPr>
        <w:t>单位决算情况说明</w:t>
      </w:r>
      <w:bookmarkEnd w:id="20"/>
      <w:bookmarkEnd w:id="21"/>
    </w:p>
    <w:p/>
    <w:p>
      <w:pPr>
        <w:pStyle w:val="24"/>
        <w:numPr>
          <w:ilvl w:val="0"/>
          <w:numId w:val="1"/>
        </w:numPr>
        <w:spacing w:line="600" w:lineRule="exact"/>
        <w:ind w:firstLineChars="0"/>
        <w:outlineLvl w:val="1"/>
        <w:rPr>
          <w:rStyle w:val="26"/>
          <w:rFonts w:ascii="黑体" w:hAnsi="黑体" w:eastAsia="黑体"/>
          <w:b w:val="0"/>
        </w:rPr>
      </w:pPr>
      <w:bookmarkStart w:id="22" w:name="_Toc15396603"/>
      <w:bookmarkStart w:id="23" w:name="_Toc15377205"/>
      <w:r>
        <w:rPr>
          <w:rFonts w:hint="eastAsia" w:ascii="黑体" w:hAnsi="黑体" w:eastAsia="黑体"/>
          <w:sz w:val="32"/>
          <w:szCs w:val="32"/>
        </w:rPr>
        <w:t>收</w:t>
      </w:r>
      <w:r>
        <w:rPr>
          <w:rStyle w:val="26"/>
          <w:rFonts w:hint="eastAsia" w:ascii="黑体" w:hAnsi="黑体" w:eastAsia="黑体"/>
          <w:b w:val="0"/>
        </w:rPr>
        <w:t>入支出决算总体情况说明</w:t>
      </w:r>
      <w:bookmarkEnd w:id="22"/>
      <w:bookmarkEnd w:id="23"/>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2022年度收、支总计412.33万元。与2021年相比，收、支总计各减少21.28万元，下降4.9</w:t>
      </w:r>
      <w:r>
        <w:rPr>
          <w:rFonts w:ascii="仿宋" w:hAnsi="仿宋" w:eastAsia="仿宋"/>
          <w:sz w:val="32"/>
          <w:szCs w:val="32"/>
        </w:rPr>
        <w:t>%</w:t>
      </w:r>
      <w:r>
        <w:rPr>
          <w:rFonts w:hint="eastAsia" w:ascii="仿宋" w:hAnsi="仿宋" w:eastAsia="仿宋"/>
          <w:sz w:val="32"/>
          <w:szCs w:val="32"/>
        </w:rPr>
        <w:t>。主要变动原因是项目经费减少。</w:t>
      </w:r>
    </w:p>
    <w:p>
      <w:pPr>
        <w:widowControl/>
        <w:jc w:val="left"/>
        <w:rPr>
          <w:rFonts w:ascii="宋体" w:hAnsi="宋体" w:cs="宋体"/>
          <w:kern w:val="0"/>
          <w:sz w:val="24"/>
        </w:rPr>
      </w:pPr>
      <w:r>
        <w:rPr>
          <w:rFonts w:ascii="宋体" w:hAnsi="宋体" w:cs="宋体"/>
          <w:kern w:val="0"/>
          <w:sz w:val="24"/>
        </w:rPr>
        <w:drawing>
          <wp:inline distT="0" distB="0" distL="0" distR="0">
            <wp:extent cx="3657600" cy="2352675"/>
            <wp:effectExtent l="19050" t="0" r="0" b="0"/>
            <wp:docPr id="1" name="图片 1" descr="C:\Users\Administrator\AppData\Roaming\Tencent\Users\248301485\QQ\WinTemp\RichOle\%}OJ_U]E7FQ)M@I}}}XEE4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Users\248301485\QQ\WinTemp\RichOle\%}OJ_U]E7FQ)M@I}}}XEE4J.png"/>
                    <pic:cNvPicPr>
                      <a:picLocks noChangeAspect="1" noChangeArrowheads="1"/>
                    </pic:cNvPicPr>
                  </pic:nvPicPr>
                  <pic:blipFill>
                    <a:blip r:embed="rId7"/>
                    <a:srcRect/>
                    <a:stretch>
                      <a:fillRect/>
                    </a:stretch>
                  </pic:blipFill>
                  <pic:spPr>
                    <a:xfrm>
                      <a:off x="0" y="0"/>
                      <a:ext cx="3657600" cy="2352675"/>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4"/>
        <w:numPr>
          <w:ilvl w:val="0"/>
          <w:numId w:val="1"/>
        </w:numPr>
        <w:spacing w:line="600" w:lineRule="exact"/>
        <w:ind w:firstLineChars="0"/>
        <w:outlineLvl w:val="1"/>
        <w:rPr>
          <w:rStyle w:val="26"/>
          <w:rFonts w:ascii="黑体" w:hAnsi="黑体" w:eastAsia="黑体"/>
          <w:b w:val="0"/>
        </w:rPr>
      </w:pPr>
      <w:bookmarkStart w:id="24" w:name="_Toc15377206"/>
      <w:bookmarkStart w:id="25" w:name="_Toc15396604"/>
      <w:r>
        <w:rPr>
          <w:rFonts w:hint="eastAsia" w:ascii="黑体" w:hAnsi="黑体" w:eastAsia="黑体"/>
          <w:sz w:val="32"/>
          <w:szCs w:val="32"/>
        </w:rPr>
        <w:t>收</w:t>
      </w:r>
      <w:r>
        <w:rPr>
          <w:rStyle w:val="26"/>
          <w:rFonts w:hint="eastAsia" w:ascii="黑体" w:hAnsi="黑体" w:eastAsia="黑体"/>
          <w:b w:val="0"/>
        </w:rPr>
        <w:t>入决算情况说明</w:t>
      </w:r>
      <w:bookmarkEnd w:id="24"/>
      <w:bookmarkEnd w:id="25"/>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22年本年收入合计381.43万元，其中：一般公共预算财政拨款收入380.5万元，占99.76</w:t>
      </w:r>
      <w:r>
        <w:rPr>
          <w:rFonts w:ascii="仿宋" w:hAnsi="仿宋" w:eastAsia="仿宋"/>
          <w:sz w:val="32"/>
          <w:szCs w:val="32"/>
        </w:rPr>
        <w:t>%</w:t>
      </w:r>
      <w:r>
        <w:rPr>
          <w:rFonts w:hint="eastAsia" w:ascii="仿宋" w:hAnsi="仿宋" w:eastAsia="仿宋"/>
          <w:sz w:val="32"/>
          <w:szCs w:val="32"/>
        </w:rPr>
        <w:t>；政府性基金预算财政拨款收入0.93万元，占0.24</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pPr>
        <w:widowControl/>
        <w:jc w:val="left"/>
        <w:rPr>
          <w:rFonts w:ascii="宋体" w:hAnsi="宋体" w:cs="宋体"/>
          <w:kern w:val="0"/>
          <w:sz w:val="24"/>
        </w:rPr>
      </w:pPr>
      <w:r>
        <w:rPr>
          <w:rFonts w:ascii="宋体" w:hAnsi="宋体" w:cs="宋体"/>
          <w:kern w:val="0"/>
          <w:sz w:val="24"/>
        </w:rPr>
        <w:drawing>
          <wp:inline distT="0" distB="0" distL="0" distR="0">
            <wp:extent cx="3867150" cy="2343150"/>
            <wp:effectExtent l="19050" t="0" r="0" b="0"/>
            <wp:docPr id="3" name="图片 3" descr="C:\Users\Administrator\AppData\Roaming\Tencent\Users\248301485\QQ\WinTemp\RichOle\1232B]QM)H22FUIJ97)RY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248301485\QQ\WinTemp\RichOle\1232B]QM)H22FUIJ97)RY7C.png"/>
                    <pic:cNvPicPr>
                      <a:picLocks noChangeAspect="1" noChangeArrowheads="1"/>
                    </pic:cNvPicPr>
                  </pic:nvPicPr>
                  <pic:blipFill>
                    <a:blip r:embed="rId8"/>
                    <a:srcRect/>
                    <a:stretch>
                      <a:fillRect/>
                    </a:stretch>
                  </pic:blipFill>
                  <pic:spPr>
                    <a:xfrm>
                      <a:off x="0" y="0"/>
                      <a:ext cx="3867150" cy="2343150"/>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24"/>
        <w:numPr>
          <w:ilvl w:val="0"/>
          <w:numId w:val="1"/>
        </w:numPr>
        <w:spacing w:line="600" w:lineRule="exact"/>
        <w:ind w:firstLineChars="0"/>
        <w:outlineLvl w:val="1"/>
        <w:rPr>
          <w:rStyle w:val="26"/>
          <w:rFonts w:ascii="黑体" w:hAnsi="黑体" w:eastAsia="黑体"/>
          <w:b w:val="0"/>
        </w:rPr>
      </w:pPr>
      <w:bookmarkStart w:id="26" w:name="_Toc15396605"/>
      <w:bookmarkStart w:id="27" w:name="_Toc15377207"/>
      <w:r>
        <w:rPr>
          <w:rFonts w:hint="eastAsia" w:ascii="黑体" w:hAnsi="黑体" w:eastAsia="黑体"/>
          <w:sz w:val="32"/>
          <w:szCs w:val="32"/>
        </w:rPr>
        <w:t>支</w:t>
      </w:r>
      <w:r>
        <w:rPr>
          <w:rStyle w:val="26"/>
          <w:rFonts w:hint="eastAsia" w:ascii="黑体" w:hAnsi="黑体" w:eastAsia="黑体"/>
          <w:b w:val="0"/>
        </w:rPr>
        <w:t>出决算情况说明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22年本年支出合计412.33万元，其中：基本支出291.04万元，占70.58</w:t>
      </w:r>
      <w:r>
        <w:rPr>
          <w:rFonts w:ascii="仿宋" w:hAnsi="仿宋" w:eastAsia="仿宋"/>
          <w:sz w:val="32"/>
          <w:szCs w:val="32"/>
        </w:rPr>
        <w:t>%</w:t>
      </w:r>
      <w:r>
        <w:rPr>
          <w:rFonts w:hint="eastAsia" w:ascii="仿宋" w:hAnsi="仿宋" w:eastAsia="仿宋"/>
          <w:sz w:val="32"/>
          <w:szCs w:val="32"/>
        </w:rPr>
        <w:t>；项目支出121.29万元，占29.42</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pPr>
        <w:widowControl/>
        <w:jc w:val="left"/>
        <w:rPr>
          <w:rFonts w:ascii="宋体" w:hAnsi="宋体" w:cs="宋体"/>
          <w:kern w:val="0"/>
          <w:sz w:val="24"/>
        </w:rPr>
      </w:pPr>
      <w:r>
        <w:rPr>
          <w:rFonts w:ascii="宋体" w:hAnsi="宋体" w:cs="宋体"/>
          <w:kern w:val="0"/>
          <w:sz w:val="24"/>
        </w:rPr>
        <w:drawing>
          <wp:inline distT="0" distB="0" distL="0" distR="0">
            <wp:extent cx="2476500" cy="2371725"/>
            <wp:effectExtent l="19050" t="0" r="0" b="0"/>
            <wp:docPr id="5" name="图片 5" descr="C:\Users\Administrator\AppData\Roaming\Tencent\Users\248301485\QQ\WinTemp\RichOle\_T[ZTKNEXS4DF3}[M$MG48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Users\248301485\QQ\WinTemp\RichOle\_T[ZTKNEXS4DF3}[M$MG48Y.png"/>
                    <pic:cNvPicPr>
                      <a:picLocks noChangeAspect="1" noChangeArrowheads="1"/>
                    </pic:cNvPicPr>
                  </pic:nvPicPr>
                  <pic:blipFill>
                    <a:blip r:embed="rId9"/>
                    <a:srcRect/>
                    <a:stretch>
                      <a:fillRect/>
                    </a:stretch>
                  </pic:blipFill>
                  <pic:spPr>
                    <a:xfrm>
                      <a:off x="0" y="0"/>
                      <a:ext cx="2476500" cy="2371725"/>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26"/>
          <w:rFonts w:ascii="黑体" w:hAnsi="黑体" w:eastAsia="黑体"/>
          <w:b w:val="0"/>
        </w:rPr>
      </w:pPr>
      <w:bookmarkStart w:id="28" w:name="_Toc15396606"/>
      <w:bookmarkStart w:id="29"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8"/>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22年财政拨款收、支总计412.33万元。与2021年相比，收、支总计各减少21.28万元，下降4.9</w:t>
      </w:r>
      <w:r>
        <w:rPr>
          <w:rFonts w:ascii="仿宋" w:hAnsi="仿宋" w:eastAsia="仿宋"/>
          <w:sz w:val="32"/>
          <w:szCs w:val="32"/>
        </w:rPr>
        <w:t>%</w:t>
      </w:r>
      <w:r>
        <w:rPr>
          <w:rFonts w:hint="eastAsia" w:ascii="仿宋" w:hAnsi="仿宋" w:eastAsia="仿宋"/>
          <w:sz w:val="32"/>
          <w:szCs w:val="32"/>
        </w:rPr>
        <w:t>。主要变动原因是项目经费减少。</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widowControl/>
        <w:jc w:val="left"/>
        <w:rPr>
          <w:rFonts w:ascii="宋体" w:hAnsi="宋体" w:cs="宋体"/>
          <w:kern w:val="0"/>
          <w:sz w:val="24"/>
        </w:rPr>
      </w:pPr>
      <w:r>
        <w:rPr>
          <w:rFonts w:ascii="宋体" w:hAnsi="宋体" w:cs="宋体"/>
          <w:kern w:val="0"/>
          <w:sz w:val="24"/>
        </w:rPr>
        <w:drawing>
          <wp:inline distT="0" distB="0" distL="0" distR="0">
            <wp:extent cx="3638550" cy="2352675"/>
            <wp:effectExtent l="19050" t="0" r="0" b="0"/>
            <wp:docPr id="7" name="图片 7" descr="C:\Users\Administrator\AppData\Roaming\Tencent\Users\248301485\QQ\WinTemp\RichOle\7~Q7XQ4JGUGO((S@M1AC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248301485\QQ\WinTemp\RichOle\7~Q7XQ4JGUGO((S@M1ACF`O.png"/>
                    <pic:cNvPicPr>
                      <a:picLocks noChangeAspect="1" noChangeArrowheads="1"/>
                    </pic:cNvPicPr>
                  </pic:nvPicPr>
                  <pic:blipFill>
                    <a:blip r:embed="rId10"/>
                    <a:srcRect/>
                    <a:stretch>
                      <a:fillRect/>
                    </a:stretch>
                  </pic:blipFill>
                  <pic:spPr>
                    <a:xfrm>
                      <a:off x="0" y="0"/>
                      <a:ext cx="3638550" cy="2352675"/>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spacing w:line="600" w:lineRule="exact"/>
        <w:ind w:firstLine="640" w:firstLineChars="200"/>
        <w:outlineLvl w:val="1"/>
        <w:rPr>
          <w:rStyle w:val="26"/>
          <w:rFonts w:ascii="黑体" w:hAnsi="黑体" w:eastAsia="黑体"/>
          <w:b w:val="0"/>
        </w:rPr>
      </w:pPr>
      <w:bookmarkStart w:id="30" w:name="_Toc15396607"/>
      <w:bookmarkStart w:id="31" w:name="_Toc15377209"/>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30"/>
      <w:bookmarkEnd w:id="31"/>
    </w:p>
    <w:p>
      <w:pPr>
        <w:spacing w:line="600" w:lineRule="exact"/>
        <w:ind w:firstLine="643" w:firstLineChars="200"/>
        <w:outlineLvl w:val="2"/>
        <w:rPr>
          <w:rFonts w:ascii="仿宋" w:hAnsi="仿宋" w:eastAsia="仿宋"/>
          <w:b/>
          <w:sz w:val="32"/>
          <w:szCs w:val="32"/>
        </w:rPr>
      </w:pPr>
      <w:bookmarkStart w:id="32" w:name="_Toc15377210"/>
      <w:r>
        <w:rPr>
          <w:rFonts w:hint="eastAsia" w:ascii="仿宋" w:hAnsi="仿宋" w:eastAsia="仿宋"/>
          <w:b/>
          <w:sz w:val="32"/>
          <w:szCs w:val="32"/>
        </w:rPr>
        <w:t>（一）一般公共预算财政拨款支出决算总体情况</w:t>
      </w:r>
      <w:bookmarkEnd w:id="32"/>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22年一般公共预算财政拨款支出411.4万元，占本年支出合计的99.77</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21年相比，一般公共预算财政拨款支出减少0.93万元，下降0.23</w:t>
      </w:r>
      <w:r>
        <w:rPr>
          <w:rFonts w:ascii="仿宋" w:hAnsi="仿宋" w:eastAsia="仿宋"/>
          <w:sz w:val="32"/>
          <w:szCs w:val="32"/>
        </w:rPr>
        <w:t>%</w:t>
      </w:r>
      <w:r>
        <w:rPr>
          <w:rFonts w:hint="eastAsia" w:ascii="仿宋" w:hAnsi="仿宋" w:eastAsia="仿宋"/>
          <w:sz w:val="32"/>
          <w:szCs w:val="32"/>
        </w:rPr>
        <w:t>。主要变动原因是项目经费减少。</w:t>
      </w:r>
    </w:p>
    <w:p>
      <w:pPr>
        <w:widowControl/>
        <w:jc w:val="left"/>
        <w:rPr>
          <w:rFonts w:ascii="宋体" w:hAnsi="宋体" w:cs="宋体"/>
          <w:kern w:val="0"/>
          <w:sz w:val="24"/>
        </w:rPr>
      </w:pPr>
    </w:p>
    <w:p>
      <w:pPr>
        <w:widowControl/>
        <w:jc w:val="left"/>
        <w:rPr>
          <w:rFonts w:ascii="宋体" w:hAnsi="宋体" w:cs="宋体"/>
          <w:kern w:val="0"/>
          <w:sz w:val="24"/>
        </w:rPr>
      </w:pPr>
      <w:r>
        <w:rPr>
          <w:rFonts w:ascii="宋体" w:hAnsi="宋体" w:cs="宋体"/>
          <w:kern w:val="0"/>
          <w:sz w:val="24"/>
        </w:rPr>
        <w:drawing>
          <wp:inline distT="0" distB="0" distL="0" distR="0">
            <wp:extent cx="3638550" cy="2400300"/>
            <wp:effectExtent l="19050" t="0" r="0" b="0"/>
            <wp:docPr id="15" name="图片 15" descr="C:\Users\Administrator\AppData\Roaming\Tencent\Users\248301485\QQ\WinTemp\RichOle\K349$TR)Z37F0PFGZ@9UX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AppData\Roaming\Tencent\Users\248301485\QQ\WinTemp\RichOle\K349$TR)Z37F0PFGZ@9UXOI.png"/>
                    <pic:cNvPicPr>
                      <a:picLocks noChangeAspect="1" noChangeArrowheads="1"/>
                    </pic:cNvPicPr>
                  </pic:nvPicPr>
                  <pic:blipFill>
                    <a:blip r:embed="rId11"/>
                    <a:srcRect/>
                    <a:stretch>
                      <a:fillRect/>
                    </a:stretch>
                  </pic:blipFill>
                  <pic:spPr>
                    <a:xfrm>
                      <a:off x="0" y="0"/>
                      <a:ext cx="3638550" cy="2400300"/>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33" w:name="_Toc15377211"/>
      <w:r>
        <w:rPr>
          <w:rFonts w:hint="eastAsia" w:ascii="仿宋" w:hAnsi="仿宋" w:eastAsia="仿宋"/>
          <w:b/>
          <w:sz w:val="32"/>
          <w:szCs w:val="32"/>
        </w:rPr>
        <w:t>（二）一般公共预算财政拨款支出决算结构情况</w:t>
      </w:r>
      <w:bookmarkEnd w:id="33"/>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22年一般公共预算财政拨款支出411.4万元，主要用于以下方面</w:t>
      </w:r>
      <w:r>
        <w:rPr>
          <w:rFonts w:ascii="仿宋" w:hAnsi="仿宋" w:eastAsia="仿宋"/>
          <w:sz w:val="32"/>
          <w:szCs w:val="32"/>
        </w:rPr>
        <w:t>:</w:t>
      </w:r>
      <w:r>
        <w:rPr>
          <w:rFonts w:hint="eastAsia" w:ascii="仿宋" w:hAnsi="仿宋" w:eastAsia="仿宋"/>
          <w:b/>
          <w:bCs/>
          <w:sz w:val="32"/>
          <w:szCs w:val="32"/>
        </w:rPr>
        <w:t>文化旅游体育与传媒支出351.3万元，占85.39</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22.5万元，占5.47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15.97万元，占3.88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21.63万元，占5.26</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（注：数据来源于财决01-1表，仅罗列本单位涉及的全部功能分类科目，至类级。）</w:t>
      </w:r>
    </w:p>
    <w:p>
      <w:pPr>
        <w:widowControl/>
        <w:jc w:val="left"/>
        <w:rPr>
          <w:rFonts w:ascii="宋体" w:hAnsi="宋体" w:cs="宋体"/>
          <w:kern w:val="0"/>
          <w:sz w:val="24"/>
        </w:rPr>
      </w:pPr>
      <w:r>
        <w:rPr>
          <w:rFonts w:ascii="宋体" w:hAnsi="宋体" w:cs="宋体"/>
          <w:kern w:val="0"/>
          <w:sz w:val="24"/>
        </w:rPr>
        <w:drawing>
          <wp:inline distT="0" distB="0" distL="0" distR="0">
            <wp:extent cx="3933825" cy="2447925"/>
            <wp:effectExtent l="19050" t="0" r="9525" b="0"/>
            <wp:docPr id="17" name="图片 17" descr="C:\Users\Administrator\AppData\Roaming\Tencent\Users\248301485\QQ\WinTemp\RichOle\(NQVV7{{A35B1MFUBV(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AppData\Roaming\Tencent\Users\248301485\QQ\WinTemp\RichOle\(NQVV7{{A35B1MFUBV(3[~B.png"/>
                    <pic:cNvPicPr>
                      <a:picLocks noChangeAspect="1" noChangeArrowheads="1"/>
                    </pic:cNvPicPr>
                  </pic:nvPicPr>
                  <pic:blipFill>
                    <a:blip r:embed="rId12"/>
                    <a:srcRect/>
                    <a:stretch>
                      <a:fillRect/>
                    </a:stretch>
                  </pic:blipFill>
                  <pic:spPr>
                    <a:xfrm>
                      <a:off x="0" y="0"/>
                      <a:ext cx="3933825" cy="2447925"/>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3" w:firstLineChars="200"/>
        <w:outlineLvl w:val="2"/>
        <w:rPr>
          <w:rFonts w:ascii="仿宋" w:hAnsi="仿宋" w:eastAsia="仿宋"/>
          <w:b/>
          <w:sz w:val="32"/>
          <w:szCs w:val="32"/>
        </w:rPr>
      </w:pPr>
      <w:bookmarkStart w:id="34" w:name="_Toc15377212"/>
      <w:r>
        <w:rPr>
          <w:rFonts w:hint="eastAsia" w:ascii="仿宋" w:hAnsi="仿宋" w:eastAsia="仿宋"/>
          <w:b/>
          <w:sz w:val="32"/>
          <w:szCs w:val="32"/>
        </w:rPr>
        <w:t>（三）一般公共预算财政拨款支出决算具体情况</w:t>
      </w:r>
      <w:bookmarkEnd w:id="34"/>
    </w:p>
    <w:p>
      <w:pPr>
        <w:spacing w:line="600" w:lineRule="exact"/>
        <w:ind w:firstLine="643" w:firstLineChars="200"/>
        <w:outlineLvl w:val="2"/>
        <w:rPr>
          <w:rFonts w:ascii="仿宋" w:hAnsi="仿宋" w:eastAsia="仿宋"/>
          <w:sz w:val="32"/>
          <w:szCs w:val="32"/>
        </w:rPr>
      </w:pPr>
      <w:bookmarkStart w:id="35" w:name="_Toc15378460"/>
      <w:bookmarkStart w:id="36" w:name="_Toc15377444"/>
      <w:bookmarkStart w:id="37" w:name="_Toc15377213"/>
      <w:r>
        <w:rPr>
          <w:rFonts w:hint="eastAsia" w:ascii="仿宋" w:hAnsi="仿宋" w:eastAsia="仿宋"/>
          <w:b/>
          <w:sz w:val="32"/>
          <w:szCs w:val="32"/>
        </w:rPr>
        <w:t>2022年一般公共预算支出决算数为411.4万元</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35"/>
      <w:bookmarkEnd w:id="36"/>
      <w:bookmarkEnd w:id="37"/>
    </w:p>
    <w:p>
      <w:pPr>
        <w:spacing w:line="600" w:lineRule="exact"/>
        <w:ind w:firstLine="643" w:firstLineChars="200"/>
        <w:rPr>
          <w:rFonts w:ascii="仿宋" w:hAnsi="仿宋" w:eastAsia="仿宋"/>
          <w:b/>
          <w:bCs/>
          <w:sz w:val="32"/>
          <w:szCs w:val="32"/>
        </w:rPr>
      </w:pPr>
      <w:r>
        <w:rPr>
          <w:rStyle w:val="15"/>
          <w:rFonts w:ascii="仿宋" w:hAnsi="仿宋" w:eastAsia="仿宋"/>
          <w:bCs/>
          <w:sz w:val="32"/>
          <w:szCs w:val="32"/>
        </w:rPr>
        <w:t>1</w:t>
      </w:r>
      <w:r>
        <w:rPr>
          <w:rStyle w:val="15"/>
          <w:rFonts w:hint="eastAsia" w:ascii="仿宋" w:hAnsi="仿宋" w:eastAsia="仿宋"/>
          <w:bCs/>
          <w:sz w:val="32"/>
          <w:szCs w:val="32"/>
        </w:rPr>
        <w:t>.文</w:t>
      </w:r>
      <w:r>
        <w:rPr>
          <w:rStyle w:val="15"/>
          <w:rFonts w:hint="eastAsia" w:ascii="仿宋" w:hAnsi="仿宋" w:eastAsia="仿宋"/>
          <w:bCs/>
          <w:color w:val="000000"/>
          <w:sz w:val="32"/>
          <w:szCs w:val="32"/>
        </w:rPr>
        <w:t>化旅游体育与传媒支出（类）文化和旅游（款）行政运行</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hint="eastAsia" w:ascii="仿宋" w:hAnsi="仿宋" w:eastAsia="仿宋"/>
          <w:b w:val="0"/>
          <w:bCs/>
          <w:sz w:val="32"/>
          <w:szCs w:val="32"/>
        </w:rPr>
        <w:t>支出决算为144.4万元，完成预算100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2.</w:t>
      </w:r>
      <w:r>
        <w:rPr>
          <w:rStyle w:val="15"/>
          <w:rFonts w:hint="eastAsia" w:ascii="仿宋" w:hAnsi="仿宋" w:eastAsia="仿宋"/>
          <w:bCs/>
          <w:color w:val="000000"/>
          <w:sz w:val="32"/>
          <w:szCs w:val="32"/>
        </w:rPr>
        <w:t>文化旅游体育与传媒支出（类）文化和旅游（款）其他文化和旅游支出</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hint="eastAsia" w:ascii="仿宋" w:hAnsi="仿宋" w:eastAsia="仿宋"/>
          <w:b w:val="0"/>
          <w:bCs/>
          <w:sz w:val="32"/>
          <w:szCs w:val="32"/>
        </w:rPr>
        <w:t>支出决算为153.75万元，完成预算100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3.</w:t>
      </w:r>
      <w:r>
        <w:rPr>
          <w:rStyle w:val="15"/>
          <w:rFonts w:hint="eastAsia" w:ascii="仿宋" w:hAnsi="仿宋" w:eastAsia="仿宋"/>
          <w:bCs/>
          <w:color w:val="000000"/>
          <w:sz w:val="32"/>
          <w:szCs w:val="32"/>
        </w:rPr>
        <w:t>文化旅游体育与传媒支出（类）其他文化旅游体育与传媒支出（款）其他文化旅游体育与传媒支出</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hint="eastAsia" w:ascii="仿宋" w:hAnsi="仿宋" w:eastAsia="仿宋"/>
          <w:b w:val="0"/>
          <w:bCs/>
          <w:sz w:val="32"/>
          <w:szCs w:val="32"/>
        </w:rPr>
        <w:t>支出决算为53.15万元，完成预算100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4.</w:t>
      </w:r>
      <w:r>
        <w:rPr>
          <w:rFonts w:hint="eastAsia" w:ascii="仿宋" w:hAnsi="仿宋" w:eastAsia="仿宋"/>
          <w:b/>
          <w:bCs/>
          <w:color w:val="000000"/>
          <w:sz w:val="32"/>
          <w:szCs w:val="32"/>
        </w:rPr>
        <w:t>社会保障和就业支出</w:t>
      </w:r>
      <w:r>
        <w:rPr>
          <w:rStyle w:val="15"/>
          <w:rFonts w:hint="eastAsia" w:ascii="仿宋" w:hAnsi="仿宋" w:eastAsia="仿宋"/>
          <w:bCs/>
          <w:color w:val="000000"/>
          <w:sz w:val="32"/>
          <w:szCs w:val="32"/>
        </w:rPr>
        <w:t>（类）行政事业单位养老支出（款）行政单位离退休</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hint="eastAsia" w:ascii="仿宋" w:hAnsi="仿宋" w:eastAsia="仿宋"/>
          <w:b w:val="0"/>
          <w:bCs/>
          <w:sz w:val="32"/>
          <w:szCs w:val="32"/>
        </w:rPr>
        <w:t>支出决算为1.54万元，完成预算100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5.</w:t>
      </w:r>
      <w:r>
        <w:rPr>
          <w:rStyle w:val="15"/>
          <w:rFonts w:hint="eastAsia" w:ascii="仿宋" w:hAnsi="仿宋" w:eastAsia="仿宋"/>
          <w:bCs/>
          <w:sz w:val="32"/>
          <w:szCs w:val="32"/>
        </w:rPr>
        <w:t>社</w:t>
      </w:r>
      <w:r>
        <w:rPr>
          <w:rFonts w:hint="eastAsia" w:ascii="仿宋" w:hAnsi="仿宋" w:eastAsia="仿宋"/>
          <w:b/>
          <w:bCs/>
          <w:color w:val="000000"/>
          <w:sz w:val="32"/>
          <w:szCs w:val="32"/>
        </w:rPr>
        <w:t>会保障和就业支出</w:t>
      </w:r>
      <w:r>
        <w:rPr>
          <w:rStyle w:val="15"/>
          <w:rFonts w:hint="eastAsia" w:ascii="仿宋" w:hAnsi="仿宋" w:eastAsia="仿宋"/>
          <w:bCs/>
          <w:color w:val="000000"/>
          <w:sz w:val="32"/>
          <w:szCs w:val="32"/>
        </w:rPr>
        <w:t>（类）行政事业单位养老支出（款）事业单位离退休</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hint="eastAsia" w:ascii="仿宋" w:hAnsi="仿宋" w:eastAsia="仿宋"/>
          <w:b w:val="0"/>
          <w:bCs/>
          <w:sz w:val="32"/>
          <w:szCs w:val="32"/>
        </w:rPr>
        <w:t>支出决算为3.23万元，完成预算100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6.</w:t>
      </w:r>
      <w:r>
        <w:rPr>
          <w:rFonts w:hint="eastAsia" w:ascii="仿宋" w:hAnsi="仿宋" w:eastAsia="仿宋"/>
          <w:b/>
          <w:bCs/>
          <w:color w:val="000000"/>
          <w:sz w:val="32"/>
          <w:szCs w:val="32"/>
        </w:rPr>
        <w:t>社会保障和就业支出</w:t>
      </w:r>
      <w:r>
        <w:rPr>
          <w:rStyle w:val="15"/>
          <w:rFonts w:hint="eastAsia" w:ascii="仿宋" w:hAnsi="仿宋" w:eastAsia="仿宋"/>
          <w:bCs/>
          <w:color w:val="000000"/>
          <w:sz w:val="32"/>
          <w:szCs w:val="32"/>
        </w:rPr>
        <w:t>（类）行政事业单位养老支出（款）机关事业单位基本养老保险缴费支出</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hint="eastAsia" w:ascii="仿宋" w:hAnsi="仿宋" w:eastAsia="仿宋"/>
          <w:b w:val="0"/>
          <w:bCs/>
          <w:sz w:val="32"/>
          <w:szCs w:val="32"/>
        </w:rPr>
        <w:t>支出决算为17.72万元，完成预算100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rPr>
        <w:t>7</w:t>
      </w:r>
      <w:r>
        <w:rPr>
          <w:rStyle w:val="15"/>
          <w:rFonts w:ascii="仿宋" w:hAnsi="仿宋" w:eastAsia="仿宋"/>
          <w:bCs/>
          <w:sz w:val="32"/>
          <w:szCs w:val="32"/>
        </w:rPr>
        <w:t>.</w:t>
      </w:r>
      <w:r>
        <w:rPr>
          <w:rFonts w:hint="eastAsia" w:ascii="仿宋" w:hAnsi="仿宋" w:eastAsia="仿宋"/>
          <w:b/>
          <w:bCs/>
          <w:color w:val="000000"/>
          <w:sz w:val="32"/>
          <w:szCs w:val="32"/>
        </w:rPr>
        <w:t>卫生健康支出</w:t>
      </w:r>
      <w:r>
        <w:rPr>
          <w:rStyle w:val="15"/>
          <w:rFonts w:hint="eastAsia" w:ascii="仿宋" w:hAnsi="仿宋" w:eastAsia="仿宋"/>
          <w:bCs/>
          <w:color w:val="000000"/>
          <w:sz w:val="32"/>
          <w:szCs w:val="32"/>
        </w:rPr>
        <w:t>（类）行政事业单位医疗（款）行政单位医疗</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hint="eastAsia" w:ascii="仿宋" w:hAnsi="仿宋" w:eastAsia="仿宋"/>
          <w:b w:val="0"/>
          <w:bCs/>
          <w:sz w:val="32"/>
          <w:szCs w:val="32"/>
        </w:rPr>
        <w:t>支出决算为8.45万元，完成预算100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rPr>
        <w:t>8</w:t>
      </w:r>
      <w:r>
        <w:rPr>
          <w:rStyle w:val="15"/>
          <w:rFonts w:ascii="仿宋" w:hAnsi="仿宋" w:eastAsia="仿宋"/>
          <w:bCs/>
          <w:sz w:val="32"/>
          <w:szCs w:val="32"/>
        </w:rPr>
        <w:t>.</w:t>
      </w:r>
      <w:r>
        <w:rPr>
          <w:rFonts w:hint="eastAsia" w:ascii="仿宋" w:hAnsi="仿宋" w:eastAsia="仿宋"/>
          <w:b/>
          <w:bCs/>
          <w:color w:val="000000"/>
          <w:sz w:val="32"/>
          <w:szCs w:val="32"/>
        </w:rPr>
        <w:t>卫生健康支出</w:t>
      </w:r>
      <w:r>
        <w:rPr>
          <w:rStyle w:val="15"/>
          <w:rFonts w:hint="eastAsia" w:ascii="仿宋" w:hAnsi="仿宋" w:eastAsia="仿宋"/>
          <w:bCs/>
          <w:color w:val="000000"/>
          <w:sz w:val="32"/>
          <w:szCs w:val="32"/>
        </w:rPr>
        <w:t>（类）行政事业单位医疗（款）事业单位医疗</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hint="eastAsia" w:ascii="仿宋" w:hAnsi="仿宋" w:eastAsia="仿宋"/>
          <w:b w:val="0"/>
          <w:bCs/>
          <w:sz w:val="32"/>
          <w:szCs w:val="32"/>
        </w:rPr>
        <w:t>支出决算为6.13万元，完成预算100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rPr>
        <w:t>9</w:t>
      </w:r>
      <w:r>
        <w:rPr>
          <w:rStyle w:val="15"/>
          <w:rFonts w:ascii="仿宋" w:hAnsi="仿宋" w:eastAsia="仿宋"/>
          <w:bCs/>
          <w:sz w:val="32"/>
          <w:szCs w:val="32"/>
        </w:rPr>
        <w:t>.</w:t>
      </w:r>
      <w:r>
        <w:rPr>
          <w:rStyle w:val="15"/>
          <w:rFonts w:hint="eastAsia" w:ascii="仿宋" w:hAnsi="仿宋" w:eastAsia="仿宋"/>
          <w:bCs/>
          <w:sz w:val="32"/>
          <w:szCs w:val="32"/>
        </w:rPr>
        <w:t>卫</w:t>
      </w:r>
      <w:r>
        <w:rPr>
          <w:rFonts w:hint="eastAsia" w:ascii="仿宋" w:hAnsi="仿宋" w:eastAsia="仿宋"/>
          <w:b/>
          <w:bCs/>
          <w:color w:val="000000"/>
          <w:sz w:val="32"/>
          <w:szCs w:val="32"/>
        </w:rPr>
        <w:t>生健康支出</w:t>
      </w:r>
      <w:r>
        <w:rPr>
          <w:rStyle w:val="15"/>
          <w:rFonts w:hint="eastAsia" w:ascii="仿宋" w:hAnsi="仿宋" w:eastAsia="仿宋"/>
          <w:bCs/>
          <w:color w:val="000000"/>
          <w:sz w:val="32"/>
          <w:szCs w:val="32"/>
        </w:rPr>
        <w:t>（类）行政事业单位医疗（款）公务员医疗补助</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hint="eastAsia" w:ascii="仿宋" w:hAnsi="仿宋" w:eastAsia="仿宋"/>
          <w:b w:val="0"/>
          <w:bCs/>
          <w:sz w:val="32"/>
          <w:szCs w:val="32"/>
        </w:rPr>
        <w:t>支出决算为0.84万元，完成预算100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rPr>
        <w:t>10</w:t>
      </w:r>
      <w:r>
        <w:rPr>
          <w:rStyle w:val="15"/>
          <w:rFonts w:ascii="仿宋" w:hAnsi="仿宋" w:eastAsia="仿宋"/>
          <w:bCs/>
          <w:sz w:val="32"/>
          <w:szCs w:val="32"/>
        </w:rPr>
        <w:t>.</w:t>
      </w:r>
      <w:r>
        <w:rPr>
          <w:rStyle w:val="20"/>
          <w:rFonts w:hint="eastAsia" w:ascii="仿宋" w:hAnsi="仿宋" w:eastAsia="仿宋"/>
          <w:bCs/>
          <w:sz w:val="32"/>
          <w:szCs w:val="32"/>
        </w:rPr>
        <w:t xml:space="preserve"> </w:t>
      </w:r>
      <w:r>
        <w:rPr>
          <w:rStyle w:val="15"/>
          <w:rFonts w:hint="eastAsia" w:ascii="仿宋" w:hAnsi="仿宋" w:eastAsia="仿宋"/>
          <w:bCs/>
          <w:sz w:val="32"/>
          <w:szCs w:val="32"/>
        </w:rPr>
        <w:t>卫生</w:t>
      </w:r>
      <w:r>
        <w:rPr>
          <w:rStyle w:val="15"/>
          <w:rFonts w:hint="eastAsia" w:ascii="仿宋" w:hAnsi="仿宋" w:eastAsia="仿宋"/>
          <w:bCs/>
          <w:color w:val="000000"/>
          <w:sz w:val="32"/>
          <w:szCs w:val="32"/>
        </w:rPr>
        <w:t>健康支出（类）行政事业单位医疗（款）</w:t>
      </w:r>
      <w:r>
        <w:rPr>
          <w:rStyle w:val="15"/>
          <w:rFonts w:hint="eastAsia" w:ascii="仿宋" w:hAnsi="仿宋" w:eastAsia="仿宋"/>
          <w:bCs/>
          <w:sz w:val="32"/>
          <w:szCs w:val="32"/>
        </w:rPr>
        <w:t>其他行政事业单位医疗支出</w:t>
      </w:r>
      <w:r>
        <w:rPr>
          <w:rStyle w:val="15"/>
          <w:rFonts w:hint="eastAsia" w:ascii="仿宋" w:hAnsi="仿宋" w:eastAsia="仿宋"/>
          <w:bCs/>
          <w:color w:val="000000"/>
          <w:sz w:val="32"/>
          <w:szCs w:val="32"/>
        </w:rPr>
        <w:t>（项）</w:t>
      </w:r>
      <w:r>
        <w:rPr>
          <w:rStyle w:val="15"/>
          <w:rFonts w:ascii="仿宋" w:hAnsi="仿宋" w:eastAsia="仿宋"/>
          <w:bCs/>
          <w:sz w:val="32"/>
          <w:szCs w:val="32"/>
        </w:rPr>
        <w:t>:</w:t>
      </w:r>
      <w:r>
        <w:rPr>
          <w:rStyle w:val="15"/>
          <w:rFonts w:hint="eastAsia" w:ascii="仿宋" w:hAnsi="仿宋" w:eastAsia="仿宋"/>
          <w:b w:val="0"/>
          <w:bCs/>
          <w:sz w:val="32"/>
          <w:szCs w:val="32"/>
        </w:rPr>
        <w:t>支出决算为0.55万元，完成预算100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rPr>
        <w:t>11</w:t>
      </w:r>
      <w:r>
        <w:rPr>
          <w:rStyle w:val="15"/>
          <w:rFonts w:ascii="仿宋" w:hAnsi="仿宋" w:eastAsia="仿宋"/>
          <w:bCs/>
          <w:sz w:val="32"/>
          <w:szCs w:val="32"/>
        </w:rPr>
        <w:t>.</w:t>
      </w:r>
      <w:r>
        <w:rPr>
          <w:rStyle w:val="15"/>
          <w:rFonts w:hint="eastAsia" w:ascii="仿宋" w:hAnsi="仿宋" w:eastAsia="仿宋"/>
          <w:bCs/>
          <w:sz w:val="32"/>
          <w:szCs w:val="32"/>
        </w:rPr>
        <w:t>住房保障支出（类）住房改革支出（款）住房公积金（项）</w:t>
      </w:r>
      <w:r>
        <w:rPr>
          <w:rStyle w:val="15"/>
          <w:rFonts w:ascii="仿宋" w:hAnsi="仿宋" w:eastAsia="仿宋"/>
          <w:bCs/>
          <w:sz w:val="32"/>
          <w:szCs w:val="32"/>
        </w:rPr>
        <w:t>:</w:t>
      </w:r>
      <w:r>
        <w:rPr>
          <w:rStyle w:val="15"/>
          <w:rFonts w:hint="eastAsia" w:ascii="仿宋" w:hAnsi="仿宋" w:eastAsia="仿宋"/>
          <w:b w:val="0"/>
          <w:bCs/>
          <w:sz w:val="32"/>
          <w:szCs w:val="32"/>
        </w:rPr>
        <w:t>支出决算为21.63万元，完成预算100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tabs>
          <w:tab w:val="right" w:pos="8306"/>
        </w:tabs>
        <w:spacing w:line="600" w:lineRule="exact"/>
        <w:ind w:firstLine="640"/>
        <w:outlineLvl w:val="1"/>
        <w:rPr>
          <w:rStyle w:val="26"/>
        </w:rPr>
      </w:pPr>
      <w:bookmarkStart w:id="38" w:name="_Toc15377214"/>
      <w:bookmarkStart w:id="39"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8"/>
      <w:bookmarkEnd w:id="39"/>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22年一般公共预算财政拨款基本支出291.04万元，其中：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270.02万元，主要包括：基本工资、津贴补贴、奖金、绩效工资、机关事业单位基本养老保险缴费、职工基本医疗保险缴费、公务员医疗补助缴费、其他社会保障缴费、其他工资福利支出、生活补助、住房公积金。</w:t>
      </w:r>
      <w:r>
        <w:rPr>
          <w:rFonts w:ascii="仿宋" w:hAnsi="仿宋" w:eastAsia="仿宋"/>
          <w:sz w:val="32"/>
          <w:szCs w:val="32"/>
        </w:rPr>
        <w:br w:type="textWrapping"/>
      </w:r>
      <w:r>
        <w:rPr>
          <w:rFonts w:hint="eastAsia" w:ascii="仿宋" w:hAnsi="仿宋" w:eastAsia="仿宋"/>
          <w:sz w:val="32"/>
          <w:szCs w:val="32"/>
        </w:rPr>
        <w:t>　　公用经费21.02万元，主要包括：办公费、印刷费、咨询费、电费、差旅费、维修（护）费、劳务费、工会经费、福利费、其他交通费。</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pPr>
        <w:spacing w:line="600" w:lineRule="exact"/>
        <w:ind w:firstLine="640"/>
        <w:outlineLvl w:val="1"/>
        <w:rPr>
          <w:rStyle w:val="26"/>
          <w:rFonts w:ascii="黑体" w:hAnsi="黑体" w:eastAsia="黑体"/>
          <w:b w:val="0"/>
        </w:rPr>
      </w:pPr>
      <w:bookmarkStart w:id="40" w:name="_Toc15396609"/>
      <w:bookmarkStart w:id="41" w:name="_Toc15377215"/>
      <w:r>
        <w:rPr>
          <w:rFonts w:hint="eastAsia" w:ascii="黑体" w:eastAsia="黑体"/>
          <w:sz w:val="32"/>
          <w:szCs w:val="32"/>
        </w:rPr>
        <w:t>七、</w:t>
      </w:r>
      <w:r>
        <w:rPr>
          <w:rStyle w:val="26"/>
          <w:rFonts w:hint="eastAsia" w:ascii="黑体" w:hAnsi="黑体" w:eastAsia="黑体"/>
          <w:b w:val="0"/>
        </w:rPr>
        <w:t>财政拨款</w:t>
      </w:r>
      <w:r>
        <w:rPr>
          <w:rStyle w:val="26"/>
          <w:rFonts w:hint="eastAsia" w:ascii="黑体" w:hAnsi="黑体" w:eastAsia="黑体"/>
        </w:rPr>
        <w:t>“</w:t>
      </w:r>
      <w:r>
        <w:rPr>
          <w:rStyle w:val="26"/>
          <w:rFonts w:hint="eastAsia" w:ascii="黑体" w:hAnsi="黑体" w:eastAsia="黑体"/>
          <w:b w:val="0"/>
        </w:rPr>
        <w:t>三公”经费支出决算情况说明</w:t>
      </w:r>
      <w:bookmarkEnd w:id="40"/>
      <w:bookmarkEnd w:id="41"/>
    </w:p>
    <w:p>
      <w:pPr>
        <w:spacing w:line="600" w:lineRule="exact"/>
        <w:ind w:firstLine="640"/>
        <w:outlineLvl w:val="2"/>
        <w:rPr>
          <w:rFonts w:ascii="仿宋" w:hAnsi="仿宋" w:eastAsia="仿宋"/>
          <w:b/>
          <w:sz w:val="32"/>
          <w:szCs w:val="32"/>
        </w:rPr>
      </w:pPr>
      <w:bookmarkStart w:id="42" w:name="_Toc15377216"/>
      <w:r>
        <w:rPr>
          <w:rFonts w:hint="eastAsia" w:ascii="仿宋" w:hAnsi="仿宋" w:eastAsia="仿宋"/>
          <w:b/>
          <w:sz w:val="32"/>
          <w:szCs w:val="32"/>
        </w:rPr>
        <w:t>（一）“三公”经费财政拨款支出决算总体情况说明</w:t>
      </w:r>
      <w:bookmarkEnd w:id="42"/>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22年“三公”经费财政拨款支出决算为0万元，完成预算0</w:t>
      </w:r>
      <w:r>
        <w:rPr>
          <w:rFonts w:ascii="仿宋" w:hAnsi="仿宋" w:eastAsia="仿宋"/>
          <w:sz w:val="32"/>
          <w:szCs w:val="32"/>
        </w:rPr>
        <w:t>%</w:t>
      </w:r>
      <w:r>
        <w:rPr>
          <w:rFonts w:hint="eastAsia" w:ascii="仿宋" w:hAnsi="仿宋" w:eastAsia="仿宋"/>
          <w:sz w:val="32"/>
          <w:szCs w:val="32"/>
        </w:rPr>
        <w:t>，与上年数据持平。</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43" w:name="_Toc15377217"/>
      <w:r>
        <w:rPr>
          <w:rFonts w:hint="eastAsia" w:ascii="仿宋" w:hAnsi="仿宋" w:eastAsia="仿宋"/>
          <w:b/>
          <w:sz w:val="32"/>
          <w:szCs w:val="32"/>
        </w:rPr>
        <w:t>（二）“三公”经费财政拨款支出决算具体情况说明</w:t>
      </w:r>
      <w:bookmarkEnd w:id="4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ascii="仿宋_GB2312" w:eastAsia="仿宋_GB2312"/>
          <w:b/>
          <w:sz w:val="32"/>
          <w:szCs w:val="32"/>
        </w:rPr>
        <w:t>1.</w:t>
      </w:r>
      <w:r>
        <w:rPr>
          <w:rFonts w:hint="eastAsia" w:ascii="仿宋" w:hAnsi="仿宋" w:eastAsia="仿宋"/>
          <w:b/>
          <w:sz w:val="32"/>
          <w:szCs w:val="32"/>
        </w:rPr>
        <w:t>因公出国（境）经费支出0万元</w:t>
      </w:r>
      <w:r>
        <w:rPr>
          <w:rFonts w:hint="eastAsia" w:ascii="仿宋_GB2312" w:eastAsia="仿宋_GB2312"/>
          <w:sz w:val="32"/>
          <w:szCs w:val="32"/>
        </w:rPr>
        <w:t>，</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Fonts w:hint="eastAsia" w:ascii="仿宋" w:hAnsi="仿宋" w:eastAsia="仿宋"/>
          <w:sz w:val="32"/>
          <w:szCs w:val="32"/>
        </w:rPr>
        <w:t>，与上年数据持平</w:t>
      </w:r>
      <w:r>
        <w:rPr>
          <w:rStyle w:val="15"/>
          <w:rFonts w:hint="eastAsia" w:ascii="仿宋" w:hAnsi="仿宋" w:eastAsia="仿宋"/>
          <w:b w:val="0"/>
          <w:bCs/>
          <w:sz w:val="32"/>
          <w:szCs w:val="32"/>
        </w:rPr>
        <w:t>。</w:t>
      </w:r>
      <w:r>
        <w:rPr>
          <w:rFonts w:hint="eastAsia" w:ascii="仿宋" w:hAnsi="仿宋" w:eastAsia="仿宋"/>
          <w:sz w:val="32"/>
          <w:szCs w:val="32"/>
        </w:rPr>
        <w:t>全年安排因公出国（境）团组0次，出国（境）0人。</w:t>
      </w:r>
    </w:p>
    <w:p>
      <w:pPr>
        <w:spacing w:line="600" w:lineRule="exact"/>
        <w:ind w:firstLine="640"/>
        <w:rPr>
          <w:rFonts w:ascii="仿宋_GB2312" w:eastAsia="仿宋_GB2312"/>
          <w:sz w:val="32"/>
          <w:szCs w:val="32"/>
        </w:rPr>
      </w:pPr>
      <w:r>
        <w:rPr>
          <w:rFonts w:hint="eastAsia" w:ascii="仿宋_GB2312" w:eastAsia="仿宋_GB2312"/>
          <w:sz w:val="32"/>
          <w:szCs w:val="32"/>
        </w:rPr>
        <w:t>开支内容包括：无。</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 w:hAnsi="仿宋" w:eastAsia="仿宋"/>
          <w:b/>
          <w:sz w:val="32"/>
          <w:szCs w:val="32"/>
        </w:rPr>
        <w:t>公务用车购置及运行维护费支出0万元</w:t>
      </w:r>
      <w:r>
        <w:rPr>
          <w:rFonts w:hint="eastAsia" w:ascii="仿宋_GB2312" w:eastAsia="仿宋_GB2312"/>
          <w:sz w:val="32"/>
          <w:szCs w:val="32"/>
        </w:rPr>
        <w:t>,</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Fonts w:hint="eastAsia" w:ascii="仿宋" w:hAnsi="仿宋" w:eastAsia="仿宋"/>
          <w:sz w:val="32"/>
          <w:szCs w:val="32"/>
        </w:rPr>
        <w:t>，与上年数据持平</w:t>
      </w:r>
      <w:r>
        <w:rPr>
          <w:rStyle w:val="15"/>
          <w:rFonts w:hint="eastAsia" w:ascii="仿宋" w:hAnsi="仿宋" w:eastAsia="仿宋"/>
          <w:b w:val="0"/>
          <w:bCs/>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 w:hAnsi="仿宋" w:eastAsia="仿宋"/>
          <w:sz w:val="32"/>
          <w:szCs w:val="32"/>
        </w:rPr>
        <w:t>公务用车购置支出0万元。全年按规定更新购置公务用车0辆，其中：轿车0辆、金额0万元，越野车0辆、金额0万元，载客汽车0辆、金额0万元。截至</w:t>
      </w:r>
      <w:r>
        <w:rPr>
          <w:rFonts w:ascii="仿宋" w:hAnsi="仿宋" w:eastAsia="仿宋"/>
          <w:sz w:val="32"/>
          <w:szCs w:val="32"/>
        </w:rPr>
        <w:t>20</w:t>
      </w:r>
      <w:r>
        <w:rPr>
          <w:rFonts w:hint="eastAsia" w:ascii="仿宋" w:hAnsi="仿宋" w:eastAsia="仿宋"/>
          <w:sz w:val="32"/>
          <w:szCs w:val="32"/>
        </w:rPr>
        <w:t>22年</w:t>
      </w:r>
      <w:r>
        <w:rPr>
          <w:rFonts w:ascii="仿宋" w:hAnsi="仿宋" w:eastAsia="仿宋"/>
          <w:sz w:val="32"/>
          <w:szCs w:val="32"/>
        </w:rPr>
        <w:t>12</w:t>
      </w:r>
      <w:r>
        <w:rPr>
          <w:rFonts w:hint="eastAsia" w:ascii="仿宋" w:hAnsi="仿宋" w:eastAsia="仿宋"/>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hint="eastAsia" w:ascii="仿宋" w:hAnsi="仿宋" w:eastAsia="仿宋"/>
          <w:b/>
          <w:sz w:val="32"/>
          <w:szCs w:val="32"/>
        </w:rPr>
        <w:t>公务用车运行维护费支出0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 w:hAnsi="仿宋" w:eastAsia="仿宋"/>
          <w:b/>
          <w:sz w:val="32"/>
          <w:szCs w:val="32"/>
        </w:rPr>
        <w:t>公务接待费支出0</w:t>
      </w:r>
      <w:r>
        <w:rPr>
          <w:rFonts w:hint="eastAsia" w:ascii="仿宋_GB2312" w:eastAsia="仿宋_GB2312"/>
          <w:sz w:val="32"/>
          <w:szCs w:val="32"/>
        </w:rPr>
        <w:t>万元，</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Fonts w:hint="eastAsia" w:ascii="仿宋" w:hAnsi="仿宋" w:eastAsia="仿宋"/>
          <w:sz w:val="32"/>
          <w:szCs w:val="32"/>
        </w:rPr>
        <w:t>，与上年数据持平</w:t>
      </w:r>
      <w:r>
        <w:rPr>
          <w:rStyle w:val="15"/>
          <w:rFonts w:hint="eastAsia" w:ascii="仿宋" w:hAnsi="仿宋" w:eastAsia="仿宋"/>
          <w:b w:val="0"/>
          <w:bCs/>
          <w:sz w:val="32"/>
          <w:szCs w:val="32"/>
        </w:rPr>
        <w:t>。</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外事接待0批次，0人次（不包括陪同人员）。</w:t>
      </w:r>
      <w:bookmarkStart w:id="44" w:name="_Toc15377218"/>
      <w:bookmarkStart w:id="45" w:name="_Toc15396610"/>
    </w:p>
    <w:p>
      <w:pPr>
        <w:spacing w:line="600" w:lineRule="exact"/>
        <w:ind w:firstLine="640"/>
        <w:outlineLvl w:val="1"/>
        <w:rPr>
          <w:rStyle w:val="26"/>
          <w:rFonts w:ascii="黑体" w:hAnsi="黑体" w:eastAsia="黑体"/>
        </w:rPr>
      </w:pPr>
      <w:r>
        <w:rPr>
          <w:rFonts w:hint="eastAsia" w:ascii="黑体" w:eastAsia="黑体"/>
          <w:sz w:val="32"/>
          <w:szCs w:val="32"/>
        </w:rPr>
        <w:t>八、</w:t>
      </w:r>
      <w:r>
        <w:rPr>
          <w:rStyle w:val="26"/>
          <w:rFonts w:hint="eastAsia" w:ascii="黑体" w:hAnsi="黑体" w:eastAsia="黑体"/>
          <w:b w:val="0"/>
        </w:rPr>
        <w:t>政府性基金预算支出决算情况说明</w:t>
      </w:r>
      <w:bookmarkEnd w:id="44"/>
      <w:bookmarkEnd w:id="45"/>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22年政府性基金预算财政拨款支出0.93万元。</w:t>
      </w:r>
    </w:p>
    <w:p>
      <w:pPr>
        <w:numPr>
          <w:ilvl w:val="0"/>
          <w:numId w:val="2"/>
        </w:numPr>
        <w:spacing w:line="600" w:lineRule="exact"/>
        <w:ind w:firstLine="640"/>
        <w:outlineLvl w:val="1"/>
        <w:rPr>
          <w:rStyle w:val="26"/>
          <w:rFonts w:ascii="黑体" w:hAnsi="黑体" w:eastAsia="黑体"/>
          <w:b w:val="0"/>
        </w:rPr>
      </w:pPr>
      <w:bookmarkStart w:id="46" w:name="_Toc15377219"/>
      <w:bookmarkStart w:id="47" w:name="_Toc15396611"/>
      <w:r>
        <w:rPr>
          <w:rStyle w:val="26"/>
          <w:rFonts w:hint="eastAsia" w:ascii="黑体" w:hAnsi="黑体" w:eastAsia="黑体"/>
          <w:b w:val="0"/>
        </w:rPr>
        <w:t>国有资本经营预算支出决算情况说明</w:t>
      </w:r>
      <w:bookmarkEnd w:id="46"/>
      <w:bookmarkEnd w:id="47"/>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22年国有资本经营预算财政拨款支出0万元。</w:t>
      </w:r>
    </w:p>
    <w:p>
      <w:pPr>
        <w:spacing w:line="580" w:lineRule="exact"/>
        <w:jc w:val="center"/>
        <w:rPr>
          <w:rFonts w:ascii="方正小标宋简体" w:hAnsi="方正小标宋简体" w:eastAsia="方正小标宋简体" w:cs="方正小标宋简体"/>
          <w:sz w:val="44"/>
          <w:szCs w:val="44"/>
        </w:rPr>
      </w:pPr>
    </w:p>
    <w:p>
      <w:pPr>
        <w:numPr>
          <w:ilvl w:val="0"/>
          <w:numId w:val="2"/>
        </w:numPr>
        <w:spacing w:line="600" w:lineRule="exact"/>
        <w:ind w:firstLine="640"/>
        <w:outlineLvl w:val="1"/>
        <w:rPr>
          <w:rStyle w:val="26"/>
          <w:rFonts w:ascii="黑体" w:hAnsi="黑体" w:eastAsia="黑体"/>
          <w:b w:val="0"/>
        </w:rPr>
      </w:pPr>
      <w:bookmarkStart w:id="48" w:name="_Toc15396612"/>
      <w:bookmarkStart w:id="49" w:name="_Toc15377221"/>
      <w:r>
        <w:rPr>
          <w:rStyle w:val="26"/>
          <w:rFonts w:hint="eastAsia" w:ascii="黑体" w:hAnsi="黑体" w:eastAsia="黑体"/>
          <w:b w:val="0"/>
        </w:rPr>
        <w:t>其他重要事项的情况说明</w:t>
      </w:r>
      <w:bookmarkEnd w:id="48"/>
      <w:bookmarkEnd w:id="49"/>
    </w:p>
    <w:p>
      <w:pPr>
        <w:spacing w:line="600" w:lineRule="exact"/>
        <w:ind w:firstLine="643" w:firstLineChars="200"/>
        <w:outlineLvl w:val="2"/>
        <w:rPr>
          <w:rFonts w:ascii="仿宋" w:hAnsi="仿宋" w:eastAsia="仿宋"/>
          <w:sz w:val="32"/>
          <w:szCs w:val="32"/>
        </w:rPr>
      </w:pPr>
      <w:bookmarkStart w:id="50" w:name="_Toc15377222"/>
      <w:r>
        <w:rPr>
          <w:rFonts w:hint="eastAsia" w:ascii="仿宋" w:hAnsi="仿宋" w:eastAsia="仿宋"/>
          <w:b/>
          <w:sz w:val="32"/>
          <w:szCs w:val="32"/>
        </w:rPr>
        <w:t>（一）机关运行经费支出情况</w:t>
      </w:r>
      <w:bookmarkEnd w:id="50"/>
    </w:p>
    <w:p>
      <w:pPr>
        <w:spacing w:line="600" w:lineRule="exact"/>
        <w:ind w:firstLine="640" w:firstLineChars="200"/>
        <w:rPr>
          <w:rFonts w:ascii="仿宋_GB2312" w:eastAsia="仿宋_GB2312"/>
          <w:sz w:val="32"/>
          <w:szCs w:val="32"/>
        </w:rPr>
      </w:pPr>
      <w:r>
        <w:rPr>
          <w:rFonts w:ascii="仿宋" w:hAnsi="仿宋" w:eastAsia="仿宋"/>
          <w:sz w:val="32"/>
          <w:szCs w:val="32"/>
        </w:rPr>
        <w:t>20</w:t>
      </w:r>
      <w:r>
        <w:rPr>
          <w:rFonts w:hint="eastAsia" w:ascii="仿宋" w:hAnsi="仿宋" w:eastAsia="仿宋"/>
          <w:sz w:val="32"/>
          <w:szCs w:val="32"/>
        </w:rPr>
        <w:t>22年，西区文化广播电视和旅游局机关运行经费支出21.02万元，比</w:t>
      </w:r>
      <w:r>
        <w:rPr>
          <w:rFonts w:ascii="仿宋" w:hAnsi="仿宋" w:eastAsia="仿宋"/>
          <w:sz w:val="32"/>
          <w:szCs w:val="32"/>
        </w:rPr>
        <w:t>20</w:t>
      </w:r>
      <w:r>
        <w:rPr>
          <w:rFonts w:hint="eastAsia" w:ascii="仿宋" w:hAnsi="仿宋" w:eastAsia="仿宋"/>
          <w:sz w:val="32"/>
          <w:szCs w:val="32"/>
        </w:rPr>
        <w:t>21年减少5.21万元，下降19.86</w:t>
      </w:r>
      <w:r>
        <w:rPr>
          <w:rFonts w:ascii="仿宋" w:hAnsi="仿宋" w:eastAsia="仿宋"/>
          <w:sz w:val="32"/>
          <w:szCs w:val="32"/>
        </w:rPr>
        <w:t>%</w:t>
      </w:r>
      <w:r>
        <w:rPr>
          <w:rFonts w:hint="eastAsia" w:ascii="仿宋" w:hAnsi="仿宋" w:eastAsia="仿宋"/>
          <w:sz w:val="32"/>
          <w:szCs w:val="32"/>
        </w:rPr>
        <w:t>。主要原因是</w:t>
      </w:r>
      <w:r>
        <w:rPr>
          <w:rFonts w:ascii="仿宋" w:hAnsi="仿宋" w:eastAsia="仿宋"/>
          <w:sz w:val="32"/>
          <w:szCs w:val="32"/>
        </w:rPr>
        <w:t>厉行节约，压缩开支</w:t>
      </w:r>
      <w:r>
        <w:rPr>
          <w:rFonts w:hint="eastAsia" w:ascii="仿宋" w:hAnsi="仿宋" w:eastAsia="仿宋"/>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1" w:name="_Toc15377223"/>
      <w:r>
        <w:rPr>
          <w:rFonts w:hint="eastAsia" w:ascii="仿宋" w:hAnsi="仿宋" w:eastAsia="仿宋"/>
          <w:b/>
          <w:sz w:val="32"/>
          <w:szCs w:val="32"/>
        </w:rPr>
        <w:t>（二）政府采购支出情况</w:t>
      </w:r>
      <w:bookmarkEnd w:id="51"/>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22年，西区文化广播电视和旅游局政府采购支出总额38.9万元，其中：政府采购货物支出38.9万元、政府采购工程支出0万元、政府采购服务支出0万元。主要用于</w:t>
      </w:r>
      <w:r>
        <w:rPr>
          <w:rFonts w:hint="eastAsia" w:ascii="仿宋" w:hAnsi="仿宋" w:eastAsia="仿宋"/>
          <w:color w:val="000000"/>
          <w:szCs w:val="32"/>
          <w:shd w:val="clear" w:color="auto" w:fill="FFFFFF"/>
        </w:rPr>
        <w:t>《</w:t>
      </w:r>
      <w:r>
        <w:rPr>
          <w:rFonts w:hint="eastAsia" w:ascii="仿宋" w:hAnsi="仿宋" w:eastAsia="仿宋"/>
          <w:sz w:val="32"/>
          <w:szCs w:val="32"/>
        </w:rPr>
        <w:t>火红年华》拍摄基地项目。授予中小企业合同金额38.9万元，占政府采购支出总额的100</w:t>
      </w:r>
      <w:r>
        <w:rPr>
          <w:rFonts w:ascii="仿宋" w:hAnsi="仿宋" w:eastAsia="仿宋"/>
          <w:sz w:val="32"/>
          <w:szCs w:val="32"/>
        </w:rPr>
        <w:t>%</w:t>
      </w:r>
      <w:r>
        <w:rPr>
          <w:rFonts w:hint="eastAsia" w:ascii="仿宋" w:hAnsi="仿宋" w:eastAsia="仿宋"/>
          <w:sz w:val="32"/>
          <w:szCs w:val="32"/>
        </w:rPr>
        <w:t>，其中：授予小微企业合同金额38.9万元，占政府采购支出总额的100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2" w:name="_Toc15377224"/>
      <w:r>
        <w:rPr>
          <w:rFonts w:hint="eastAsia" w:ascii="仿宋" w:hAnsi="仿宋" w:eastAsia="仿宋"/>
          <w:b/>
          <w:sz w:val="32"/>
          <w:szCs w:val="32"/>
        </w:rPr>
        <w:t>（三）国有资产占有使用情况</w:t>
      </w:r>
      <w:bookmarkEnd w:id="52"/>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日，西区文化广播电视和旅游局共有车辆0辆，其中：主要领导干部用车0辆、机要通信用车0辆、应急保障用车0辆、其他用车0辆。单价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根据预算绩效管理要求，本单位在2022年度预算编制阶段，组织对公共文化服务体系建设专项、西区农村广播电视维护运行工作经费等40个项目开展了预算事前绩效评估，对40个项目编制了绩效目标，预算执行过程中，选取公共文化服务体系建设专项、西区农村广播电视维护运行工作经费等40个项目开展绩效监控，组织对疫情防控工作经费、公共文化服务体系建设专项2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53" w:name="_Toc15377225"/>
      <w:bookmarkStart w:id="54" w:name="_Toc15396613"/>
      <w:r>
        <w:rPr>
          <w:rFonts w:hint="eastAsia" w:ascii="黑体" w:hAnsi="黑体" w:eastAsia="黑体"/>
          <w:sz w:val="44"/>
          <w:szCs w:val="44"/>
        </w:rPr>
        <w:t>名</w:t>
      </w:r>
      <w:r>
        <w:rPr>
          <w:rStyle w:val="25"/>
          <w:rFonts w:hint="eastAsia" w:ascii="黑体" w:hAnsi="黑体" w:eastAsia="黑体"/>
          <w:b w:val="0"/>
        </w:rPr>
        <w:t>词解释</w:t>
      </w:r>
      <w:bookmarkEnd w:id="53"/>
      <w:bookmarkEnd w:id="54"/>
    </w:p>
    <w:p>
      <w:pPr>
        <w:spacing w:line="600" w:lineRule="exact"/>
        <w:jc w:val="left"/>
        <w:rPr>
          <w:rFonts w:ascii="宋体"/>
          <w:b/>
          <w:sz w:val="44"/>
          <w:szCs w:val="44"/>
        </w:rPr>
      </w:pPr>
    </w:p>
    <w:p>
      <w:pPr>
        <w:pStyle w:val="23"/>
        <w:spacing w:line="560" w:lineRule="exact"/>
        <w:ind w:firstLine="640" w:firstLineChars="200"/>
        <w:rPr>
          <w:rFonts w:hAnsi="仿宋" w:cs="宋体"/>
          <w:color w:val="auto"/>
          <w:sz w:val="32"/>
          <w:szCs w:val="32"/>
        </w:rPr>
      </w:pPr>
      <w:r>
        <w:rPr>
          <w:rFonts w:hAnsi="仿宋" w:cs="宋体"/>
          <w:color w:val="auto"/>
          <w:sz w:val="32"/>
          <w:szCs w:val="32"/>
        </w:rPr>
        <w:t>1.</w:t>
      </w:r>
      <w:r>
        <w:rPr>
          <w:rFonts w:hint="eastAsia" w:hAnsi="仿宋" w:cs="宋体"/>
          <w:color w:val="auto"/>
          <w:sz w:val="32"/>
          <w:szCs w:val="32"/>
        </w:rPr>
        <w:t>财政拨款收入：指单位从同级财政部门取得的财政预算资金。</w:t>
      </w:r>
    </w:p>
    <w:p>
      <w:pPr>
        <w:pStyle w:val="23"/>
        <w:spacing w:line="560" w:lineRule="exact"/>
        <w:ind w:firstLine="640" w:firstLineChars="200"/>
        <w:rPr>
          <w:rFonts w:hAnsi="仿宋" w:cs="宋体"/>
          <w:color w:val="auto"/>
          <w:sz w:val="32"/>
          <w:szCs w:val="32"/>
        </w:rPr>
      </w:pPr>
      <w:r>
        <w:rPr>
          <w:rFonts w:hAnsi="仿宋" w:cs="宋体"/>
          <w:color w:val="auto"/>
          <w:sz w:val="32"/>
          <w:szCs w:val="32"/>
        </w:rPr>
        <w:t>2.</w:t>
      </w:r>
      <w:r>
        <w:rPr>
          <w:rFonts w:hint="eastAsia" w:hAnsi="仿宋" w:cs="宋体"/>
          <w:color w:val="auto"/>
          <w:sz w:val="32"/>
          <w:szCs w:val="32"/>
        </w:rPr>
        <w:t>事业收入：指事业单位开展专业业务活动及辅助活动取得的收入。</w:t>
      </w:r>
    </w:p>
    <w:p>
      <w:pPr>
        <w:pStyle w:val="23"/>
        <w:spacing w:line="560" w:lineRule="exact"/>
        <w:ind w:firstLine="640" w:firstLineChars="200"/>
        <w:rPr>
          <w:rFonts w:hAnsi="仿宋" w:cs="宋体"/>
          <w:color w:val="auto"/>
          <w:sz w:val="32"/>
          <w:szCs w:val="32"/>
        </w:rPr>
      </w:pPr>
      <w:r>
        <w:rPr>
          <w:rFonts w:hAnsi="仿宋" w:cs="宋体"/>
          <w:color w:val="auto"/>
          <w:sz w:val="32"/>
          <w:szCs w:val="32"/>
        </w:rPr>
        <w:t>3.</w:t>
      </w:r>
      <w:r>
        <w:rPr>
          <w:rFonts w:hint="eastAsia" w:hAnsi="仿宋" w:cs="宋体"/>
          <w:color w:val="auto"/>
          <w:sz w:val="32"/>
          <w:szCs w:val="32"/>
        </w:rPr>
        <w:t>经营收入：指事业单位在专业业务活动及其辅助活动之外开展非独立核算经营活动取得的收入。</w:t>
      </w:r>
    </w:p>
    <w:p>
      <w:pPr>
        <w:pStyle w:val="23"/>
        <w:spacing w:line="560" w:lineRule="exact"/>
        <w:ind w:firstLine="640" w:firstLineChars="200"/>
        <w:rPr>
          <w:rFonts w:hAnsi="仿宋" w:cs="宋体"/>
          <w:color w:val="auto"/>
          <w:sz w:val="32"/>
          <w:szCs w:val="32"/>
        </w:rPr>
      </w:pPr>
      <w:r>
        <w:rPr>
          <w:rFonts w:hAnsi="仿宋" w:cs="宋体"/>
          <w:color w:val="auto"/>
          <w:sz w:val="32"/>
          <w:szCs w:val="32"/>
        </w:rPr>
        <w:t>4.</w:t>
      </w:r>
      <w:r>
        <w:rPr>
          <w:rFonts w:hint="eastAsia" w:hAnsi="仿宋" w:cs="宋体"/>
          <w:color w:val="auto"/>
          <w:sz w:val="32"/>
          <w:szCs w:val="32"/>
        </w:rPr>
        <w:t>其他收入：指单位取得的除上述收入以外的各项收入。</w:t>
      </w:r>
    </w:p>
    <w:p>
      <w:pPr>
        <w:pStyle w:val="23"/>
        <w:spacing w:line="560" w:lineRule="exact"/>
        <w:ind w:firstLine="640" w:firstLineChars="200"/>
        <w:rPr>
          <w:rFonts w:hAnsi="仿宋" w:cs="宋体"/>
          <w:color w:val="auto"/>
          <w:sz w:val="32"/>
          <w:szCs w:val="32"/>
        </w:rPr>
      </w:pPr>
      <w:r>
        <w:rPr>
          <w:rFonts w:hAnsi="仿宋" w:cs="宋体"/>
          <w:color w:val="auto"/>
          <w:sz w:val="32"/>
          <w:szCs w:val="32"/>
        </w:rPr>
        <w:t>5.</w:t>
      </w:r>
      <w:r>
        <w:rPr>
          <w:rFonts w:hint="eastAsia" w:hAnsi="仿宋" w:cs="宋体"/>
          <w:color w:val="auto"/>
          <w:sz w:val="32"/>
          <w:szCs w:val="32"/>
        </w:rPr>
        <w:t>使用非财政拨款结余：指事业单位使用以前年度积累的非财政拨款结余弥补当年收支差额的金额。</w:t>
      </w:r>
    </w:p>
    <w:p>
      <w:pPr>
        <w:pStyle w:val="23"/>
        <w:spacing w:line="560" w:lineRule="exact"/>
        <w:ind w:firstLine="640" w:firstLineChars="200"/>
        <w:rPr>
          <w:rFonts w:hAnsi="仿宋" w:cs="宋体"/>
          <w:color w:val="auto"/>
          <w:sz w:val="32"/>
          <w:szCs w:val="32"/>
        </w:rPr>
      </w:pPr>
      <w:r>
        <w:rPr>
          <w:rFonts w:hAnsi="仿宋" w:cs="宋体"/>
          <w:color w:val="auto"/>
          <w:sz w:val="32"/>
          <w:szCs w:val="32"/>
        </w:rPr>
        <w:t>6.</w:t>
      </w:r>
      <w:r>
        <w:rPr>
          <w:rFonts w:hint="eastAsia" w:hAnsi="仿宋" w:cs="宋体"/>
          <w:color w:val="auto"/>
          <w:sz w:val="32"/>
          <w:szCs w:val="32"/>
        </w:rPr>
        <w:t>年初结转和结余：指以前年度尚未完成、结转到本年按有关规定继续使用的资金。</w:t>
      </w:r>
    </w:p>
    <w:p>
      <w:pPr>
        <w:pStyle w:val="23"/>
        <w:spacing w:line="560" w:lineRule="exact"/>
        <w:ind w:firstLine="640" w:firstLineChars="200"/>
        <w:rPr>
          <w:rFonts w:hAnsi="仿宋" w:cs="宋体"/>
          <w:color w:val="auto"/>
          <w:sz w:val="32"/>
          <w:szCs w:val="32"/>
        </w:rPr>
      </w:pPr>
      <w:r>
        <w:rPr>
          <w:rFonts w:hAnsi="仿宋" w:cs="宋体"/>
          <w:color w:val="auto"/>
          <w:sz w:val="32"/>
          <w:szCs w:val="32"/>
        </w:rPr>
        <w:t>7.</w:t>
      </w:r>
      <w:r>
        <w:rPr>
          <w:rFonts w:hint="eastAsia" w:hAnsi="仿宋" w:cs="宋体"/>
          <w:color w:val="auto"/>
          <w:sz w:val="32"/>
          <w:szCs w:val="32"/>
        </w:rPr>
        <w:t>结余分配：指事业单位按照会计制度规定缴纳的所得税、提取的专用结余以及转入非财政拨款结余的金额等。</w:t>
      </w:r>
    </w:p>
    <w:p>
      <w:pPr>
        <w:pStyle w:val="23"/>
        <w:spacing w:line="560" w:lineRule="exact"/>
        <w:ind w:firstLine="640" w:firstLineChars="200"/>
        <w:rPr>
          <w:rFonts w:hAnsi="仿宋" w:cs="宋体"/>
          <w:color w:val="auto"/>
          <w:sz w:val="32"/>
          <w:szCs w:val="32"/>
        </w:rPr>
      </w:pPr>
      <w:r>
        <w:rPr>
          <w:rFonts w:hAnsi="仿宋" w:cs="宋体"/>
          <w:color w:val="auto"/>
          <w:sz w:val="32"/>
          <w:szCs w:val="32"/>
        </w:rPr>
        <w:t>8</w:t>
      </w:r>
      <w:r>
        <w:rPr>
          <w:rFonts w:hint="eastAsia" w:hAnsi="仿宋" w:cs="宋体"/>
          <w:color w:val="auto"/>
          <w:sz w:val="32"/>
          <w:szCs w:val="32"/>
        </w:rPr>
        <w:t>.年末结转和结余：指单位按有关规定结转到下年或以后年度继续使用的资金。</w:t>
      </w:r>
    </w:p>
    <w:p>
      <w:pPr>
        <w:spacing w:line="600" w:lineRule="exact"/>
        <w:ind w:firstLine="640"/>
        <w:rPr>
          <w:rFonts w:ascii="仿宋" w:hAnsi="仿宋" w:eastAsia="仿宋" w:cs="宋体"/>
          <w:kern w:val="0"/>
          <w:sz w:val="32"/>
          <w:szCs w:val="32"/>
        </w:rPr>
      </w:pPr>
      <w:r>
        <w:rPr>
          <w:rFonts w:hint="eastAsia" w:ascii="仿宋" w:hAnsi="仿宋" w:eastAsia="仿宋" w:cs="宋体"/>
          <w:kern w:val="0"/>
          <w:sz w:val="32"/>
          <w:szCs w:val="32"/>
        </w:rPr>
        <w:t>9.文化旅游体育与传媒支出（类）文化和旅游（款）行政运行（项）：反映行政单位（包括实行公务员管理的事业单位）的基本支出。</w:t>
      </w:r>
    </w:p>
    <w:p>
      <w:pPr>
        <w:spacing w:line="600" w:lineRule="exact"/>
        <w:ind w:firstLine="640"/>
        <w:rPr>
          <w:rFonts w:ascii="仿宋" w:hAnsi="仿宋" w:eastAsia="仿宋" w:cs="宋体"/>
          <w:kern w:val="0"/>
          <w:sz w:val="32"/>
          <w:szCs w:val="32"/>
        </w:rPr>
      </w:pPr>
      <w:r>
        <w:rPr>
          <w:rFonts w:hint="eastAsia" w:ascii="仿宋" w:hAnsi="仿宋" w:eastAsia="仿宋" w:cs="宋体"/>
          <w:kern w:val="0"/>
          <w:sz w:val="32"/>
          <w:szCs w:val="32"/>
        </w:rPr>
        <w:t>10.文化旅游体育与传媒支出（类）文化和旅游（款）其他文化和旅游支出（项）：反映除上述项目以外其他用于文化和旅游方面的支出。</w:t>
      </w:r>
    </w:p>
    <w:p>
      <w:pPr>
        <w:spacing w:line="600" w:lineRule="exact"/>
        <w:ind w:firstLine="640"/>
        <w:rPr>
          <w:rFonts w:ascii="仿宋" w:hAnsi="仿宋" w:eastAsia="仿宋" w:cs="宋体"/>
          <w:kern w:val="0"/>
          <w:sz w:val="32"/>
          <w:szCs w:val="32"/>
        </w:rPr>
      </w:pPr>
      <w:r>
        <w:rPr>
          <w:rFonts w:hint="eastAsia" w:ascii="仿宋" w:hAnsi="仿宋" w:eastAsia="仿宋" w:cs="宋体"/>
          <w:kern w:val="0"/>
          <w:sz w:val="32"/>
          <w:szCs w:val="32"/>
        </w:rPr>
        <w:t>11.文化旅游体育与传媒支出（类）其他文化旅游体育与传媒支出（款）其他文化旅游体育与传媒支出（项）：反映除上述项目以外其他用于文化旅游体育与传媒方面的支出。</w:t>
      </w:r>
    </w:p>
    <w:p>
      <w:pPr>
        <w:spacing w:line="600" w:lineRule="exact"/>
        <w:ind w:firstLine="640"/>
        <w:rPr>
          <w:rFonts w:ascii="仿宋" w:hAnsi="仿宋" w:eastAsia="仿宋" w:cs="宋体"/>
          <w:kern w:val="0"/>
          <w:sz w:val="32"/>
          <w:szCs w:val="32"/>
        </w:rPr>
      </w:pPr>
      <w:r>
        <w:rPr>
          <w:rFonts w:hint="eastAsia" w:ascii="仿宋" w:hAnsi="仿宋" w:eastAsia="仿宋" w:cs="宋体"/>
          <w:kern w:val="0"/>
          <w:sz w:val="32"/>
          <w:szCs w:val="32"/>
        </w:rPr>
        <w:t>12.社会保障和就业（类）行政事业单位养老支出（款） 行政单位离退休（项）：反映行政单位（包括实行公务员管理的事业单位）开支的离退休经费</w:t>
      </w:r>
    </w:p>
    <w:p>
      <w:pPr>
        <w:spacing w:line="600" w:lineRule="exact"/>
        <w:ind w:firstLine="640"/>
        <w:rPr>
          <w:rFonts w:ascii="仿宋" w:hAnsi="仿宋" w:eastAsia="仿宋" w:cs="宋体"/>
          <w:kern w:val="0"/>
          <w:sz w:val="32"/>
          <w:szCs w:val="32"/>
        </w:rPr>
      </w:pPr>
      <w:r>
        <w:rPr>
          <w:rFonts w:hint="eastAsia" w:ascii="仿宋" w:hAnsi="仿宋" w:eastAsia="仿宋" w:cs="宋体"/>
          <w:kern w:val="0"/>
          <w:sz w:val="32"/>
          <w:szCs w:val="32"/>
        </w:rPr>
        <w:t xml:space="preserve">13.社会保障和就业（类）行政事业单位养老支出（款） 事业单位离退休（项）：反映事业单位开支的离退休经费。 </w:t>
      </w:r>
    </w:p>
    <w:p>
      <w:pPr>
        <w:spacing w:line="600" w:lineRule="exact"/>
        <w:ind w:firstLine="640"/>
        <w:rPr>
          <w:rFonts w:ascii="仿宋" w:hAnsi="仿宋" w:eastAsia="仿宋" w:cs="宋体"/>
          <w:kern w:val="0"/>
          <w:sz w:val="32"/>
          <w:szCs w:val="32"/>
        </w:rPr>
      </w:pPr>
      <w:r>
        <w:rPr>
          <w:rFonts w:hint="eastAsia" w:ascii="仿宋" w:hAnsi="仿宋" w:eastAsia="仿宋" w:cs="宋体"/>
          <w:kern w:val="0"/>
          <w:sz w:val="32"/>
          <w:szCs w:val="32"/>
        </w:rPr>
        <w:t xml:space="preserve">14.社会保障和就业（类）行政事业单位养老支出（款） 机关事业单位基本养老保险缴费支出（项）：指机关事业单 位实施养老保险制度由单位缴纳的基本养老保险费。 </w:t>
      </w:r>
    </w:p>
    <w:p>
      <w:pPr>
        <w:spacing w:line="600" w:lineRule="exact"/>
        <w:ind w:firstLine="640"/>
        <w:rPr>
          <w:rFonts w:ascii="仿宋" w:hAnsi="仿宋" w:eastAsia="仿宋" w:cs="宋体"/>
          <w:kern w:val="0"/>
          <w:sz w:val="32"/>
          <w:szCs w:val="32"/>
        </w:rPr>
      </w:pPr>
      <w:r>
        <w:rPr>
          <w:rFonts w:hint="eastAsia" w:ascii="仿宋" w:hAnsi="仿宋" w:eastAsia="仿宋" w:cs="宋体"/>
          <w:kern w:val="0"/>
          <w:sz w:val="32"/>
          <w:szCs w:val="32"/>
        </w:rPr>
        <w:t>15.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600" w:lineRule="exact"/>
        <w:ind w:firstLine="640"/>
        <w:rPr>
          <w:rFonts w:ascii="仿宋" w:hAnsi="仿宋" w:eastAsia="仿宋" w:cs="宋体"/>
          <w:kern w:val="0"/>
          <w:sz w:val="32"/>
          <w:szCs w:val="32"/>
        </w:rPr>
      </w:pPr>
      <w:r>
        <w:rPr>
          <w:rFonts w:hint="eastAsia" w:ascii="仿宋" w:hAnsi="仿宋" w:eastAsia="仿宋" w:cs="宋体"/>
          <w:kern w:val="0"/>
          <w:sz w:val="32"/>
          <w:szCs w:val="32"/>
        </w:rPr>
        <w:t xml:space="preserve">16.卫生健康支出（类）行政事业单位医疗（款）事业单位医疗（项）：反映财政部门安排的事业单位基本医疗保险缴费经费，未参加医疗保险的事业单位的公费同医疗经费，按国家规定享受离休人员待遇的医疗经费。 </w:t>
      </w:r>
    </w:p>
    <w:p>
      <w:pPr>
        <w:spacing w:line="600" w:lineRule="exact"/>
        <w:ind w:firstLine="640"/>
        <w:rPr>
          <w:rFonts w:ascii="仿宋" w:hAnsi="仿宋" w:eastAsia="仿宋" w:cs="宋体"/>
          <w:kern w:val="0"/>
          <w:sz w:val="32"/>
          <w:szCs w:val="32"/>
        </w:rPr>
      </w:pPr>
      <w:r>
        <w:rPr>
          <w:rFonts w:hint="eastAsia" w:ascii="仿宋" w:hAnsi="仿宋" w:eastAsia="仿宋" w:cs="宋体"/>
          <w:kern w:val="0"/>
          <w:sz w:val="32"/>
          <w:szCs w:val="32"/>
        </w:rPr>
        <w:t xml:space="preserve">17.卫生健康支出（类）行政事业单位医疗（款）公务员医疗补助（项）：反映财政部门安排的公务员医疗补助经费。 </w:t>
      </w:r>
    </w:p>
    <w:p>
      <w:pPr>
        <w:spacing w:line="600" w:lineRule="exact"/>
        <w:ind w:firstLine="640"/>
        <w:rPr>
          <w:rFonts w:ascii="仿宋" w:hAnsi="仿宋" w:eastAsia="仿宋" w:cs="宋体"/>
          <w:kern w:val="0"/>
          <w:sz w:val="32"/>
          <w:szCs w:val="32"/>
        </w:rPr>
      </w:pPr>
      <w:r>
        <w:rPr>
          <w:rFonts w:hint="eastAsia" w:ascii="仿宋" w:hAnsi="仿宋" w:eastAsia="仿宋" w:cs="宋体"/>
          <w:kern w:val="0"/>
          <w:sz w:val="32"/>
          <w:szCs w:val="32"/>
        </w:rPr>
        <w:t>18. 城乡社区支出(类)国有土地使用权出让收入安排的支出(款)土地开发支出(项):反映新疆生产建设兵团和地方政府用于前期土地开发性支出以及与前期土地开发相关的费用等支出。</w:t>
      </w:r>
    </w:p>
    <w:p>
      <w:pPr>
        <w:spacing w:line="600" w:lineRule="exact"/>
        <w:ind w:firstLine="640"/>
        <w:rPr>
          <w:rFonts w:ascii="仿宋" w:hAnsi="仿宋" w:eastAsia="仿宋" w:cs="宋体"/>
          <w:kern w:val="0"/>
          <w:sz w:val="32"/>
          <w:szCs w:val="32"/>
        </w:rPr>
      </w:pPr>
      <w:r>
        <w:rPr>
          <w:rFonts w:hint="eastAsia" w:ascii="仿宋" w:hAnsi="仿宋" w:eastAsia="仿宋" w:cs="宋体"/>
          <w:kern w:val="0"/>
          <w:sz w:val="32"/>
          <w:szCs w:val="32"/>
        </w:rPr>
        <w:t>19.住房保障支出（类）住房改革支出（款）住房公积金（项）：指行政事业单位按人力资源和社会保障部、财政部规定的基本工资和津贴补贴以及规定比例为职工缴纳的住房公积金</w:t>
      </w:r>
    </w:p>
    <w:p>
      <w:pPr>
        <w:ind w:firstLine="640" w:firstLineChars="200"/>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0</w:t>
      </w:r>
      <w:r>
        <w:rPr>
          <w:rFonts w:ascii="仿宋" w:hAnsi="仿宋" w:eastAsia="仿宋" w:cs="宋体"/>
          <w:kern w:val="0"/>
          <w:sz w:val="32"/>
          <w:szCs w:val="32"/>
        </w:rPr>
        <w:t>.</w:t>
      </w:r>
      <w:r>
        <w:rPr>
          <w:rFonts w:hint="eastAsia" w:ascii="仿宋" w:hAnsi="仿宋" w:eastAsia="仿宋" w:cs="宋体"/>
          <w:kern w:val="0"/>
          <w:sz w:val="32"/>
          <w:szCs w:val="32"/>
        </w:rPr>
        <w:t>基本支出：指为保障机构正常运转、完成日常工作任务而发生的人员支出和公用支出。</w:t>
      </w:r>
    </w:p>
    <w:p>
      <w:pPr>
        <w:ind w:firstLine="640" w:firstLineChars="200"/>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1</w:t>
      </w:r>
      <w:r>
        <w:rPr>
          <w:rFonts w:ascii="仿宋" w:hAnsi="仿宋" w:eastAsia="仿宋" w:cs="宋体"/>
          <w:kern w:val="0"/>
          <w:sz w:val="32"/>
          <w:szCs w:val="32"/>
        </w:rPr>
        <w:t>.</w:t>
      </w:r>
      <w:r>
        <w:rPr>
          <w:rFonts w:hint="eastAsia" w:ascii="仿宋" w:hAnsi="仿宋" w:eastAsia="仿宋" w:cs="宋体"/>
          <w:kern w:val="0"/>
          <w:sz w:val="32"/>
          <w:szCs w:val="32"/>
        </w:rPr>
        <w:t>项目支出：指在基本支出之外为完成特定行政任务和事业发展目标所发生的支出。</w:t>
      </w:r>
    </w:p>
    <w:p>
      <w:pPr>
        <w:ind w:firstLine="640" w:firstLineChars="200"/>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2</w:t>
      </w:r>
      <w:r>
        <w:rPr>
          <w:rFonts w:ascii="仿宋" w:hAnsi="仿宋" w:eastAsia="仿宋" w:cs="宋体"/>
          <w:kern w:val="0"/>
          <w:sz w:val="32"/>
          <w:szCs w:val="32"/>
        </w:rPr>
        <w:t>.</w:t>
      </w:r>
      <w:r>
        <w:rPr>
          <w:rFonts w:hint="eastAsia" w:ascii="仿宋" w:hAnsi="仿宋" w:eastAsia="仿宋" w:cs="宋体"/>
          <w:kern w:val="0"/>
          <w:sz w:val="32"/>
          <w:szCs w:val="32"/>
        </w:rPr>
        <w:t>经营支出：指事业单位在专业业务活动及其辅助活动之外开展非独立核算经营活动发生的支出。</w:t>
      </w:r>
    </w:p>
    <w:p>
      <w:pPr>
        <w:pStyle w:val="23"/>
        <w:spacing w:line="560" w:lineRule="exact"/>
        <w:ind w:firstLine="640" w:firstLineChars="200"/>
        <w:rPr>
          <w:rFonts w:hAnsi="仿宋" w:cs="宋体"/>
          <w:color w:val="auto"/>
          <w:sz w:val="32"/>
          <w:szCs w:val="32"/>
        </w:rPr>
      </w:pPr>
      <w:r>
        <w:rPr>
          <w:rFonts w:hint="eastAsia" w:hAnsi="仿宋" w:cs="宋体"/>
          <w:color w:val="auto"/>
          <w:sz w:val="32"/>
          <w:szCs w:val="32"/>
        </w:rPr>
        <w:t>23</w:t>
      </w:r>
      <w:r>
        <w:rPr>
          <w:rFonts w:hAnsi="仿宋" w:cs="宋体"/>
          <w:color w:val="auto"/>
          <w:sz w:val="32"/>
          <w:szCs w:val="32"/>
        </w:rPr>
        <w:t>.</w:t>
      </w:r>
      <w:r>
        <w:rPr>
          <w:rFonts w:hint="eastAsia" w:hAnsi="仿宋" w:cs="宋体"/>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jc w:val="center"/>
        <w:rPr>
          <w:rStyle w:val="25"/>
          <w:rFonts w:ascii="仿宋_GB2312" w:hAnsi="Calibri" w:eastAsia="仿宋_GB2312"/>
          <w:b w:val="0"/>
          <w:bCs w:val="0"/>
          <w:color w:val="auto"/>
          <w:kern w:val="0"/>
          <w:sz w:val="32"/>
          <w:szCs w:val="32"/>
        </w:rPr>
      </w:pPr>
      <w:bookmarkStart w:id="55" w:name="_Toc15377226"/>
      <w:r>
        <w:rPr>
          <w:rFonts w:ascii="宋体"/>
          <w:b/>
          <w:sz w:val="44"/>
          <w:szCs w:val="44"/>
        </w:rPr>
        <w:br w:type="page"/>
      </w:r>
      <w:bookmarkStart w:id="56" w:name="_Toc15396614"/>
      <w:r>
        <w:rPr>
          <w:rFonts w:hint="eastAsia" w:ascii="黑体" w:hAnsi="黑体" w:eastAsia="黑体"/>
          <w:sz w:val="44"/>
          <w:szCs w:val="44"/>
        </w:rPr>
        <w:t>第</w:t>
      </w:r>
      <w:r>
        <w:rPr>
          <w:rStyle w:val="25"/>
          <w:rFonts w:hint="eastAsia" w:ascii="黑体" w:hAnsi="黑体" w:eastAsia="黑体"/>
          <w:b w:val="0"/>
        </w:rPr>
        <w:t>四部分 附件</w:t>
      </w:r>
      <w:bookmarkEnd w:id="56"/>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宋体" w:hAnsi="宋体" w:cs="宋体"/>
          <w:kern w:val="0"/>
          <w:sz w:val="32"/>
          <w:szCs w:val="32"/>
        </w:rPr>
      </w:pPr>
      <w:bookmarkStart w:id="57" w:name="_Toc15396618"/>
      <w:r>
        <w:rPr>
          <w:rFonts w:hint="eastAsia" w:ascii="宋体" w:hAnsi="宋体" w:cs="宋体"/>
          <w:kern w:val="0"/>
          <w:sz w:val="32"/>
          <w:szCs w:val="32"/>
        </w:rPr>
        <w:t>部门预算项目支出绩效自评表（2022年度）见附件</w:t>
      </w: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bookmarkEnd w:id="55"/>
      <w:bookmarkEnd w:id="57"/>
      <w:bookmarkStart w:id="58" w:name="_Toc15396619"/>
    </w:p>
    <w:p>
      <w:pPr>
        <w:pStyle w:val="4"/>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58"/>
    </w:p>
    <w:p>
      <w:pPr>
        <w:pStyle w:val="4"/>
        <w:rPr>
          <w:rFonts w:ascii="仿宋" w:hAnsi="仿宋" w:eastAsia="仿宋"/>
        </w:rPr>
      </w:pPr>
      <w:bookmarkStart w:id="59" w:name="_Toc15396620"/>
      <w:r>
        <w:rPr>
          <w:rFonts w:hint="eastAsia" w:ascii="仿宋" w:hAnsi="仿宋" w:eastAsia="仿宋"/>
          <w:b w:val="0"/>
        </w:rPr>
        <w:t>二、收</w:t>
      </w:r>
      <w:r>
        <w:rPr>
          <w:rStyle w:val="26"/>
          <w:rFonts w:hint="eastAsia" w:ascii="仿宋" w:hAnsi="仿宋" w:eastAsia="仿宋"/>
          <w:b w:val="0"/>
          <w:bCs w:val="0"/>
        </w:rPr>
        <w:t>入决算表</w:t>
      </w:r>
      <w:bookmarkEnd w:id="59"/>
    </w:p>
    <w:p>
      <w:pPr>
        <w:pStyle w:val="4"/>
        <w:rPr>
          <w:rFonts w:ascii="仿宋" w:hAnsi="仿宋" w:eastAsia="仿宋"/>
        </w:rPr>
      </w:pPr>
      <w:bookmarkStart w:id="60"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60"/>
    </w:p>
    <w:p>
      <w:pPr>
        <w:pStyle w:val="4"/>
        <w:rPr>
          <w:rFonts w:ascii="仿宋" w:hAnsi="仿宋" w:eastAsia="仿宋"/>
          <w:b w:val="0"/>
        </w:rPr>
      </w:pPr>
      <w:bookmarkStart w:id="61"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61"/>
    </w:p>
    <w:p>
      <w:pPr>
        <w:pStyle w:val="4"/>
        <w:rPr>
          <w:rStyle w:val="26"/>
          <w:rFonts w:ascii="仿宋" w:hAnsi="仿宋" w:eastAsia="仿宋"/>
          <w:b w:val="0"/>
          <w:bCs w:val="0"/>
        </w:rPr>
      </w:pPr>
      <w:bookmarkStart w:id="62"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62"/>
      <w:bookmarkStart w:id="63" w:name="_Toc15396624"/>
    </w:p>
    <w:p>
      <w:pPr>
        <w:pStyle w:val="4"/>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63"/>
    </w:p>
    <w:p>
      <w:pPr>
        <w:pStyle w:val="4"/>
        <w:rPr>
          <w:rFonts w:ascii="仿宋" w:hAnsi="仿宋" w:eastAsia="仿宋"/>
        </w:rPr>
      </w:pPr>
      <w:bookmarkStart w:id="64"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4"/>
    </w:p>
    <w:p>
      <w:pPr>
        <w:pStyle w:val="4"/>
        <w:rPr>
          <w:rFonts w:ascii="仿宋" w:hAnsi="仿宋" w:eastAsia="仿宋"/>
        </w:rPr>
      </w:pPr>
      <w:bookmarkStart w:id="65"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5"/>
    </w:p>
    <w:p>
      <w:pPr>
        <w:pStyle w:val="4"/>
        <w:rPr>
          <w:rFonts w:ascii="仿宋" w:hAnsi="仿宋" w:eastAsia="仿宋"/>
        </w:rPr>
      </w:pPr>
      <w:bookmarkStart w:id="66"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6"/>
    </w:p>
    <w:p>
      <w:pPr>
        <w:pStyle w:val="4"/>
        <w:rPr>
          <w:rFonts w:ascii="仿宋" w:hAnsi="仿宋" w:eastAsia="仿宋"/>
        </w:rPr>
      </w:pPr>
      <w:bookmarkStart w:id="67" w:name="_Toc15396628"/>
      <w:r>
        <w:rPr>
          <w:rStyle w:val="26"/>
          <w:rFonts w:hint="eastAsia" w:ascii="仿宋" w:hAnsi="仿宋" w:eastAsia="仿宋"/>
          <w:b w:val="0"/>
          <w:bCs w:val="0"/>
        </w:rPr>
        <w:t>十、</w:t>
      </w:r>
      <w:bookmarkEnd w:id="67"/>
      <w:r>
        <w:rPr>
          <w:rFonts w:hint="eastAsia" w:ascii="仿宋" w:hAnsi="仿宋" w:eastAsia="仿宋"/>
          <w:b w:val="0"/>
        </w:rPr>
        <w:t>政</w:t>
      </w:r>
      <w:r>
        <w:rPr>
          <w:rStyle w:val="26"/>
          <w:rFonts w:hint="eastAsia" w:ascii="仿宋" w:hAnsi="仿宋" w:eastAsia="仿宋"/>
          <w:b w:val="0"/>
          <w:bCs w:val="0"/>
        </w:rPr>
        <w:t>府性基金预算财政拨款收入支出决算表</w:t>
      </w:r>
    </w:p>
    <w:p>
      <w:pPr>
        <w:pStyle w:val="4"/>
        <w:rPr>
          <w:rFonts w:ascii="仿宋" w:hAnsi="仿宋" w:eastAsia="仿宋"/>
        </w:rPr>
      </w:pPr>
      <w:bookmarkStart w:id="68" w:name="_Toc15396629"/>
      <w:r>
        <w:rPr>
          <w:rStyle w:val="26"/>
          <w:rFonts w:hint="eastAsia" w:ascii="仿宋" w:hAnsi="仿宋" w:eastAsia="仿宋"/>
          <w:b w:val="0"/>
          <w:bCs w:val="0"/>
        </w:rPr>
        <w:t>十一、</w:t>
      </w:r>
      <w:bookmarkEnd w:id="68"/>
      <w:r>
        <w:rPr>
          <w:rFonts w:hint="eastAsia" w:ascii="仿宋" w:hAnsi="仿宋" w:eastAsia="仿宋"/>
          <w:b w:val="0"/>
        </w:rPr>
        <w:t>国</w:t>
      </w:r>
      <w:r>
        <w:rPr>
          <w:rStyle w:val="26"/>
          <w:rFonts w:hint="eastAsia" w:ascii="仿宋" w:hAnsi="仿宋" w:eastAsia="仿宋"/>
          <w:b w:val="0"/>
          <w:bCs w:val="0"/>
        </w:rPr>
        <w:t>有资本经营预算财政拨款收入支出决算表</w:t>
      </w:r>
    </w:p>
    <w:p>
      <w:pPr>
        <w:pStyle w:val="4"/>
        <w:rPr>
          <w:rFonts w:ascii="仿宋" w:hAnsi="仿宋" w:eastAsia="仿宋"/>
        </w:rPr>
      </w:pPr>
      <w:bookmarkStart w:id="69" w:name="_Toc15396630"/>
      <w:r>
        <w:rPr>
          <w:rStyle w:val="26"/>
          <w:rFonts w:hint="eastAsia" w:ascii="仿宋" w:hAnsi="仿宋" w:eastAsia="仿宋"/>
          <w:b w:val="0"/>
          <w:bCs w:val="0"/>
        </w:rPr>
        <w:t>十二、</w:t>
      </w:r>
      <w:bookmarkEnd w:id="69"/>
      <w:r>
        <w:rPr>
          <w:rStyle w:val="26"/>
          <w:rFonts w:hint="eastAsia" w:ascii="仿宋" w:hAnsi="仿宋" w:eastAsia="仿宋"/>
          <w:b w:val="0"/>
          <w:bCs w:val="0"/>
        </w:rPr>
        <w:t>国有资本经营预算财政拨款支出决算表</w:t>
      </w:r>
    </w:p>
    <w:p>
      <w:pPr>
        <w:pStyle w:val="4"/>
        <w:rPr>
          <w:rFonts w:eastAsia="仿宋"/>
        </w:rPr>
      </w:pPr>
      <w:bookmarkStart w:id="70" w:name="_Toc15396631"/>
      <w:r>
        <w:rPr>
          <w:rStyle w:val="26"/>
          <w:rFonts w:hint="eastAsia" w:ascii="仿宋" w:hAnsi="仿宋" w:eastAsia="仿宋"/>
          <w:b w:val="0"/>
          <w:bCs w:val="0"/>
        </w:rPr>
        <w:t>十三、</w:t>
      </w:r>
      <w:bookmarkEnd w:id="70"/>
      <w:r>
        <w:rPr>
          <w:rStyle w:val="26"/>
          <w:rFonts w:hint="eastAsia" w:ascii="仿宋" w:hAnsi="仿宋" w:eastAsia="仿宋"/>
          <w:b w:val="0"/>
          <w:bCs w:val="0"/>
        </w:rPr>
        <w:t>财政拨款“三公”经费支出决算表</w:t>
      </w:r>
    </w:p>
    <w:sectPr>
      <w:footerReference r:id="rId5" w:type="first"/>
      <w:footerReference r:id="rId4"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穝灿砰">
    <w:altName w:val="宋体"/>
    <w:panose1 w:val="00000000000000000000"/>
    <w:charset w:val="86"/>
    <w:family w:val="auto"/>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19</w:t>
                    </w:r>
                    <w:r>
                      <w:fldChar w:fldCharType="end"/>
                    </w:r>
                  </w:p>
                </w:sdtContent>
              </w:sdt>
              <w:p>
                <w:pPr>
                  <w:pStyle w:val="2"/>
                </w:pP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2ZWExMDIwMTAyNTlkY2I3MDQ0MGE2NzkwYzQ5NGQifQ=="/>
  </w:docVars>
  <w:rsids>
    <w:rsidRoot w:val="00F1361C"/>
    <w:rsid w:val="00011661"/>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66FE2"/>
    <w:rsid w:val="00174518"/>
    <w:rsid w:val="0018106D"/>
    <w:rsid w:val="001877A7"/>
    <w:rsid w:val="00191536"/>
    <w:rsid w:val="00196687"/>
    <w:rsid w:val="001B0E72"/>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20DA0"/>
    <w:rsid w:val="00564FCB"/>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043B"/>
    <w:rsid w:val="006A3141"/>
    <w:rsid w:val="006A5E34"/>
    <w:rsid w:val="006B2422"/>
    <w:rsid w:val="006B2B9A"/>
    <w:rsid w:val="006C03D5"/>
    <w:rsid w:val="006C1937"/>
    <w:rsid w:val="006F020C"/>
    <w:rsid w:val="006F0F44"/>
    <w:rsid w:val="007127B7"/>
    <w:rsid w:val="0071798E"/>
    <w:rsid w:val="007416B6"/>
    <w:rsid w:val="00746F48"/>
    <w:rsid w:val="0075404D"/>
    <w:rsid w:val="0076182A"/>
    <w:rsid w:val="007659F0"/>
    <w:rsid w:val="00767B7E"/>
    <w:rsid w:val="007770C3"/>
    <w:rsid w:val="00784D24"/>
    <w:rsid w:val="00785FBA"/>
    <w:rsid w:val="00786D22"/>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375"/>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4BE0"/>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B2EFB"/>
    <w:rsid w:val="00DC410D"/>
    <w:rsid w:val="00DC5A81"/>
    <w:rsid w:val="00DC5BA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C0257"/>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5D112B4"/>
    <w:rsid w:val="0A2032A3"/>
    <w:rsid w:val="0B8A37D8"/>
    <w:rsid w:val="0CF413DE"/>
    <w:rsid w:val="10C055FF"/>
    <w:rsid w:val="118107EC"/>
    <w:rsid w:val="11DD6519"/>
    <w:rsid w:val="16BB723D"/>
    <w:rsid w:val="18015F3F"/>
    <w:rsid w:val="1BE8440E"/>
    <w:rsid w:val="1D155CEE"/>
    <w:rsid w:val="20F57F95"/>
    <w:rsid w:val="240371BF"/>
    <w:rsid w:val="25711CC6"/>
    <w:rsid w:val="25C741E6"/>
    <w:rsid w:val="27842671"/>
    <w:rsid w:val="29FD04D3"/>
    <w:rsid w:val="2ABE7A3E"/>
    <w:rsid w:val="2CA234A8"/>
    <w:rsid w:val="2E4A6ED8"/>
    <w:rsid w:val="2E872A81"/>
    <w:rsid w:val="2EFA178C"/>
    <w:rsid w:val="30B46D73"/>
    <w:rsid w:val="319F7F4E"/>
    <w:rsid w:val="383D272C"/>
    <w:rsid w:val="39AE70AB"/>
    <w:rsid w:val="3C0C0783"/>
    <w:rsid w:val="3F9F3A96"/>
    <w:rsid w:val="48BF60AB"/>
    <w:rsid w:val="493C27E9"/>
    <w:rsid w:val="496F39ED"/>
    <w:rsid w:val="49FF41D3"/>
    <w:rsid w:val="4BE068DB"/>
    <w:rsid w:val="4BF6002B"/>
    <w:rsid w:val="4ECE2238"/>
    <w:rsid w:val="51DB4B86"/>
    <w:rsid w:val="55333C3E"/>
    <w:rsid w:val="64CA39A1"/>
    <w:rsid w:val="66333A39"/>
    <w:rsid w:val="69630ADE"/>
    <w:rsid w:val="6C4A05C8"/>
    <w:rsid w:val="6D3B1A89"/>
    <w:rsid w:val="71BF4EC2"/>
    <w:rsid w:val="72734D90"/>
    <w:rsid w:val="7412278C"/>
    <w:rsid w:val="79E7B28D"/>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Title"/>
    <w:basedOn w:val="1"/>
    <w:link w:val="31"/>
    <w:qFormat/>
    <w:uiPriority w:val="10"/>
    <w:pPr>
      <w:spacing w:line="240" w:lineRule="atLeast"/>
      <w:jc w:val="center"/>
    </w:pPr>
    <w:rPr>
      <w:rFonts w:ascii="Arial" w:hAnsi="Arial" w:eastAsia="穝灿砰"/>
      <w:sz w:val="52"/>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标题 Char"/>
    <w:basedOn w:val="14"/>
    <w:link w:val="12"/>
    <w:uiPriority w:val="10"/>
    <w:rPr>
      <w:rFonts w:ascii="Arial" w:hAnsi="Arial" w:eastAsia="穝灿砰" w:cs="Times New Roman"/>
      <w:kern w:val="2"/>
      <w:sz w:val="52"/>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22</Pages>
  <Words>6441</Words>
  <Characters>778</Characters>
  <Lines>6</Lines>
  <Paragraphs>14</Paragraphs>
  <TotalTime>12</TotalTime>
  <ScaleCrop>false</ScaleCrop>
  <LinksUpToDate>false</LinksUpToDate>
  <CharactersWithSpaces>7205</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2024-05-23T09:34:25Z</dcterms:modified>
  <dc:title>四川省***</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46250A3C7F81477E9398D00FE0508E05_12</vt:lpwstr>
  </property>
</Properties>
</file>