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sz w:val="72"/>
          <w:szCs w:val="72"/>
        </w:rPr>
      </w:pPr>
      <w:bookmarkStart w:id="0" w:name="_Toc15377425"/>
      <w:bookmarkStart w:id="1" w:name="_Toc15378441"/>
      <w:bookmarkStart w:id="2" w:name="_Toc15396597"/>
      <w:bookmarkStart w:id="3" w:name="_Toc15396475"/>
      <w:bookmarkStart w:id="4" w:name="_Toc15377193"/>
      <w:bookmarkStart w:id="5" w:name="_Toc15306267"/>
    </w:p>
    <w:p>
      <w:pPr>
        <w:spacing w:line="600" w:lineRule="exact"/>
        <w:jc w:val="center"/>
        <w:outlineLvl w:val="0"/>
        <w:rPr>
          <w:rFonts w:ascii="方正小标宋简体" w:hAnsi="宋体" w:eastAsia="方正小标宋简体"/>
          <w:sz w:val="72"/>
          <w:szCs w:val="72"/>
        </w:rPr>
      </w:pPr>
    </w:p>
    <w:p>
      <w:pPr>
        <w:spacing w:line="600" w:lineRule="exact"/>
        <w:jc w:val="center"/>
        <w:outlineLvl w:val="0"/>
        <w:rPr>
          <w:rFonts w:ascii="方正小标宋简体" w:hAnsi="宋体" w:eastAsia="方正小标宋简体"/>
          <w:sz w:val="72"/>
          <w:szCs w:val="72"/>
        </w:rPr>
      </w:pPr>
    </w:p>
    <w:p>
      <w:pPr>
        <w:adjustRightInd w:val="0"/>
        <w:snapToGrid w:val="0"/>
        <w:spacing w:line="360" w:lineRule="auto"/>
        <w:jc w:val="center"/>
        <w:outlineLvl w:val="0"/>
        <w:rPr>
          <w:rFonts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2022年度</w:t>
      </w:r>
      <w:bookmarkEnd w:id="0"/>
      <w:bookmarkEnd w:id="1"/>
      <w:bookmarkEnd w:id="2"/>
      <w:bookmarkEnd w:id="3"/>
      <w:bookmarkEnd w:id="4"/>
    </w:p>
    <w:p>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6" w:name="_Toc15377194"/>
      <w:bookmarkStart w:id="7" w:name="_Toc15378442"/>
      <w:bookmarkStart w:id="8" w:name="_Toc15396598"/>
      <w:bookmarkStart w:id="9" w:name="_Toc15377426"/>
      <w:bookmarkStart w:id="10" w:name="_Toc15396476"/>
      <w:r>
        <w:rPr>
          <w:rFonts w:hint="eastAsia" w:ascii="方正小标宋简体" w:hAnsi="方正小标宋简体" w:eastAsia="方正小标宋简体" w:cs="方正小标宋简体"/>
          <w:sz w:val="72"/>
          <w:szCs w:val="72"/>
        </w:rPr>
        <w:t>攀枝花市西区</w:t>
      </w:r>
      <w:bookmarkEnd w:id="5"/>
      <w:bookmarkStart w:id="11" w:name="_Toc15306268"/>
      <w:r>
        <w:rPr>
          <w:rFonts w:hint="eastAsia" w:ascii="方正小标宋简体" w:hAnsi="方正小标宋简体" w:eastAsia="方正小标宋简体" w:cs="方正小标宋简体"/>
          <w:sz w:val="72"/>
          <w:szCs w:val="72"/>
        </w:rPr>
        <w:t>市场监督管理局部门决算</w:t>
      </w:r>
      <w:bookmarkEnd w:id="6"/>
      <w:bookmarkEnd w:id="7"/>
      <w:bookmarkEnd w:id="8"/>
      <w:bookmarkEnd w:id="9"/>
      <w:bookmarkEnd w:id="10"/>
      <w:bookmarkEnd w:id="11"/>
    </w:p>
    <w:p>
      <w:pPr>
        <w:widowControl/>
        <w:jc w:val="center"/>
        <w:rPr>
          <w:rFonts w:ascii="黑体" w:hAnsi="黑体" w:eastAsia="黑体"/>
          <w:sz w:val="48"/>
          <w:szCs w:val="48"/>
        </w:rPr>
      </w:pPr>
      <w:r>
        <w:rPr>
          <w:rFonts w:ascii="方正小标宋简体" w:hAnsi="宋体" w:eastAsia="方正小标宋简体"/>
          <w:sz w:val="36"/>
          <w:szCs w:val="36"/>
        </w:rPr>
        <w:br w:type="page"/>
      </w:r>
      <w:r>
        <w:rPr>
          <w:rFonts w:hint="eastAsia" w:ascii="黑体" w:hAnsi="黑体" w:eastAsia="黑体"/>
          <w:sz w:val="48"/>
          <w:szCs w:val="48"/>
        </w:rPr>
        <w:t>目录</w:t>
      </w:r>
    </w:p>
    <w:p>
      <w:pPr>
        <w:widowControl/>
        <w:jc w:val="center"/>
        <w:rPr>
          <w:rFonts w:ascii="黑体" w:hAnsi="黑体" w:eastAsia="黑体" w:cstheme="minorBidi"/>
          <w:sz w:val="28"/>
          <w:szCs w:val="28"/>
        </w:rPr>
      </w:pPr>
    </w:p>
    <w:p>
      <w:pPr>
        <w:pStyle w:val="11"/>
      </w:pPr>
      <w:r>
        <w:rPr>
          <w:rFonts w:hint="eastAsia"/>
        </w:rPr>
        <w:t>公开时间：2023年10月26日</w:t>
      </w:r>
    </w:p>
    <w:p/>
    <w:p>
      <w:pPr>
        <w:pStyle w:val="11"/>
        <w:adjustRightInd w:val="0"/>
        <w:snapToGrid w:val="0"/>
        <w:spacing w:before="0" w:line="440" w:lineRule="exact"/>
        <w:jc w:val="left"/>
        <w:rPr>
          <w:rFonts w:cstheme="minorBidi"/>
          <w:sz w:val="24"/>
          <w:szCs w:val="24"/>
        </w:rPr>
      </w:pPr>
      <w:r>
        <w:rPr>
          <w:rFonts w:hint="eastAsia"/>
          <w:sz w:val="24"/>
        </w:rPr>
        <w:t>第一部分</w:t>
      </w:r>
      <w:r>
        <w:rPr>
          <w:sz w:val="24"/>
        </w:rPr>
        <w:t xml:space="preserve"> </w:t>
      </w:r>
      <w:r>
        <w:rPr>
          <w:rFonts w:hint="eastAsia"/>
          <w:sz w:val="24"/>
        </w:rPr>
        <w:t>部门概况</w:t>
      </w:r>
      <w:r>
        <w:rPr>
          <w:rFonts w:cstheme="minorBidi"/>
          <w:sz w:val="24"/>
          <w:szCs w:val="24"/>
        </w:rPr>
        <w:tab/>
      </w:r>
      <w:r>
        <w:rPr>
          <w:rFonts w:hint="eastAsia" w:cstheme="minorBidi"/>
          <w:sz w:val="24"/>
          <w:szCs w:val="24"/>
        </w:rPr>
        <w:t>4</w:t>
      </w:r>
    </w:p>
    <w:p>
      <w:pPr>
        <w:pStyle w:val="12"/>
        <w:adjustRightInd w:val="0"/>
        <w:snapToGrid w:val="0"/>
        <w:spacing w:line="440" w:lineRule="exact"/>
        <w:jc w:val="left"/>
        <w:rPr>
          <w:rFonts w:ascii="仿宋" w:hAnsi="仿宋" w:eastAsia="仿宋" w:cstheme="minorBidi"/>
          <w:sz w:val="24"/>
        </w:rPr>
      </w:pPr>
      <w:r>
        <w:rPr>
          <w:rFonts w:hint="eastAsia"/>
          <w:sz w:val="24"/>
        </w:rPr>
        <w:t>二、机构设置</w:t>
      </w:r>
      <w:r>
        <w:rPr>
          <w:rFonts w:asciiTheme="majorEastAsia" w:hAnsiTheme="majorEastAsia" w:eastAsiaTheme="majorEastAsia" w:cstheme="minorBidi"/>
          <w:sz w:val="24"/>
        </w:rPr>
        <w:tab/>
      </w:r>
      <w:r>
        <w:rPr>
          <w:rFonts w:hint="eastAsia" w:asciiTheme="majorEastAsia" w:hAnsiTheme="majorEastAsia" w:eastAsiaTheme="majorEastAsia" w:cstheme="minorBidi"/>
          <w:sz w:val="24"/>
        </w:rPr>
        <w:t>6</w:t>
      </w:r>
    </w:p>
    <w:p>
      <w:pPr>
        <w:pStyle w:val="11"/>
        <w:adjustRightInd w:val="0"/>
        <w:snapToGrid w:val="0"/>
        <w:spacing w:before="0" w:line="440" w:lineRule="exact"/>
        <w:jc w:val="left"/>
        <w:rPr>
          <w:sz w:val="24"/>
          <w:szCs w:val="24"/>
        </w:rPr>
      </w:pPr>
      <w:r>
        <w:rPr>
          <w:rFonts w:hint="eastAsia"/>
          <w:sz w:val="24"/>
        </w:rPr>
        <w:t>第二部分 2022年度部门决算情况说明</w:t>
      </w:r>
      <w:r>
        <w:rPr>
          <w:rFonts w:cstheme="minorBidi"/>
          <w:sz w:val="24"/>
          <w:szCs w:val="24"/>
        </w:rPr>
        <w:tab/>
      </w:r>
      <w:r>
        <w:rPr>
          <w:rFonts w:hint="eastAsia" w:cstheme="minorBidi"/>
          <w:sz w:val="24"/>
          <w:szCs w:val="24"/>
        </w:rPr>
        <w:t>7</w:t>
      </w:r>
    </w:p>
    <w:p>
      <w:pPr>
        <w:pStyle w:val="11"/>
        <w:adjustRightInd w:val="0"/>
        <w:snapToGrid w:val="0"/>
        <w:spacing w:before="0" w:line="440" w:lineRule="exact"/>
        <w:jc w:val="left"/>
        <w:rPr>
          <w:rFonts w:cstheme="minorBidi"/>
          <w:sz w:val="24"/>
          <w:szCs w:val="24"/>
        </w:rPr>
      </w:pPr>
      <w:r>
        <w:rPr>
          <w:rFonts w:hint="eastAsia"/>
          <w:sz w:val="24"/>
        </w:rPr>
        <w:t>第二部分 2022年度部门决算情况说明</w:t>
      </w:r>
      <w:r>
        <w:rPr>
          <w:rFonts w:cstheme="minorBidi"/>
          <w:sz w:val="24"/>
          <w:szCs w:val="24"/>
        </w:rPr>
        <w:tab/>
      </w:r>
      <w:r>
        <w:rPr>
          <w:rFonts w:hint="eastAsia" w:cstheme="minorBidi"/>
          <w:sz w:val="24"/>
          <w:szCs w:val="24"/>
        </w:rPr>
        <w:t>7</w:t>
      </w:r>
    </w:p>
    <w:p>
      <w:pPr>
        <w:pStyle w:val="12"/>
        <w:adjustRightInd w:val="0"/>
        <w:snapToGrid w:val="0"/>
        <w:spacing w:line="440" w:lineRule="exact"/>
        <w:jc w:val="left"/>
        <w:rPr>
          <w:rFonts w:asciiTheme="majorEastAsia" w:hAnsiTheme="majorEastAsia" w:eastAsiaTheme="majorEastAsia" w:cstheme="minorBidi"/>
          <w:sz w:val="24"/>
        </w:rPr>
      </w:pPr>
      <w:r>
        <w:rPr>
          <w:rFonts w:hint="eastAsia" w:asciiTheme="majorEastAsia" w:hAnsiTheme="majorEastAsia" w:eastAsiaTheme="majorEastAsia"/>
          <w:sz w:val="24"/>
        </w:rPr>
        <w:t>一、收入支出决算总体情况说明</w:t>
      </w:r>
      <w:r>
        <w:rPr>
          <w:rFonts w:asciiTheme="majorEastAsia" w:hAnsiTheme="majorEastAsia" w:eastAsiaTheme="majorEastAsia" w:cstheme="minorBidi"/>
          <w:sz w:val="24"/>
        </w:rPr>
        <w:tab/>
      </w:r>
      <w:r>
        <w:rPr>
          <w:rFonts w:hint="eastAsia" w:asciiTheme="majorEastAsia" w:hAnsiTheme="majorEastAsia" w:eastAsiaTheme="majorEastAsia" w:cstheme="minorBidi"/>
          <w:sz w:val="24"/>
        </w:rPr>
        <w:t>7</w:t>
      </w:r>
    </w:p>
    <w:p>
      <w:pPr>
        <w:pStyle w:val="12"/>
        <w:adjustRightInd w:val="0"/>
        <w:snapToGrid w:val="0"/>
        <w:spacing w:line="440" w:lineRule="exact"/>
        <w:jc w:val="left"/>
        <w:rPr>
          <w:rFonts w:asciiTheme="majorEastAsia" w:hAnsiTheme="majorEastAsia" w:eastAsiaTheme="majorEastAsia" w:cstheme="minorBidi"/>
          <w:sz w:val="24"/>
        </w:rPr>
      </w:pPr>
      <w:r>
        <w:rPr>
          <w:rFonts w:hint="eastAsia" w:asciiTheme="majorEastAsia" w:hAnsiTheme="majorEastAsia" w:eastAsiaTheme="majorEastAsia"/>
          <w:sz w:val="24"/>
        </w:rPr>
        <w:t>二、收入决算情况说明</w:t>
      </w:r>
      <w:r>
        <w:rPr>
          <w:rFonts w:asciiTheme="majorEastAsia" w:hAnsiTheme="majorEastAsia" w:eastAsiaTheme="majorEastAsia" w:cstheme="minorBidi"/>
          <w:sz w:val="24"/>
        </w:rPr>
        <w:tab/>
      </w:r>
      <w:r>
        <w:rPr>
          <w:rFonts w:hint="eastAsia" w:asciiTheme="majorEastAsia" w:hAnsiTheme="majorEastAsia" w:eastAsiaTheme="majorEastAsia" w:cstheme="minorBidi"/>
          <w:sz w:val="24"/>
        </w:rPr>
        <w:t>7</w:t>
      </w:r>
    </w:p>
    <w:p>
      <w:pPr>
        <w:pStyle w:val="12"/>
        <w:adjustRightInd w:val="0"/>
        <w:snapToGrid w:val="0"/>
        <w:spacing w:line="440" w:lineRule="exact"/>
        <w:jc w:val="left"/>
        <w:rPr>
          <w:rFonts w:asciiTheme="majorEastAsia" w:hAnsiTheme="majorEastAsia" w:eastAsiaTheme="majorEastAsia" w:cstheme="minorBidi"/>
          <w:sz w:val="24"/>
        </w:rPr>
      </w:pPr>
      <w:r>
        <w:rPr>
          <w:rFonts w:hint="eastAsia" w:asciiTheme="majorEastAsia" w:hAnsiTheme="majorEastAsia" w:eastAsiaTheme="majorEastAsia"/>
          <w:sz w:val="24"/>
        </w:rPr>
        <w:t>三、支出决算情况说明</w:t>
      </w:r>
      <w:r>
        <w:rPr>
          <w:rFonts w:asciiTheme="majorEastAsia" w:hAnsiTheme="majorEastAsia" w:eastAsiaTheme="majorEastAsia" w:cstheme="minorBidi"/>
          <w:sz w:val="24"/>
        </w:rPr>
        <w:tab/>
      </w:r>
      <w:r>
        <w:rPr>
          <w:rFonts w:hint="eastAsia" w:asciiTheme="majorEastAsia" w:hAnsiTheme="majorEastAsia" w:eastAsiaTheme="majorEastAsia" w:cstheme="minorBidi"/>
          <w:sz w:val="24"/>
        </w:rPr>
        <w:t>8</w:t>
      </w:r>
    </w:p>
    <w:p>
      <w:pPr>
        <w:pStyle w:val="12"/>
        <w:adjustRightInd w:val="0"/>
        <w:snapToGrid w:val="0"/>
        <w:spacing w:line="440" w:lineRule="exact"/>
        <w:jc w:val="left"/>
        <w:rPr>
          <w:rFonts w:asciiTheme="majorEastAsia" w:hAnsiTheme="majorEastAsia" w:eastAsiaTheme="majorEastAsia" w:cstheme="minorBidi"/>
          <w:sz w:val="24"/>
        </w:rPr>
      </w:pPr>
      <w:r>
        <w:rPr>
          <w:rFonts w:hint="eastAsia" w:asciiTheme="majorEastAsia" w:hAnsiTheme="majorEastAsia" w:eastAsiaTheme="majorEastAsia"/>
          <w:sz w:val="24"/>
        </w:rPr>
        <w:t>四、财政拨款收入支出决算总体情况说明</w:t>
      </w:r>
      <w:r>
        <w:rPr>
          <w:rFonts w:asciiTheme="majorEastAsia" w:hAnsiTheme="majorEastAsia" w:eastAsiaTheme="majorEastAsia" w:cstheme="minorBidi"/>
          <w:sz w:val="24"/>
        </w:rPr>
        <w:tab/>
      </w:r>
      <w:r>
        <w:rPr>
          <w:rFonts w:hint="eastAsia" w:asciiTheme="majorEastAsia" w:hAnsiTheme="majorEastAsia" w:eastAsiaTheme="majorEastAsia" w:cstheme="minorBidi"/>
          <w:sz w:val="24"/>
        </w:rPr>
        <w:t>9</w:t>
      </w:r>
    </w:p>
    <w:p>
      <w:pPr>
        <w:pStyle w:val="12"/>
        <w:adjustRightInd w:val="0"/>
        <w:snapToGrid w:val="0"/>
        <w:spacing w:line="440" w:lineRule="exact"/>
        <w:jc w:val="left"/>
        <w:rPr>
          <w:rFonts w:asciiTheme="majorEastAsia" w:hAnsiTheme="majorEastAsia" w:eastAsiaTheme="majorEastAsia" w:cstheme="minorBidi"/>
          <w:sz w:val="24"/>
        </w:rPr>
      </w:pPr>
      <w:r>
        <w:rPr>
          <w:rFonts w:hint="eastAsia" w:asciiTheme="majorEastAsia" w:hAnsiTheme="majorEastAsia" w:eastAsiaTheme="majorEastAsia"/>
          <w:sz w:val="24"/>
        </w:rPr>
        <w:t>五、一般公共预算财政拨款支出决算情况说明</w:t>
      </w:r>
      <w:r>
        <w:rPr>
          <w:rFonts w:asciiTheme="majorEastAsia" w:hAnsiTheme="majorEastAsia" w:eastAsiaTheme="majorEastAsia" w:cstheme="minorBidi"/>
          <w:sz w:val="24"/>
        </w:rPr>
        <w:tab/>
      </w:r>
      <w:r>
        <w:rPr>
          <w:rFonts w:hint="eastAsia" w:asciiTheme="majorEastAsia" w:hAnsiTheme="majorEastAsia" w:eastAsiaTheme="majorEastAsia" w:cstheme="minorBidi"/>
          <w:sz w:val="24"/>
        </w:rPr>
        <w:t>9</w:t>
      </w:r>
    </w:p>
    <w:p>
      <w:pPr>
        <w:pStyle w:val="12"/>
        <w:adjustRightInd w:val="0"/>
        <w:snapToGrid w:val="0"/>
        <w:spacing w:line="440" w:lineRule="exact"/>
        <w:jc w:val="left"/>
        <w:rPr>
          <w:rFonts w:asciiTheme="majorEastAsia" w:hAnsiTheme="majorEastAsia" w:eastAsiaTheme="majorEastAsia" w:cstheme="minorBidi"/>
          <w:sz w:val="24"/>
        </w:rPr>
      </w:pPr>
      <w:r>
        <w:rPr>
          <w:rFonts w:hint="eastAsia" w:asciiTheme="majorEastAsia" w:hAnsiTheme="majorEastAsia" w:eastAsiaTheme="majorEastAsia"/>
          <w:sz w:val="24"/>
        </w:rPr>
        <w:t>六、一般公共预算财政拨款基本支出决算情况说明</w:t>
      </w:r>
      <w:r>
        <w:rPr>
          <w:rFonts w:asciiTheme="majorEastAsia" w:hAnsiTheme="majorEastAsia" w:eastAsiaTheme="majorEastAsia" w:cstheme="minorBidi"/>
          <w:sz w:val="24"/>
        </w:rPr>
        <w:tab/>
      </w:r>
      <w:r>
        <w:rPr>
          <w:rFonts w:hint="eastAsia" w:asciiTheme="majorEastAsia" w:hAnsiTheme="majorEastAsia" w:eastAsiaTheme="majorEastAsia" w:cstheme="minorBidi"/>
          <w:sz w:val="24"/>
        </w:rPr>
        <w:t>13</w:t>
      </w:r>
    </w:p>
    <w:p>
      <w:pPr>
        <w:pStyle w:val="12"/>
        <w:adjustRightInd w:val="0"/>
        <w:snapToGrid w:val="0"/>
        <w:spacing w:line="440" w:lineRule="exact"/>
        <w:jc w:val="left"/>
        <w:rPr>
          <w:rFonts w:asciiTheme="majorEastAsia" w:hAnsiTheme="majorEastAsia" w:eastAsiaTheme="majorEastAsia" w:cstheme="minorBidi"/>
          <w:sz w:val="24"/>
        </w:rPr>
      </w:pPr>
      <w:r>
        <w:rPr>
          <w:rFonts w:hint="eastAsia" w:asciiTheme="majorEastAsia" w:hAnsiTheme="majorEastAsia" w:eastAsiaTheme="majorEastAsia"/>
          <w:sz w:val="24"/>
        </w:rPr>
        <w:t>七、财政拨款“三公”经费支出决算情况说明</w:t>
      </w:r>
      <w:r>
        <w:rPr>
          <w:rFonts w:asciiTheme="majorEastAsia" w:hAnsiTheme="majorEastAsia" w:eastAsiaTheme="majorEastAsia" w:cstheme="minorBidi"/>
          <w:sz w:val="24"/>
        </w:rPr>
        <w:tab/>
      </w:r>
      <w:r>
        <w:rPr>
          <w:rFonts w:hint="eastAsia" w:asciiTheme="majorEastAsia" w:hAnsiTheme="majorEastAsia" w:eastAsiaTheme="majorEastAsia" w:cstheme="minorBidi"/>
          <w:sz w:val="24"/>
        </w:rPr>
        <w:t>13</w:t>
      </w:r>
    </w:p>
    <w:p>
      <w:pPr>
        <w:pStyle w:val="12"/>
        <w:adjustRightInd w:val="0"/>
        <w:snapToGrid w:val="0"/>
        <w:spacing w:line="440" w:lineRule="exact"/>
        <w:jc w:val="left"/>
        <w:rPr>
          <w:rFonts w:asciiTheme="majorEastAsia" w:hAnsiTheme="majorEastAsia" w:eastAsiaTheme="majorEastAsia" w:cstheme="minorBidi"/>
          <w:sz w:val="24"/>
        </w:rPr>
      </w:pPr>
      <w:r>
        <w:rPr>
          <w:rFonts w:hint="eastAsia" w:asciiTheme="majorEastAsia" w:hAnsiTheme="majorEastAsia" w:eastAsiaTheme="majorEastAsia"/>
          <w:sz w:val="24"/>
        </w:rPr>
        <w:t>八、政府性基金预算支出决算情况说明</w:t>
      </w:r>
      <w:r>
        <w:rPr>
          <w:rFonts w:asciiTheme="majorEastAsia" w:hAnsiTheme="majorEastAsia" w:eastAsiaTheme="majorEastAsia" w:cstheme="minorBidi"/>
          <w:sz w:val="24"/>
        </w:rPr>
        <w:tab/>
      </w:r>
      <w:r>
        <w:rPr>
          <w:rFonts w:hint="eastAsia" w:asciiTheme="majorEastAsia" w:hAnsiTheme="majorEastAsia" w:eastAsiaTheme="majorEastAsia" w:cstheme="minorBidi"/>
          <w:sz w:val="24"/>
        </w:rPr>
        <w:t>16</w:t>
      </w:r>
    </w:p>
    <w:p>
      <w:pPr>
        <w:pStyle w:val="12"/>
        <w:adjustRightInd w:val="0"/>
        <w:snapToGrid w:val="0"/>
        <w:spacing w:line="440" w:lineRule="exact"/>
        <w:ind w:leftChars="0"/>
        <w:jc w:val="left"/>
        <w:rPr>
          <w:rFonts w:asciiTheme="majorEastAsia" w:hAnsiTheme="majorEastAsia" w:eastAsiaTheme="majorEastAsia" w:cstheme="minorBidi"/>
          <w:sz w:val="24"/>
        </w:rPr>
      </w:pPr>
      <w:r>
        <w:rPr>
          <w:rFonts w:hint="eastAsia" w:asciiTheme="majorEastAsia" w:hAnsiTheme="majorEastAsia" w:eastAsiaTheme="majorEastAsia" w:cstheme="minorEastAsia"/>
          <w:sz w:val="24"/>
        </w:rPr>
        <w:t>九、国有资本经营预算支出决算情况说明</w:t>
      </w:r>
      <w:r>
        <w:rPr>
          <w:rFonts w:asciiTheme="majorEastAsia" w:hAnsiTheme="majorEastAsia" w:eastAsiaTheme="majorEastAsia" w:cstheme="minorBidi"/>
          <w:sz w:val="24"/>
        </w:rPr>
        <w:tab/>
      </w:r>
      <w:r>
        <w:rPr>
          <w:rFonts w:hint="eastAsia" w:asciiTheme="majorEastAsia" w:hAnsiTheme="majorEastAsia" w:eastAsiaTheme="majorEastAsia" w:cstheme="minorBidi"/>
          <w:sz w:val="24"/>
        </w:rPr>
        <w:t>16</w:t>
      </w:r>
    </w:p>
    <w:p>
      <w:pPr>
        <w:pStyle w:val="12"/>
        <w:adjustRightInd w:val="0"/>
        <w:snapToGrid w:val="0"/>
        <w:spacing w:line="440" w:lineRule="exact"/>
        <w:jc w:val="left"/>
        <w:rPr>
          <w:rFonts w:asciiTheme="majorEastAsia" w:hAnsiTheme="majorEastAsia" w:eastAsiaTheme="majorEastAsia" w:cstheme="minorBidi"/>
          <w:sz w:val="24"/>
        </w:rPr>
      </w:pPr>
      <w:r>
        <w:rPr>
          <w:rFonts w:hint="eastAsia" w:asciiTheme="majorEastAsia" w:hAnsiTheme="majorEastAsia" w:eastAsiaTheme="majorEastAsia"/>
          <w:sz w:val="24"/>
        </w:rPr>
        <w:t>十、其</w:t>
      </w:r>
      <w:r>
        <w:rPr>
          <w:rFonts w:asciiTheme="majorEastAsia" w:hAnsiTheme="majorEastAsia" w:eastAsiaTheme="majorEastAsia"/>
          <w:sz w:val="24"/>
        </w:rPr>
        <w:t>他重要事项的</w:t>
      </w:r>
      <w:r>
        <w:rPr>
          <w:rFonts w:hint="eastAsia" w:asciiTheme="majorEastAsia" w:hAnsiTheme="majorEastAsia" w:eastAsiaTheme="majorEastAsia"/>
          <w:sz w:val="24"/>
        </w:rPr>
        <w:t>情况说明</w:t>
      </w:r>
      <w:r>
        <w:rPr>
          <w:rFonts w:asciiTheme="majorEastAsia" w:hAnsiTheme="majorEastAsia" w:eastAsiaTheme="majorEastAsia" w:cstheme="minorBidi"/>
          <w:sz w:val="24"/>
        </w:rPr>
        <w:tab/>
      </w:r>
      <w:r>
        <w:rPr>
          <w:rFonts w:asciiTheme="majorEastAsia" w:hAnsiTheme="majorEastAsia" w:eastAsiaTheme="majorEastAsia" w:cstheme="minorBidi"/>
          <w:sz w:val="24"/>
        </w:rPr>
        <w:t>16</w:t>
      </w:r>
    </w:p>
    <w:p>
      <w:pPr>
        <w:pStyle w:val="11"/>
        <w:adjustRightInd w:val="0"/>
        <w:snapToGrid w:val="0"/>
        <w:spacing w:before="0" w:line="440" w:lineRule="exact"/>
        <w:jc w:val="left"/>
        <w:rPr>
          <w:rFonts w:cstheme="minorBidi"/>
          <w:sz w:val="24"/>
          <w:szCs w:val="24"/>
        </w:rPr>
      </w:pPr>
      <w:r>
        <w:rPr>
          <w:rFonts w:hint="eastAsia"/>
          <w:sz w:val="24"/>
        </w:rPr>
        <w:t>第三部分名词解释</w:t>
      </w:r>
      <w:r>
        <w:rPr>
          <w:rFonts w:cstheme="minorBidi"/>
          <w:sz w:val="24"/>
          <w:szCs w:val="24"/>
        </w:rPr>
        <w:tab/>
      </w:r>
      <w:r>
        <w:rPr>
          <w:rFonts w:cstheme="minorBidi"/>
          <w:sz w:val="24"/>
          <w:szCs w:val="24"/>
        </w:rPr>
        <w:t>1</w:t>
      </w:r>
      <w:r>
        <w:rPr>
          <w:rFonts w:hint="eastAsia" w:cstheme="minorBidi"/>
          <w:sz w:val="24"/>
          <w:szCs w:val="24"/>
        </w:rPr>
        <w:t>7</w:t>
      </w:r>
    </w:p>
    <w:p>
      <w:pPr>
        <w:pStyle w:val="11"/>
        <w:adjustRightInd w:val="0"/>
        <w:snapToGrid w:val="0"/>
        <w:spacing w:before="0" w:line="440" w:lineRule="exact"/>
        <w:jc w:val="left"/>
        <w:rPr>
          <w:rFonts w:cstheme="minorBidi"/>
          <w:sz w:val="24"/>
          <w:szCs w:val="24"/>
        </w:rPr>
      </w:pPr>
      <w:r>
        <w:rPr>
          <w:rFonts w:hint="eastAsia"/>
          <w:sz w:val="24"/>
        </w:rPr>
        <w:t>第四部分附件</w:t>
      </w:r>
      <w:r>
        <w:rPr>
          <w:rFonts w:cstheme="minorBidi"/>
          <w:sz w:val="24"/>
          <w:szCs w:val="24"/>
        </w:rPr>
        <w:tab/>
      </w:r>
      <w:r>
        <w:rPr>
          <w:rFonts w:cstheme="minorBidi"/>
          <w:sz w:val="24"/>
          <w:szCs w:val="24"/>
        </w:rPr>
        <w:t>2</w:t>
      </w:r>
      <w:r>
        <w:rPr>
          <w:rFonts w:hint="eastAsia" w:cstheme="minorBidi"/>
          <w:sz w:val="24"/>
          <w:szCs w:val="24"/>
        </w:rPr>
        <w:t>0</w:t>
      </w:r>
    </w:p>
    <w:p>
      <w:pPr>
        <w:pStyle w:val="11"/>
        <w:adjustRightInd w:val="0"/>
        <w:snapToGrid w:val="0"/>
        <w:spacing w:before="0" w:line="440" w:lineRule="exact"/>
        <w:jc w:val="left"/>
        <w:rPr>
          <w:rFonts w:cstheme="minorBidi"/>
          <w:sz w:val="24"/>
          <w:szCs w:val="24"/>
        </w:rPr>
      </w:pPr>
      <w:bookmarkStart w:id="12" w:name="_Toc15396599"/>
      <w:bookmarkStart w:id="13" w:name="_Toc15377196"/>
      <w:r>
        <w:rPr>
          <w:rFonts w:hint="eastAsia"/>
          <w:sz w:val="24"/>
        </w:rPr>
        <w:t>第五部分附表</w:t>
      </w:r>
      <w:r>
        <w:rPr>
          <w:rFonts w:cstheme="minorBidi"/>
          <w:sz w:val="24"/>
          <w:szCs w:val="24"/>
        </w:rPr>
        <w:tab/>
      </w:r>
      <w:r>
        <w:rPr>
          <w:rFonts w:hint="eastAsia" w:cstheme="minorBidi"/>
          <w:sz w:val="24"/>
          <w:szCs w:val="24"/>
        </w:rPr>
        <w:t>51</w:t>
      </w:r>
    </w:p>
    <w:p>
      <w:pPr>
        <w:pStyle w:val="12"/>
        <w:adjustRightInd w:val="0"/>
        <w:snapToGrid w:val="0"/>
        <w:spacing w:line="440" w:lineRule="exact"/>
        <w:jc w:val="left"/>
        <w:rPr>
          <w:sz w:val="24"/>
        </w:rPr>
      </w:pPr>
      <w:r>
        <w:rPr>
          <w:rFonts w:hint="eastAsia"/>
          <w:sz w:val="24"/>
        </w:rPr>
        <w:t>一、收入支出决算总表</w:t>
      </w:r>
      <w:r>
        <w:rPr>
          <w:rFonts w:asciiTheme="majorEastAsia" w:hAnsiTheme="majorEastAsia" w:eastAsiaTheme="majorEastAsia" w:cstheme="minorBidi"/>
          <w:sz w:val="24"/>
        </w:rPr>
        <w:tab/>
      </w:r>
      <w:r>
        <w:rPr>
          <w:rFonts w:hint="eastAsia" w:asciiTheme="majorEastAsia" w:hAnsiTheme="majorEastAsia" w:eastAsiaTheme="majorEastAsia" w:cstheme="minorBidi"/>
          <w:sz w:val="24"/>
        </w:rPr>
        <w:t>51</w:t>
      </w:r>
    </w:p>
    <w:p>
      <w:pPr>
        <w:pStyle w:val="12"/>
        <w:adjustRightInd w:val="0"/>
        <w:snapToGrid w:val="0"/>
        <w:spacing w:line="440" w:lineRule="exact"/>
        <w:jc w:val="left"/>
        <w:rPr>
          <w:sz w:val="24"/>
        </w:rPr>
      </w:pPr>
      <w:r>
        <w:rPr>
          <w:rFonts w:hint="eastAsia"/>
          <w:sz w:val="24"/>
        </w:rPr>
        <w:t>二、收入决算表</w:t>
      </w:r>
      <w:r>
        <w:rPr>
          <w:rFonts w:asciiTheme="majorEastAsia" w:hAnsiTheme="majorEastAsia" w:eastAsiaTheme="majorEastAsia" w:cstheme="minorBidi"/>
          <w:sz w:val="24"/>
        </w:rPr>
        <w:tab/>
      </w:r>
      <w:r>
        <w:rPr>
          <w:rFonts w:hint="eastAsia" w:asciiTheme="majorEastAsia" w:hAnsiTheme="majorEastAsia" w:eastAsiaTheme="majorEastAsia" w:cstheme="minorBidi"/>
          <w:sz w:val="24"/>
        </w:rPr>
        <w:t>51</w:t>
      </w:r>
    </w:p>
    <w:p>
      <w:pPr>
        <w:pStyle w:val="12"/>
        <w:adjustRightInd w:val="0"/>
        <w:snapToGrid w:val="0"/>
        <w:spacing w:line="440" w:lineRule="exact"/>
        <w:jc w:val="left"/>
        <w:rPr>
          <w:sz w:val="24"/>
        </w:rPr>
      </w:pPr>
      <w:r>
        <w:rPr>
          <w:rFonts w:hint="eastAsia"/>
          <w:sz w:val="24"/>
        </w:rPr>
        <w:t>三、支出决算表</w:t>
      </w:r>
      <w:r>
        <w:rPr>
          <w:rFonts w:asciiTheme="majorEastAsia" w:hAnsiTheme="majorEastAsia" w:eastAsiaTheme="majorEastAsia" w:cstheme="minorBidi"/>
          <w:sz w:val="24"/>
        </w:rPr>
        <w:tab/>
      </w:r>
      <w:r>
        <w:rPr>
          <w:rFonts w:hint="eastAsia" w:asciiTheme="majorEastAsia" w:hAnsiTheme="majorEastAsia" w:eastAsiaTheme="majorEastAsia" w:cstheme="minorBidi"/>
          <w:sz w:val="24"/>
        </w:rPr>
        <w:t>51</w:t>
      </w:r>
    </w:p>
    <w:p>
      <w:pPr>
        <w:pStyle w:val="12"/>
        <w:adjustRightInd w:val="0"/>
        <w:snapToGrid w:val="0"/>
        <w:spacing w:line="440" w:lineRule="exact"/>
        <w:jc w:val="left"/>
        <w:rPr>
          <w:sz w:val="24"/>
        </w:rPr>
      </w:pPr>
      <w:r>
        <w:rPr>
          <w:rFonts w:hint="eastAsia"/>
          <w:sz w:val="24"/>
        </w:rPr>
        <w:t>四、财政拨款收入支出决算总表</w:t>
      </w:r>
      <w:r>
        <w:rPr>
          <w:rFonts w:asciiTheme="majorEastAsia" w:hAnsiTheme="majorEastAsia" w:eastAsiaTheme="majorEastAsia" w:cstheme="minorBidi"/>
          <w:sz w:val="24"/>
        </w:rPr>
        <w:tab/>
      </w:r>
      <w:r>
        <w:rPr>
          <w:rFonts w:hint="eastAsia" w:asciiTheme="majorEastAsia" w:hAnsiTheme="majorEastAsia" w:eastAsiaTheme="majorEastAsia" w:cstheme="minorBidi"/>
          <w:sz w:val="24"/>
        </w:rPr>
        <w:t>51</w:t>
      </w:r>
    </w:p>
    <w:p>
      <w:pPr>
        <w:pStyle w:val="12"/>
        <w:adjustRightInd w:val="0"/>
        <w:snapToGrid w:val="0"/>
        <w:spacing w:line="440" w:lineRule="exact"/>
        <w:jc w:val="left"/>
        <w:rPr>
          <w:sz w:val="24"/>
        </w:rPr>
      </w:pPr>
      <w:r>
        <w:rPr>
          <w:rFonts w:hint="eastAsia"/>
          <w:sz w:val="24"/>
        </w:rPr>
        <w:t>五、财政拨款支出决算明细表</w:t>
      </w:r>
      <w:r>
        <w:rPr>
          <w:rFonts w:asciiTheme="majorEastAsia" w:hAnsiTheme="majorEastAsia" w:eastAsiaTheme="majorEastAsia" w:cstheme="minorBidi"/>
          <w:sz w:val="24"/>
        </w:rPr>
        <w:tab/>
      </w:r>
      <w:r>
        <w:rPr>
          <w:rFonts w:hint="eastAsia" w:asciiTheme="majorEastAsia" w:hAnsiTheme="majorEastAsia" w:eastAsiaTheme="majorEastAsia" w:cstheme="minorBidi"/>
          <w:sz w:val="24"/>
        </w:rPr>
        <w:t>51</w:t>
      </w:r>
    </w:p>
    <w:p>
      <w:pPr>
        <w:pStyle w:val="12"/>
        <w:adjustRightInd w:val="0"/>
        <w:snapToGrid w:val="0"/>
        <w:spacing w:line="440" w:lineRule="exact"/>
        <w:jc w:val="left"/>
        <w:rPr>
          <w:sz w:val="24"/>
        </w:rPr>
      </w:pPr>
      <w:r>
        <w:rPr>
          <w:rFonts w:hint="eastAsia"/>
          <w:sz w:val="24"/>
        </w:rPr>
        <w:t>六、一般公共预算财政拨款支出决算表</w:t>
      </w:r>
      <w:r>
        <w:rPr>
          <w:rFonts w:asciiTheme="majorEastAsia" w:hAnsiTheme="majorEastAsia" w:eastAsiaTheme="majorEastAsia" w:cstheme="minorBidi"/>
          <w:sz w:val="24"/>
        </w:rPr>
        <w:tab/>
      </w:r>
      <w:r>
        <w:rPr>
          <w:rFonts w:hint="eastAsia" w:asciiTheme="majorEastAsia" w:hAnsiTheme="majorEastAsia" w:eastAsiaTheme="majorEastAsia" w:cstheme="minorBidi"/>
          <w:sz w:val="24"/>
        </w:rPr>
        <w:t>51</w:t>
      </w:r>
    </w:p>
    <w:p>
      <w:pPr>
        <w:pStyle w:val="12"/>
        <w:adjustRightInd w:val="0"/>
        <w:snapToGrid w:val="0"/>
        <w:spacing w:line="440" w:lineRule="exact"/>
        <w:jc w:val="left"/>
        <w:rPr>
          <w:sz w:val="24"/>
        </w:rPr>
      </w:pPr>
      <w:r>
        <w:rPr>
          <w:rFonts w:hint="eastAsia"/>
          <w:sz w:val="24"/>
        </w:rPr>
        <w:t>七、一般公共预算财政拨款支出决算明细表</w:t>
      </w:r>
      <w:r>
        <w:rPr>
          <w:rFonts w:asciiTheme="majorEastAsia" w:hAnsiTheme="majorEastAsia" w:eastAsiaTheme="majorEastAsia" w:cstheme="minorBidi"/>
          <w:sz w:val="24"/>
        </w:rPr>
        <w:tab/>
      </w:r>
      <w:r>
        <w:rPr>
          <w:rFonts w:hint="eastAsia" w:asciiTheme="majorEastAsia" w:hAnsiTheme="majorEastAsia" w:eastAsiaTheme="majorEastAsia" w:cstheme="minorBidi"/>
          <w:sz w:val="24"/>
        </w:rPr>
        <w:t>51</w:t>
      </w:r>
    </w:p>
    <w:p>
      <w:pPr>
        <w:pStyle w:val="12"/>
        <w:adjustRightInd w:val="0"/>
        <w:snapToGrid w:val="0"/>
        <w:spacing w:line="440" w:lineRule="exact"/>
        <w:jc w:val="left"/>
        <w:rPr>
          <w:sz w:val="24"/>
        </w:rPr>
      </w:pPr>
      <w:r>
        <w:rPr>
          <w:rFonts w:hint="eastAsia"/>
          <w:sz w:val="24"/>
        </w:rPr>
        <w:t>八、一般公共预算财政拨款基本支出决算明细表</w:t>
      </w:r>
      <w:r>
        <w:rPr>
          <w:rFonts w:asciiTheme="majorEastAsia" w:hAnsiTheme="majorEastAsia" w:eastAsiaTheme="majorEastAsia" w:cstheme="minorBidi"/>
          <w:sz w:val="24"/>
        </w:rPr>
        <w:tab/>
      </w:r>
      <w:r>
        <w:rPr>
          <w:rFonts w:hint="eastAsia" w:asciiTheme="majorEastAsia" w:hAnsiTheme="majorEastAsia" w:eastAsiaTheme="majorEastAsia" w:cstheme="minorBidi"/>
          <w:sz w:val="24"/>
        </w:rPr>
        <w:t>51</w:t>
      </w:r>
    </w:p>
    <w:p>
      <w:pPr>
        <w:pStyle w:val="12"/>
        <w:adjustRightInd w:val="0"/>
        <w:snapToGrid w:val="0"/>
        <w:spacing w:line="440" w:lineRule="exact"/>
        <w:jc w:val="left"/>
        <w:rPr>
          <w:sz w:val="24"/>
        </w:rPr>
      </w:pPr>
      <w:r>
        <w:rPr>
          <w:rFonts w:hint="eastAsia"/>
          <w:sz w:val="24"/>
        </w:rPr>
        <w:t>九、一般公共预算财政拨款项目支出决算表</w:t>
      </w:r>
      <w:r>
        <w:rPr>
          <w:rFonts w:asciiTheme="majorEastAsia" w:hAnsiTheme="majorEastAsia" w:eastAsiaTheme="majorEastAsia" w:cstheme="minorBidi"/>
          <w:sz w:val="24"/>
        </w:rPr>
        <w:tab/>
      </w:r>
      <w:r>
        <w:rPr>
          <w:rFonts w:hint="eastAsia" w:asciiTheme="majorEastAsia" w:hAnsiTheme="majorEastAsia" w:eastAsiaTheme="majorEastAsia" w:cstheme="minorBidi"/>
          <w:sz w:val="24"/>
        </w:rPr>
        <w:t>51</w:t>
      </w:r>
    </w:p>
    <w:p>
      <w:pPr>
        <w:pStyle w:val="12"/>
        <w:adjustRightInd w:val="0"/>
        <w:snapToGrid w:val="0"/>
        <w:spacing w:line="440" w:lineRule="exact"/>
        <w:jc w:val="left"/>
        <w:rPr>
          <w:sz w:val="24"/>
        </w:rPr>
      </w:pPr>
      <w:r>
        <w:rPr>
          <w:rFonts w:hint="eastAsia"/>
          <w:sz w:val="24"/>
        </w:rPr>
        <w:t>十、政府性基金预算财政拨款收入支出决算表</w:t>
      </w:r>
      <w:r>
        <w:rPr>
          <w:rFonts w:asciiTheme="majorEastAsia" w:hAnsiTheme="majorEastAsia" w:eastAsiaTheme="majorEastAsia" w:cstheme="minorBidi"/>
          <w:sz w:val="24"/>
        </w:rPr>
        <w:tab/>
      </w:r>
      <w:r>
        <w:rPr>
          <w:rFonts w:hint="eastAsia" w:asciiTheme="majorEastAsia" w:hAnsiTheme="majorEastAsia" w:eastAsiaTheme="majorEastAsia" w:cstheme="minorBidi"/>
          <w:sz w:val="24"/>
        </w:rPr>
        <w:t>51</w:t>
      </w:r>
    </w:p>
    <w:p>
      <w:pPr>
        <w:pStyle w:val="12"/>
        <w:adjustRightInd w:val="0"/>
        <w:snapToGrid w:val="0"/>
        <w:spacing w:line="440" w:lineRule="exact"/>
        <w:jc w:val="left"/>
        <w:rPr>
          <w:sz w:val="24"/>
        </w:rPr>
      </w:pPr>
      <w:r>
        <w:rPr>
          <w:rFonts w:hint="eastAsia"/>
          <w:sz w:val="24"/>
        </w:rPr>
        <w:t>十一、国有资本经营预算财政拨款收入支出决算表</w:t>
      </w:r>
      <w:r>
        <w:rPr>
          <w:rFonts w:asciiTheme="majorEastAsia" w:hAnsiTheme="majorEastAsia" w:eastAsiaTheme="majorEastAsia" w:cstheme="minorBidi"/>
          <w:sz w:val="24"/>
        </w:rPr>
        <w:tab/>
      </w:r>
      <w:r>
        <w:rPr>
          <w:rFonts w:hint="eastAsia"/>
          <w:sz w:val="24"/>
        </w:rPr>
        <w:t>51</w:t>
      </w:r>
    </w:p>
    <w:p>
      <w:pPr>
        <w:pStyle w:val="12"/>
        <w:adjustRightInd w:val="0"/>
        <w:snapToGrid w:val="0"/>
        <w:spacing w:line="440" w:lineRule="exact"/>
        <w:jc w:val="left"/>
        <w:rPr>
          <w:sz w:val="24"/>
        </w:rPr>
      </w:pPr>
      <w:r>
        <w:rPr>
          <w:rFonts w:hint="eastAsia"/>
          <w:sz w:val="24"/>
        </w:rPr>
        <w:t>十二、国有资本经营预算财政拨款支出决算表</w:t>
      </w:r>
      <w:r>
        <w:rPr>
          <w:rFonts w:asciiTheme="majorEastAsia" w:hAnsiTheme="majorEastAsia" w:eastAsiaTheme="majorEastAsia" w:cstheme="minorBidi"/>
          <w:sz w:val="24"/>
        </w:rPr>
        <w:tab/>
      </w:r>
      <w:r>
        <w:rPr>
          <w:rFonts w:hint="eastAsia" w:asciiTheme="majorEastAsia" w:hAnsiTheme="majorEastAsia" w:eastAsiaTheme="majorEastAsia" w:cstheme="minorBidi"/>
          <w:sz w:val="24"/>
        </w:rPr>
        <w:t>51</w:t>
      </w:r>
    </w:p>
    <w:p>
      <w:pPr>
        <w:pStyle w:val="12"/>
        <w:adjustRightInd w:val="0"/>
        <w:snapToGrid w:val="0"/>
        <w:spacing w:line="440" w:lineRule="exact"/>
        <w:jc w:val="left"/>
        <w:rPr>
          <w:rFonts w:asciiTheme="minorEastAsia" w:hAnsiTheme="minorEastAsia" w:eastAsiaTheme="minorEastAsia" w:cstheme="minorEastAsia"/>
          <w:sz w:val="24"/>
        </w:rPr>
      </w:pPr>
      <w:r>
        <w:rPr>
          <w:rFonts w:hint="eastAsia"/>
          <w:sz w:val="24"/>
        </w:rPr>
        <w:t>十三、财政拨款“三公”经费支出决算表</w:t>
      </w:r>
      <w:r>
        <w:rPr>
          <w:rFonts w:asciiTheme="majorEastAsia" w:hAnsiTheme="majorEastAsia" w:eastAsiaTheme="majorEastAsia" w:cstheme="minorBidi"/>
          <w:sz w:val="24"/>
        </w:rPr>
        <w:tab/>
      </w:r>
      <w:r>
        <w:rPr>
          <w:rFonts w:hint="eastAsia" w:asciiTheme="majorEastAsia" w:hAnsiTheme="majorEastAsia" w:eastAsiaTheme="majorEastAsia" w:cstheme="minorBidi"/>
          <w:sz w:val="24"/>
        </w:rPr>
        <w:t>51</w:t>
      </w:r>
    </w:p>
    <w:p>
      <w:pPr>
        <w:widowControl/>
        <w:spacing w:line="440" w:lineRule="exact"/>
        <w:jc w:val="left"/>
        <w:rPr>
          <w:rFonts w:asciiTheme="majorEastAsia" w:hAnsiTheme="majorEastAsia" w:eastAsiaTheme="majorEastAsia" w:cstheme="minorBidi"/>
          <w:sz w:val="24"/>
        </w:rPr>
      </w:pPr>
      <w:r>
        <w:rPr>
          <w:rFonts w:asciiTheme="majorEastAsia" w:hAnsiTheme="majorEastAsia" w:eastAsiaTheme="majorEastAsia" w:cstheme="minorBidi"/>
          <w:sz w:val="24"/>
        </w:rPr>
        <w:tab/>
      </w:r>
    </w:p>
    <w:p>
      <w:pPr>
        <w:pStyle w:val="2"/>
        <w:spacing w:before="93"/>
      </w:pPr>
    </w:p>
    <w:p>
      <w:pPr>
        <w:pStyle w:val="2"/>
        <w:spacing w:before="93"/>
      </w:pPr>
    </w:p>
    <w:p>
      <w:pPr>
        <w:pStyle w:val="2"/>
        <w:spacing w:before="93"/>
      </w:pPr>
    </w:p>
    <w:p>
      <w:pPr>
        <w:pStyle w:val="2"/>
        <w:spacing w:before="93"/>
      </w:pPr>
    </w:p>
    <w:p>
      <w:pPr>
        <w:pStyle w:val="2"/>
        <w:spacing w:before="93"/>
      </w:pPr>
    </w:p>
    <w:p>
      <w:pPr>
        <w:pStyle w:val="2"/>
        <w:spacing w:before="93"/>
      </w:pPr>
    </w:p>
    <w:p>
      <w:pPr>
        <w:pStyle w:val="2"/>
        <w:spacing w:before="93"/>
      </w:pPr>
    </w:p>
    <w:p>
      <w:pPr>
        <w:pStyle w:val="2"/>
        <w:spacing w:before="93"/>
      </w:pPr>
    </w:p>
    <w:p>
      <w:pPr>
        <w:pStyle w:val="2"/>
        <w:spacing w:before="93"/>
      </w:pPr>
    </w:p>
    <w:p>
      <w:pPr>
        <w:pStyle w:val="2"/>
        <w:spacing w:before="93"/>
      </w:pPr>
    </w:p>
    <w:p>
      <w:pPr>
        <w:pStyle w:val="2"/>
        <w:spacing w:before="93"/>
      </w:pPr>
    </w:p>
    <w:p>
      <w:pPr>
        <w:pStyle w:val="2"/>
        <w:spacing w:before="93"/>
      </w:pPr>
    </w:p>
    <w:p>
      <w:pPr>
        <w:pStyle w:val="2"/>
        <w:spacing w:before="93"/>
      </w:pPr>
    </w:p>
    <w:p>
      <w:pPr>
        <w:pStyle w:val="2"/>
        <w:spacing w:before="93"/>
      </w:pPr>
    </w:p>
    <w:p>
      <w:pPr>
        <w:pStyle w:val="2"/>
        <w:spacing w:before="93"/>
      </w:pPr>
    </w:p>
    <w:p>
      <w:pPr>
        <w:pStyle w:val="3"/>
        <w:jc w:val="center"/>
        <w:rPr>
          <w:rStyle w:val="29"/>
          <w:rFonts w:ascii="黑体" w:hAnsi="黑体" w:eastAsia="黑体"/>
          <w:b/>
          <w:bCs w:val="0"/>
        </w:rPr>
      </w:pPr>
      <w:r>
        <w:rPr>
          <w:rFonts w:hint="eastAsia" w:ascii="黑体" w:hAnsi="黑体" w:eastAsia="黑体"/>
          <w:b w:val="0"/>
        </w:rPr>
        <w:t xml:space="preserve">第一部分 </w:t>
      </w:r>
      <w:r>
        <w:rPr>
          <w:rStyle w:val="29"/>
          <w:rFonts w:hint="eastAsia" w:ascii="黑体" w:hAnsi="黑体" w:eastAsia="黑体"/>
          <w:b w:val="0"/>
          <w:bCs w:val="0"/>
        </w:rPr>
        <w:t>部门概况</w:t>
      </w:r>
      <w:bookmarkEnd w:id="12"/>
      <w:bookmarkEnd w:id="13"/>
    </w:p>
    <w:p>
      <w:pPr>
        <w:widowControl/>
        <w:jc w:val="left"/>
        <w:rPr>
          <w:rFonts w:ascii="黑体" w:eastAsia="黑体"/>
          <w:sz w:val="32"/>
          <w:szCs w:val="32"/>
        </w:rPr>
      </w:pPr>
    </w:p>
    <w:p>
      <w:pPr>
        <w:pStyle w:val="4"/>
        <w:numPr>
          <w:ilvl w:val="0"/>
          <w:numId w:val="1"/>
        </w:numPr>
        <w:rPr>
          <w:rFonts w:ascii="黑体" w:hAnsi="黑体" w:eastAsia="黑体"/>
          <w:b w:val="0"/>
        </w:rPr>
      </w:pPr>
      <w:r>
        <w:rPr>
          <w:rFonts w:hint="eastAsia" w:ascii="黑体" w:hAnsi="黑体" w:eastAsia="黑体"/>
          <w:b w:val="0"/>
        </w:rPr>
        <w:t>部门职责</w:t>
      </w:r>
    </w:p>
    <w:p>
      <w:pPr>
        <w:pStyle w:val="4"/>
        <w:ind w:firstLine="640" w:firstLineChars="200"/>
        <w:rPr>
          <w:rFonts w:ascii="黑体" w:hAnsi="黑体" w:eastAsia="黑体"/>
          <w:b w:val="0"/>
        </w:rPr>
      </w:pPr>
      <w:r>
        <w:rPr>
          <w:rFonts w:hint="eastAsia" w:ascii="仿宋_GB2312" w:hAnsi="仿宋_GB2312" w:eastAsia="仿宋_GB2312" w:cs="仿宋_GB2312"/>
          <w:b w:val="0"/>
        </w:rPr>
        <w:t>1.</w:t>
      </w:r>
      <w:r>
        <w:rPr>
          <w:rFonts w:hint="eastAsia" w:ascii="仿宋_GB2312" w:hAnsi="仿宋_GB2312" w:eastAsia="仿宋_GB2312" w:cs="仿宋_GB2312"/>
          <w:b w:val="0"/>
          <w:bCs w:val="0"/>
          <w:kern w:val="0"/>
        </w:rPr>
        <w:t>贯彻执行国家、省、市、区有关食品药品监督管理、工商行政管理等方面的法律、法规和政策；拟订相关规范性文件和措施，经批准后组织实施。</w:t>
      </w:r>
    </w:p>
    <w:p>
      <w:pPr>
        <w:adjustRightInd w:val="0"/>
        <w:snapToGrid w:val="0"/>
        <w:spacing w:line="540" w:lineRule="exact"/>
        <w:ind w:left="141" w:leftChars="67" w:firstLine="566" w:firstLineChars="177"/>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2.承担依法规范和维护各类市场经营秩序的责任，负责市场监督管理和行政执法，组织查处违反食品药品监督管理、工商行政管理法律、法规、规章的行为。</w:t>
      </w:r>
    </w:p>
    <w:p>
      <w:pPr>
        <w:adjustRightInd w:val="0"/>
        <w:snapToGrid w:val="0"/>
        <w:spacing w:line="540" w:lineRule="exact"/>
        <w:ind w:left="141" w:leftChars="67" w:firstLine="566" w:firstLineChars="177"/>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3.承担监督管理流通领域商品质量安全的责任，组织开展有关服务领域消费维权工作，建立消费者权益保护体系；负责涉及食品药品监督管理、工商行政管理的投诉和举报工作。指导消费者咨询、投诉、举报受理、处理和网络体系建设等工作，保护经营者、消费者合法权益。</w:t>
      </w:r>
    </w:p>
    <w:p>
      <w:pPr>
        <w:adjustRightInd w:val="0"/>
        <w:snapToGrid w:val="0"/>
        <w:spacing w:line="540" w:lineRule="exact"/>
        <w:ind w:left="141" w:leftChars="67" w:firstLine="566" w:firstLineChars="177"/>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4.承担查处传销和违法直销案件的责任，依法监督管理直销企业和直销员及其直销活动。</w:t>
      </w:r>
    </w:p>
    <w:p>
      <w:pPr>
        <w:adjustRightInd w:val="0"/>
        <w:snapToGrid w:val="0"/>
        <w:spacing w:line="540" w:lineRule="exact"/>
        <w:ind w:firstLine="707" w:firstLineChars="221"/>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5.负责商标管理工作，依法保护商标专用权和查处商标侵权行为，加强驰名商标、著名商标、知名商标保护工作。负责特殊标志、官方标志的管理和保护。指导企业、单位和个人的商标注册工作。</w:t>
      </w:r>
    </w:p>
    <w:p>
      <w:pPr>
        <w:tabs>
          <w:tab w:val="left" w:pos="0"/>
        </w:tabs>
        <w:adjustRightInd w:val="0"/>
        <w:snapToGrid w:val="0"/>
        <w:spacing w:line="540" w:lineRule="exact"/>
        <w:ind w:firstLine="707" w:firstLineChars="221"/>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6.负责依法监督管理经纪人、经纪机构及经纪活动；依法实施合同行政监督管理，负责管理动产抵押物登记，组织监督管理拍卖行为，推广指导合同示范文本的使用，依法查处合同欺诈等违法行为，组织开展合同争议行政调解工作。</w:t>
      </w:r>
    </w:p>
    <w:p>
      <w:pPr>
        <w:adjustRightInd w:val="0"/>
        <w:snapToGrid w:val="0"/>
        <w:spacing w:line="540" w:lineRule="exact"/>
        <w:ind w:firstLine="640" w:firstLineChars="200"/>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7.指导广告业发展，负责广告活动的监督管理工作。</w:t>
      </w:r>
    </w:p>
    <w:p>
      <w:pPr>
        <w:adjustRightInd w:val="0"/>
        <w:snapToGrid w:val="0"/>
        <w:spacing w:line="540" w:lineRule="exact"/>
        <w:ind w:firstLine="640" w:firstLineChars="200"/>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8.负责市场交易行为和网络商品交易及有关服务行为的监管管理，负责个体工商户、私营企业经营行为的监督管理；依法查处无照经营违法行为。</w:t>
      </w:r>
    </w:p>
    <w:p>
      <w:pPr>
        <w:adjustRightInd w:val="0"/>
        <w:snapToGrid w:val="0"/>
        <w:spacing w:line="540" w:lineRule="exact"/>
        <w:ind w:firstLine="640" w:firstLineChars="200"/>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9.负责组织协调、督导检查市场主体信用信息年报公示工作，承担研究分析并依法发布辖区市场主体登记注册信用信息及发展报告，促进市场主体信用信息体系建设，为政府决策和社会公众提供信息服务。</w:t>
      </w:r>
    </w:p>
    <w:p>
      <w:pPr>
        <w:adjustRightInd w:val="0"/>
        <w:snapToGrid w:val="0"/>
        <w:spacing w:line="540" w:lineRule="exact"/>
        <w:ind w:firstLine="640" w:firstLineChars="200"/>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10.配合上级机关做好反垄断行政执法工作，依法查处不正当竞争、商业贿赂、走私贩私等经济违法行为。</w:t>
      </w:r>
    </w:p>
    <w:p>
      <w:pPr>
        <w:adjustRightInd w:val="0"/>
        <w:snapToGrid w:val="0"/>
        <w:spacing w:line="540" w:lineRule="exact"/>
        <w:ind w:firstLine="640" w:firstLineChars="200"/>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 xml:space="preserve">11.承担区食品安全委员会日常工作。负责全区食品安全监督管理综合协调，推动健全协调联动机制。 </w:t>
      </w:r>
    </w:p>
    <w:p>
      <w:pPr>
        <w:adjustRightInd w:val="0"/>
        <w:snapToGrid w:val="0"/>
        <w:spacing w:line="540" w:lineRule="exact"/>
        <w:ind w:firstLine="640" w:firstLineChars="200"/>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12.制定辖区食品药品安全检查年度计划、重大整顿治理方案并组织落实；负责重大活动食品药品安全保障工作；承担药品、医疗器械、食品生产经营及餐饮服务的安全监督管理职责；承担保健食品和化妆品市场监管职责。</w:t>
      </w:r>
    </w:p>
    <w:p>
      <w:pPr>
        <w:adjustRightInd w:val="0"/>
        <w:snapToGrid w:val="0"/>
        <w:spacing w:line="540" w:lineRule="exact"/>
        <w:ind w:left="141" w:leftChars="67" w:firstLine="640" w:firstLineChars="200"/>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13.负责本部门依法行政工作，落实行政执法责任制；执行食品安全风险监测计划、食品安全地方标准，负责制定本部门食品药品及其它商品年度抽检计划并组织实施；规范行政执法行为，完善行政执法与刑事司法衔接机制；推动落实食品、药品、医疗器械、化妆品安全企业主体责任；建立药品、化妆品不良反应和医疗器械不良事件监测体系，并开展监测和处置工作；负责不安全食品和存在安全隐患的药品、医疗器械、化妆品及其它商品召回的监督管理。</w:t>
      </w:r>
    </w:p>
    <w:p>
      <w:pPr>
        <w:adjustRightInd w:val="0"/>
        <w:snapToGrid w:val="0"/>
        <w:spacing w:line="540" w:lineRule="exact"/>
        <w:ind w:firstLine="640" w:firstLineChars="200"/>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14.监督实施药品和医疗器械的标准、分类管理制度；监督实施药品和医疗器械的研制、生产、经营、使用等质量管理规范；配合实施国家基本药物制度；负责麻醉药品、精神药品、毒性药品、放射性药品和易制毒化学药品的监督管理；严格执行执业药师资格准入制度，组织开展相关从业人员培训；监督实施化妆品监督管理办法。</w:t>
      </w:r>
    </w:p>
    <w:p>
      <w:pPr>
        <w:adjustRightInd w:val="0"/>
        <w:snapToGrid w:val="0"/>
        <w:spacing w:line="540" w:lineRule="exact"/>
        <w:ind w:firstLine="640" w:firstLineChars="200"/>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15.负责市场等公众聚集场所、食品、药品、医疗器械、化妆品安全事故应急体系和隐患排查治理机制建设，组织市场等公众聚集场所、食品、药品、医疗器械、化妆品安全事故应急处置和调查处理工作，按规定负责市场等公众聚集场所、食品、药品、医疗器械、化妆品的安全事故和突发事件的应对处置。</w:t>
      </w:r>
    </w:p>
    <w:p>
      <w:pPr>
        <w:adjustRightInd w:val="0"/>
        <w:snapToGrid w:val="0"/>
        <w:spacing w:line="540" w:lineRule="exact"/>
        <w:ind w:firstLine="640" w:firstLineChars="200"/>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16.承担区政府公布的有关行政审批事项。</w:t>
      </w:r>
    </w:p>
    <w:p>
      <w:pPr>
        <w:adjustRightInd w:val="0"/>
        <w:snapToGrid w:val="0"/>
        <w:spacing w:line="540" w:lineRule="exact"/>
        <w:ind w:left="638" w:leftChars="304"/>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17.承办区政府以及区食品安全委员会交办的其他事项。</w:t>
      </w:r>
    </w:p>
    <w:p/>
    <w:p>
      <w:pPr>
        <w:pStyle w:val="4"/>
        <w:numPr>
          <w:ilvl w:val="0"/>
          <w:numId w:val="1"/>
        </w:numPr>
        <w:rPr>
          <w:rStyle w:val="30"/>
          <w:rFonts w:ascii="黑体" w:hAnsi="黑体" w:eastAsia="黑体"/>
          <w:b w:val="0"/>
          <w:bCs w:val="0"/>
        </w:rPr>
      </w:pPr>
      <w:bookmarkStart w:id="14" w:name="_Toc15377200"/>
      <w:bookmarkStart w:id="15" w:name="_Toc15396601"/>
      <w:r>
        <w:rPr>
          <w:rFonts w:hint="eastAsia" w:ascii="黑体" w:hAnsi="黑体" w:eastAsia="黑体"/>
          <w:b w:val="0"/>
        </w:rPr>
        <w:t>机</w:t>
      </w:r>
      <w:r>
        <w:rPr>
          <w:rStyle w:val="30"/>
          <w:rFonts w:hint="eastAsia" w:ascii="黑体" w:hAnsi="黑体" w:eastAsia="黑体"/>
          <w:b w:val="0"/>
          <w:bCs w:val="0"/>
        </w:rPr>
        <w:t>构设置</w:t>
      </w:r>
      <w:bookmarkEnd w:id="14"/>
      <w:bookmarkEnd w:id="15"/>
    </w:p>
    <w:p>
      <w:pPr>
        <w:adjustRightInd w:val="0"/>
        <w:snapToGrid w:val="0"/>
        <w:spacing w:line="540" w:lineRule="exact"/>
        <w:ind w:firstLine="800" w:firstLineChars="250"/>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攀枝花市西区市场监督管理局（以下简称西区市场监管局）下属二级单位1个，其中行政单位0个，参照公务员法管理的事业单位0个，其他事</w:t>
      </w:r>
      <w:r>
        <w:rPr>
          <w:rFonts w:hint="eastAsia" w:ascii="仿宋_GB2312" w:hAnsi="仿宋_GB2312" w:eastAsia="仿宋_GB2312" w:cs="仿宋_GB2312"/>
          <w:sz w:val="32"/>
          <w:szCs w:val="32"/>
        </w:rPr>
        <w:t>业单位1个。</w:t>
      </w:r>
    </w:p>
    <w:p>
      <w:pPr>
        <w:pStyle w:val="2"/>
        <w:adjustRightInd w:val="0"/>
        <w:snapToGrid w:val="0"/>
        <w:spacing w:beforeLines="0" w:line="540" w:lineRule="exact"/>
        <w:ind w:firstLine="640" w:firstLineChars="200"/>
        <w:rPr>
          <w:rFonts w:hAnsi="仿宋_GB2312" w:cs="仿宋_GB2312"/>
          <w:sz w:val="32"/>
          <w:szCs w:val="32"/>
        </w:rPr>
      </w:pPr>
      <w:r>
        <w:rPr>
          <w:rFonts w:hint="eastAsia" w:hAnsi="仿宋_GB2312" w:cs="仿宋_GB2312"/>
          <w:sz w:val="32"/>
          <w:szCs w:val="32"/>
        </w:rPr>
        <w:t>纳入西区市场监管局2022年度部门决算编制范围的二级单位包括：攀枝花市西区消费维权和个体经济指导服务中心。</w:t>
      </w:r>
    </w:p>
    <w:p>
      <w:pPr>
        <w:pStyle w:val="28"/>
        <w:ind w:left="630" w:firstLine="0" w:firstLineChars="0"/>
      </w:pPr>
    </w:p>
    <w:p>
      <w:pPr>
        <w:pStyle w:val="3"/>
        <w:ind w:right="440"/>
        <w:jc w:val="center"/>
        <w:rPr>
          <w:rStyle w:val="29"/>
          <w:rFonts w:ascii="黑体" w:hAnsi="黑体" w:eastAsia="黑体"/>
          <w:b w:val="0"/>
          <w:bCs/>
        </w:rPr>
      </w:pPr>
      <w:bookmarkStart w:id="16" w:name="_Toc15377204"/>
      <w:bookmarkStart w:id="17" w:name="_Toc15396602"/>
      <w:r>
        <w:rPr>
          <w:rFonts w:hint="eastAsia" w:ascii="黑体" w:hAnsi="黑体" w:eastAsia="黑体"/>
          <w:b w:val="0"/>
        </w:rPr>
        <w:t>第二部分 2022年度</w:t>
      </w:r>
      <w:r>
        <w:rPr>
          <w:rStyle w:val="29"/>
          <w:rFonts w:hint="eastAsia" w:ascii="黑体" w:hAnsi="黑体" w:eastAsia="黑体"/>
          <w:b w:val="0"/>
          <w:bCs/>
        </w:rPr>
        <w:t>部门决算情况说明</w:t>
      </w:r>
      <w:bookmarkEnd w:id="16"/>
      <w:bookmarkEnd w:id="17"/>
    </w:p>
    <w:p/>
    <w:p>
      <w:pPr>
        <w:pStyle w:val="28"/>
        <w:numPr>
          <w:ilvl w:val="0"/>
          <w:numId w:val="2"/>
        </w:numPr>
        <w:spacing w:line="600" w:lineRule="exact"/>
        <w:ind w:firstLineChars="0"/>
        <w:outlineLvl w:val="1"/>
        <w:rPr>
          <w:rStyle w:val="30"/>
          <w:rFonts w:ascii="黑体" w:hAnsi="黑体" w:eastAsia="黑体"/>
          <w:b w:val="0"/>
        </w:rPr>
      </w:pPr>
      <w:bookmarkStart w:id="18" w:name="_Toc15396603"/>
      <w:bookmarkStart w:id="19" w:name="_Toc15377205"/>
      <w:r>
        <w:rPr>
          <w:rFonts w:hint="eastAsia" w:ascii="黑体" w:hAnsi="黑体" w:eastAsia="黑体"/>
          <w:sz w:val="32"/>
          <w:szCs w:val="32"/>
        </w:rPr>
        <w:t>收</w:t>
      </w:r>
      <w:r>
        <w:rPr>
          <w:rStyle w:val="30"/>
          <w:rFonts w:hint="eastAsia" w:ascii="黑体" w:hAnsi="黑体" w:eastAsia="黑体"/>
          <w:b w:val="0"/>
        </w:rPr>
        <w:t>入支出决算总体情况说明</w:t>
      </w:r>
      <w:bookmarkEnd w:id="18"/>
      <w:bookmarkEnd w:id="19"/>
    </w:p>
    <w:p>
      <w:pPr>
        <w:spacing w:line="600" w:lineRule="exact"/>
        <w:ind w:firstLine="640" w:firstLineChars="200"/>
        <w:rPr>
          <w:rFonts w:ascii="仿宋" w:hAnsi="仿宋" w:eastAsia="仿宋"/>
          <w:sz w:val="32"/>
          <w:szCs w:val="32"/>
        </w:rPr>
      </w:pPr>
      <w:r>
        <w:rPr>
          <w:rFonts w:hint="eastAsia" w:ascii="仿宋" w:hAnsi="仿宋" w:eastAsia="仿宋"/>
          <w:sz w:val="32"/>
          <w:szCs w:val="32"/>
        </w:rPr>
        <w:t>2022年度收、支总计1406.19万元。与2021年相比，收、支总计各减少97.15万元，下降6.46</w:t>
      </w:r>
      <w:r>
        <w:rPr>
          <w:rFonts w:ascii="仿宋" w:hAnsi="仿宋" w:eastAsia="仿宋"/>
          <w:sz w:val="32"/>
          <w:szCs w:val="32"/>
        </w:rPr>
        <w:t>%</w:t>
      </w:r>
      <w:r>
        <w:rPr>
          <w:rFonts w:hint="eastAsia" w:ascii="仿宋" w:hAnsi="仿宋" w:eastAsia="仿宋"/>
          <w:sz w:val="32"/>
          <w:szCs w:val="32"/>
        </w:rPr>
        <w:t>。主要变动原因是区级抽检资金未及时拨付，同时单位</w:t>
      </w:r>
      <w:r>
        <w:rPr>
          <w:rFonts w:hint="eastAsia" w:ascii="仿宋_GB2312" w:hAnsi="仿宋_GB2312" w:eastAsia="仿宋_GB2312" w:cs="仿宋_GB2312"/>
          <w:sz w:val="32"/>
          <w:szCs w:val="32"/>
        </w:rPr>
        <w:t>节约经费，压缩开支</w:t>
      </w:r>
      <w:r>
        <w:rPr>
          <w:rFonts w:hint="eastAsia" w:ascii="仿宋" w:hAnsi="仿宋" w:eastAsia="仿宋"/>
          <w:sz w:val="32"/>
          <w:szCs w:val="32"/>
        </w:rPr>
        <w:t>。</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（图</w:t>
      </w:r>
      <w:r>
        <w:rPr>
          <w:rFonts w:ascii="仿宋" w:hAnsi="仿宋" w:eastAsia="仿宋"/>
          <w:sz w:val="32"/>
          <w:szCs w:val="32"/>
        </w:rPr>
        <w:t>1</w:t>
      </w:r>
      <w:r>
        <w:rPr>
          <w:rFonts w:hint="eastAsia" w:ascii="仿宋" w:hAnsi="仿宋" w:eastAsia="仿宋"/>
          <w:sz w:val="32"/>
          <w:szCs w:val="32"/>
        </w:rPr>
        <w:t>：收、支决算总计变动情况图）（柱状图）</w:t>
      </w:r>
    </w:p>
    <w:p>
      <w:pPr>
        <w:pStyle w:val="2"/>
        <w:spacing w:before="93"/>
      </w:pPr>
      <w:r>
        <w:drawing>
          <wp:inline distT="0" distB="0" distL="0" distR="0">
            <wp:extent cx="4410075" cy="2743200"/>
            <wp:effectExtent l="19050" t="0" r="9525" b="0"/>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pStyle w:val="28"/>
        <w:numPr>
          <w:ilvl w:val="0"/>
          <w:numId w:val="2"/>
        </w:numPr>
        <w:spacing w:line="600" w:lineRule="exact"/>
        <w:ind w:firstLineChars="0"/>
        <w:outlineLvl w:val="1"/>
        <w:rPr>
          <w:rStyle w:val="30"/>
          <w:rFonts w:ascii="黑体" w:hAnsi="黑体" w:eastAsia="黑体"/>
          <w:b w:val="0"/>
        </w:rPr>
      </w:pPr>
      <w:bookmarkStart w:id="20" w:name="_Toc15377206"/>
      <w:bookmarkStart w:id="21" w:name="_Toc15396604"/>
      <w:r>
        <w:rPr>
          <w:rFonts w:hint="eastAsia" w:ascii="黑体" w:hAnsi="黑体" w:eastAsia="黑体"/>
          <w:sz w:val="32"/>
          <w:szCs w:val="32"/>
        </w:rPr>
        <w:t>收</w:t>
      </w:r>
      <w:r>
        <w:rPr>
          <w:rStyle w:val="30"/>
          <w:rFonts w:hint="eastAsia" w:ascii="黑体" w:hAnsi="黑体" w:eastAsia="黑体"/>
          <w:b w:val="0"/>
        </w:rPr>
        <w:t>入决算情况说明</w:t>
      </w:r>
      <w:bookmarkEnd w:id="20"/>
      <w:bookmarkEnd w:id="21"/>
    </w:p>
    <w:p>
      <w:pPr>
        <w:spacing w:line="600" w:lineRule="exact"/>
        <w:ind w:firstLine="640" w:firstLineChars="200"/>
        <w:outlineLvl w:val="1"/>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22年本年收入合计1398.26万元，其中：一般公共预算财政拨款收入1394.14万元，占99.7</w:t>
      </w:r>
      <w:r>
        <w:rPr>
          <w:rFonts w:ascii="仿宋" w:hAnsi="仿宋" w:eastAsia="仿宋"/>
          <w:sz w:val="32"/>
          <w:szCs w:val="32"/>
        </w:rPr>
        <w:t>%</w:t>
      </w:r>
      <w:r>
        <w:rPr>
          <w:rFonts w:hint="eastAsia" w:ascii="仿宋" w:hAnsi="仿宋" w:eastAsia="仿宋"/>
          <w:sz w:val="32"/>
          <w:szCs w:val="32"/>
        </w:rPr>
        <w:t>；政府性基金预算财政拨款收入4.09万元，占0.3</w:t>
      </w:r>
      <w:r>
        <w:rPr>
          <w:rFonts w:ascii="仿宋" w:hAnsi="仿宋" w:eastAsia="仿宋"/>
          <w:sz w:val="32"/>
          <w:szCs w:val="32"/>
        </w:rPr>
        <w:t>%</w:t>
      </w:r>
      <w:r>
        <w:rPr>
          <w:rFonts w:hint="eastAsia" w:ascii="仿宋" w:hAnsi="仿宋" w:eastAsia="仿宋"/>
          <w:sz w:val="32"/>
          <w:szCs w:val="32"/>
        </w:rPr>
        <w:t>；国有资本经营预算财政拨款收入0万元，占0</w:t>
      </w:r>
      <w:r>
        <w:rPr>
          <w:rFonts w:ascii="仿宋" w:hAnsi="仿宋" w:eastAsia="仿宋"/>
          <w:sz w:val="32"/>
          <w:szCs w:val="32"/>
        </w:rPr>
        <w:t>%</w:t>
      </w:r>
      <w:r>
        <w:rPr>
          <w:rFonts w:hint="eastAsia" w:ascii="仿宋" w:hAnsi="仿宋" w:eastAsia="仿宋"/>
          <w:sz w:val="32"/>
          <w:szCs w:val="32"/>
        </w:rPr>
        <w:t>；上级补助收入0万元，占0</w:t>
      </w:r>
      <w:r>
        <w:rPr>
          <w:rFonts w:ascii="仿宋" w:hAnsi="仿宋" w:eastAsia="仿宋"/>
          <w:sz w:val="32"/>
          <w:szCs w:val="32"/>
        </w:rPr>
        <w:t>%</w:t>
      </w:r>
      <w:r>
        <w:rPr>
          <w:rFonts w:hint="eastAsia" w:ascii="仿宋" w:hAnsi="仿宋" w:eastAsia="仿宋"/>
          <w:sz w:val="32"/>
          <w:szCs w:val="32"/>
        </w:rPr>
        <w:t>；事业收入0万元，占0</w:t>
      </w:r>
      <w:r>
        <w:rPr>
          <w:rFonts w:ascii="仿宋" w:hAnsi="仿宋" w:eastAsia="仿宋"/>
          <w:sz w:val="32"/>
          <w:szCs w:val="32"/>
        </w:rPr>
        <w:t>%</w:t>
      </w:r>
      <w:r>
        <w:rPr>
          <w:rFonts w:hint="eastAsia" w:ascii="仿宋" w:hAnsi="仿宋" w:eastAsia="仿宋"/>
          <w:sz w:val="32"/>
          <w:szCs w:val="32"/>
        </w:rPr>
        <w:t>；经营收入0万元，占0</w:t>
      </w:r>
      <w:r>
        <w:rPr>
          <w:rFonts w:ascii="仿宋" w:hAnsi="仿宋" w:eastAsia="仿宋"/>
          <w:sz w:val="32"/>
          <w:szCs w:val="32"/>
        </w:rPr>
        <w:t>%</w:t>
      </w:r>
      <w:r>
        <w:rPr>
          <w:rFonts w:hint="eastAsia" w:ascii="仿宋" w:hAnsi="仿宋" w:eastAsia="仿宋"/>
          <w:sz w:val="32"/>
          <w:szCs w:val="32"/>
        </w:rPr>
        <w:t>；附属单位上缴收入0万元，占0</w:t>
      </w:r>
      <w:r>
        <w:rPr>
          <w:rFonts w:ascii="仿宋" w:hAnsi="仿宋" w:eastAsia="仿宋"/>
          <w:sz w:val="32"/>
          <w:szCs w:val="32"/>
        </w:rPr>
        <w:t>%</w:t>
      </w:r>
      <w:r>
        <w:rPr>
          <w:rFonts w:hint="eastAsia" w:ascii="仿宋" w:hAnsi="仿宋" w:eastAsia="仿宋"/>
          <w:sz w:val="32"/>
          <w:szCs w:val="32"/>
        </w:rPr>
        <w:t>；其他收入0万元，占0</w:t>
      </w:r>
      <w:r>
        <w:rPr>
          <w:rFonts w:ascii="仿宋" w:hAnsi="仿宋" w:eastAsia="仿宋"/>
          <w:sz w:val="32"/>
          <w:szCs w:val="32"/>
        </w:rPr>
        <w:t>%</w:t>
      </w:r>
      <w:r>
        <w:rPr>
          <w:rFonts w:hint="eastAsia" w:ascii="仿宋" w:hAnsi="仿宋" w:eastAsia="仿宋"/>
          <w:sz w:val="32"/>
          <w:szCs w:val="32"/>
        </w:rPr>
        <w:t>。</w:t>
      </w:r>
    </w:p>
    <w:p>
      <w:pPr>
        <w:spacing w:line="600" w:lineRule="exact"/>
        <w:ind w:firstLine="640" w:firstLineChars="200"/>
        <w:outlineLvl w:val="1"/>
        <w:rPr>
          <w:rFonts w:ascii="仿宋" w:hAnsi="仿宋" w:eastAsia="仿宋"/>
          <w:sz w:val="32"/>
          <w:szCs w:val="32"/>
        </w:rPr>
      </w:pPr>
    </w:p>
    <w:p>
      <w:pPr>
        <w:spacing w:line="600" w:lineRule="exact"/>
        <w:ind w:firstLine="640" w:firstLineChars="200"/>
        <w:rPr>
          <w:rFonts w:ascii="仿宋" w:hAnsi="仿宋" w:eastAsia="仿宋"/>
          <w:sz w:val="32"/>
          <w:szCs w:val="32"/>
        </w:rPr>
      </w:pPr>
      <w:r>
        <w:rPr>
          <w:rFonts w:hint="eastAsia" w:ascii="仿宋" w:hAnsi="仿宋" w:eastAsia="仿宋"/>
          <w:sz w:val="32"/>
          <w:szCs w:val="32"/>
        </w:rPr>
        <w:t>（图2：收入决算结构图）（饼状图）</w:t>
      </w:r>
    </w:p>
    <w:p>
      <w:pPr>
        <w:pStyle w:val="2"/>
        <w:spacing w:before="93"/>
      </w:pPr>
      <w:r>
        <w:drawing>
          <wp:inline distT="0" distB="0" distL="0" distR="0">
            <wp:extent cx="4572000" cy="2743200"/>
            <wp:effectExtent l="19050" t="0" r="19050" b="0"/>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pStyle w:val="28"/>
        <w:numPr>
          <w:ilvl w:val="0"/>
          <w:numId w:val="2"/>
        </w:numPr>
        <w:spacing w:line="600" w:lineRule="exact"/>
        <w:ind w:firstLineChars="0"/>
        <w:outlineLvl w:val="1"/>
        <w:rPr>
          <w:rStyle w:val="30"/>
          <w:rFonts w:ascii="黑体" w:hAnsi="黑体" w:eastAsia="黑体"/>
          <w:b w:val="0"/>
        </w:rPr>
      </w:pPr>
      <w:bookmarkStart w:id="22" w:name="_Toc15377207"/>
      <w:bookmarkStart w:id="23" w:name="_Toc15396605"/>
      <w:r>
        <w:rPr>
          <w:rFonts w:hint="eastAsia" w:ascii="黑体" w:hAnsi="黑体" w:eastAsia="黑体"/>
          <w:sz w:val="32"/>
          <w:szCs w:val="32"/>
        </w:rPr>
        <w:t>支</w:t>
      </w:r>
      <w:r>
        <w:rPr>
          <w:rStyle w:val="30"/>
          <w:rFonts w:hint="eastAsia" w:ascii="黑体" w:hAnsi="黑体" w:eastAsia="黑体"/>
          <w:b w:val="0"/>
        </w:rPr>
        <w:t>出决算情况说明</w:t>
      </w:r>
      <w:bookmarkEnd w:id="22"/>
      <w:bookmarkEnd w:id="23"/>
    </w:p>
    <w:p>
      <w:pPr>
        <w:spacing w:line="600" w:lineRule="exact"/>
        <w:ind w:firstLine="640" w:firstLineChars="200"/>
        <w:outlineLvl w:val="1"/>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22年本年支出合计1406.19万元，其中：基本支出1343.32万元，占95.53</w:t>
      </w:r>
      <w:r>
        <w:rPr>
          <w:rFonts w:ascii="仿宋" w:hAnsi="仿宋" w:eastAsia="仿宋"/>
          <w:sz w:val="32"/>
          <w:szCs w:val="32"/>
        </w:rPr>
        <w:t>%</w:t>
      </w:r>
      <w:r>
        <w:rPr>
          <w:rFonts w:hint="eastAsia" w:ascii="仿宋" w:hAnsi="仿宋" w:eastAsia="仿宋"/>
          <w:sz w:val="32"/>
          <w:szCs w:val="32"/>
        </w:rPr>
        <w:t>；项目支出62.88万元，占4.47</w:t>
      </w:r>
      <w:r>
        <w:rPr>
          <w:rFonts w:ascii="仿宋" w:hAnsi="仿宋" w:eastAsia="仿宋"/>
          <w:sz w:val="32"/>
          <w:szCs w:val="32"/>
        </w:rPr>
        <w:t>%</w:t>
      </w:r>
      <w:r>
        <w:rPr>
          <w:rFonts w:hint="eastAsia" w:ascii="仿宋" w:hAnsi="仿宋" w:eastAsia="仿宋"/>
          <w:sz w:val="32"/>
          <w:szCs w:val="32"/>
        </w:rPr>
        <w:t>；上缴上级支出0万元，占0</w:t>
      </w:r>
      <w:r>
        <w:rPr>
          <w:rFonts w:ascii="仿宋" w:hAnsi="仿宋" w:eastAsia="仿宋"/>
          <w:sz w:val="32"/>
          <w:szCs w:val="32"/>
        </w:rPr>
        <w:t>%</w:t>
      </w:r>
      <w:r>
        <w:rPr>
          <w:rFonts w:hint="eastAsia" w:ascii="仿宋" w:hAnsi="仿宋" w:eastAsia="仿宋"/>
          <w:sz w:val="32"/>
          <w:szCs w:val="32"/>
        </w:rPr>
        <w:t>；经营支出0万元，占0</w:t>
      </w:r>
      <w:r>
        <w:rPr>
          <w:rFonts w:ascii="仿宋" w:hAnsi="仿宋" w:eastAsia="仿宋"/>
          <w:sz w:val="32"/>
          <w:szCs w:val="32"/>
        </w:rPr>
        <w:t>%</w:t>
      </w:r>
      <w:r>
        <w:rPr>
          <w:rFonts w:hint="eastAsia" w:ascii="仿宋" w:hAnsi="仿宋" w:eastAsia="仿宋"/>
          <w:sz w:val="32"/>
          <w:szCs w:val="32"/>
        </w:rPr>
        <w:t>；对附属单位补助支出0万元，占0</w:t>
      </w:r>
      <w:r>
        <w:rPr>
          <w:rFonts w:ascii="仿宋" w:hAnsi="仿宋" w:eastAsia="仿宋"/>
          <w:sz w:val="32"/>
          <w:szCs w:val="32"/>
        </w:rPr>
        <w:t>%</w:t>
      </w:r>
      <w:r>
        <w:rPr>
          <w:rFonts w:hint="eastAsia" w:ascii="仿宋" w:hAnsi="仿宋" w:eastAsia="仿宋"/>
          <w:sz w:val="32"/>
          <w:szCs w:val="32"/>
        </w:rPr>
        <w:t>。</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（图3：支出决算结构图）（饼状图）</w:t>
      </w:r>
    </w:p>
    <w:p>
      <w:pPr>
        <w:pStyle w:val="2"/>
        <w:spacing w:before="93"/>
      </w:pPr>
      <w:r>
        <w:drawing>
          <wp:inline distT="0" distB="0" distL="0" distR="0">
            <wp:extent cx="4257675" cy="2743200"/>
            <wp:effectExtent l="19050" t="0" r="9525" b="0"/>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spacing w:line="600" w:lineRule="exact"/>
        <w:ind w:firstLine="640" w:firstLineChars="200"/>
        <w:rPr>
          <w:rFonts w:ascii="仿宋_GB2312" w:eastAsia="仿宋_GB2312"/>
          <w:sz w:val="32"/>
          <w:szCs w:val="32"/>
        </w:rPr>
      </w:pPr>
    </w:p>
    <w:p>
      <w:pPr>
        <w:spacing w:line="600" w:lineRule="exact"/>
        <w:ind w:firstLine="640" w:firstLineChars="200"/>
        <w:outlineLvl w:val="1"/>
        <w:rPr>
          <w:rStyle w:val="30"/>
          <w:rFonts w:ascii="黑体" w:hAnsi="黑体" w:eastAsia="黑体"/>
          <w:b w:val="0"/>
        </w:rPr>
      </w:pPr>
      <w:bookmarkStart w:id="24" w:name="_Toc15396606"/>
      <w:bookmarkStart w:id="25" w:name="_Toc15377208"/>
      <w:r>
        <w:rPr>
          <w:rFonts w:hint="eastAsia" w:ascii="黑体" w:hAnsi="黑体" w:eastAsia="黑体"/>
          <w:sz w:val="32"/>
          <w:szCs w:val="32"/>
        </w:rPr>
        <w:t>四、财</w:t>
      </w:r>
      <w:r>
        <w:rPr>
          <w:rStyle w:val="30"/>
          <w:rFonts w:hint="eastAsia" w:ascii="黑体" w:hAnsi="黑体" w:eastAsia="黑体"/>
          <w:b w:val="0"/>
        </w:rPr>
        <w:t>政拨款收入支出决算总体情况说明</w:t>
      </w:r>
      <w:bookmarkEnd w:id="24"/>
      <w:bookmarkEnd w:id="25"/>
    </w:p>
    <w:p>
      <w:pPr>
        <w:spacing w:line="600" w:lineRule="exact"/>
        <w:ind w:firstLine="640"/>
        <w:rPr>
          <w:rFonts w:ascii="仿宋_GB2312" w:hAnsi="仿宋_GB2312" w:eastAsia="仿宋_GB2312" w:cs="仿宋_GB2312"/>
          <w:sz w:val="32"/>
          <w:szCs w:val="32"/>
        </w:rPr>
      </w:pPr>
      <w:r>
        <w:rPr>
          <w:rFonts w:ascii="仿宋" w:hAnsi="仿宋" w:eastAsia="仿宋"/>
          <w:sz w:val="32"/>
          <w:szCs w:val="32"/>
        </w:rPr>
        <w:t>20</w:t>
      </w:r>
      <w:r>
        <w:rPr>
          <w:rFonts w:hint="eastAsia" w:ascii="仿宋" w:hAnsi="仿宋" w:eastAsia="仿宋"/>
          <w:sz w:val="32"/>
          <w:szCs w:val="32"/>
        </w:rPr>
        <w:t>22年财政拨款收、支总计1406.19万元。与</w:t>
      </w:r>
      <w:r>
        <w:rPr>
          <w:rFonts w:ascii="仿宋" w:hAnsi="仿宋" w:eastAsia="仿宋"/>
          <w:sz w:val="32"/>
          <w:szCs w:val="32"/>
        </w:rPr>
        <w:t>20</w:t>
      </w:r>
      <w:r>
        <w:rPr>
          <w:rFonts w:hint="eastAsia" w:ascii="仿宋" w:hAnsi="仿宋" w:eastAsia="仿宋"/>
          <w:sz w:val="32"/>
          <w:szCs w:val="32"/>
        </w:rPr>
        <w:t>21年相比，财政拨款收、支总计各减少97.06万元，下降6.46</w:t>
      </w:r>
      <w:r>
        <w:rPr>
          <w:rFonts w:ascii="仿宋" w:hAnsi="仿宋" w:eastAsia="仿宋"/>
          <w:sz w:val="32"/>
          <w:szCs w:val="32"/>
        </w:rPr>
        <w:t>%</w:t>
      </w:r>
      <w:r>
        <w:rPr>
          <w:rFonts w:hint="eastAsia" w:ascii="仿宋" w:hAnsi="仿宋" w:eastAsia="仿宋"/>
          <w:sz w:val="32"/>
          <w:szCs w:val="32"/>
        </w:rPr>
        <w:t>。主要变动原因是区级抽检资金未及时拨付，同时单位</w:t>
      </w:r>
      <w:r>
        <w:rPr>
          <w:rFonts w:hint="eastAsia" w:ascii="仿宋_GB2312" w:hAnsi="仿宋_GB2312" w:eastAsia="仿宋_GB2312" w:cs="仿宋_GB2312"/>
          <w:sz w:val="32"/>
          <w:szCs w:val="32"/>
        </w:rPr>
        <w:t>节约经费，压缩开支</w:t>
      </w:r>
    </w:p>
    <w:p>
      <w:pPr>
        <w:spacing w:line="600" w:lineRule="exact"/>
        <w:ind w:firstLine="640"/>
        <w:rPr>
          <w:rFonts w:ascii="仿宋" w:hAnsi="仿宋" w:eastAsia="仿宋"/>
          <w:sz w:val="32"/>
          <w:szCs w:val="32"/>
        </w:rPr>
      </w:pPr>
      <w:r>
        <w:rPr>
          <w:rFonts w:hint="eastAsia" w:ascii="仿宋" w:hAnsi="仿宋" w:eastAsia="仿宋"/>
          <w:sz w:val="32"/>
          <w:szCs w:val="32"/>
        </w:rPr>
        <w:t>（图4：财政拨款收、支决算总计变动情况）（柱状图）</w:t>
      </w:r>
    </w:p>
    <w:p>
      <w:pPr>
        <w:spacing w:line="600" w:lineRule="exact"/>
        <w:rPr>
          <w:rFonts w:ascii="仿宋" w:hAnsi="仿宋" w:eastAsia="仿宋"/>
          <w:b/>
          <w:sz w:val="32"/>
          <w:szCs w:val="32"/>
        </w:rPr>
      </w:pPr>
    </w:p>
    <w:p>
      <w:pPr>
        <w:pStyle w:val="2"/>
        <w:spacing w:before="93"/>
      </w:pPr>
      <w:r>
        <w:drawing>
          <wp:inline distT="0" distB="0" distL="0" distR="0">
            <wp:extent cx="4410075" cy="2743200"/>
            <wp:effectExtent l="19050" t="0" r="9525" b="0"/>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spacing w:line="600" w:lineRule="exact"/>
        <w:ind w:firstLine="640" w:firstLineChars="200"/>
        <w:outlineLvl w:val="1"/>
        <w:rPr>
          <w:rStyle w:val="30"/>
          <w:rFonts w:ascii="黑体" w:hAnsi="黑体" w:eastAsia="黑体"/>
          <w:b w:val="0"/>
        </w:rPr>
      </w:pPr>
      <w:bookmarkStart w:id="26" w:name="_Toc15377209"/>
      <w:bookmarkStart w:id="27" w:name="_Toc15396607"/>
      <w:r>
        <w:rPr>
          <w:rFonts w:hint="eastAsia" w:ascii="黑体" w:hAnsi="黑体" w:eastAsia="黑体"/>
          <w:sz w:val="32"/>
          <w:szCs w:val="32"/>
        </w:rPr>
        <w:t>五、</w:t>
      </w:r>
      <w:r>
        <w:rPr>
          <w:rFonts w:hint="eastAsia" w:ascii="黑体" w:hAnsi="黑体" w:eastAsia="黑体"/>
          <w:b/>
          <w:sz w:val="32"/>
          <w:szCs w:val="32"/>
        </w:rPr>
        <w:t>一</w:t>
      </w:r>
      <w:r>
        <w:rPr>
          <w:rStyle w:val="30"/>
          <w:rFonts w:hint="eastAsia" w:ascii="黑体" w:hAnsi="黑体" w:eastAsia="黑体"/>
          <w:b w:val="0"/>
        </w:rPr>
        <w:t>般公共预算财政拨款支出决算情况说明</w:t>
      </w:r>
      <w:bookmarkEnd w:id="26"/>
      <w:bookmarkEnd w:id="27"/>
    </w:p>
    <w:p>
      <w:pPr>
        <w:spacing w:line="600" w:lineRule="exact"/>
        <w:ind w:firstLine="643" w:firstLineChars="200"/>
        <w:outlineLvl w:val="2"/>
        <w:rPr>
          <w:rFonts w:ascii="仿宋" w:hAnsi="仿宋" w:eastAsia="仿宋"/>
          <w:b/>
          <w:sz w:val="32"/>
          <w:szCs w:val="32"/>
        </w:rPr>
      </w:pPr>
      <w:bookmarkStart w:id="28" w:name="_Toc15377210"/>
      <w:r>
        <w:rPr>
          <w:rFonts w:hint="eastAsia" w:ascii="仿宋" w:hAnsi="仿宋" w:eastAsia="仿宋"/>
          <w:b/>
          <w:sz w:val="32"/>
          <w:szCs w:val="32"/>
        </w:rPr>
        <w:t>（一）一般公共预算财政拨款支出决算总体情况</w:t>
      </w:r>
      <w:bookmarkEnd w:id="28"/>
    </w:p>
    <w:p>
      <w:pPr>
        <w:spacing w:line="600" w:lineRule="exact"/>
        <w:ind w:firstLine="640" w:firstLineChars="20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22年一般公共预算财政拨款支出1402.11万元，占本年支出合计的99.71</w:t>
      </w:r>
      <w:r>
        <w:rPr>
          <w:rFonts w:ascii="仿宋" w:hAnsi="仿宋" w:eastAsia="仿宋"/>
          <w:sz w:val="32"/>
          <w:szCs w:val="32"/>
        </w:rPr>
        <w:t>%</w:t>
      </w:r>
      <w:r>
        <w:rPr>
          <w:rFonts w:hint="eastAsia" w:ascii="仿宋" w:hAnsi="仿宋" w:eastAsia="仿宋"/>
          <w:sz w:val="32"/>
          <w:szCs w:val="32"/>
        </w:rPr>
        <w:t>。与</w:t>
      </w:r>
      <w:r>
        <w:rPr>
          <w:rFonts w:ascii="仿宋" w:hAnsi="仿宋" w:eastAsia="仿宋"/>
          <w:sz w:val="32"/>
          <w:szCs w:val="32"/>
        </w:rPr>
        <w:t>20</w:t>
      </w:r>
      <w:r>
        <w:rPr>
          <w:rFonts w:hint="eastAsia" w:ascii="仿宋" w:hAnsi="仿宋" w:eastAsia="仿宋"/>
          <w:sz w:val="32"/>
          <w:szCs w:val="32"/>
        </w:rPr>
        <w:t>21年相比，一般公共预算财政拨款支出减少92.34万元，下降6.18</w:t>
      </w:r>
      <w:r>
        <w:rPr>
          <w:rFonts w:ascii="仿宋" w:hAnsi="仿宋" w:eastAsia="仿宋"/>
          <w:sz w:val="32"/>
          <w:szCs w:val="32"/>
        </w:rPr>
        <w:t>%</w:t>
      </w:r>
      <w:r>
        <w:rPr>
          <w:rFonts w:hint="eastAsia" w:ascii="仿宋" w:hAnsi="仿宋" w:eastAsia="仿宋"/>
          <w:sz w:val="32"/>
          <w:szCs w:val="32"/>
        </w:rPr>
        <w:t>。主要变动原因是区级抽检资金未及时拨付，同时单位</w:t>
      </w:r>
      <w:r>
        <w:rPr>
          <w:rFonts w:hint="eastAsia" w:ascii="仿宋_GB2312" w:hAnsi="仿宋_GB2312" w:eastAsia="仿宋_GB2312" w:cs="仿宋_GB2312"/>
          <w:sz w:val="32"/>
          <w:szCs w:val="32"/>
        </w:rPr>
        <w:t>节约经费，压缩开支。</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（图5：一般公共预算财政拨款支出决算变动情况）（柱状图）</w:t>
      </w:r>
    </w:p>
    <w:p>
      <w:pPr>
        <w:spacing w:line="600" w:lineRule="exact"/>
        <w:ind w:firstLine="640" w:firstLineChars="200"/>
        <w:rPr>
          <w:rFonts w:ascii="仿宋" w:hAnsi="仿宋" w:eastAsia="仿宋"/>
          <w:sz w:val="32"/>
          <w:szCs w:val="32"/>
        </w:rPr>
      </w:pPr>
    </w:p>
    <w:p>
      <w:pPr>
        <w:pStyle w:val="2"/>
        <w:spacing w:before="93"/>
      </w:pPr>
      <w:r>
        <w:drawing>
          <wp:inline distT="0" distB="0" distL="0" distR="0">
            <wp:extent cx="4229100" cy="2743200"/>
            <wp:effectExtent l="19050" t="0" r="19050" b="0"/>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spacing w:line="600" w:lineRule="exact"/>
        <w:ind w:firstLine="643" w:firstLineChars="200"/>
        <w:outlineLvl w:val="2"/>
        <w:rPr>
          <w:rFonts w:ascii="仿宋" w:hAnsi="仿宋" w:eastAsia="仿宋"/>
          <w:b/>
          <w:sz w:val="32"/>
          <w:szCs w:val="32"/>
        </w:rPr>
      </w:pPr>
      <w:bookmarkStart w:id="29" w:name="_Toc15377211"/>
      <w:r>
        <w:rPr>
          <w:rFonts w:hint="eastAsia" w:ascii="仿宋" w:hAnsi="仿宋" w:eastAsia="仿宋"/>
          <w:b/>
          <w:sz w:val="32"/>
          <w:szCs w:val="32"/>
        </w:rPr>
        <w:t>（二）一般公共预算财政拨款支出决算结构情况</w:t>
      </w:r>
      <w:bookmarkEnd w:id="29"/>
    </w:p>
    <w:p>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22年一般公共预算财政拨款支出1402.11万元，主要用于以下方面</w:t>
      </w:r>
      <w:r>
        <w:rPr>
          <w:rFonts w:ascii="仿宋" w:hAnsi="仿宋" w:eastAsia="仿宋"/>
          <w:sz w:val="32"/>
          <w:szCs w:val="32"/>
        </w:rPr>
        <w:t>:</w:t>
      </w:r>
      <w:r>
        <w:rPr>
          <w:rFonts w:hint="eastAsia" w:ascii="仿宋" w:hAnsi="仿宋" w:eastAsia="仿宋"/>
          <w:b/>
          <w:sz w:val="32"/>
          <w:szCs w:val="32"/>
        </w:rPr>
        <w:t>一般公共服务</w:t>
      </w:r>
      <w:r>
        <w:rPr>
          <w:rFonts w:hint="eastAsia" w:ascii="仿宋" w:hAnsi="仿宋" w:eastAsia="仿宋"/>
          <w:b/>
          <w:bCs/>
          <w:sz w:val="32"/>
          <w:szCs w:val="32"/>
        </w:rPr>
        <w:t>支出</w:t>
      </w:r>
      <w:r>
        <w:rPr>
          <w:rFonts w:hint="eastAsia" w:ascii="仿宋" w:hAnsi="仿宋" w:eastAsia="仿宋"/>
          <w:sz w:val="32"/>
          <w:szCs w:val="32"/>
        </w:rPr>
        <w:t>1088.43万元，占77.63</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sz w:val="32"/>
          <w:szCs w:val="32"/>
        </w:rPr>
        <w:t>社会保障和就业</w:t>
      </w:r>
      <w:r>
        <w:rPr>
          <w:rFonts w:hint="eastAsia" w:ascii="仿宋" w:hAnsi="仿宋" w:eastAsia="仿宋"/>
          <w:b/>
          <w:bCs/>
          <w:sz w:val="32"/>
          <w:szCs w:val="32"/>
        </w:rPr>
        <w:t>支出</w:t>
      </w:r>
      <w:r>
        <w:rPr>
          <w:rFonts w:hint="eastAsia" w:ascii="仿宋" w:hAnsi="仿宋" w:eastAsia="仿宋"/>
          <w:sz w:val="32"/>
          <w:szCs w:val="32"/>
        </w:rPr>
        <w:t>130.77万元，占9.32</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卫生健康支出</w:t>
      </w:r>
      <w:r>
        <w:rPr>
          <w:rFonts w:hint="eastAsia" w:ascii="仿宋" w:hAnsi="仿宋" w:eastAsia="仿宋"/>
          <w:sz w:val="32"/>
          <w:szCs w:val="32"/>
        </w:rPr>
        <w:t>75.38万元，占5.37</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住房保障支出</w:t>
      </w:r>
      <w:r>
        <w:rPr>
          <w:rFonts w:hint="eastAsia" w:ascii="仿宋" w:hAnsi="仿宋" w:eastAsia="仿宋"/>
          <w:sz w:val="32"/>
          <w:szCs w:val="32"/>
        </w:rPr>
        <w:t>107.53万元，占7.68</w:t>
      </w:r>
      <w:r>
        <w:rPr>
          <w:rFonts w:ascii="仿宋" w:hAnsi="仿宋" w:eastAsia="仿宋"/>
          <w:sz w:val="32"/>
          <w:szCs w:val="32"/>
        </w:rPr>
        <w:t>%</w:t>
      </w:r>
      <w:r>
        <w:rPr>
          <w:rFonts w:hint="eastAsia" w:ascii="仿宋" w:hAnsi="仿宋" w:eastAsia="仿宋"/>
          <w:sz w:val="32"/>
          <w:szCs w:val="32"/>
        </w:rPr>
        <w:t>。</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（图6：一般公共预算财政拨款支出决算结构）（饼状图）</w:t>
      </w:r>
    </w:p>
    <w:p>
      <w:pPr>
        <w:spacing w:line="600" w:lineRule="exact"/>
        <w:ind w:firstLine="640" w:firstLineChars="200"/>
        <w:rPr>
          <w:rFonts w:ascii="仿宋" w:hAnsi="仿宋" w:eastAsia="仿宋"/>
          <w:sz w:val="32"/>
          <w:szCs w:val="32"/>
        </w:rPr>
      </w:pPr>
    </w:p>
    <w:p>
      <w:pPr>
        <w:pStyle w:val="2"/>
        <w:spacing w:before="93"/>
      </w:pPr>
      <w:r>
        <w:drawing>
          <wp:inline distT="0" distB="0" distL="0" distR="0">
            <wp:extent cx="4572000" cy="2743200"/>
            <wp:effectExtent l="19050" t="0" r="19050" b="0"/>
            <wp:docPr id="10"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spacing w:line="600" w:lineRule="exact"/>
        <w:ind w:firstLine="643" w:firstLineChars="200"/>
        <w:outlineLvl w:val="2"/>
        <w:rPr>
          <w:rFonts w:ascii="仿宋" w:hAnsi="仿宋" w:eastAsia="仿宋"/>
          <w:b/>
          <w:sz w:val="32"/>
          <w:szCs w:val="32"/>
        </w:rPr>
      </w:pPr>
      <w:bookmarkStart w:id="30" w:name="_Toc15377212"/>
      <w:r>
        <w:rPr>
          <w:rFonts w:hint="eastAsia" w:ascii="仿宋" w:hAnsi="仿宋" w:eastAsia="仿宋"/>
          <w:b/>
          <w:sz w:val="32"/>
          <w:szCs w:val="32"/>
        </w:rPr>
        <w:t>（三）一般公共预算财政拨款支出决算具体情况</w:t>
      </w:r>
      <w:bookmarkEnd w:id="30"/>
    </w:p>
    <w:p>
      <w:pPr>
        <w:spacing w:line="600" w:lineRule="exact"/>
        <w:ind w:firstLine="643" w:firstLineChars="200"/>
        <w:outlineLvl w:val="2"/>
        <w:rPr>
          <w:rFonts w:ascii="仿宋" w:hAnsi="仿宋" w:eastAsia="仿宋"/>
          <w:sz w:val="32"/>
          <w:szCs w:val="32"/>
        </w:rPr>
      </w:pPr>
      <w:bookmarkStart w:id="31" w:name="_Toc15378460"/>
      <w:bookmarkStart w:id="32" w:name="_Toc15377444"/>
      <w:bookmarkStart w:id="33" w:name="_Toc15377213"/>
      <w:r>
        <w:rPr>
          <w:rFonts w:hint="eastAsia" w:ascii="仿宋" w:hAnsi="仿宋" w:eastAsia="仿宋"/>
          <w:b/>
          <w:sz w:val="32"/>
          <w:szCs w:val="32"/>
        </w:rPr>
        <w:t>2022年一般公共预算支出决算数为1402.11</w:t>
      </w:r>
      <w:r>
        <w:rPr>
          <w:rFonts w:hint="eastAsia" w:ascii="仿宋" w:hAnsi="仿宋" w:eastAsia="仿宋"/>
          <w:sz w:val="32"/>
          <w:szCs w:val="32"/>
        </w:rPr>
        <w:t>，</w:t>
      </w:r>
      <w:r>
        <w:rPr>
          <w:rStyle w:val="17"/>
          <w:rFonts w:hint="eastAsia" w:ascii="仿宋" w:hAnsi="仿宋" w:eastAsia="仿宋"/>
          <w:bCs/>
          <w:sz w:val="32"/>
          <w:szCs w:val="32"/>
        </w:rPr>
        <w:t>完成预算100</w:t>
      </w:r>
      <w:r>
        <w:rPr>
          <w:rStyle w:val="17"/>
          <w:rFonts w:ascii="仿宋" w:hAnsi="仿宋" w:eastAsia="仿宋"/>
          <w:bCs/>
          <w:sz w:val="32"/>
          <w:szCs w:val="32"/>
        </w:rPr>
        <w:t>%</w:t>
      </w:r>
      <w:r>
        <w:rPr>
          <w:rStyle w:val="17"/>
          <w:rFonts w:hint="eastAsia" w:ascii="仿宋" w:hAnsi="仿宋" w:eastAsia="仿宋"/>
          <w:bCs/>
          <w:sz w:val="32"/>
          <w:szCs w:val="32"/>
        </w:rPr>
        <w:t>。其中：</w:t>
      </w:r>
      <w:bookmarkEnd w:id="31"/>
      <w:bookmarkEnd w:id="32"/>
      <w:bookmarkEnd w:id="33"/>
    </w:p>
    <w:p>
      <w:pPr>
        <w:spacing w:line="600" w:lineRule="exact"/>
        <w:ind w:firstLine="643" w:firstLineChars="200"/>
        <w:rPr>
          <w:rFonts w:ascii="仿宋" w:hAnsi="仿宋" w:eastAsia="仿宋"/>
          <w:b/>
          <w:sz w:val="32"/>
          <w:szCs w:val="32"/>
        </w:rPr>
      </w:pPr>
      <w:r>
        <w:rPr>
          <w:rStyle w:val="17"/>
          <w:rFonts w:ascii="仿宋" w:hAnsi="仿宋" w:eastAsia="仿宋"/>
          <w:bCs/>
          <w:sz w:val="32"/>
          <w:szCs w:val="32"/>
        </w:rPr>
        <w:t>1.</w:t>
      </w:r>
      <w:r>
        <w:rPr>
          <w:rStyle w:val="17"/>
          <w:rFonts w:hint="eastAsia" w:ascii="仿宋" w:hAnsi="仿宋" w:eastAsia="仿宋"/>
          <w:bCs/>
          <w:sz w:val="32"/>
          <w:szCs w:val="32"/>
        </w:rPr>
        <w:t>一般公共服务支出</w:t>
      </w:r>
      <w:r>
        <w:rPr>
          <w:rStyle w:val="17"/>
          <w:rFonts w:ascii="仿宋" w:hAnsi="仿宋" w:eastAsia="仿宋"/>
          <w:bCs/>
          <w:sz w:val="32"/>
          <w:szCs w:val="32"/>
        </w:rPr>
        <w:t>:</w:t>
      </w:r>
      <w:r>
        <w:rPr>
          <w:rStyle w:val="17"/>
          <w:rFonts w:ascii="仿宋" w:hAnsi="仿宋" w:eastAsia="仿宋"/>
          <w:b w:val="0"/>
          <w:bCs/>
          <w:sz w:val="32"/>
          <w:szCs w:val="32"/>
        </w:rPr>
        <w:t xml:space="preserve"> 其他宣传事务</w:t>
      </w:r>
      <w:r>
        <w:rPr>
          <w:rStyle w:val="17"/>
          <w:rFonts w:hint="eastAsia" w:ascii="仿宋" w:hAnsi="仿宋" w:eastAsia="仿宋"/>
          <w:b w:val="0"/>
          <w:bCs/>
          <w:sz w:val="32"/>
          <w:szCs w:val="32"/>
        </w:rPr>
        <w:t>支出决算为7万元，完成预算100</w:t>
      </w:r>
      <w:r>
        <w:rPr>
          <w:rStyle w:val="17"/>
          <w:rFonts w:ascii="仿宋" w:hAnsi="仿宋" w:eastAsia="仿宋"/>
          <w:b w:val="0"/>
          <w:bCs/>
          <w:sz w:val="32"/>
          <w:szCs w:val="32"/>
        </w:rPr>
        <w:t>%</w:t>
      </w:r>
      <w:r>
        <w:rPr>
          <w:rStyle w:val="17"/>
          <w:rFonts w:hint="eastAsia" w:ascii="仿宋" w:hAnsi="仿宋" w:eastAsia="仿宋"/>
          <w:b w:val="0"/>
          <w:bCs/>
          <w:sz w:val="32"/>
          <w:szCs w:val="32"/>
        </w:rPr>
        <w:t>；行政运行支出决算书为969.42万元，完成预算100</w:t>
      </w:r>
      <w:r>
        <w:rPr>
          <w:rStyle w:val="17"/>
          <w:rFonts w:ascii="仿宋" w:hAnsi="仿宋" w:eastAsia="仿宋"/>
          <w:b w:val="0"/>
          <w:bCs/>
          <w:sz w:val="32"/>
          <w:szCs w:val="32"/>
        </w:rPr>
        <w:t>%</w:t>
      </w:r>
      <w:r>
        <w:rPr>
          <w:rStyle w:val="17"/>
          <w:rFonts w:hint="eastAsia" w:ascii="仿宋" w:hAnsi="仿宋" w:eastAsia="仿宋"/>
          <w:b w:val="0"/>
          <w:bCs/>
          <w:sz w:val="32"/>
          <w:szCs w:val="32"/>
        </w:rPr>
        <w:t>；</w:t>
      </w:r>
      <w:r>
        <w:rPr>
          <w:rStyle w:val="17"/>
          <w:rFonts w:ascii="仿宋" w:hAnsi="仿宋" w:eastAsia="仿宋"/>
          <w:b w:val="0"/>
          <w:bCs/>
          <w:sz w:val="32"/>
          <w:szCs w:val="32"/>
        </w:rPr>
        <w:t>一般行政管理事务</w:t>
      </w:r>
      <w:r>
        <w:rPr>
          <w:rStyle w:val="17"/>
          <w:rFonts w:hint="eastAsia" w:ascii="仿宋" w:hAnsi="仿宋" w:eastAsia="仿宋"/>
          <w:b w:val="0"/>
          <w:bCs/>
          <w:sz w:val="32"/>
          <w:szCs w:val="32"/>
        </w:rPr>
        <w:t>5万元，完成预算100</w:t>
      </w:r>
      <w:r>
        <w:rPr>
          <w:rStyle w:val="17"/>
          <w:rFonts w:ascii="仿宋" w:hAnsi="仿宋" w:eastAsia="仿宋"/>
          <w:b w:val="0"/>
          <w:bCs/>
          <w:sz w:val="32"/>
          <w:szCs w:val="32"/>
        </w:rPr>
        <w:t>%</w:t>
      </w:r>
      <w:r>
        <w:rPr>
          <w:rStyle w:val="17"/>
          <w:rFonts w:hint="eastAsia" w:ascii="仿宋" w:hAnsi="仿宋" w:eastAsia="仿宋"/>
          <w:b w:val="0"/>
          <w:bCs/>
          <w:sz w:val="32"/>
          <w:szCs w:val="32"/>
        </w:rPr>
        <w:t>；食品安全监管决算数为0.7万元，完成预算100</w:t>
      </w:r>
      <w:r>
        <w:rPr>
          <w:rStyle w:val="17"/>
          <w:rFonts w:ascii="仿宋" w:hAnsi="仿宋" w:eastAsia="仿宋"/>
          <w:b w:val="0"/>
          <w:bCs/>
          <w:sz w:val="32"/>
          <w:szCs w:val="32"/>
        </w:rPr>
        <w:t>%</w:t>
      </w:r>
      <w:r>
        <w:rPr>
          <w:rStyle w:val="17"/>
          <w:rFonts w:hint="eastAsia" w:ascii="仿宋" w:hAnsi="仿宋" w:eastAsia="仿宋"/>
          <w:b w:val="0"/>
          <w:bCs/>
          <w:sz w:val="32"/>
          <w:szCs w:val="32"/>
        </w:rPr>
        <w:t>；事业运行决算数位60.22万元，完成预算100</w:t>
      </w:r>
      <w:r>
        <w:rPr>
          <w:rStyle w:val="17"/>
          <w:rFonts w:ascii="仿宋" w:hAnsi="仿宋" w:eastAsia="仿宋"/>
          <w:b w:val="0"/>
          <w:bCs/>
          <w:sz w:val="32"/>
          <w:szCs w:val="32"/>
        </w:rPr>
        <w:t>%</w:t>
      </w:r>
      <w:r>
        <w:rPr>
          <w:rStyle w:val="17"/>
          <w:rFonts w:hint="eastAsia" w:ascii="仿宋" w:hAnsi="仿宋" w:eastAsia="仿宋"/>
          <w:b w:val="0"/>
          <w:bCs/>
          <w:sz w:val="32"/>
          <w:szCs w:val="32"/>
        </w:rPr>
        <w:t>；其他市场监督管理事务46.09万元，完成预算100</w:t>
      </w:r>
      <w:r>
        <w:rPr>
          <w:rStyle w:val="17"/>
          <w:rFonts w:ascii="仿宋" w:hAnsi="仿宋" w:eastAsia="仿宋"/>
          <w:b w:val="0"/>
          <w:bCs/>
          <w:sz w:val="32"/>
          <w:szCs w:val="32"/>
        </w:rPr>
        <w:t>%</w:t>
      </w:r>
      <w:r>
        <w:rPr>
          <w:rStyle w:val="17"/>
          <w:rFonts w:hint="eastAsia" w:ascii="仿宋" w:hAnsi="仿宋" w:eastAsia="仿宋"/>
          <w:b w:val="0"/>
          <w:bCs/>
          <w:sz w:val="32"/>
          <w:szCs w:val="32"/>
        </w:rPr>
        <w:t>。</w:t>
      </w:r>
    </w:p>
    <w:p>
      <w:pPr>
        <w:spacing w:line="600" w:lineRule="exact"/>
        <w:ind w:firstLine="643" w:firstLineChars="200"/>
        <w:rPr>
          <w:rStyle w:val="17"/>
          <w:rFonts w:ascii="仿宋" w:hAnsi="仿宋" w:eastAsia="仿宋"/>
          <w:b w:val="0"/>
          <w:bCs/>
          <w:sz w:val="32"/>
          <w:szCs w:val="32"/>
        </w:rPr>
      </w:pPr>
      <w:r>
        <w:rPr>
          <w:rStyle w:val="17"/>
          <w:rFonts w:hint="eastAsia" w:ascii="仿宋" w:hAnsi="仿宋" w:eastAsia="仿宋"/>
          <w:bCs/>
          <w:sz w:val="32"/>
          <w:szCs w:val="32"/>
        </w:rPr>
        <w:t>2</w:t>
      </w:r>
      <w:r>
        <w:rPr>
          <w:rStyle w:val="17"/>
          <w:rFonts w:ascii="仿宋" w:hAnsi="仿宋" w:eastAsia="仿宋"/>
          <w:bCs/>
          <w:sz w:val="32"/>
          <w:szCs w:val="32"/>
        </w:rPr>
        <w:t>.</w:t>
      </w:r>
      <w:r>
        <w:rPr>
          <w:rStyle w:val="17"/>
          <w:rFonts w:hint="eastAsia" w:ascii="仿宋" w:hAnsi="仿宋" w:eastAsia="仿宋"/>
          <w:bCs/>
          <w:sz w:val="32"/>
          <w:szCs w:val="32"/>
        </w:rPr>
        <w:t>社会保障和就业支出</w:t>
      </w:r>
      <w:r>
        <w:rPr>
          <w:rStyle w:val="17"/>
          <w:rFonts w:ascii="仿宋" w:hAnsi="仿宋" w:eastAsia="仿宋"/>
          <w:bCs/>
          <w:sz w:val="32"/>
          <w:szCs w:val="32"/>
        </w:rPr>
        <w:t>:</w:t>
      </w:r>
      <w:r>
        <w:rPr>
          <w:rStyle w:val="17"/>
          <w:rFonts w:ascii="仿宋" w:hAnsi="仿宋" w:eastAsia="仿宋"/>
          <w:b w:val="0"/>
          <w:bCs/>
          <w:sz w:val="32"/>
          <w:szCs w:val="32"/>
        </w:rPr>
        <w:t xml:space="preserve"> 行政单位离退休</w:t>
      </w:r>
      <w:r>
        <w:rPr>
          <w:rStyle w:val="17"/>
          <w:rFonts w:hint="eastAsia" w:ascii="仿宋" w:hAnsi="仿宋" w:eastAsia="仿宋"/>
          <w:b w:val="0"/>
          <w:bCs/>
          <w:sz w:val="32"/>
          <w:szCs w:val="32"/>
        </w:rPr>
        <w:t>支出决算为21.31万元，完成预算100</w:t>
      </w:r>
      <w:r>
        <w:rPr>
          <w:rStyle w:val="17"/>
          <w:rFonts w:ascii="仿宋" w:hAnsi="仿宋" w:eastAsia="仿宋"/>
          <w:b w:val="0"/>
          <w:bCs/>
          <w:sz w:val="32"/>
          <w:szCs w:val="32"/>
        </w:rPr>
        <w:t>%</w:t>
      </w:r>
      <w:r>
        <w:rPr>
          <w:rStyle w:val="17"/>
          <w:rFonts w:hint="eastAsia" w:ascii="仿宋" w:hAnsi="仿宋" w:eastAsia="仿宋"/>
          <w:b w:val="0"/>
          <w:bCs/>
          <w:sz w:val="32"/>
          <w:szCs w:val="32"/>
        </w:rPr>
        <w:t>；机关事业单位基本养老保险缴费支出决算数位83.02万元，完成预算100</w:t>
      </w:r>
      <w:r>
        <w:rPr>
          <w:rStyle w:val="17"/>
          <w:rFonts w:ascii="仿宋" w:hAnsi="仿宋" w:eastAsia="仿宋"/>
          <w:b w:val="0"/>
          <w:bCs/>
          <w:sz w:val="32"/>
          <w:szCs w:val="32"/>
        </w:rPr>
        <w:t>%</w:t>
      </w:r>
      <w:r>
        <w:rPr>
          <w:rStyle w:val="17"/>
          <w:rFonts w:hint="eastAsia" w:ascii="仿宋" w:hAnsi="仿宋" w:eastAsia="仿宋"/>
          <w:b w:val="0"/>
          <w:bCs/>
          <w:sz w:val="32"/>
          <w:szCs w:val="32"/>
        </w:rPr>
        <w:t>；机关事业单位职业年金支出决算数为26.43万元，完成预算100</w:t>
      </w:r>
      <w:r>
        <w:rPr>
          <w:rStyle w:val="17"/>
          <w:rFonts w:ascii="仿宋" w:hAnsi="仿宋" w:eastAsia="仿宋"/>
          <w:b w:val="0"/>
          <w:bCs/>
          <w:sz w:val="32"/>
          <w:szCs w:val="32"/>
        </w:rPr>
        <w:t>%</w:t>
      </w:r>
      <w:r>
        <w:rPr>
          <w:rStyle w:val="17"/>
          <w:rFonts w:hint="eastAsia" w:ascii="仿宋" w:hAnsi="仿宋" w:eastAsia="仿宋"/>
          <w:b w:val="0"/>
          <w:bCs/>
          <w:sz w:val="32"/>
          <w:szCs w:val="32"/>
        </w:rPr>
        <w:t>。</w:t>
      </w:r>
    </w:p>
    <w:p>
      <w:pPr>
        <w:spacing w:line="600" w:lineRule="exact"/>
        <w:ind w:firstLine="643" w:firstLineChars="200"/>
        <w:rPr>
          <w:rFonts w:ascii="仿宋" w:hAnsi="仿宋" w:eastAsia="仿宋"/>
          <w:b/>
          <w:sz w:val="32"/>
          <w:szCs w:val="32"/>
        </w:rPr>
      </w:pPr>
      <w:r>
        <w:rPr>
          <w:rStyle w:val="17"/>
          <w:rFonts w:ascii="仿宋" w:hAnsi="仿宋" w:eastAsia="仿宋"/>
          <w:bCs/>
          <w:sz w:val="32"/>
          <w:szCs w:val="32"/>
        </w:rPr>
        <w:t xml:space="preserve"> </w:t>
      </w:r>
      <w:r>
        <w:rPr>
          <w:rStyle w:val="17"/>
          <w:rFonts w:hint="eastAsia" w:ascii="仿宋" w:hAnsi="仿宋" w:eastAsia="仿宋"/>
          <w:bCs/>
          <w:sz w:val="32"/>
          <w:szCs w:val="32"/>
        </w:rPr>
        <w:t>3</w:t>
      </w:r>
      <w:r>
        <w:rPr>
          <w:rStyle w:val="17"/>
          <w:rFonts w:ascii="仿宋" w:hAnsi="仿宋" w:eastAsia="仿宋"/>
          <w:bCs/>
          <w:sz w:val="32"/>
          <w:szCs w:val="32"/>
        </w:rPr>
        <w:t>.</w:t>
      </w:r>
      <w:r>
        <w:rPr>
          <w:rFonts w:hint="eastAsia" w:ascii="仿宋" w:hAnsi="仿宋" w:eastAsia="仿宋"/>
          <w:b/>
          <w:bCs/>
          <w:sz w:val="32"/>
          <w:szCs w:val="32"/>
        </w:rPr>
        <w:t>卫生健康</w:t>
      </w:r>
      <w:r>
        <w:rPr>
          <w:rStyle w:val="17"/>
          <w:rFonts w:hint="eastAsia" w:ascii="仿宋" w:hAnsi="仿宋" w:eastAsia="仿宋"/>
          <w:bCs/>
          <w:sz w:val="32"/>
          <w:szCs w:val="32"/>
        </w:rPr>
        <w:t>支出</w:t>
      </w:r>
      <w:r>
        <w:rPr>
          <w:rStyle w:val="17"/>
          <w:rFonts w:ascii="仿宋" w:hAnsi="仿宋" w:eastAsia="仿宋"/>
          <w:bCs/>
          <w:sz w:val="32"/>
          <w:szCs w:val="32"/>
        </w:rPr>
        <w:t>:</w:t>
      </w:r>
      <w:r>
        <w:rPr>
          <w:rStyle w:val="17"/>
          <w:rFonts w:ascii="仿宋" w:hAnsi="仿宋" w:eastAsia="仿宋"/>
          <w:b w:val="0"/>
          <w:bCs/>
          <w:sz w:val="32"/>
          <w:szCs w:val="32"/>
        </w:rPr>
        <w:t>行政单位医疗支出决算数为</w:t>
      </w:r>
      <w:r>
        <w:rPr>
          <w:rStyle w:val="17"/>
          <w:rFonts w:hint="eastAsia" w:ascii="仿宋" w:hAnsi="仿宋" w:eastAsia="仿宋"/>
          <w:b w:val="0"/>
          <w:bCs/>
          <w:sz w:val="32"/>
          <w:szCs w:val="32"/>
        </w:rPr>
        <w:t>64.45万元，完成预算100</w:t>
      </w:r>
      <w:r>
        <w:rPr>
          <w:rStyle w:val="17"/>
          <w:rFonts w:ascii="仿宋" w:hAnsi="仿宋" w:eastAsia="仿宋"/>
          <w:b w:val="0"/>
          <w:bCs/>
          <w:sz w:val="32"/>
          <w:szCs w:val="32"/>
        </w:rPr>
        <w:t>%</w:t>
      </w:r>
      <w:r>
        <w:rPr>
          <w:rStyle w:val="17"/>
          <w:rFonts w:hint="eastAsia" w:ascii="仿宋" w:hAnsi="仿宋" w:eastAsia="仿宋"/>
          <w:b w:val="0"/>
          <w:bCs/>
          <w:sz w:val="32"/>
          <w:szCs w:val="32"/>
        </w:rPr>
        <w:t>；事业单位医疗支出决算数为3.71万元，完成预算100</w:t>
      </w:r>
      <w:r>
        <w:rPr>
          <w:rStyle w:val="17"/>
          <w:rFonts w:ascii="仿宋" w:hAnsi="仿宋" w:eastAsia="仿宋"/>
          <w:b w:val="0"/>
          <w:bCs/>
          <w:sz w:val="32"/>
          <w:szCs w:val="32"/>
        </w:rPr>
        <w:t>%</w:t>
      </w:r>
      <w:r>
        <w:rPr>
          <w:rStyle w:val="17"/>
          <w:rFonts w:hint="eastAsia" w:ascii="仿宋" w:hAnsi="仿宋" w:eastAsia="仿宋"/>
          <w:b w:val="0"/>
          <w:bCs/>
          <w:sz w:val="32"/>
          <w:szCs w:val="32"/>
        </w:rPr>
        <w:t>；</w:t>
      </w:r>
      <w:r>
        <w:rPr>
          <w:rStyle w:val="17"/>
          <w:rFonts w:ascii="仿宋" w:hAnsi="仿宋" w:eastAsia="仿宋"/>
          <w:b w:val="0"/>
          <w:bCs/>
          <w:sz w:val="32"/>
          <w:szCs w:val="32"/>
        </w:rPr>
        <w:t>公务员医疗补助支出决算数为</w:t>
      </w:r>
      <w:r>
        <w:rPr>
          <w:rStyle w:val="17"/>
          <w:rFonts w:hint="eastAsia" w:ascii="仿宋" w:hAnsi="仿宋" w:eastAsia="仿宋"/>
          <w:b w:val="0"/>
          <w:bCs/>
          <w:sz w:val="32"/>
          <w:szCs w:val="32"/>
        </w:rPr>
        <w:t>6.85万元，完成预算100</w:t>
      </w:r>
      <w:r>
        <w:rPr>
          <w:rStyle w:val="17"/>
          <w:rFonts w:ascii="仿宋" w:hAnsi="仿宋" w:eastAsia="仿宋"/>
          <w:b w:val="0"/>
          <w:bCs/>
          <w:sz w:val="32"/>
          <w:szCs w:val="32"/>
        </w:rPr>
        <w:t>%</w:t>
      </w:r>
      <w:r>
        <w:rPr>
          <w:rStyle w:val="17"/>
          <w:rFonts w:hint="eastAsia" w:ascii="仿宋" w:hAnsi="仿宋" w:eastAsia="仿宋"/>
          <w:b w:val="0"/>
          <w:bCs/>
          <w:sz w:val="32"/>
          <w:szCs w:val="32"/>
        </w:rPr>
        <w:t>；</w:t>
      </w:r>
      <w:r>
        <w:rPr>
          <w:rStyle w:val="17"/>
          <w:rFonts w:ascii="仿宋" w:hAnsi="仿宋" w:eastAsia="仿宋"/>
          <w:b w:val="0"/>
          <w:bCs/>
          <w:sz w:val="32"/>
          <w:szCs w:val="32"/>
        </w:rPr>
        <w:t>其他行政事业单位医疗支出决算数为</w:t>
      </w:r>
      <w:r>
        <w:rPr>
          <w:rStyle w:val="17"/>
          <w:rFonts w:hint="eastAsia" w:ascii="仿宋" w:hAnsi="仿宋" w:eastAsia="仿宋"/>
          <w:b w:val="0"/>
          <w:bCs/>
          <w:sz w:val="32"/>
          <w:szCs w:val="32"/>
        </w:rPr>
        <w:t>0.37万元，完成预算100</w:t>
      </w:r>
      <w:r>
        <w:rPr>
          <w:rStyle w:val="17"/>
          <w:rFonts w:ascii="仿宋" w:hAnsi="仿宋" w:eastAsia="仿宋"/>
          <w:b w:val="0"/>
          <w:bCs/>
          <w:sz w:val="32"/>
          <w:szCs w:val="32"/>
        </w:rPr>
        <w:t>%</w:t>
      </w:r>
      <w:r>
        <w:rPr>
          <w:rStyle w:val="17"/>
          <w:rFonts w:hint="eastAsia" w:ascii="仿宋" w:hAnsi="仿宋" w:eastAsia="仿宋"/>
          <w:b w:val="0"/>
          <w:bCs/>
          <w:sz w:val="32"/>
          <w:szCs w:val="32"/>
        </w:rPr>
        <w:t>。</w:t>
      </w:r>
    </w:p>
    <w:p>
      <w:pPr>
        <w:pStyle w:val="2"/>
        <w:spacing w:before="93"/>
        <w:rPr>
          <w:sz w:val="32"/>
          <w:szCs w:val="32"/>
        </w:rPr>
      </w:pPr>
      <w:r>
        <w:rPr>
          <w:rFonts w:hint="eastAsia"/>
        </w:rPr>
        <w:t xml:space="preserve">     </w:t>
      </w:r>
      <w:r>
        <w:rPr>
          <w:rFonts w:hint="eastAsia"/>
          <w:b/>
        </w:rPr>
        <w:t>4.住房保障支出</w:t>
      </w:r>
      <w:r>
        <w:rPr>
          <w:rFonts w:hint="eastAsia"/>
        </w:rPr>
        <w:t>：</w:t>
      </w:r>
      <w:r>
        <w:rPr>
          <w:rFonts w:hint="eastAsia"/>
          <w:sz w:val="32"/>
          <w:szCs w:val="32"/>
        </w:rPr>
        <w:t>住房公积金支出决算数为107.53万元，</w:t>
      </w:r>
      <w:r>
        <w:rPr>
          <w:rStyle w:val="17"/>
          <w:rFonts w:hint="eastAsia" w:hAnsi="仿宋"/>
          <w:b w:val="0"/>
          <w:bCs/>
          <w:sz w:val="32"/>
          <w:szCs w:val="32"/>
        </w:rPr>
        <w:t>完成预算100%。</w:t>
      </w:r>
    </w:p>
    <w:p>
      <w:pPr>
        <w:tabs>
          <w:tab w:val="right" w:pos="8306"/>
        </w:tabs>
        <w:spacing w:line="600" w:lineRule="exact"/>
        <w:ind w:firstLine="640"/>
        <w:outlineLvl w:val="1"/>
        <w:rPr>
          <w:rStyle w:val="30"/>
        </w:rPr>
      </w:pPr>
      <w:bookmarkStart w:id="34" w:name="_Toc15377214"/>
      <w:bookmarkStart w:id="35" w:name="_Toc15396608"/>
      <w:r>
        <w:rPr>
          <w:rFonts w:hint="eastAsia" w:ascii="黑体" w:eastAsia="黑体"/>
          <w:sz w:val="32"/>
          <w:szCs w:val="32"/>
        </w:rPr>
        <w:t>六</w:t>
      </w:r>
      <w:r>
        <w:rPr>
          <w:rFonts w:hint="eastAsia" w:ascii="黑体" w:eastAsia="黑体"/>
          <w:b/>
          <w:sz w:val="32"/>
          <w:szCs w:val="32"/>
        </w:rPr>
        <w:t>、</w:t>
      </w:r>
      <w:r>
        <w:rPr>
          <w:rFonts w:hint="eastAsia" w:ascii="黑体" w:hAnsi="黑体" w:eastAsia="黑体"/>
          <w:b/>
          <w:sz w:val="32"/>
          <w:szCs w:val="32"/>
        </w:rPr>
        <w:t>一</w:t>
      </w:r>
      <w:r>
        <w:rPr>
          <w:rStyle w:val="30"/>
          <w:rFonts w:hint="eastAsia" w:ascii="黑体" w:hAnsi="黑体" w:eastAsia="黑体"/>
          <w:b w:val="0"/>
        </w:rPr>
        <w:t>般公共预算财政拨款基本支出决算情况说明</w:t>
      </w:r>
      <w:bookmarkEnd w:id="34"/>
      <w:bookmarkEnd w:id="35"/>
      <w:r>
        <w:rPr>
          <w:rStyle w:val="30"/>
          <w:rFonts w:ascii="黑体" w:hAnsi="黑体" w:eastAsia="黑体"/>
          <w:b w:val="0"/>
        </w:rPr>
        <w:tab/>
      </w:r>
    </w:p>
    <w:p>
      <w:pPr>
        <w:spacing w:line="600" w:lineRule="exact"/>
        <w:ind w:firstLine="645"/>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22年一般公共预算财政拨款基本支出1343.32万元，其中：</w:t>
      </w:r>
    </w:p>
    <w:p>
      <w:pPr>
        <w:spacing w:line="600" w:lineRule="exact"/>
        <w:ind w:firstLine="645"/>
        <w:rPr>
          <w:rFonts w:ascii="仿宋" w:hAnsi="仿宋" w:eastAsia="仿宋"/>
          <w:sz w:val="32"/>
          <w:szCs w:val="32"/>
        </w:rPr>
      </w:pPr>
      <w:r>
        <w:rPr>
          <w:rFonts w:hint="eastAsia" w:ascii="仿宋" w:hAnsi="仿宋" w:eastAsia="仿宋"/>
          <w:sz w:val="32"/>
          <w:szCs w:val="32"/>
        </w:rPr>
        <w:t>人员经费1235.87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r>
        <w:rPr>
          <w:rFonts w:ascii="仿宋" w:hAnsi="仿宋" w:eastAsia="仿宋"/>
          <w:sz w:val="32"/>
          <w:szCs w:val="32"/>
        </w:rPr>
        <w:br w:type="textWrapping"/>
      </w:r>
      <w:r>
        <w:rPr>
          <w:rFonts w:hint="eastAsia" w:ascii="仿宋" w:hAnsi="仿宋" w:eastAsia="仿宋"/>
          <w:sz w:val="32"/>
          <w:szCs w:val="32"/>
        </w:rPr>
        <w:t>　　公用经费107.45万元，主要包括：办公费、印刷费、咨询费、手续费、水费、电费、邮电费、物业管理费、差旅费、维修（护）费、租赁费、会议费、培训费、公务接待费、劳务费、委托业务费、工会经费、福利费、公务用车运行维护费、其他交通费、税金及附加费用、其他商品和服务支出、办公设备购置、专用设备购置。</w:t>
      </w:r>
    </w:p>
    <w:p>
      <w:pPr>
        <w:spacing w:line="600" w:lineRule="exact"/>
        <w:ind w:firstLine="640"/>
        <w:rPr>
          <w:rFonts w:ascii="仿宋" w:hAnsi="仿宋" w:eastAsia="仿宋"/>
          <w:b/>
          <w:sz w:val="32"/>
          <w:szCs w:val="32"/>
        </w:rPr>
      </w:pPr>
    </w:p>
    <w:p>
      <w:pPr>
        <w:spacing w:line="600" w:lineRule="exact"/>
        <w:ind w:firstLine="640"/>
        <w:outlineLvl w:val="1"/>
        <w:rPr>
          <w:rStyle w:val="30"/>
          <w:rFonts w:ascii="黑体" w:hAnsi="黑体" w:eastAsia="黑体"/>
          <w:b w:val="0"/>
        </w:rPr>
      </w:pPr>
      <w:bookmarkStart w:id="36" w:name="_Toc15396609"/>
      <w:bookmarkStart w:id="37" w:name="_Toc15377215"/>
      <w:r>
        <w:rPr>
          <w:rFonts w:hint="eastAsia" w:ascii="黑体" w:eastAsia="黑体"/>
          <w:sz w:val="32"/>
          <w:szCs w:val="32"/>
        </w:rPr>
        <w:t>七、</w:t>
      </w:r>
      <w:r>
        <w:rPr>
          <w:rStyle w:val="30"/>
          <w:rFonts w:hint="eastAsia" w:ascii="黑体" w:hAnsi="黑体" w:eastAsia="黑体"/>
          <w:b w:val="0"/>
        </w:rPr>
        <w:t>财政拨款</w:t>
      </w:r>
      <w:r>
        <w:rPr>
          <w:rStyle w:val="30"/>
          <w:rFonts w:hint="eastAsia" w:ascii="黑体" w:hAnsi="黑体" w:eastAsia="黑体"/>
        </w:rPr>
        <w:t>“</w:t>
      </w:r>
      <w:r>
        <w:rPr>
          <w:rStyle w:val="30"/>
          <w:rFonts w:hint="eastAsia" w:ascii="黑体" w:hAnsi="黑体" w:eastAsia="黑体"/>
          <w:b w:val="0"/>
        </w:rPr>
        <w:t>三公”经费支出决算情况说明</w:t>
      </w:r>
      <w:bookmarkEnd w:id="36"/>
      <w:bookmarkEnd w:id="37"/>
    </w:p>
    <w:p>
      <w:pPr>
        <w:spacing w:line="600" w:lineRule="exact"/>
        <w:ind w:firstLine="640"/>
        <w:outlineLvl w:val="2"/>
        <w:rPr>
          <w:rFonts w:ascii="仿宋" w:hAnsi="仿宋" w:eastAsia="仿宋"/>
          <w:b/>
          <w:sz w:val="32"/>
          <w:szCs w:val="32"/>
        </w:rPr>
      </w:pPr>
      <w:bookmarkStart w:id="38" w:name="_Toc15377216"/>
      <w:r>
        <w:rPr>
          <w:rFonts w:hint="eastAsia" w:ascii="仿宋" w:hAnsi="仿宋" w:eastAsia="仿宋"/>
          <w:b/>
          <w:sz w:val="32"/>
          <w:szCs w:val="32"/>
        </w:rPr>
        <w:t>（一）“三公”经费财政拨款支出决算总体情况说明</w:t>
      </w:r>
      <w:bookmarkEnd w:id="38"/>
    </w:p>
    <w:p>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22年“三公”经费财政拨款支出决算为3.41万元，完成预算100</w:t>
      </w:r>
      <w:r>
        <w:rPr>
          <w:rFonts w:ascii="仿宋" w:hAnsi="仿宋" w:eastAsia="仿宋"/>
          <w:sz w:val="32"/>
          <w:szCs w:val="32"/>
        </w:rPr>
        <w:t>%</w:t>
      </w:r>
      <w:r>
        <w:rPr>
          <w:rFonts w:hint="eastAsia" w:ascii="仿宋" w:hAnsi="仿宋" w:eastAsia="仿宋"/>
          <w:sz w:val="32"/>
          <w:szCs w:val="32"/>
        </w:rPr>
        <w:t>，较上年减少8.2万元，下降70.63%。主要原因是财政经费紧张，去年产生的一些修理费未支付，同时单位</w:t>
      </w:r>
      <w:r>
        <w:rPr>
          <w:rFonts w:hint="eastAsia" w:ascii="仿宋_GB2312" w:eastAsia="仿宋_GB2312"/>
          <w:sz w:val="32"/>
          <w:szCs w:val="32"/>
        </w:rPr>
        <w:t>节约开支</w:t>
      </w:r>
      <w:r>
        <w:rPr>
          <w:rFonts w:hint="eastAsia" w:ascii="仿宋" w:hAnsi="仿宋" w:eastAsia="仿宋"/>
          <w:sz w:val="32"/>
          <w:szCs w:val="32"/>
        </w:rPr>
        <w:t>。</w:t>
      </w:r>
    </w:p>
    <w:p>
      <w:pPr>
        <w:spacing w:line="600" w:lineRule="exact"/>
        <w:ind w:firstLine="640"/>
        <w:outlineLvl w:val="2"/>
        <w:rPr>
          <w:rFonts w:ascii="仿宋" w:hAnsi="仿宋" w:eastAsia="仿宋"/>
          <w:b/>
          <w:sz w:val="32"/>
          <w:szCs w:val="32"/>
        </w:rPr>
      </w:pPr>
      <w:bookmarkStart w:id="39" w:name="_Toc15377217"/>
      <w:r>
        <w:rPr>
          <w:rFonts w:hint="eastAsia" w:ascii="仿宋" w:hAnsi="仿宋" w:eastAsia="仿宋"/>
          <w:b/>
          <w:sz w:val="32"/>
          <w:szCs w:val="32"/>
        </w:rPr>
        <w:t>（二）“三公”经费财政拨款支出决算具体情况说明</w:t>
      </w:r>
      <w:bookmarkEnd w:id="39"/>
    </w:p>
    <w:p>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22年“三公”经费财政拨款支出决算中，因公出国（境）费支出决算0万元，占0</w:t>
      </w:r>
      <w:r>
        <w:rPr>
          <w:rFonts w:ascii="仿宋" w:hAnsi="仿宋" w:eastAsia="仿宋"/>
          <w:sz w:val="32"/>
          <w:szCs w:val="32"/>
        </w:rPr>
        <w:t>%</w:t>
      </w:r>
      <w:r>
        <w:rPr>
          <w:rFonts w:hint="eastAsia" w:ascii="仿宋" w:hAnsi="仿宋" w:eastAsia="仿宋"/>
          <w:sz w:val="32"/>
          <w:szCs w:val="32"/>
        </w:rPr>
        <w:t>；公务用车购置及运行维护费支出决算3.06万元，占89.74</w:t>
      </w:r>
      <w:r>
        <w:rPr>
          <w:rFonts w:ascii="仿宋" w:hAnsi="仿宋" w:eastAsia="仿宋"/>
          <w:sz w:val="32"/>
          <w:szCs w:val="32"/>
        </w:rPr>
        <w:t>%</w:t>
      </w:r>
      <w:r>
        <w:rPr>
          <w:rFonts w:hint="eastAsia" w:ascii="仿宋" w:hAnsi="仿宋" w:eastAsia="仿宋"/>
          <w:sz w:val="32"/>
          <w:szCs w:val="32"/>
        </w:rPr>
        <w:t>；公务接待费支出决算0.35万元，占10.26</w:t>
      </w:r>
      <w:r>
        <w:rPr>
          <w:rFonts w:ascii="仿宋" w:hAnsi="仿宋" w:eastAsia="仿宋"/>
          <w:sz w:val="32"/>
          <w:szCs w:val="32"/>
        </w:rPr>
        <w:t>%</w:t>
      </w:r>
      <w:r>
        <w:rPr>
          <w:rFonts w:hint="eastAsia" w:ascii="仿宋" w:hAnsi="仿宋" w:eastAsia="仿宋"/>
          <w:sz w:val="32"/>
          <w:szCs w:val="32"/>
        </w:rPr>
        <w:t>。具体情况如下：</w:t>
      </w:r>
    </w:p>
    <w:p>
      <w:pPr>
        <w:spacing w:line="600" w:lineRule="exact"/>
        <w:ind w:firstLine="640"/>
        <w:rPr>
          <w:rFonts w:ascii="仿宋" w:hAnsi="仿宋" w:eastAsia="仿宋"/>
          <w:sz w:val="32"/>
          <w:szCs w:val="32"/>
        </w:rPr>
      </w:pPr>
      <w:r>
        <w:rPr>
          <w:rFonts w:hint="eastAsia" w:ascii="仿宋" w:hAnsi="仿宋" w:eastAsia="仿宋"/>
          <w:sz w:val="32"/>
          <w:szCs w:val="32"/>
        </w:rPr>
        <w:t>（图7：“三公”经费财政拨款支出结构）（饼状图）</w:t>
      </w:r>
    </w:p>
    <w:p>
      <w:pPr>
        <w:pStyle w:val="2"/>
        <w:spacing w:before="93"/>
      </w:pPr>
      <w:r>
        <w:drawing>
          <wp:inline distT="0" distB="0" distL="0" distR="0">
            <wp:extent cx="4362450" cy="2457450"/>
            <wp:effectExtent l="19050" t="0" r="19050" b="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spacing w:line="600" w:lineRule="exact"/>
        <w:ind w:firstLine="640"/>
        <w:rPr>
          <w:rFonts w:ascii="仿宋_GB2312" w:eastAsia="仿宋_GB2312"/>
          <w:sz w:val="32"/>
          <w:szCs w:val="32"/>
        </w:rPr>
      </w:pPr>
      <w:r>
        <w:rPr>
          <w:rFonts w:ascii="仿宋_GB2312" w:eastAsia="仿宋_GB2312"/>
          <w:b/>
          <w:sz w:val="32"/>
          <w:szCs w:val="32"/>
        </w:rPr>
        <w:t>1.</w:t>
      </w:r>
      <w:r>
        <w:rPr>
          <w:rFonts w:hint="eastAsia" w:ascii="仿宋_GB2312" w:eastAsia="仿宋_GB2312"/>
          <w:b/>
          <w:sz w:val="32"/>
          <w:szCs w:val="32"/>
        </w:rPr>
        <w:t>因公出国（境）经费支出</w:t>
      </w:r>
      <w:r>
        <w:rPr>
          <w:rFonts w:hint="eastAsia" w:ascii="仿宋_GB2312" w:eastAsia="仿宋_GB2312"/>
          <w:sz w:val="32"/>
          <w:szCs w:val="32"/>
        </w:rPr>
        <w:t>0万元，</w:t>
      </w:r>
      <w:r>
        <w:rPr>
          <w:rStyle w:val="17"/>
          <w:rFonts w:hint="eastAsia" w:ascii="仿宋" w:hAnsi="仿宋" w:eastAsia="仿宋"/>
          <w:b w:val="0"/>
          <w:bCs/>
          <w:sz w:val="32"/>
          <w:szCs w:val="32"/>
        </w:rPr>
        <w:t>完成预算0</w:t>
      </w:r>
      <w:r>
        <w:rPr>
          <w:rStyle w:val="17"/>
          <w:rFonts w:ascii="仿宋" w:hAnsi="仿宋" w:eastAsia="仿宋"/>
          <w:b w:val="0"/>
          <w:bCs/>
          <w:sz w:val="32"/>
          <w:szCs w:val="32"/>
        </w:rPr>
        <w:t>%</w:t>
      </w:r>
      <w:r>
        <w:rPr>
          <w:rStyle w:val="17"/>
          <w:rFonts w:hint="eastAsia" w:ascii="仿宋" w:hAnsi="仿宋" w:eastAsia="仿宋"/>
          <w:b w:val="0"/>
          <w:bCs/>
          <w:sz w:val="32"/>
          <w:szCs w:val="32"/>
        </w:rPr>
        <w:t>。</w:t>
      </w:r>
      <w:r>
        <w:rPr>
          <w:rFonts w:hint="eastAsia" w:ascii="仿宋_GB2312" w:eastAsia="仿宋_GB2312"/>
          <w:sz w:val="32"/>
          <w:szCs w:val="32"/>
        </w:rPr>
        <w:t>全年安排因公出国（境）团组0次，出国（境）0人。因公出国（境）支出决算比</w:t>
      </w:r>
      <w:r>
        <w:rPr>
          <w:rFonts w:ascii="仿宋_GB2312" w:eastAsia="仿宋_GB2312"/>
          <w:sz w:val="32"/>
          <w:szCs w:val="32"/>
        </w:rPr>
        <w:t>20</w:t>
      </w:r>
      <w:r>
        <w:rPr>
          <w:rFonts w:hint="eastAsia" w:ascii="仿宋_GB2312" w:eastAsia="仿宋_GB2312"/>
          <w:sz w:val="32"/>
          <w:szCs w:val="32"/>
        </w:rPr>
        <w:t>21年增加0万元，增长0</w:t>
      </w:r>
      <w:r>
        <w:rPr>
          <w:rFonts w:ascii="仿宋_GB2312" w:eastAsia="仿宋_GB2312"/>
          <w:sz w:val="32"/>
          <w:szCs w:val="32"/>
        </w:rPr>
        <w:t>%</w:t>
      </w:r>
      <w:r>
        <w:rPr>
          <w:rFonts w:hint="eastAsia" w:ascii="仿宋_GB2312" w:eastAsia="仿宋_GB2312"/>
          <w:sz w:val="32"/>
          <w:szCs w:val="32"/>
        </w:rPr>
        <w:t>。</w:t>
      </w:r>
    </w:p>
    <w:p>
      <w:pPr>
        <w:spacing w:line="600" w:lineRule="exact"/>
        <w:ind w:firstLine="640"/>
        <w:rPr>
          <w:rFonts w:ascii="仿宋_GB2312" w:eastAsia="仿宋_GB2312"/>
          <w:b/>
          <w:sz w:val="32"/>
          <w:szCs w:val="32"/>
        </w:rPr>
      </w:pPr>
      <w:r>
        <w:rPr>
          <w:rFonts w:ascii="仿宋_GB2312" w:eastAsia="仿宋_GB2312"/>
          <w:b/>
          <w:sz w:val="32"/>
          <w:szCs w:val="32"/>
        </w:rPr>
        <w:t>2.</w:t>
      </w:r>
      <w:r>
        <w:rPr>
          <w:rFonts w:hint="eastAsia" w:ascii="仿宋_GB2312" w:eastAsia="仿宋_GB2312"/>
          <w:b/>
          <w:sz w:val="32"/>
          <w:szCs w:val="32"/>
        </w:rPr>
        <w:t>公务用车购置及运行维护费支出</w:t>
      </w:r>
      <w:r>
        <w:rPr>
          <w:rFonts w:hint="eastAsia" w:ascii="仿宋_GB2312" w:eastAsia="仿宋_GB2312"/>
          <w:sz w:val="32"/>
          <w:szCs w:val="32"/>
        </w:rPr>
        <w:t>3.06万元,</w:t>
      </w:r>
      <w:r>
        <w:rPr>
          <w:rStyle w:val="17"/>
          <w:rFonts w:hint="eastAsia" w:ascii="仿宋" w:hAnsi="仿宋" w:eastAsia="仿宋"/>
          <w:b w:val="0"/>
          <w:bCs/>
          <w:sz w:val="32"/>
          <w:szCs w:val="32"/>
        </w:rPr>
        <w:t>完成预算100</w:t>
      </w:r>
      <w:r>
        <w:rPr>
          <w:rStyle w:val="17"/>
          <w:rFonts w:ascii="仿宋" w:hAnsi="仿宋" w:eastAsia="仿宋"/>
          <w:b w:val="0"/>
          <w:bCs/>
          <w:sz w:val="32"/>
          <w:szCs w:val="32"/>
        </w:rPr>
        <w:t>%</w:t>
      </w:r>
      <w:r>
        <w:rPr>
          <w:rStyle w:val="17"/>
          <w:rFonts w:hint="eastAsia" w:ascii="仿宋" w:hAnsi="仿宋" w:eastAsia="仿宋"/>
          <w:b w:val="0"/>
          <w:bCs/>
          <w:sz w:val="32"/>
          <w:szCs w:val="32"/>
        </w:rPr>
        <w:t>。</w:t>
      </w:r>
      <w:r>
        <w:rPr>
          <w:rFonts w:hint="eastAsia" w:ascii="仿宋_GB2312" w:eastAsia="仿宋_GB2312"/>
          <w:sz w:val="32"/>
          <w:szCs w:val="32"/>
        </w:rPr>
        <w:t>公务用车购置及运行维护费支出决算比</w:t>
      </w:r>
      <w:r>
        <w:rPr>
          <w:rFonts w:ascii="仿宋_GB2312" w:eastAsia="仿宋_GB2312"/>
          <w:sz w:val="32"/>
          <w:szCs w:val="32"/>
        </w:rPr>
        <w:t>20</w:t>
      </w:r>
      <w:r>
        <w:rPr>
          <w:rFonts w:hint="eastAsia" w:ascii="仿宋_GB2312" w:eastAsia="仿宋_GB2312"/>
          <w:sz w:val="32"/>
          <w:szCs w:val="32"/>
        </w:rPr>
        <w:t>21年增减少8.12万元，下降72.63</w:t>
      </w:r>
      <w:r>
        <w:rPr>
          <w:rFonts w:ascii="仿宋_GB2312" w:eastAsia="仿宋_GB2312"/>
          <w:sz w:val="32"/>
          <w:szCs w:val="32"/>
        </w:rPr>
        <w:t>%</w:t>
      </w:r>
      <w:r>
        <w:rPr>
          <w:rFonts w:hint="eastAsia" w:ascii="仿宋_GB2312" w:eastAsia="仿宋_GB2312"/>
          <w:sz w:val="32"/>
          <w:szCs w:val="32"/>
        </w:rPr>
        <w:t>。主要原因</w:t>
      </w:r>
      <w:r>
        <w:rPr>
          <w:rFonts w:hint="eastAsia" w:ascii="仿宋" w:hAnsi="仿宋" w:eastAsia="仿宋"/>
          <w:sz w:val="32"/>
          <w:szCs w:val="32"/>
        </w:rPr>
        <w:t>去年产生的一些修理费未支付，同时单位</w:t>
      </w:r>
      <w:r>
        <w:rPr>
          <w:rFonts w:hint="eastAsia" w:ascii="仿宋_GB2312" w:eastAsia="仿宋_GB2312"/>
          <w:sz w:val="32"/>
          <w:szCs w:val="32"/>
        </w:rPr>
        <w:t>节约开支。</w:t>
      </w:r>
    </w:p>
    <w:p>
      <w:pPr>
        <w:spacing w:line="600" w:lineRule="exact"/>
        <w:ind w:firstLine="640" w:firstLineChars="200"/>
        <w:rPr>
          <w:rFonts w:ascii="仿宋_GB2312" w:eastAsia="仿宋_GB2312"/>
          <w:b/>
          <w:sz w:val="32"/>
          <w:szCs w:val="32"/>
        </w:rPr>
      </w:pPr>
      <w:r>
        <w:rPr>
          <w:rFonts w:hint="eastAsia" w:ascii="仿宋_GB2312" w:eastAsia="仿宋_GB2312"/>
          <w:sz w:val="32"/>
          <w:szCs w:val="32"/>
        </w:rPr>
        <w:t>其中：</w:t>
      </w:r>
      <w:r>
        <w:rPr>
          <w:rFonts w:hint="eastAsia" w:ascii="仿宋_GB2312" w:eastAsia="仿宋_GB2312"/>
          <w:b/>
          <w:sz w:val="32"/>
          <w:szCs w:val="32"/>
        </w:rPr>
        <w:t>公务用车购置支出</w:t>
      </w:r>
      <w:r>
        <w:rPr>
          <w:rFonts w:hint="eastAsia" w:ascii="仿宋_GB2312" w:eastAsia="仿宋_GB2312"/>
          <w:sz w:val="32"/>
          <w:szCs w:val="32"/>
        </w:rPr>
        <w:t>0万元。全年按规定更新购置公务用车0辆，其中：轿车0辆、金额0万元，越野车0辆、金额0万元，载客汽车0辆、金额0万元。截至</w:t>
      </w:r>
      <w:r>
        <w:rPr>
          <w:rFonts w:ascii="仿宋_GB2312" w:eastAsia="仿宋_GB2312"/>
          <w:sz w:val="32"/>
          <w:szCs w:val="32"/>
        </w:rPr>
        <w:t>20</w:t>
      </w:r>
      <w:r>
        <w:rPr>
          <w:rFonts w:hint="eastAsia" w:ascii="仿宋_GB2312" w:eastAsia="仿宋_GB2312"/>
          <w:sz w:val="32"/>
          <w:szCs w:val="32"/>
        </w:rPr>
        <w:t>22年</w:t>
      </w:r>
      <w:r>
        <w:rPr>
          <w:rFonts w:ascii="仿宋_GB2312" w:eastAsia="仿宋_GB2312"/>
          <w:sz w:val="32"/>
          <w:szCs w:val="32"/>
        </w:rPr>
        <w:t>12</w:t>
      </w:r>
      <w:r>
        <w:rPr>
          <w:rFonts w:hint="eastAsia" w:ascii="仿宋_GB2312" w:eastAsia="仿宋_GB2312"/>
          <w:sz w:val="32"/>
          <w:szCs w:val="32"/>
        </w:rPr>
        <w:t>月底，单位共有公务用车10辆，其中：轿车9辆、越野车0辆、载客汽车0辆、特种专用车1辆。</w:t>
      </w:r>
    </w:p>
    <w:p>
      <w:pPr>
        <w:spacing w:line="600" w:lineRule="exact"/>
        <w:ind w:firstLine="640"/>
        <w:rPr>
          <w:rFonts w:ascii="仿宋_GB2312" w:eastAsia="仿宋_GB2312"/>
          <w:sz w:val="32"/>
          <w:szCs w:val="32"/>
        </w:rPr>
      </w:pPr>
      <w:r>
        <w:rPr>
          <w:rFonts w:hint="eastAsia" w:ascii="仿宋_GB2312" w:eastAsia="仿宋_GB2312"/>
          <w:b/>
          <w:sz w:val="32"/>
          <w:szCs w:val="32"/>
        </w:rPr>
        <w:t>公务用车运行维护费支出</w:t>
      </w:r>
      <w:r>
        <w:rPr>
          <w:rFonts w:hint="eastAsia" w:ascii="仿宋_GB2312" w:eastAsia="仿宋_GB2312"/>
          <w:sz w:val="32"/>
          <w:szCs w:val="32"/>
        </w:rPr>
        <w:t>3.06万元。主要用于市场秩序监管、质量安全监管、食品、药品、化妆品、医疗器械、特种设备安全监管，知识产权、计量、标准化、认证认可及检验检测等工作所需的公务用车燃料费、维修费、过路过桥费、保险费等支出</w:t>
      </w:r>
    </w:p>
    <w:p>
      <w:pPr>
        <w:spacing w:line="600" w:lineRule="exact"/>
        <w:ind w:firstLine="640"/>
        <w:rPr>
          <w:rFonts w:ascii="仿宋_GB2312" w:eastAsia="仿宋_GB2312"/>
          <w:sz w:val="32"/>
          <w:szCs w:val="32"/>
        </w:rPr>
      </w:pPr>
      <w:r>
        <w:rPr>
          <w:rFonts w:ascii="仿宋_GB2312" w:eastAsia="仿宋_GB2312"/>
          <w:b/>
          <w:sz w:val="32"/>
          <w:szCs w:val="32"/>
        </w:rPr>
        <w:t>3.</w:t>
      </w:r>
      <w:r>
        <w:rPr>
          <w:rFonts w:hint="eastAsia" w:ascii="仿宋_GB2312" w:eastAsia="仿宋_GB2312"/>
          <w:b/>
          <w:sz w:val="32"/>
          <w:szCs w:val="32"/>
        </w:rPr>
        <w:t>公务接待费支出</w:t>
      </w:r>
      <w:r>
        <w:rPr>
          <w:rFonts w:hint="eastAsia" w:ascii="仿宋_GB2312" w:eastAsia="仿宋_GB2312"/>
          <w:sz w:val="32"/>
          <w:szCs w:val="32"/>
        </w:rPr>
        <w:t>0.35万元，</w:t>
      </w:r>
      <w:r>
        <w:rPr>
          <w:rStyle w:val="17"/>
          <w:rFonts w:hint="eastAsia" w:ascii="仿宋" w:hAnsi="仿宋" w:eastAsia="仿宋"/>
          <w:b w:val="0"/>
          <w:bCs/>
          <w:sz w:val="32"/>
          <w:szCs w:val="32"/>
        </w:rPr>
        <w:t>完成预算100</w:t>
      </w:r>
      <w:r>
        <w:rPr>
          <w:rStyle w:val="17"/>
          <w:rFonts w:ascii="仿宋" w:hAnsi="仿宋" w:eastAsia="仿宋"/>
          <w:b w:val="0"/>
          <w:bCs/>
          <w:sz w:val="32"/>
          <w:szCs w:val="32"/>
        </w:rPr>
        <w:t>%</w:t>
      </w:r>
      <w:r>
        <w:rPr>
          <w:rStyle w:val="17"/>
          <w:rFonts w:hint="eastAsia" w:ascii="仿宋" w:hAnsi="仿宋" w:eastAsia="仿宋"/>
          <w:b w:val="0"/>
          <w:bCs/>
          <w:sz w:val="32"/>
          <w:szCs w:val="32"/>
        </w:rPr>
        <w:t>。</w:t>
      </w:r>
      <w:r>
        <w:rPr>
          <w:rFonts w:hint="eastAsia" w:ascii="仿宋_GB2312" w:eastAsia="仿宋_GB2312"/>
          <w:sz w:val="32"/>
          <w:szCs w:val="32"/>
        </w:rPr>
        <w:t>公务接待费支出决算比</w:t>
      </w:r>
      <w:r>
        <w:rPr>
          <w:rFonts w:ascii="仿宋_GB2312" w:eastAsia="仿宋_GB2312"/>
          <w:sz w:val="32"/>
          <w:szCs w:val="32"/>
        </w:rPr>
        <w:t>20</w:t>
      </w:r>
      <w:r>
        <w:rPr>
          <w:rFonts w:hint="eastAsia" w:ascii="仿宋_GB2312" w:eastAsia="仿宋_GB2312"/>
          <w:sz w:val="32"/>
          <w:szCs w:val="32"/>
        </w:rPr>
        <w:t>21年减少0.08万元，下降18.60</w:t>
      </w:r>
      <w:r>
        <w:rPr>
          <w:rFonts w:ascii="仿宋_GB2312" w:eastAsia="仿宋_GB2312"/>
          <w:sz w:val="32"/>
          <w:szCs w:val="32"/>
        </w:rPr>
        <w:t>%</w:t>
      </w:r>
      <w:r>
        <w:rPr>
          <w:rFonts w:hint="eastAsia" w:ascii="仿宋_GB2312" w:eastAsia="仿宋_GB2312"/>
          <w:sz w:val="32"/>
          <w:szCs w:val="32"/>
        </w:rPr>
        <w:t>。主要原因是压缩接待开支。其中：</w:t>
      </w:r>
    </w:p>
    <w:p>
      <w:pPr>
        <w:spacing w:line="600" w:lineRule="exact"/>
        <w:ind w:firstLine="640"/>
        <w:rPr>
          <w:rFonts w:ascii="仿宋_GB2312" w:eastAsia="仿宋_GB2312"/>
          <w:sz w:val="32"/>
          <w:szCs w:val="32"/>
        </w:rPr>
      </w:pPr>
      <w:r>
        <w:rPr>
          <w:rFonts w:hint="eastAsia" w:ascii="仿宋" w:hAnsi="仿宋" w:eastAsia="仿宋"/>
          <w:b/>
          <w:sz w:val="32"/>
          <w:szCs w:val="32"/>
        </w:rPr>
        <w:t>国内公务接待支出</w:t>
      </w:r>
      <w:r>
        <w:rPr>
          <w:rFonts w:hint="eastAsia" w:ascii="仿宋" w:hAnsi="仿宋" w:eastAsia="仿宋"/>
          <w:sz w:val="32"/>
          <w:szCs w:val="32"/>
        </w:rPr>
        <w:t>0.35</w:t>
      </w:r>
      <w:r>
        <w:rPr>
          <w:rFonts w:hint="eastAsia" w:ascii="仿宋_GB2312" w:eastAsia="仿宋_GB2312"/>
          <w:sz w:val="32"/>
          <w:szCs w:val="32"/>
        </w:rPr>
        <w:t>万元，主要用于上级部门到我区考察、调研和开展市场检查、药品和食品指导产生的执行公务、开展业务活动开支的用餐费。国内公务接待4批次，24人次（不包括陪同人员），共计0.35万元。具体包括雅安市市场监管局交叉检查组到西区检查接待费0.08万元；省食安办赴西区开展国家食品安全示范城市创建工作推进调研接待费0.08万元；开展配合做好煤炭价格重点检查调研工作公务接待费0.09万元；凉山州市场监管综合行政执法支队一行到西区开展特种设备“打非治违”专项行动交叉检查接待费0.1万元。</w:t>
      </w:r>
    </w:p>
    <w:p>
      <w:pPr>
        <w:spacing w:line="600" w:lineRule="exact"/>
        <w:ind w:firstLine="640"/>
        <w:rPr>
          <w:rFonts w:ascii="仿宋_GB2312" w:eastAsia="仿宋_GB2312"/>
          <w:sz w:val="32"/>
          <w:szCs w:val="32"/>
        </w:rPr>
      </w:pPr>
      <w:r>
        <w:rPr>
          <w:rFonts w:hint="eastAsia" w:ascii="仿宋" w:hAnsi="仿宋" w:eastAsia="仿宋"/>
          <w:b/>
          <w:sz w:val="32"/>
          <w:szCs w:val="32"/>
        </w:rPr>
        <w:t>外事接待支出</w:t>
      </w:r>
      <w:r>
        <w:rPr>
          <w:rFonts w:hint="eastAsia" w:ascii="仿宋" w:hAnsi="仿宋" w:eastAsia="仿宋"/>
          <w:sz w:val="32"/>
          <w:szCs w:val="32"/>
        </w:rPr>
        <w:t>0</w:t>
      </w:r>
      <w:r>
        <w:rPr>
          <w:rFonts w:hint="eastAsia" w:ascii="仿宋_GB2312" w:eastAsia="仿宋_GB2312"/>
          <w:sz w:val="32"/>
          <w:szCs w:val="32"/>
        </w:rPr>
        <w:t>万元。外事接待0批次，0人次（不包括陪同人员），共计支出0万元。</w:t>
      </w:r>
    </w:p>
    <w:p>
      <w:pPr>
        <w:spacing w:line="600" w:lineRule="exact"/>
        <w:ind w:firstLine="640"/>
        <w:outlineLvl w:val="1"/>
        <w:rPr>
          <w:rFonts w:ascii="黑体" w:eastAsia="黑体"/>
          <w:sz w:val="32"/>
          <w:szCs w:val="32"/>
        </w:rPr>
      </w:pPr>
      <w:bookmarkStart w:id="40" w:name="_Toc15377218"/>
      <w:bookmarkStart w:id="41" w:name="_Toc15396610"/>
    </w:p>
    <w:p>
      <w:pPr>
        <w:spacing w:line="600" w:lineRule="exact"/>
        <w:ind w:firstLine="640"/>
        <w:outlineLvl w:val="1"/>
        <w:rPr>
          <w:rStyle w:val="30"/>
          <w:rFonts w:ascii="黑体" w:hAnsi="黑体" w:eastAsia="黑体"/>
        </w:rPr>
      </w:pPr>
      <w:r>
        <w:rPr>
          <w:rFonts w:hint="eastAsia" w:ascii="黑体" w:eastAsia="黑体"/>
          <w:sz w:val="32"/>
          <w:szCs w:val="32"/>
        </w:rPr>
        <w:t>八、</w:t>
      </w:r>
      <w:r>
        <w:rPr>
          <w:rStyle w:val="30"/>
          <w:rFonts w:hint="eastAsia" w:ascii="黑体" w:hAnsi="黑体" w:eastAsia="黑体"/>
          <w:b w:val="0"/>
        </w:rPr>
        <w:t>政府性基金预算支出决算情况说明</w:t>
      </w:r>
      <w:bookmarkEnd w:id="40"/>
      <w:bookmarkEnd w:id="41"/>
    </w:p>
    <w:p>
      <w:pPr>
        <w:spacing w:line="600" w:lineRule="exact"/>
        <w:ind w:firstLine="64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22年政府性基金预算财政拨款支出4.09万元。</w:t>
      </w:r>
    </w:p>
    <w:p>
      <w:pPr>
        <w:numPr>
          <w:ilvl w:val="0"/>
          <w:numId w:val="3"/>
        </w:numPr>
        <w:spacing w:line="600" w:lineRule="exact"/>
        <w:ind w:firstLine="640"/>
        <w:outlineLvl w:val="1"/>
        <w:rPr>
          <w:rStyle w:val="30"/>
          <w:rFonts w:ascii="黑体" w:hAnsi="黑体" w:eastAsia="黑体"/>
          <w:b w:val="0"/>
        </w:rPr>
      </w:pPr>
      <w:bookmarkStart w:id="42" w:name="_Toc15377219"/>
      <w:bookmarkStart w:id="43" w:name="_Toc15396611"/>
      <w:r>
        <w:rPr>
          <w:rStyle w:val="30"/>
          <w:rFonts w:hint="eastAsia" w:ascii="黑体" w:hAnsi="黑体" w:eastAsia="黑体"/>
          <w:b w:val="0"/>
        </w:rPr>
        <w:t>国有资本经营预算支出决算情况说明</w:t>
      </w:r>
      <w:bookmarkEnd w:id="42"/>
      <w:bookmarkEnd w:id="43"/>
    </w:p>
    <w:p>
      <w:pPr>
        <w:spacing w:line="600" w:lineRule="exact"/>
        <w:ind w:firstLine="64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22年国有资本经营预算财政拨款支出0万元。</w:t>
      </w:r>
    </w:p>
    <w:p>
      <w:pPr>
        <w:spacing w:line="580" w:lineRule="exact"/>
        <w:jc w:val="center"/>
        <w:rPr>
          <w:rFonts w:ascii="方正小标宋简体" w:hAnsi="方正小标宋简体" w:eastAsia="方正小标宋简体" w:cs="方正小标宋简体"/>
          <w:sz w:val="44"/>
          <w:szCs w:val="44"/>
        </w:rPr>
      </w:pPr>
    </w:p>
    <w:p>
      <w:pPr>
        <w:numPr>
          <w:ilvl w:val="0"/>
          <w:numId w:val="3"/>
        </w:numPr>
        <w:spacing w:line="600" w:lineRule="exact"/>
        <w:ind w:firstLine="640"/>
        <w:outlineLvl w:val="1"/>
        <w:rPr>
          <w:rStyle w:val="30"/>
          <w:rFonts w:ascii="黑体" w:hAnsi="黑体" w:eastAsia="黑体"/>
          <w:b w:val="0"/>
        </w:rPr>
      </w:pPr>
      <w:bookmarkStart w:id="44" w:name="_Toc15377221"/>
      <w:bookmarkStart w:id="45" w:name="_Toc15396612"/>
      <w:r>
        <w:rPr>
          <w:rStyle w:val="30"/>
          <w:rFonts w:hint="eastAsia" w:ascii="黑体" w:hAnsi="黑体" w:eastAsia="黑体"/>
          <w:b w:val="0"/>
        </w:rPr>
        <w:t>其他重要事项的情况说明</w:t>
      </w:r>
      <w:bookmarkEnd w:id="44"/>
      <w:bookmarkEnd w:id="45"/>
    </w:p>
    <w:p>
      <w:pPr>
        <w:spacing w:line="600" w:lineRule="exact"/>
        <w:ind w:firstLine="643" w:firstLineChars="200"/>
        <w:outlineLvl w:val="2"/>
        <w:rPr>
          <w:rFonts w:ascii="仿宋" w:hAnsi="仿宋" w:eastAsia="仿宋"/>
          <w:sz w:val="32"/>
          <w:szCs w:val="32"/>
        </w:rPr>
      </w:pPr>
      <w:bookmarkStart w:id="46" w:name="_Toc15377222"/>
      <w:r>
        <w:rPr>
          <w:rFonts w:hint="eastAsia" w:ascii="仿宋" w:hAnsi="仿宋" w:eastAsia="仿宋"/>
          <w:b/>
          <w:sz w:val="32"/>
          <w:szCs w:val="32"/>
        </w:rPr>
        <w:t>（一）机关运行经费支出情况</w:t>
      </w:r>
      <w:bookmarkEnd w:id="46"/>
    </w:p>
    <w:p>
      <w:pPr>
        <w:spacing w:line="600" w:lineRule="exact"/>
        <w:ind w:firstLine="640" w:firstLineChars="20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22年，</w:t>
      </w:r>
      <w:r>
        <w:rPr>
          <w:rFonts w:ascii="仿宋_GB2312" w:eastAsia="仿宋_GB2312"/>
          <w:sz w:val="32"/>
          <w:szCs w:val="32"/>
        </w:rPr>
        <w:t>我局</w:t>
      </w:r>
      <w:r>
        <w:rPr>
          <w:rFonts w:hint="eastAsia" w:ascii="仿宋_GB2312" w:eastAsia="仿宋_GB2312"/>
          <w:sz w:val="32"/>
          <w:szCs w:val="32"/>
        </w:rPr>
        <w:t>机关运行经费支出107.45万元，比</w:t>
      </w:r>
      <w:r>
        <w:rPr>
          <w:rFonts w:ascii="仿宋_GB2312" w:eastAsia="仿宋_GB2312"/>
          <w:sz w:val="32"/>
          <w:szCs w:val="32"/>
        </w:rPr>
        <w:t>20</w:t>
      </w:r>
      <w:r>
        <w:rPr>
          <w:rFonts w:hint="eastAsia" w:ascii="仿宋_GB2312" w:eastAsia="仿宋_GB2312"/>
          <w:sz w:val="32"/>
          <w:szCs w:val="32"/>
        </w:rPr>
        <w:t>21年减少44.1万元，下降29.1</w:t>
      </w:r>
      <w:r>
        <w:rPr>
          <w:rFonts w:ascii="仿宋_GB2312" w:eastAsia="仿宋_GB2312"/>
          <w:sz w:val="32"/>
          <w:szCs w:val="32"/>
        </w:rPr>
        <w:t>%</w:t>
      </w:r>
      <w:r>
        <w:rPr>
          <w:rFonts w:hint="eastAsia" w:ascii="仿宋_GB2312" w:eastAsia="仿宋_GB2312"/>
          <w:sz w:val="32"/>
          <w:szCs w:val="32"/>
        </w:rPr>
        <w:t>。主要原因是主要原因是经费紧张，节约开支。</w:t>
      </w:r>
    </w:p>
    <w:p>
      <w:pPr>
        <w:autoSpaceDE w:val="0"/>
        <w:autoSpaceDN w:val="0"/>
        <w:adjustRightInd w:val="0"/>
        <w:spacing w:line="600" w:lineRule="exact"/>
        <w:ind w:firstLine="643" w:firstLineChars="200"/>
        <w:jc w:val="left"/>
        <w:outlineLvl w:val="2"/>
        <w:rPr>
          <w:rFonts w:ascii="仿宋" w:hAnsi="仿宋" w:eastAsia="仿宋"/>
          <w:b/>
          <w:sz w:val="32"/>
          <w:szCs w:val="32"/>
        </w:rPr>
      </w:pPr>
      <w:bookmarkStart w:id="47" w:name="_Toc15377223"/>
      <w:r>
        <w:rPr>
          <w:rFonts w:hint="eastAsia" w:ascii="仿宋" w:hAnsi="仿宋" w:eastAsia="仿宋"/>
          <w:b/>
          <w:sz w:val="32"/>
          <w:szCs w:val="32"/>
        </w:rPr>
        <w:t>（二）政府采购支出情况</w:t>
      </w:r>
      <w:bookmarkEnd w:id="47"/>
    </w:p>
    <w:p>
      <w:pPr>
        <w:spacing w:line="600" w:lineRule="exact"/>
        <w:ind w:firstLine="640" w:firstLineChars="20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22年，</w:t>
      </w:r>
      <w:r>
        <w:rPr>
          <w:rFonts w:ascii="仿宋_GB2312" w:eastAsia="仿宋_GB2312"/>
          <w:sz w:val="32"/>
          <w:szCs w:val="32"/>
        </w:rPr>
        <w:t>西区市场监管局</w:t>
      </w:r>
      <w:r>
        <w:rPr>
          <w:rFonts w:hint="eastAsia" w:ascii="仿宋_GB2312" w:eastAsia="仿宋_GB2312"/>
          <w:sz w:val="32"/>
          <w:szCs w:val="32"/>
        </w:rPr>
        <w:t>政府采购支出总额0万元，其中：政府采购货物支出0万元、政府采购工程支出0万元、政府采购服务支出0万元。</w:t>
      </w:r>
    </w:p>
    <w:p>
      <w:pPr>
        <w:autoSpaceDE w:val="0"/>
        <w:autoSpaceDN w:val="0"/>
        <w:adjustRightInd w:val="0"/>
        <w:spacing w:line="600" w:lineRule="exact"/>
        <w:ind w:firstLine="643" w:firstLineChars="200"/>
        <w:jc w:val="left"/>
        <w:outlineLvl w:val="2"/>
        <w:rPr>
          <w:rFonts w:ascii="仿宋" w:hAnsi="仿宋" w:eastAsia="仿宋"/>
          <w:b/>
          <w:sz w:val="32"/>
          <w:szCs w:val="32"/>
        </w:rPr>
      </w:pPr>
      <w:bookmarkStart w:id="48" w:name="_Toc15377224"/>
      <w:r>
        <w:rPr>
          <w:rFonts w:hint="eastAsia" w:ascii="仿宋" w:hAnsi="仿宋" w:eastAsia="仿宋"/>
          <w:b/>
          <w:sz w:val="32"/>
          <w:szCs w:val="32"/>
        </w:rPr>
        <w:t>（三）国有资产占有使用情况</w:t>
      </w:r>
      <w:bookmarkEnd w:id="48"/>
    </w:p>
    <w:p>
      <w:pPr>
        <w:autoSpaceDE w:val="0"/>
        <w:autoSpaceDN w:val="0"/>
        <w:adjustRightInd w:val="0"/>
        <w:snapToGrid w:val="0"/>
        <w:spacing w:line="550" w:lineRule="exact"/>
        <w:ind w:firstLine="640" w:firstLineChars="200"/>
        <w:jc w:val="left"/>
        <w:rPr>
          <w:rFonts w:ascii="仿宋" w:hAnsi="仿宋" w:eastAsia="仿宋"/>
          <w:b/>
          <w:sz w:val="32"/>
          <w:szCs w:val="32"/>
        </w:rPr>
      </w:pPr>
      <w:r>
        <w:rPr>
          <w:rFonts w:hint="eastAsia" w:ascii="仿宋_GB2312" w:eastAsia="仿宋_GB2312"/>
          <w:sz w:val="32"/>
          <w:szCs w:val="32"/>
        </w:rPr>
        <w:t>截至</w:t>
      </w:r>
      <w:r>
        <w:rPr>
          <w:rFonts w:ascii="仿宋_GB2312" w:eastAsia="仿宋_GB2312"/>
          <w:sz w:val="32"/>
          <w:szCs w:val="32"/>
        </w:rPr>
        <w:t>20</w:t>
      </w:r>
      <w:r>
        <w:rPr>
          <w:rFonts w:hint="eastAsia" w:ascii="仿宋_GB2312" w:eastAsia="仿宋_GB2312"/>
          <w:sz w:val="32"/>
          <w:szCs w:val="32"/>
        </w:rPr>
        <w:t>22年</w:t>
      </w:r>
      <w:r>
        <w:rPr>
          <w:rFonts w:ascii="仿宋_GB2312" w:eastAsia="仿宋_GB2312"/>
          <w:sz w:val="32"/>
          <w:szCs w:val="32"/>
        </w:rPr>
        <w:t>12</w:t>
      </w:r>
      <w:r>
        <w:rPr>
          <w:rFonts w:hint="eastAsia" w:ascii="仿宋_GB2312" w:eastAsia="仿宋_GB2312"/>
          <w:sz w:val="32"/>
          <w:szCs w:val="32"/>
        </w:rPr>
        <w:t>月</w:t>
      </w:r>
      <w:r>
        <w:rPr>
          <w:rFonts w:ascii="仿宋_GB2312" w:eastAsia="仿宋_GB2312"/>
          <w:sz w:val="32"/>
          <w:szCs w:val="32"/>
        </w:rPr>
        <w:t>31</w:t>
      </w:r>
      <w:r>
        <w:rPr>
          <w:rFonts w:hint="eastAsia" w:ascii="仿宋_GB2312" w:eastAsia="仿宋_GB2312"/>
          <w:sz w:val="32"/>
          <w:szCs w:val="32"/>
        </w:rPr>
        <w:t>日，</w:t>
      </w:r>
      <w:r>
        <w:rPr>
          <w:rFonts w:ascii="仿宋_GB2312" w:eastAsia="仿宋_GB2312"/>
          <w:sz w:val="32"/>
          <w:szCs w:val="32"/>
        </w:rPr>
        <w:t>西区市场监管局</w:t>
      </w:r>
      <w:r>
        <w:rPr>
          <w:rFonts w:hint="eastAsia" w:ascii="仿宋_GB2312" w:eastAsia="仿宋_GB2312"/>
          <w:sz w:val="32"/>
          <w:szCs w:val="32"/>
        </w:rPr>
        <w:t>区市场监管局共有车辆10辆，其中：其中：主要领导干部用车0辆、机要通信用车0辆、应急保障用车0辆、其他用车0辆，</w:t>
      </w:r>
      <w:r>
        <w:rPr>
          <w:rFonts w:hint="eastAsia" w:eastAsia="仿宋_GB2312"/>
          <w:sz w:val="32"/>
          <w:szCs w:val="32"/>
        </w:rPr>
        <w:t>执法执勤用车9辆、特种专业技术用车1辆。</w:t>
      </w:r>
      <w:r>
        <w:rPr>
          <w:rFonts w:hint="eastAsia" w:ascii="仿宋_GB2312" w:eastAsia="仿宋_GB2312"/>
          <w:sz w:val="32"/>
          <w:szCs w:val="32"/>
        </w:rPr>
        <w:t>单价</w:t>
      </w:r>
      <w:r>
        <w:rPr>
          <w:rFonts w:ascii="仿宋_GB2312" w:eastAsia="仿宋_GB2312"/>
          <w:sz w:val="32"/>
          <w:szCs w:val="32"/>
        </w:rPr>
        <w:t>100</w:t>
      </w:r>
      <w:r>
        <w:rPr>
          <w:rFonts w:hint="eastAsia" w:ascii="仿宋_GB2312" w:eastAsia="仿宋_GB2312"/>
          <w:sz w:val="32"/>
          <w:szCs w:val="32"/>
        </w:rPr>
        <w:t>万元以上专用设备0台（套）。</w:t>
      </w:r>
    </w:p>
    <w:p>
      <w:pPr>
        <w:autoSpaceDE w:val="0"/>
        <w:autoSpaceDN w:val="0"/>
        <w:adjustRightInd w:val="0"/>
        <w:spacing w:line="600" w:lineRule="exact"/>
        <w:ind w:firstLine="643" w:firstLineChars="200"/>
        <w:jc w:val="left"/>
        <w:outlineLvl w:val="2"/>
        <w:rPr>
          <w:rFonts w:ascii="仿宋" w:hAnsi="仿宋" w:eastAsia="仿宋"/>
          <w:b/>
          <w:sz w:val="32"/>
          <w:szCs w:val="32"/>
        </w:rPr>
      </w:pPr>
      <w:r>
        <w:rPr>
          <w:rFonts w:hint="eastAsia" w:ascii="仿宋" w:hAnsi="仿宋" w:eastAsia="仿宋"/>
          <w:b/>
          <w:sz w:val="32"/>
          <w:szCs w:val="32"/>
        </w:rPr>
        <w:t>（四）预算绩效管理情况</w:t>
      </w:r>
    </w:p>
    <w:p>
      <w:pPr>
        <w:widowControl/>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部门在2022年度预算编制阶段，组织对4项目（质量强区、民生计量、消费者维权保护经费、食品、药械化、特种设备等安全监管经费）等4个项目开展了预算事前绩效评估，对4个项目编制了绩效目标，预算执行过程中，选取4个项目开展绩效监控。</w:t>
      </w:r>
    </w:p>
    <w:p>
      <w:pPr>
        <w:widowControl/>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组织对2022年度一般公共预算、政府性基金预算、国有资本经营预算、社会保险基金预算以及资本资产、债券资金等全面开展绩效自评，形成2022西区市场监督管理局部门整体绩效自评报告，其中，攀枝花市西区市场监督管理局部门整体绩效自评报告绩效自评得分为90分，《2022年</w:t>
      </w:r>
      <w:r>
        <w:rPr>
          <w:rFonts w:ascii="仿宋_GB2312" w:hAnsi="仿宋_GB2312" w:eastAsia="仿宋_GB2312" w:cs="仿宋_GB2312"/>
          <w:sz w:val="32"/>
          <w:szCs w:val="32"/>
        </w:rPr>
        <w:t>攀枝花市</w:t>
      </w:r>
      <w:r>
        <w:rPr>
          <w:rFonts w:hint="eastAsia" w:ascii="仿宋_GB2312" w:hAnsi="仿宋_GB2312" w:eastAsia="仿宋_GB2312" w:cs="仿宋_GB2312"/>
          <w:sz w:val="32"/>
          <w:szCs w:val="32"/>
        </w:rPr>
        <w:t>西区市场监督管理局</w:t>
      </w:r>
      <w:r>
        <w:rPr>
          <w:rFonts w:ascii="仿宋_GB2312" w:hAnsi="仿宋_GB2312" w:eastAsia="仿宋_GB2312" w:cs="仿宋_GB2312"/>
          <w:sz w:val="32"/>
          <w:szCs w:val="32"/>
        </w:rPr>
        <w:t>部门整体绩效评价报告》</w:t>
      </w:r>
      <w:r>
        <w:rPr>
          <w:rFonts w:hint="eastAsia" w:ascii="仿宋_GB2312" w:hAnsi="仿宋_GB2312" w:eastAsia="仿宋_GB2312" w:cs="仿宋_GB2312"/>
          <w:sz w:val="32"/>
          <w:szCs w:val="32"/>
        </w:rPr>
        <w:t>详见第四部分附件</w:t>
      </w:r>
    </w:p>
    <w:p>
      <w:pPr>
        <w:widowControl/>
        <w:ind w:firstLine="880" w:firstLineChars="200"/>
        <w:jc w:val="left"/>
        <w:rPr>
          <w:rFonts w:hint="eastAsia" w:ascii="黑体" w:hAnsi="黑体" w:eastAsia="黑体"/>
          <w:sz w:val="44"/>
          <w:szCs w:val="44"/>
        </w:rPr>
      </w:pPr>
      <w:bookmarkStart w:id="49" w:name="_Toc15396613"/>
      <w:bookmarkStart w:id="50" w:name="_Toc15377225"/>
      <w:bookmarkStart w:id="51" w:name="_Toc15396614"/>
      <w:bookmarkStart w:id="52" w:name="_Toc15377226"/>
    </w:p>
    <w:p>
      <w:pPr>
        <w:widowControl/>
        <w:ind w:firstLine="880" w:firstLineChars="200"/>
        <w:jc w:val="left"/>
        <w:rPr>
          <w:rFonts w:hint="eastAsia" w:ascii="黑体" w:hAnsi="黑体" w:eastAsia="黑体"/>
          <w:sz w:val="44"/>
          <w:szCs w:val="44"/>
        </w:rPr>
      </w:pPr>
    </w:p>
    <w:p>
      <w:pPr>
        <w:widowControl/>
        <w:ind w:firstLine="880" w:firstLineChars="200"/>
        <w:jc w:val="left"/>
        <w:rPr>
          <w:rFonts w:hint="eastAsia" w:ascii="黑体" w:hAnsi="黑体" w:eastAsia="黑体"/>
          <w:sz w:val="44"/>
          <w:szCs w:val="44"/>
        </w:rPr>
      </w:pPr>
    </w:p>
    <w:p>
      <w:pPr>
        <w:widowControl/>
        <w:ind w:firstLine="880" w:firstLineChars="200"/>
        <w:jc w:val="left"/>
        <w:rPr>
          <w:rFonts w:hint="eastAsia" w:ascii="黑体" w:hAnsi="黑体" w:eastAsia="黑体"/>
          <w:sz w:val="44"/>
          <w:szCs w:val="44"/>
        </w:rPr>
      </w:pPr>
    </w:p>
    <w:p>
      <w:pPr>
        <w:widowControl/>
        <w:ind w:firstLine="880" w:firstLineChars="200"/>
        <w:jc w:val="left"/>
        <w:rPr>
          <w:rFonts w:hint="eastAsia" w:ascii="黑体" w:hAnsi="黑体" w:eastAsia="黑体"/>
          <w:sz w:val="44"/>
          <w:szCs w:val="44"/>
        </w:rPr>
      </w:pPr>
    </w:p>
    <w:p>
      <w:pPr>
        <w:widowControl/>
        <w:ind w:firstLine="880" w:firstLineChars="200"/>
        <w:jc w:val="left"/>
        <w:rPr>
          <w:rFonts w:hint="eastAsia" w:ascii="黑体" w:hAnsi="黑体" w:eastAsia="黑体"/>
          <w:sz w:val="44"/>
          <w:szCs w:val="44"/>
        </w:rPr>
      </w:pPr>
    </w:p>
    <w:p>
      <w:pPr>
        <w:widowControl/>
        <w:ind w:firstLine="880" w:firstLineChars="200"/>
        <w:jc w:val="left"/>
        <w:rPr>
          <w:rFonts w:hint="eastAsia" w:ascii="黑体" w:hAnsi="黑体" w:eastAsia="黑体"/>
          <w:sz w:val="44"/>
          <w:szCs w:val="44"/>
        </w:rPr>
      </w:pPr>
    </w:p>
    <w:p>
      <w:pPr>
        <w:widowControl/>
        <w:ind w:firstLine="880" w:firstLineChars="200"/>
        <w:jc w:val="left"/>
        <w:rPr>
          <w:rFonts w:hint="eastAsia" w:ascii="黑体" w:hAnsi="黑体" w:eastAsia="黑体"/>
          <w:sz w:val="44"/>
          <w:szCs w:val="44"/>
        </w:rPr>
      </w:pPr>
    </w:p>
    <w:p>
      <w:pPr>
        <w:widowControl/>
        <w:ind w:firstLine="880" w:firstLineChars="200"/>
        <w:jc w:val="left"/>
        <w:rPr>
          <w:rFonts w:hint="eastAsia" w:ascii="黑体" w:hAnsi="黑体" w:eastAsia="黑体"/>
          <w:sz w:val="44"/>
          <w:szCs w:val="44"/>
        </w:rPr>
      </w:pPr>
    </w:p>
    <w:p>
      <w:pPr>
        <w:widowControl/>
        <w:ind w:firstLine="880" w:firstLineChars="200"/>
        <w:jc w:val="left"/>
        <w:rPr>
          <w:rFonts w:hint="eastAsia" w:ascii="黑体" w:hAnsi="黑体" w:eastAsia="黑体"/>
          <w:sz w:val="44"/>
          <w:szCs w:val="44"/>
        </w:rPr>
      </w:pPr>
    </w:p>
    <w:p>
      <w:pPr>
        <w:widowControl/>
        <w:ind w:firstLine="880" w:firstLineChars="200"/>
        <w:jc w:val="left"/>
        <w:rPr>
          <w:rFonts w:hint="eastAsia" w:ascii="黑体" w:hAnsi="黑体" w:eastAsia="黑体"/>
          <w:sz w:val="44"/>
          <w:szCs w:val="44"/>
        </w:rPr>
      </w:pPr>
    </w:p>
    <w:p>
      <w:pPr>
        <w:widowControl/>
        <w:ind w:firstLine="880" w:firstLineChars="200"/>
        <w:jc w:val="left"/>
        <w:rPr>
          <w:rFonts w:hint="eastAsia" w:ascii="黑体" w:hAnsi="黑体" w:eastAsia="黑体"/>
          <w:sz w:val="44"/>
          <w:szCs w:val="44"/>
        </w:rPr>
      </w:pPr>
    </w:p>
    <w:p>
      <w:pPr>
        <w:widowControl/>
        <w:ind w:firstLine="880" w:firstLineChars="200"/>
        <w:jc w:val="left"/>
        <w:rPr>
          <w:rFonts w:hint="eastAsia" w:ascii="黑体" w:hAnsi="黑体" w:eastAsia="黑体"/>
          <w:sz w:val="44"/>
          <w:szCs w:val="44"/>
        </w:rPr>
      </w:pPr>
    </w:p>
    <w:p>
      <w:pPr>
        <w:widowControl/>
        <w:ind w:firstLine="880" w:firstLineChars="200"/>
        <w:jc w:val="left"/>
        <w:rPr>
          <w:rFonts w:hint="eastAsia" w:ascii="黑体" w:hAnsi="黑体" w:eastAsia="黑体"/>
          <w:sz w:val="44"/>
          <w:szCs w:val="44"/>
        </w:rPr>
      </w:pPr>
    </w:p>
    <w:p>
      <w:pPr>
        <w:widowControl/>
        <w:ind w:firstLine="880" w:firstLineChars="200"/>
        <w:jc w:val="left"/>
        <w:rPr>
          <w:rFonts w:hint="eastAsia" w:ascii="黑体" w:hAnsi="黑体" w:eastAsia="黑体"/>
          <w:sz w:val="44"/>
          <w:szCs w:val="44"/>
        </w:rPr>
      </w:pPr>
    </w:p>
    <w:p>
      <w:pPr>
        <w:widowControl/>
        <w:ind w:firstLine="880" w:firstLineChars="200"/>
        <w:jc w:val="left"/>
        <w:rPr>
          <w:rFonts w:hint="eastAsia" w:ascii="黑体" w:hAnsi="黑体" w:eastAsia="黑体"/>
          <w:sz w:val="44"/>
          <w:szCs w:val="44"/>
        </w:rPr>
      </w:pPr>
    </w:p>
    <w:p>
      <w:pPr>
        <w:widowControl/>
        <w:ind w:firstLine="880" w:firstLineChars="200"/>
        <w:jc w:val="left"/>
        <w:rPr>
          <w:rFonts w:hint="eastAsia" w:ascii="黑体" w:hAnsi="黑体" w:eastAsia="黑体"/>
          <w:sz w:val="44"/>
          <w:szCs w:val="44"/>
        </w:rPr>
      </w:pPr>
    </w:p>
    <w:p>
      <w:pPr>
        <w:widowControl/>
        <w:ind w:firstLine="880" w:firstLineChars="200"/>
        <w:jc w:val="left"/>
        <w:rPr>
          <w:rStyle w:val="29"/>
          <w:rFonts w:ascii="黑体" w:hAnsi="黑体" w:eastAsia="黑体"/>
          <w:b w:val="0"/>
        </w:rPr>
      </w:pPr>
      <w:r>
        <w:rPr>
          <w:rFonts w:hint="eastAsia" w:ascii="黑体" w:hAnsi="黑体" w:eastAsia="黑体"/>
          <w:sz w:val="44"/>
          <w:szCs w:val="44"/>
        </w:rPr>
        <w:t>名</w:t>
      </w:r>
      <w:r>
        <w:rPr>
          <w:rStyle w:val="29"/>
          <w:rFonts w:hint="eastAsia" w:ascii="黑体" w:hAnsi="黑体" w:eastAsia="黑体"/>
          <w:b w:val="0"/>
        </w:rPr>
        <w:t>词解释</w:t>
      </w:r>
      <w:bookmarkEnd w:id="49"/>
      <w:bookmarkEnd w:id="50"/>
    </w:p>
    <w:p>
      <w:pPr>
        <w:spacing w:line="600" w:lineRule="exact"/>
        <w:jc w:val="left"/>
        <w:rPr>
          <w:rFonts w:ascii="宋体"/>
          <w:b/>
          <w:sz w:val="44"/>
          <w:szCs w:val="44"/>
        </w:rPr>
      </w:pPr>
    </w:p>
    <w:p>
      <w:pPr>
        <w:pStyle w:val="27"/>
        <w:snapToGrid w:val="0"/>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1.财政拨款收入：指单位从同级财政部门取得的财政预算资金。</w:t>
      </w:r>
    </w:p>
    <w:p>
      <w:pPr>
        <w:pStyle w:val="27"/>
        <w:snapToGrid w:val="0"/>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2.其他收入：指单位取得的除上述收入以外的各项收入。</w:t>
      </w:r>
    </w:p>
    <w:p>
      <w:pPr>
        <w:pStyle w:val="27"/>
        <w:snapToGrid w:val="0"/>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3.一般公共服务（类）纪检监察事务（款）其他纪检监察事务支出（项）:反映其他纪检监察事务方面的支出。</w:t>
      </w:r>
    </w:p>
    <w:p>
      <w:pPr>
        <w:pStyle w:val="27"/>
        <w:snapToGrid w:val="0"/>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4. 一般公共服务（类）市场监督管理事务（款）行政运行（项）：反映行政单位（包括公务员管理的事业单位）的基本支出。</w:t>
      </w:r>
    </w:p>
    <w:p>
      <w:pPr>
        <w:adjustRightInd w:val="0"/>
        <w:snapToGrid w:val="0"/>
        <w:spacing w:line="540" w:lineRule="exact"/>
        <w:ind w:firstLine="640" w:firstLineChars="200"/>
        <w:rPr>
          <w:rStyle w:val="17"/>
          <w:rFonts w:ascii="仿宋_GB2312" w:eastAsia="仿宋_GB2312"/>
          <w:b w:val="0"/>
          <w:bCs/>
          <w:sz w:val="32"/>
          <w:szCs w:val="32"/>
        </w:rPr>
      </w:pPr>
      <w:r>
        <w:rPr>
          <w:rStyle w:val="17"/>
          <w:rFonts w:hint="eastAsia" w:ascii="仿宋_GB2312" w:eastAsia="仿宋_GB2312"/>
          <w:b w:val="0"/>
          <w:bCs/>
          <w:sz w:val="32"/>
          <w:szCs w:val="32"/>
        </w:rPr>
        <w:t xml:space="preserve">5.一般公共服务（类）市场监督管理事务（款）一般行政管理事务（项）: </w:t>
      </w:r>
      <w:r>
        <w:rPr>
          <w:rFonts w:hint="eastAsia" w:ascii="仿宋_GB2312" w:eastAsia="仿宋_GB2312"/>
          <w:sz w:val="32"/>
          <w:szCs w:val="32"/>
        </w:rPr>
        <w:t>反映行政单位（包括公务员管理的事业单位）未单独设置项级科目的其他项目支出。</w:t>
      </w:r>
    </w:p>
    <w:p>
      <w:pPr>
        <w:pStyle w:val="27"/>
        <w:snapToGrid w:val="0"/>
        <w:spacing w:line="540" w:lineRule="exact"/>
        <w:ind w:firstLine="640" w:firstLineChars="200"/>
        <w:rPr>
          <w:rStyle w:val="17"/>
          <w:rFonts w:ascii="仿宋_GB2312" w:eastAsia="仿宋_GB2312"/>
          <w:b w:val="0"/>
          <w:bCs/>
          <w:color w:val="auto"/>
          <w:sz w:val="32"/>
          <w:szCs w:val="32"/>
        </w:rPr>
      </w:pPr>
      <w:r>
        <w:rPr>
          <w:rStyle w:val="17"/>
          <w:rFonts w:hint="eastAsia" w:ascii="仿宋_GB2312" w:eastAsia="仿宋_GB2312"/>
          <w:b w:val="0"/>
          <w:bCs/>
          <w:color w:val="auto"/>
          <w:sz w:val="32"/>
          <w:szCs w:val="32"/>
        </w:rPr>
        <w:t>6.一般公共服务（类）市场监督管理事务（款）市场监督管理专项（项）:反映从事市场监督管理专项业务方面的支出。</w:t>
      </w:r>
    </w:p>
    <w:p>
      <w:pPr>
        <w:adjustRightInd w:val="0"/>
        <w:snapToGrid w:val="0"/>
        <w:spacing w:line="540" w:lineRule="exact"/>
        <w:ind w:firstLine="640" w:firstLineChars="200"/>
        <w:rPr>
          <w:rStyle w:val="17"/>
          <w:rFonts w:ascii="仿宋_GB2312" w:eastAsia="仿宋_GB2312"/>
          <w:b w:val="0"/>
          <w:bCs/>
          <w:sz w:val="32"/>
          <w:szCs w:val="32"/>
        </w:rPr>
      </w:pPr>
      <w:r>
        <w:rPr>
          <w:rStyle w:val="17"/>
          <w:rFonts w:hint="eastAsia" w:ascii="仿宋_GB2312" w:eastAsia="仿宋_GB2312"/>
          <w:b w:val="0"/>
          <w:bCs/>
          <w:sz w:val="32"/>
          <w:szCs w:val="32"/>
        </w:rPr>
        <w:t>7.一般公共服务（类）市场监督管理事务（款）市场监管执法（项）: 反映市场监督管理部门依法开展各类执法(含食品、约品、物价等)活动、查处各类经济违法案件的专项工作支出。</w:t>
      </w:r>
    </w:p>
    <w:p>
      <w:pPr>
        <w:adjustRightInd w:val="0"/>
        <w:snapToGrid w:val="0"/>
        <w:spacing w:line="540" w:lineRule="exact"/>
        <w:ind w:firstLine="640" w:firstLineChars="200"/>
        <w:rPr>
          <w:rStyle w:val="17"/>
          <w:rFonts w:ascii="仿宋_GB2312" w:eastAsia="仿宋_GB2312"/>
          <w:b w:val="0"/>
          <w:bCs/>
          <w:sz w:val="32"/>
          <w:szCs w:val="32"/>
        </w:rPr>
      </w:pPr>
      <w:r>
        <w:rPr>
          <w:rStyle w:val="17"/>
          <w:rFonts w:hint="eastAsia" w:ascii="仿宋_GB2312" w:eastAsia="仿宋_GB2312"/>
          <w:b w:val="0"/>
          <w:bCs/>
          <w:sz w:val="32"/>
          <w:szCs w:val="32"/>
        </w:rPr>
        <w:t>8.一般公共服务（类）市场监督管理事务（款）消费者权益保护（项）: 反映市场监督部门依法打击侵害消费者权益行为的专项支出。</w:t>
      </w:r>
    </w:p>
    <w:p>
      <w:pPr>
        <w:adjustRightInd w:val="0"/>
        <w:snapToGrid w:val="0"/>
        <w:spacing w:line="540" w:lineRule="exact"/>
        <w:ind w:firstLine="640" w:firstLineChars="200"/>
        <w:rPr>
          <w:rStyle w:val="17"/>
          <w:rFonts w:ascii="仿宋_GB2312" w:eastAsia="仿宋_GB2312"/>
          <w:b w:val="0"/>
          <w:bCs/>
          <w:sz w:val="32"/>
          <w:szCs w:val="32"/>
        </w:rPr>
      </w:pPr>
      <w:r>
        <w:rPr>
          <w:rStyle w:val="17"/>
          <w:rFonts w:hint="eastAsia" w:ascii="仿宋_GB2312" w:eastAsia="仿宋_GB2312"/>
          <w:b w:val="0"/>
          <w:bCs/>
          <w:sz w:val="32"/>
          <w:szCs w:val="32"/>
        </w:rPr>
        <w:t>9.一般公共服务（类）市场监督管理事务（款）药品事务（项）:反映用于药品( 含中药、民族药)监督管理方面的支出。</w:t>
      </w:r>
    </w:p>
    <w:p>
      <w:pPr>
        <w:adjustRightInd w:val="0"/>
        <w:snapToGrid w:val="0"/>
        <w:spacing w:line="540" w:lineRule="exact"/>
        <w:ind w:firstLine="640" w:firstLineChars="200"/>
        <w:rPr>
          <w:rStyle w:val="17"/>
          <w:rFonts w:ascii="仿宋_GB2312" w:eastAsia="仿宋_GB2312"/>
          <w:b w:val="0"/>
          <w:bCs/>
          <w:sz w:val="32"/>
          <w:szCs w:val="32"/>
        </w:rPr>
      </w:pPr>
      <w:r>
        <w:rPr>
          <w:rStyle w:val="17"/>
          <w:rFonts w:hint="eastAsia" w:ascii="仿宋_GB2312" w:eastAsia="仿宋_GB2312"/>
          <w:b w:val="0"/>
          <w:bCs/>
          <w:sz w:val="32"/>
          <w:szCs w:val="32"/>
        </w:rPr>
        <w:t xml:space="preserve">10.一般公共服务（类）市场监督管理事务（款）事业运行（项）: </w:t>
      </w:r>
      <w:r>
        <w:rPr>
          <w:rFonts w:hint="eastAsia" w:ascii="仿宋_GB2312" w:eastAsia="仿宋_GB2312"/>
          <w:sz w:val="32"/>
          <w:szCs w:val="32"/>
        </w:rPr>
        <w:t>指用于事业单位的基本支出。</w:t>
      </w:r>
    </w:p>
    <w:p>
      <w:pPr>
        <w:adjustRightInd w:val="0"/>
        <w:snapToGrid w:val="0"/>
        <w:spacing w:line="540" w:lineRule="exact"/>
        <w:ind w:firstLine="640" w:firstLineChars="200"/>
        <w:rPr>
          <w:rStyle w:val="17"/>
          <w:rFonts w:ascii="仿宋_GB2312" w:eastAsia="仿宋_GB2312"/>
          <w:b w:val="0"/>
          <w:bCs/>
          <w:sz w:val="32"/>
          <w:szCs w:val="32"/>
        </w:rPr>
      </w:pPr>
      <w:r>
        <w:rPr>
          <w:rStyle w:val="17"/>
          <w:rFonts w:hint="eastAsia" w:ascii="仿宋_GB2312" w:eastAsia="仿宋_GB2312"/>
          <w:b w:val="0"/>
          <w:bCs/>
          <w:sz w:val="32"/>
          <w:szCs w:val="32"/>
        </w:rPr>
        <w:t>11.一般公共服务（类）市场监督管理事务（款）其他市场监督管理事务（项）: 指反映用于除上述项目以外其他市场监督管理事务方面的支出。</w:t>
      </w:r>
    </w:p>
    <w:p>
      <w:pPr>
        <w:pStyle w:val="27"/>
        <w:snapToGrid w:val="0"/>
        <w:spacing w:line="540" w:lineRule="exact"/>
        <w:ind w:firstLine="640" w:firstLineChars="200"/>
        <w:rPr>
          <w:rFonts w:ascii="仿宋_GB2312" w:eastAsia="仿宋_GB2312"/>
          <w:color w:val="auto"/>
          <w:sz w:val="32"/>
          <w:szCs w:val="32"/>
        </w:rPr>
      </w:pPr>
      <w:r>
        <w:rPr>
          <w:rStyle w:val="17"/>
          <w:rFonts w:hint="eastAsia" w:ascii="仿宋_GB2312" w:eastAsia="仿宋_GB2312"/>
          <w:b w:val="0"/>
          <w:bCs/>
          <w:color w:val="auto"/>
          <w:sz w:val="32"/>
          <w:szCs w:val="32"/>
        </w:rPr>
        <w:t>12.社会保障和就业（类）行政事业单位离退休（款）未归口管理的行政单位离退休（项）:</w:t>
      </w:r>
      <w:r>
        <w:rPr>
          <w:rFonts w:hint="eastAsia" w:ascii="仿宋_GB2312" w:eastAsia="仿宋_GB2312"/>
          <w:color w:val="auto"/>
          <w:sz w:val="32"/>
          <w:szCs w:val="32"/>
        </w:rPr>
        <w:t xml:space="preserve"> 指未实行归口管理的行政单位（包括实行公务员管理的事业单位 ）开支的离退休支出。</w:t>
      </w:r>
    </w:p>
    <w:p>
      <w:pPr>
        <w:adjustRightInd w:val="0"/>
        <w:snapToGrid w:val="0"/>
        <w:spacing w:line="540" w:lineRule="exact"/>
        <w:ind w:firstLine="640" w:firstLineChars="200"/>
        <w:rPr>
          <w:rStyle w:val="17"/>
          <w:rFonts w:ascii="仿宋_GB2312" w:eastAsia="仿宋_GB2312"/>
          <w:b w:val="0"/>
          <w:bCs/>
          <w:sz w:val="32"/>
          <w:szCs w:val="32"/>
        </w:rPr>
      </w:pPr>
      <w:r>
        <w:rPr>
          <w:rStyle w:val="17"/>
          <w:rFonts w:hint="eastAsia" w:ascii="仿宋_GB2312" w:eastAsia="仿宋_GB2312"/>
          <w:b w:val="0"/>
          <w:bCs/>
          <w:sz w:val="32"/>
          <w:szCs w:val="32"/>
        </w:rPr>
        <w:t xml:space="preserve">13.社会保障和就业（类）行政事业单位离退休（款）机关事业单位基本养老保险缴费支出（项）: </w:t>
      </w:r>
      <w:r>
        <w:rPr>
          <w:rFonts w:hint="eastAsia" w:ascii="仿宋_GB2312" w:eastAsia="仿宋_GB2312"/>
          <w:sz w:val="32"/>
          <w:szCs w:val="32"/>
        </w:rPr>
        <w:t>指机关事业单位实施养老保险制度由单位缴纳的基本养老保险支出。</w:t>
      </w:r>
    </w:p>
    <w:p>
      <w:pPr>
        <w:adjustRightInd w:val="0"/>
        <w:snapToGrid w:val="0"/>
        <w:spacing w:line="540" w:lineRule="exact"/>
        <w:ind w:firstLine="640" w:firstLineChars="200"/>
        <w:rPr>
          <w:rStyle w:val="17"/>
          <w:rFonts w:ascii="仿宋_GB2312" w:eastAsia="仿宋_GB2312"/>
          <w:b w:val="0"/>
          <w:bCs/>
          <w:sz w:val="32"/>
          <w:szCs w:val="32"/>
        </w:rPr>
      </w:pPr>
      <w:r>
        <w:rPr>
          <w:rStyle w:val="17"/>
          <w:rFonts w:hint="eastAsia" w:ascii="仿宋_GB2312" w:eastAsia="仿宋_GB2312"/>
          <w:b w:val="0"/>
          <w:bCs/>
          <w:sz w:val="32"/>
          <w:szCs w:val="32"/>
        </w:rPr>
        <w:t xml:space="preserve">14.社会保障和就业（类）行政事业单位离退休（款）机关事业单位职业年金缴费支出（项）: </w:t>
      </w:r>
      <w:r>
        <w:rPr>
          <w:rFonts w:hint="eastAsia" w:ascii="仿宋_GB2312" w:eastAsia="仿宋_GB2312"/>
          <w:sz w:val="32"/>
          <w:szCs w:val="32"/>
        </w:rPr>
        <w:t>反映机关事业单位实施养老保险制度由单位实际缴纳的职业年金支出。</w:t>
      </w:r>
    </w:p>
    <w:p>
      <w:pPr>
        <w:adjustRightInd w:val="0"/>
        <w:snapToGrid w:val="0"/>
        <w:spacing w:line="540" w:lineRule="exact"/>
        <w:ind w:firstLine="640" w:firstLineChars="200"/>
        <w:rPr>
          <w:rStyle w:val="17"/>
          <w:rFonts w:ascii="仿宋_GB2312" w:eastAsia="仿宋_GB2312"/>
          <w:b w:val="0"/>
          <w:bCs/>
          <w:sz w:val="32"/>
          <w:szCs w:val="32"/>
        </w:rPr>
      </w:pPr>
      <w:r>
        <w:rPr>
          <w:rStyle w:val="17"/>
          <w:rFonts w:hint="eastAsia" w:ascii="仿宋_GB2312" w:eastAsia="仿宋_GB2312"/>
          <w:b w:val="0"/>
          <w:bCs/>
          <w:sz w:val="32"/>
          <w:szCs w:val="32"/>
        </w:rPr>
        <w:t xml:space="preserve">15.社会保障和就业（类）抚恤（款）死亡抚恤（项）: </w:t>
      </w:r>
      <w:r>
        <w:rPr>
          <w:rFonts w:hint="eastAsia" w:ascii="仿宋_GB2312" w:eastAsia="仿宋_GB2312"/>
          <w:sz w:val="32"/>
          <w:szCs w:val="32"/>
        </w:rPr>
        <w:t>指按规定用于烈士和牺牲、病故人员家属的一次性和定期抚恤金以及丧葬补助费。</w:t>
      </w:r>
    </w:p>
    <w:p>
      <w:pPr>
        <w:adjustRightInd w:val="0"/>
        <w:snapToGrid w:val="0"/>
        <w:spacing w:line="540" w:lineRule="exact"/>
        <w:ind w:firstLine="640" w:firstLineChars="200"/>
        <w:rPr>
          <w:rFonts w:ascii="仿宋_GB2312" w:eastAsia="仿宋_GB2312"/>
          <w:sz w:val="32"/>
          <w:szCs w:val="32"/>
        </w:rPr>
      </w:pPr>
      <w:r>
        <w:rPr>
          <w:rFonts w:hint="eastAsia" w:ascii="仿宋_GB2312" w:eastAsia="仿宋_GB2312"/>
          <w:sz w:val="32"/>
          <w:szCs w:val="32"/>
        </w:rPr>
        <w:t>16.卫生健康支出（类）行政事业单位医疗（款）行政单位医疗（项）：反映财政部门安排的行政单位（包括实行公务员管理的事业单位，下同）基本医疗保险缴费经费，未参加医疗保险的行政单位的公费医疗经费，按国家规定享受离休人员、红军老战士待遇人员的医疗经费。</w:t>
      </w:r>
    </w:p>
    <w:p>
      <w:pPr>
        <w:adjustRightInd w:val="0"/>
        <w:snapToGrid w:val="0"/>
        <w:spacing w:line="540" w:lineRule="exact"/>
        <w:ind w:firstLine="640" w:firstLineChars="200"/>
        <w:rPr>
          <w:rFonts w:ascii="仿宋_GB2312" w:eastAsia="仿宋_GB2312"/>
          <w:sz w:val="32"/>
          <w:szCs w:val="32"/>
        </w:rPr>
      </w:pPr>
      <w:r>
        <w:rPr>
          <w:rFonts w:hint="eastAsia" w:ascii="仿宋_GB2312" w:eastAsia="仿宋_GB2312"/>
          <w:sz w:val="32"/>
          <w:szCs w:val="32"/>
        </w:rPr>
        <w:t>17.卫生健康支出（类）行政事业单位医疗（款）事业单位医疗（项）：反映财政部门安排的事业单位基本医疗保险缴费经费，未参加医疗保险的事业单位的公费医疗经费，按国家规定享受离休人员待遇的医疗经费。</w:t>
      </w:r>
    </w:p>
    <w:p>
      <w:pPr>
        <w:pStyle w:val="27"/>
        <w:snapToGrid w:val="0"/>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18.</w:t>
      </w:r>
      <w:r>
        <w:rPr>
          <w:rFonts w:hint="eastAsia" w:ascii="仿宋_GB2312" w:eastAsia="仿宋_GB2312"/>
          <w:bCs/>
          <w:color w:val="auto"/>
          <w:sz w:val="32"/>
          <w:szCs w:val="32"/>
        </w:rPr>
        <w:t>住房保障</w:t>
      </w:r>
      <w:r>
        <w:rPr>
          <w:rStyle w:val="17"/>
          <w:rFonts w:hint="eastAsia" w:ascii="仿宋_GB2312" w:eastAsia="仿宋_GB2312"/>
          <w:b w:val="0"/>
          <w:bCs/>
          <w:color w:val="auto"/>
          <w:sz w:val="32"/>
          <w:szCs w:val="32"/>
        </w:rPr>
        <w:t>（类）住房改革支出（款）住房公积金（项）:</w:t>
      </w:r>
      <w:r>
        <w:rPr>
          <w:rFonts w:hint="eastAsia" w:ascii="仿宋_GB2312" w:eastAsia="仿宋_GB2312"/>
          <w:color w:val="auto"/>
          <w:sz w:val="32"/>
          <w:szCs w:val="32"/>
        </w:rPr>
        <w:t xml:space="preserve"> 指行政事业单位按人力资源和社会保障部、财政部规定的基本工资和津贴补贴以及按规定比例为职工缴纳的住房公积金。</w:t>
      </w:r>
    </w:p>
    <w:p>
      <w:pPr>
        <w:adjustRightInd w:val="0"/>
        <w:snapToGrid w:val="0"/>
        <w:spacing w:line="540" w:lineRule="exact"/>
        <w:ind w:firstLine="640" w:firstLineChars="200"/>
        <w:rPr>
          <w:rFonts w:ascii="仿宋_GB2312" w:eastAsia="仿宋_GB2312"/>
          <w:sz w:val="32"/>
          <w:szCs w:val="32"/>
        </w:rPr>
      </w:pPr>
      <w:r>
        <w:rPr>
          <w:rFonts w:hint="eastAsia" w:ascii="仿宋_GB2312" w:eastAsia="仿宋_GB2312"/>
          <w:sz w:val="32"/>
          <w:szCs w:val="32"/>
        </w:rPr>
        <w:t>19.基本支出：指为保障机构正常运转、完成日常工作任务而发生的人员支出和公用支出。</w:t>
      </w:r>
    </w:p>
    <w:p>
      <w:pPr>
        <w:adjustRightInd w:val="0"/>
        <w:snapToGrid w:val="0"/>
        <w:spacing w:line="540" w:lineRule="exact"/>
        <w:ind w:firstLine="640" w:firstLineChars="200"/>
        <w:rPr>
          <w:rFonts w:ascii="仿宋_GB2312" w:eastAsia="仿宋_GB2312"/>
          <w:sz w:val="32"/>
          <w:szCs w:val="32"/>
        </w:rPr>
      </w:pPr>
      <w:r>
        <w:rPr>
          <w:rFonts w:hint="eastAsia" w:ascii="仿宋_GB2312" w:eastAsia="仿宋_GB2312"/>
          <w:sz w:val="32"/>
          <w:szCs w:val="32"/>
        </w:rPr>
        <w:t xml:space="preserve">20.项目支出：指在基本支出之外为完成特定行政任务和事业发展目标所发生的支出。 </w:t>
      </w:r>
    </w:p>
    <w:p>
      <w:pPr>
        <w:pStyle w:val="27"/>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21.“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7"/>
        <w:spacing w:line="56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22.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600" w:lineRule="exact"/>
        <w:jc w:val="center"/>
        <w:outlineLvl w:val="0"/>
        <w:rPr>
          <w:rFonts w:hint="eastAsia" w:ascii="黑体" w:hAnsi="黑体" w:eastAsia="黑体"/>
          <w:sz w:val="44"/>
          <w:szCs w:val="44"/>
        </w:rPr>
      </w:pPr>
    </w:p>
    <w:p>
      <w:pPr>
        <w:spacing w:line="600" w:lineRule="exact"/>
        <w:jc w:val="center"/>
        <w:outlineLvl w:val="0"/>
        <w:rPr>
          <w:rStyle w:val="29"/>
          <w:rFonts w:ascii="黑体" w:hAnsi="黑体" w:eastAsia="黑体"/>
          <w:b w:val="0"/>
        </w:rPr>
      </w:pPr>
      <w:r>
        <w:rPr>
          <w:rFonts w:hint="eastAsia" w:ascii="黑体" w:hAnsi="黑体" w:eastAsia="黑体"/>
          <w:sz w:val="44"/>
          <w:szCs w:val="44"/>
        </w:rPr>
        <w:t>第</w:t>
      </w:r>
      <w:r>
        <w:rPr>
          <w:rStyle w:val="29"/>
          <w:rFonts w:hint="eastAsia" w:ascii="黑体" w:hAnsi="黑体" w:eastAsia="黑体"/>
          <w:b w:val="0"/>
        </w:rPr>
        <w:t>四部分 附件</w:t>
      </w:r>
      <w:bookmarkEnd w:id="51"/>
    </w:p>
    <w:p>
      <w:pPr>
        <w:spacing w:line="572" w:lineRule="exact"/>
        <w:jc w:val="left"/>
        <w:outlineLvl w:val="0"/>
        <w:rPr>
          <w:rFonts w:ascii="方正小标宋简体" w:hAnsi="方正小标宋简体" w:eastAsia="方正小标宋简体" w:cs="方正小标宋简体"/>
          <w:sz w:val="44"/>
          <w:szCs w:val="44"/>
        </w:rPr>
      </w:pPr>
      <w:r>
        <w:rPr>
          <w:rFonts w:hint="eastAsia" w:ascii="黑体" w:hAnsi="黑体" w:eastAsia="黑体" w:cs="黑体"/>
          <w:sz w:val="32"/>
          <w:szCs w:val="32"/>
        </w:rPr>
        <w:t>附件</w:t>
      </w:r>
    </w:p>
    <w:p>
      <w:pPr>
        <w:widowControl/>
        <w:spacing w:line="580" w:lineRule="exact"/>
        <w:contextualSpacing/>
        <w:jc w:val="center"/>
        <w:rPr>
          <w:b/>
          <w:sz w:val="44"/>
          <w:szCs w:val="44"/>
          <w:shd w:val="clear" w:color="auto" w:fill="FFFFFF"/>
        </w:rPr>
      </w:pPr>
      <w:bookmarkStart w:id="53" w:name="_Toc15396618"/>
      <w:r>
        <w:rPr>
          <w:b/>
          <w:sz w:val="44"/>
          <w:szCs w:val="44"/>
          <w:shd w:val="clear" w:color="auto" w:fill="FFFFFF"/>
        </w:rPr>
        <w:t>攀枝花市西区市场监督管理局</w:t>
      </w:r>
    </w:p>
    <w:p>
      <w:pPr>
        <w:widowControl/>
        <w:spacing w:line="580" w:lineRule="exact"/>
        <w:contextualSpacing/>
        <w:jc w:val="center"/>
        <w:rPr>
          <w:b/>
          <w:sz w:val="44"/>
          <w:szCs w:val="44"/>
          <w:shd w:val="clear" w:color="auto" w:fill="FFFFFF"/>
        </w:rPr>
      </w:pPr>
      <w:r>
        <w:rPr>
          <w:b/>
          <w:sz w:val="44"/>
          <w:szCs w:val="44"/>
          <w:shd w:val="clear" w:color="auto" w:fill="FFFFFF"/>
        </w:rPr>
        <w:t>202</w:t>
      </w:r>
      <w:r>
        <w:rPr>
          <w:rFonts w:hint="eastAsia"/>
          <w:b/>
          <w:sz w:val="44"/>
          <w:szCs w:val="44"/>
          <w:shd w:val="clear" w:color="auto" w:fill="FFFFFF"/>
        </w:rPr>
        <w:t>2</w:t>
      </w:r>
      <w:r>
        <w:rPr>
          <w:b/>
          <w:sz w:val="44"/>
          <w:szCs w:val="44"/>
          <w:shd w:val="clear" w:color="auto" w:fill="FFFFFF"/>
        </w:rPr>
        <w:t>年</w:t>
      </w:r>
      <w:r>
        <w:rPr>
          <w:rFonts w:hint="eastAsia"/>
          <w:b/>
          <w:sz w:val="44"/>
          <w:szCs w:val="44"/>
          <w:shd w:val="clear" w:color="auto" w:fill="FFFFFF"/>
        </w:rPr>
        <w:t>区</w:t>
      </w:r>
      <w:r>
        <w:rPr>
          <w:b/>
          <w:sz w:val="44"/>
          <w:szCs w:val="44"/>
          <w:shd w:val="clear" w:color="auto" w:fill="FFFFFF"/>
        </w:rPr>
        <w:t>级部门整体支出</w:t>
      </w:r>
    </w:p>
    <w:p>
      <w:pPr>
        <w:widowControl/>
        <w:spacing w:line="580" w:lineRule="exact"/>
        <w:contextualSpacing/>
        <w:jc w:val="center"/>
        <w:rPr>
          <w:b/>
          <w:sz w:val="44"/>
          <w:szCs w:val="44"/>
          <w:shd w:val="clear" w:color="auto" w:fill="FFFFFF"/>
        </w:rPr>
      </w:pPr>
      <w:r>
        <w:rPr>
          <w:b/>
          <w:sz w:val="44"/>
          <w:szCs w:val="44"/>
          <w:shd w:val="clear" w:color="auto" w:fill="FFFFFF"/>
        </w:rPr>
        <w:t>绩效评价报告</w:t>
      </w:r>
    </w:p>
    <w:p>
      <w:pPr>
        <w:widowControl/>
        <w:adjustRightInd w:val="0"/>
        <w:snapToGrid w:val="0"/>
        <w:spacing w:line="580" w:lineRule="exact"/>
        <w:ind w:firstLine="480" w:firstLineChars="200"/>
        <w:contextualSpacing/>
        <w:jc w:val="left"/>
        <w:rPr>
          <w:rFonts w:eastAsia="黑体"/>
          <w:color w:val="000000"/>
          <w:kern w:val="0"/>
          <w:sz w:val="24"/>
          <w:szCs w:val="32"/>
          <w:shd w:val="clear" w:color="auto" w:fill="FFFFFF"/>
        </w:rPr>
      </w:pPr>
    </w:p>
    <w:p>
      <w:pPr>
        <w:widowControl/>
        <w:adjustRightInd w:val="0"/>
        <w:snapToGrid w:val="0"/>
        <w:spacing w:line="580" w:lineRule="exact"/>
        <w:ind w:firstLine="640" w:firstLineChars="200"/>
        <w:contextualSpacing/>
        <w:jc w:val="left"/>
        <w:rPr>
          <w:rFonts w:ascii="仿宋_GB2312" w:eastAsia="仿宋_GB2312"/>
          <w:color w:val="000000"/>
          <w:kern w:val="0"/>
          <w:sz w:val="32"/>
          <w:szCs w:val="32"/>
          <w:shd w:val="clear" w:color="auto" w:fill="FFFFFF"/>
          <w:lang w:val="zh-CN"/>
        </w:rPr>
      </w:pPr>
      <w:r>
        <w:rPr>
          <w:rFonts w:hint="eastAsia" w:ascii="仿宋_GB2312" w:eastAsia="仿宋_GB2312"/>
          <w:color w:val="000000"/>
          <w:kern w:val="0"/>
          <w:sz w:val="32"/>
          <w:szCs w:val="32"/>
          <w:shd w:val="clear" w:color="auto" w:fill="FFFFFF"/>
        </w:rPr>
        <w:t>一、</w:t>
      </w:r>
      <w:r>
        <w:rPr>
          <w:rFonts w:hint="eastAsia" w:ascii="仿宋_GB2312" w:eastAsia="仿宋_GB2312"/>
          <w:color w:val="000000"/>
          <w:kern w:val="0"/>
          <w:sz w:val="32"/>
          <w:szCs w:val="32"/>
          <w:shd w:val="clear" w:color="auto" w:fill="FFFFFF"/>
          <w:lang w:val="zh-CN"/>
        </w:rPr>
        <w:t>部门（单位）概况</w:t>
      </w:r>
    </w:p>
    <w:p>
      <w:pPr>
        <w:widowControl/>
        <w:adjustRightInd w:val="0"/>
        <w:snapToGrid w:val="0"/>
        <w:spacing w:line="580" w:lineRule="exact"/>
        <w:ind w:firstLine="640" w:firstLineChars="200"/>
        <w:contextualSpacing/>
        <w:jc w:val="left"/>
        <w:rPr>
          <w:rFonts w:ascii="仿宋_GB2312" w:eastAsia="仿宋_GB2312"/>
          <w:color w:val="000000"/>
          <w:kern w:val="0"/>
          <w:sz w:val="32"/>
          <w:szCs w:val="32"/>
          <w:shd w:val="clear" w:color="auto" w:fill="FFFFFF"/>
          <w:lang w:val="zh-CN"/>
        </w:rPr>
      </w:pPr>
      <w:r>
        <w:rPr>
          <w:rFonts w:hint="eastAsia" w:ascii="仿宋_GB2312" w:eastAsia="仿宋_GB2312"/>
          <w:color w:val="000000"/>
          <w:kern w:val="0"/>
          <w:sz w:val="32"/>
          <w:szCs w:val="32"/>
          <w:shd w:val="clear" w:color="auto" w:fill="FFFFFF"/>
          <w:lang w:val="zh-CN"/>
        </w:rPr>
        <w:t>（一）机构组成。</w:t>
      </w:r>
    </w:p>
    <w:p>
      <w:pPr>
        <w:adjustRightInd w:val="0"/>
        <w:snapToGrid w:val="0"/>
        <w:spacing w:line="353" w:lineRule="auto"/>
        <w:ind w:firstLine="640" w:firstLineChars="200"/>
        <w:rPr>
          <w:rFonts w:ascii="仿宋_GB2312" w:eastAsia="仿宋_GB2312"/>
          <w:sz w:val="32"/>
          <w:szCs w:val="32"/>
        </w:rPr>
      </w:pPr>
      <w:r>
        <w:rPr>
          <w:rFonts w:hint="eastAsia" w:ascii="仿宋_GB2312" w:eastAsia="仿宋_GB2312"/>
          <w:sz w:val="32"/>
          <w:szCs w:val="32"/>
        </w:rPr>
        <w:t>内设股室11个，派出机构5个，下属二级单位1个，其中其他事业单位1个（攀枝花市西区消费维权和个体经济指导服务中心）。纳入攀枝花市西区市场监督管理局2022年度部门决算编制范围的二级预算单位：攀枝花市西区消费维权和个体经济指导服务中心。</w:t>
      </w:r>
    </w:p>
    <w:p>
      <w:pPr>
        <w:widowControl/>
        <w:adjustRightInd w:val="0"/>
        <w:snapToGrid w:val="0"/>
        <w:spacing w:line="580" w:lineRule="exact"/>
        <w:ind w:firstLine="640" w:firstLineChars="200"/>
        <w:contextualSpacing/>
        <w:jc w:val="left"/>
        <w:rPr>
          <w:rFonts w:ascii="仿宋_GB2312" w:eastAsia="仿宋_GB2312"/>
          <w:color w:val="000000"/>
          <w:kern w:val="0"/>
          <w:sz w:val="32"/>
          <w:szCs w:val="32"/>
          <w:shd w:val="clear" w:color="auto" w:fill="FFFFFF"/>
          <w:lang w:val="zh-CN"/>
        </w:rPr>
      </w:pPr>
      <w:r>
        <w:rPr>
          <w:rFonts w:hint="eastAsia" w:ascii="仿宋_GB2312" w:eastAsia="仿宋_GB2312"/>
          <w:color w:val="000000"/>
          <w:kern w:val="0"/>
          <w:sz w:val="32"/>
          <w:szCs w:val="32"/>
          <w:shd w:val="clear" w:color="auto" w:fill="FFFFFF"/>
          <w:lang w:val="zh-CN"/>
        </w:rPr>
        <w:t>（二）机构职能。</w:t>
      </w:r>
    </w:p>
    <w:p>
      <w:pPr>
        <w:adjustRightInd w:val="0"/>
        <w:snapToGrid w:val="0"/>
        <w:spacing w:line="353" w:lineRule="auto"/>
        <w:ind w:firstLine="640" w:firstLineChars="200"/>
        <w:rPr>
          <w:rFonts w:ascii="仿宋_GB2312" w:eastAsia="仿宋_GB2312"/>
          <w:bCs/>
          <w:kern w:val="0"/>
          <w:sz w:val="32"/>
          <w:szCs w:val="32"/>
        </w:rPr>
      </w:pPr>
      <w:r>
        <w:rPr>
          <w:rFonts w:hint="eastAsia" w:ascii="仿宋_GB2312" w:eastAsia="仿宋_GB2312"/>
          <w:sz w:val="32"/>
          <w:szCs w:val="32"/>
        </w:rPr>
        <w:t>1.</w:t>
      </w:r>
      <w:r>
        <w:rPr>
          <w:rFonts w:hint="eastAsia" w:ascii="仿宋_GB2312" w:eastAsia="仿宋_GB2312"/>
          <w:bCs/>
          <w:kern w:val="0"/>
          <w:sz w:val="32"/>
          <w:szCs w:val="32"/>
        </w:rPr>
        <w:t>贯彻执行国家、省、市、区有关食品药品监督管理、工商行政管理等方面的法律、法规和政策；拟订相关规范性文件和措施，经批准后组织实施。</w:t>
      </w:r>
    </w:p>
    <w:p>
      <w:pPr>
        <w:adjustRightInd w:val="0"/>
        <w:snapToGrid w:val="0"/>
        <w:spacing w:line="353" w:lineRule="auto"/>
        <w:ind w:firstLine="640" w:firstLineChars="200"/>
        <w:rPr>
          <w:rFonts w:ascii="仿宋_GB2312" w:eastAsia="仿宋_GB2312"/>
          <w:bCs/>
          <w:kern w:val="0"/>
          <w:sz w:val="32"/>
          <w:szCs w:val="32"/>
        </w:rPr>
      </w:pPr>
      <w:r>
        <w:rPr>
          <w:rFonts w:hint="eastAsia" w:ascii="仿宋_GB2312" w:eastAsia="仿宋_GB2312"/>
          <w:bCs/>
          <w:kern w:val="0"/>
          <w:sz w:val="32"/>
          <w:szCs w:val="32"/>
        </w:rPr>
        <w:t>2.承担依法规范和维护各类市场经营秩序的责任，负责市场监督管理和行政执法，组织查处违反食品药品监督管理、工商行政管理法律、法规、规章的行为。</w:t>
      </w:r>
    </w:p>
    <w:p>
      <w:pPr>
        <w:adjustRightInd w:val="0"/>
        <w:snapToGrid w:val="0"/>
        <w:spacing w:line="353" w:lineRule="auto"/>
        <w:ind w:firstLine="640" w:firstLineChars="200"/>
        <w:rPr>
          <w:rFonts w:ascii="仿宋_GB2312" w:eastAsia="仿宋_GB2312"/>
          <w:bCs/>
          <w:kern w:val="0"/>
          <w:sz w:val="32"/>
          <w:szCs w:val="32"/>
        </w:rPr>
      </w:pPr>
      <w:r>
        <w:rPr>
          <w:rFonts w:hint="eastAsia" w:ascii="仿宋_GB2312" w:eastAsia="仿宋_GB2312"/>
          <w:bCs/>
          <w:kern w:val="0"/>
          <w:sz w:val="32"/>
          <w:szCs w:val="32"/>
        </w:rPr>
        <w:t>3.承担监督管理流通领域商品质量安全的责任，组织开展有关服务领域消费维权工作，建立消费者权益保护体系；负责涉及食品药品监督管理、工商行政管理的投诉和举报工作。指导消费者咨询、投诉、举报受理、处理和网络体系建设等工作，保护经营者、消费者合法权益。</w:t>
      </w:r>
    </w:p>
    <w:p>
      <w:pPr>
        <w:adjustRightInd w:val="0"/>
        <w:snapToGrid w:val="0"/>
        <w:spacing w:line="353" w:lineRule="auto"/>
        <w:ind w:firstLine="640" w:firstLineChars="200"/>
        <w:rPr>
          <w:rFonts w:ascii="仿宋_GB2312" w:eastAsia="仿宋_GB2312"/>
          <w:bCs/>
          <w:kern w:val="0"/>
          <w:sz w:val="32"/>
          <w:szCs w:val="32"/>
        </w:rPr>
      </w:pPr>
      <w:r>
        <w:rPr>
          <w:rFonts w:hint="eastAsia" w:ascii="仿宋_GB2312" w:eastAsia="仿宋_GB2312"/>
          <w:bCs/>
          <w:kern w:val="0"/>
          <w:sz w:val="32"/>
          <w:szCs w:val="32"/>
        </w:rPr>
        <w:t>4.承担查处传销和违法直销案件的责任，依法监督管理直销企业和直销员及其直销活动。</w:t>
      </w:r>
    </w:p>
    <w:p>
      <w:pPr>
        <w:adjustRightInd w:val="0"/>
        <w:snapToGrid w:val="0"/>
        <w:spacing w:line="353" w:lineRule="auto"/>
        <w:ind w:firstLine="640" w:firstLineChars="200"/>
        <w:rPr>
          <w:rFonts w:ascii="仿宋_GB2312" w:eastAsia="仿宋_GB2312"/>
          <w:bCs/>
          <w:kern w:val="0"/>
          <w:sz w:val="32"/>
          <w:szCs w:val="32"/>
        </w:rPr>
      </w:pPr>
      <w:r>
        <w:rPr>
          <w:rFonts w:hint="eastAsia" w:ascii="仿宋_GB2312" w:eastAsia="仿宋_GB2312"/>
          <w:bCs/>
          <w:kern w:val="0"/>
          <w:sz w:val="32"/>
          <w:szCs w:val="32"/>
        </w:rPr>
        <w:t>5.负责商标管理工作，依法保护商标专用权和查处商标侵权行为，加强驰名商标、著名商标、知名商标保护工作。负责特殊标志、官方标志的管理和保护。指导企业、单位和个人的商标注册工作。</w:t>
      </w:r>
    </w:p>
    <w:p>
      <w:pPr>
        <w:adjustRightInd w:val="0"/>
        <w:snapToGrid w:val="0"/>
        <w:spacing w:line="353" w:lineRule="auto"/>
        <w:ind w:firstLine="640" w:firstLineChars="200"/>
        <w:rPr>
          <w:rFonts w:ascii="仿宋_GB2312" w:eastAsia="仿宋_GB2312"/>
          <w:bCs/>
          <w:kern w:val="0"/>
          <w:sz w:val="32"/>
          <w:szCs w:val="32"/>
        </w:rPr>
      </w:pPr>
      <w:r>
        <w:rPr>
          <w:rFonts w:hint="eastAsia" w:ascii="仿宋_GB2312" w:eastAsia="仿宋_GB2312"/>
          <w:bCs/>
          <w:kern w:val="0"/>
          <w:sz w:val="32"/>
          <w:szCs w:val="32"/>
        </w:rPr>
        <w:t>6.负责依法监督管理经纪人、经纪机构及经纪活动；依法实施合同行政监督管理，负责管理动产抵押物登记，组织监督管理拍卖行为，推广指导合同示范文本的使用，依法查处合同欺诈等违法行为，组织开展合同争议行政调解工作。</w:t>
      </w:r>
    </w:p>
    <w:p>
      <w:pPr>
        <w:adjustRightInd w:val="0"/>
        <w:snapToGrid w:val="0"/>
        <w:spacing w:line="353" w:lineRule="auto"/>
        <w:ind w:firstLine="640" w:firstLineChars="200"/>
        <w:rPr>
          <w:rFonts w:ascii="仿宋_GB2312" w:eastAsia="仿宋_GB2312"/>
          <w:bCs/>
          <w:kern w:val="0"/>
          <w:sz w:val="32"/>
          <w:szCs w:val="32"/>
        </w:rPr>
      </w:pPr>
      <w:r>
        <w:rPr>
          <w:rFonts w:hint="eastAsia" w:ascii="仿宋_GB2312" w:eastAsia="仿宋_GB2312"/>
          <w:bCs/>
          <w:kern w:val="0"/>
          <w:sz w:val="32"/>
          <w:szCs w:val="32"/>
        </w:rPr>
        <w:t>7.指导广告业发展，负责广告活动的监督管理工作。</w:t>
      </w:r>
    </w:p>
    <w:p>
      <w:pPr>
        <w:adjustRightInd w:val="0"/>
        <w:snapToGrid w:val="0"/>
        <w:spacing w:line="353" w:lineRule="auto"/>
        <w:ind w:firstLine="640" w:firstLineChars="200"/>
        <w:rPr>
          <w:rFonts w:ascii="仿宋_GB2312" w:eastAsia="仿宋_GB2312"/>
          <w:bCs/>
          <w:kern w:val="0"/>
          <w:sz w:val="32"/>
          <w:szCs w:val="32"/>
        </w:rPr>
      </w:pPr>
      <w:r>
        <w:rPr>
          <w:rFonts w:hint="eastAsia" w:ascii="仿宋_GB2312" w:eastAsia="仿宋_GB2312"/>
          <w:bCs/>
          <w:kern w:val="0"/>
          <w:sz w:val="32"/>
          <w:szCs w:val="32"/>
        </w:rPr>
        <w:t>8.负责市场交易行为和网络商品交易及有关服务行为的监管管理，负责个体工商户、私营企业经营行为的监督管理；依法查处无照经营违法行为。</w:t>
      </w:r>
    </w:p>
    <w:p>
      <w:pPr>
        <w:adjustRightInd w:val="0"/>
        <w:snapToGrid w:val="0"/>
        <w:spacing w:line="353" w:lineRule="auto"/>
        <w:ind w:firstLine="640" w:firstLineChars="200"/>
        <w:rPr>
          <w:rFonts w:ascii="仿宋_GB2312" w:eastAsia="仿宋_GB2312"/>
          <w:bCs/>
          <w:kern w:val="0"/>
          <w:sz w:val="32"/>
          <w:szCs w:val="32"/>
        </w:rPr>
      </w:pPr>
      <w:r>
        <w:rPr>
          <w:rFonts w:hint="eastAsia" w:ascii="仿宋_GB2312" w:eastAsia="仿宋_GB2312"/>
          <w:bCs/>
          <w:kern w:val="0"/>
          <w:sz w:val="32"/>
          <w:szCs w:val="32"/>
        </w:rPr>
        <w:t>9.负责组织协调、督导检查市场主体信用信息年报公示工作，承担研究分析并依法发布辖区市场主体登记注册信用信息及发展报告，促进市场主体信用信息体系建设，为政府决策和社会公众提供信息服务。</w:t>
      </w:r>
    </w:p>
    <w:p>
      <w:pPr>
        <w:adjustRightInd w:val="0"/>
        <w:snapToGrid w:val="0"/>
        <w:spacing w:line="353" w:lineRule="auto"/>
        <w:ind w:firstLine="640" w:firstLineChars="200"/>
        <w:rPr>
          <w:rFonts w:ascii="仿宋_GB2312" w:eastAsia="仿宋_GB2312"/>
          <w:bCs/>
          <w:kern w:val="0"/>
          <w:sz w:val="32"/>
          <w:szCs w:val="32"/>
        </w:rPr>
      </w:pPr>
      <w:r>
        <w:rPr>
          <w:rFonts w:hint="eastAsia" w:ascii="仿宋_GB2312" w:eastAsia="仿宋_GB2312"/>
          <w:bCs/>
          <w:kern w:val="0"/>
          <w:sz w:val="32"/>
          <w:szCs w:val="32"/>
        </w:rPr>
        <w:t>10.配合上级机关做好反垄断行政执法工作，依法查处不正当竞争、商业贿赂、走私贩私等经济违法行为。</w:t>
      </w:r>
    </w:p>
    <w:p>
      <w:pPr>
        <w:adjustRightInd w:val="0"/>
        <w:snapToGrid w:val="0"/>
        <w:spacing w:line="353" w:lineRule="auto"/>
        <w:ind w:firstLine="640" w:firstLineChars="200"/>
        <w:rPr>
          <w:rFonts w:ascii="仿宋_GB2312" w:eastAsia="仿宋_GB2312"/>
          <w:bCs/>
          <w:kern w:val="0"/>
          <w:sz w:val="32"/>
          <w:szCs w:val="32"/>
        </w:rPr>
      </w:pPr>
      <w:r>
        <w:rPr>
          <w:rFonts w:hint="eastAsia" w:ascii="仿宋_GB2312" w:eastAsia="仿宋_GB2312"/>
          <w:bCs/>
          <w:kern w:val="0"/>
          <w:sz w:val="32"/>
          <w:szCs w:val="32"/>
        </w:rPr>
        <w:t xml:space="preserve">11.承担区食品安全委员会日常工作。负责全区食品安全监督管理综合协调，推动健全协调联动机制。 </w:t>
      </w:r>
    </w:p>
    <w:p>
      <w:pPr>
        <w:adjustRightInd w:val="0"/>
        <w:snapToGrid w:val="0"/>
        <w:spacing w:line="353" w:lineRule="auto"/>
        <w:ind w:firstLine="640" w:firstLineChars="200"/>
        <w:rPr>
          <w:rFonts w:ascii="仿宋_GB2312" w:eastAsia="仿宋_GB2312"/>
          <w:bCs/>
          <w:kern w:val="0"/>
          <w:sz w:val="32"/>
          <w:szCs w:val="32"/>
        </w:rPr>
      </w:pPr>
      <w:r>
        <w:rPr>
          <w:rFonts w:hint="eastAsia" w:ascii="仿宋_GB2312" w:eastAsia="仿宋_GB2312"/>
          <w:bCs/>
          <w:kern w:val="0"/>
          <w:sz w:val="32"/>
          <w:szCs w:val="32"/>
        </w:rPr>
        <w:t>12.制定辖区食品药品安全检查年度计划、重大整顿治理方案并组织落实；负责重大活动食品药品安全保障工作；承担药品、医疗器械、食品生产经营及餐饮服务的安全监督管理职责；承担保健食品和化妆品市场监管职责。</w:t>
      </w:r>
    </w:p>
    <w:p>
      <w:pPr>
        <w:adjustRightInd w:val="0"/>
        <w:snapToGrid w:val="0"/>
        <w:spacing w:line="353" w:lineRule="auto"/>
        <w:ind w:firstLine="640" w:firstLineChars="200"/>
        <w:rPr>
          <w:rFonts w:ascii="仿宋_GB2312" w:eastAsia="仿宋_GB2312"/>
          <w:bCs/>
          <w:kern w:val="0"/>
          <w:sz w:val="32"/>
          <w:szCs w:val="32"/>
        </w:rPr>
      </w:pPr>
      <w:r>
        <w:rPr>
          <w:rFonts w:hint="eastAsia" w:ascii="仿宋_GB2312" w:eastAsia="仿宋_GB2312"/>
          <w:bCs/>
          <w:kern w:val="0"/>
          <w:sz w:val="32"/>
          <w:szCs w:val="32"/>
        </w:rPr>
        <w:t>13.负责本部门依法行政工作，落实行政执法责任制；执行食品安全风险监测计划、食品安全地方标准，负责制定本部门食品药品及其它商品年度抽检计划并组织实施；规范行政执法行为，完善行政执法与刑事司法衔接机制；推动落实食品、药品、医疗器械、化妆品安全企业主体责任；建立药品、化妆品不良反应和医疗器械不良事件监测体系，并开展监测和处置工作；负责不安全食品和存在安全隐患的药品、医疗器械、化妆品及其它商品召回的监督管理。</w:t>
      </w:r>
    </w:p>
    <w:p>
      <w:pPr>
        <w:adjustRightInd w:val="0"/>
        <w:snapToGrid w:val="0"/>
        <w:spacing w:line="353" w:lineRule="auto"/>
        <w:ind w:firstLine="640" w:firstLineChars="200"/>
        <w:rPr>
          <w:rFonts w:ascii="仿宋_GB2312" w:eastAsia="仿宋_GB2312"/>
          <w:bCs/>
          <w:kern w:val="0"/>
          <w:sz w:val="32"/>
          <w:szCs w:val="32"/>
        </w:rPr>
      </w:pPr>
      <w:r>
        <w:rPr>
          <w:rFonts w:hint="eastAsia" w:ascii="仿宋_GB2312" w:eastAsia="仿宋_GB2312"/>
          <w:bCs/>
          <w:kern w:val="0"/>
          <w:sz w:val="32"/>
          <w:szCs w:val="32"/>
        </w:rPr>
        <w:t>14.监督实施药品和医疗器械的标准、分类管理制度；监督实施药品和医疗器械的研制、生产、经营、使用等质量管理规范；配合实施国家基本药物制度；负责麻醉药品、精神药品、毒性药品、放射性药品和易制毒化学药品的监督管理；严格执行执业药师资格准入制度，组织开展相关从业人员培训；监督实施化妆品监督管理办法。</w:t>
      </w:r>
    </w:p>
    <w:p>
      <w:pPr>
        <w:adjustRightInd w:val="0"/>
        <w:snapToGrid w:val="0"/>
        <w:spacing w:line="353" w:lineRule="auto"/>
        <w:ind w:firstLine="640" w:firstLineChars="200"/>
        <w:rPr>
          <w:rFonts w:ascii="仿宋_GB2312" w:eastAsia="仿宋_GB2312"/>
          <w:sz w:val="32"/>
          <w:szCs w:val="32"/>
        </w:rPr>
      </w:pPr>
      <w:r>
        <w:rPr>
          <w:rFonts w:hint="eastAsia" w:ascii="仿宋_GB2312" w:eastAsia="仿宋_GB2312"/>
          <w:bCs/>
          <w:kern w:val="0"/>
          <w:sz w:val="32"/>
          <w:szCs w:val="32"/>
        </w:rPr>
        <w:t>15.负责市场等公众聚集场所、食品、药品、医疗器械、化妆品安全事故应急体系和隐患排查治理机制建设，组织市场等公众聚集</w:t>
      </w:r>
      <w:r>
        <w:rPr>
          <w:rFonts w:hint="eastAsia" w:ascii="仿宋_GB2312" w:eastAsia="仿宋_GB2312"/>
          <w:sz w:val="32"/>
          <w:szCs w:val="32"/>
        </w:rPr>
        <w:t>场所、食品、药品、医疗器械、化妆品安全事故应急处置和调查处理工作，按规定负责市场等公众聚集场所、食品、药品、医疗器械、化妆品的安全事故和突发事件的应对处置。</w:t>
      </w:r>
    </w:p>
    <w:p>
      <w:pPr>
        <w:adjustRightInd w:val="0"/>
        <w:snapToGrid w:val="0"/>
        <w:spacing w:line="353" w:lineRule="auto"/>
        <w:ind w:firstLine="640" w:firstLineChars="200"/>
        <w:rPr>
          <w:rFonts w:ascii="仿宋_GB2312" w:eastAsia="仿宋_GB2312"/>
          <w:sz w:val="32"/>
          <w:szCs w:val="32"/>
        </w:rPr>
      </w:pPr>
      <w:r>
        <w:rPr>
          <w:rFonts w:hint="eastAsia" w:ascii="仿宋_GB2312" w:eastAsia="仿宋_GB2312"/>
          <w:sz w:val="32"/>
          <w:szCs w:val="32"/>
        </w:rPr>
        <w:t>16.承担区政府公布的有关行政审批事项。</w:t>
      </w:r>
    </w:p>
    <w:p>
      <w:pPr>
        <w:adjustRightInd w:val="0"/>
        <w:snapToGrid w:val="0"/>
        <w:spacing w:line="353" w:lineRule="auto"/>
        <w:ind w:firstLine="640" w:firstLineChars="200"/>
        <w:rPr>
          <w:rFonts w:ascii="仿宋_GB2312" w:eastAsia="仿宋_GB2312"/>
          <w:sz w:val="32"/>
          <w:szCs w:val="32"/>
        </w:rPr>
      </w:pPr>
      <w:r>
        <w:rPr>
          <w:rFonts w:hint="eastAsia" w:ascii="仿宋_GB2312" w:eastAsia="仿宋_GB2312"/>
          <w:sz w:val="32"/>
          <w:szCs w:val="32"/>
        </w:rPr>
        <w:t>17.承办区政府以及区食品安全委员会交办的其他事项。</w:t>
      </w:r>
    </w:p>
    <w:p>
      <w:pPr>
        <w:widowControl/>
        <w:adjustRightInd w:val="0"/>
        <w:snapToGrid w:val="0"/>
        <w:spacing w:line="580" w:lineRule="exact"/>
        <w:ind w:firstLine="640" w:firstLineChars="200"/>
        <w:contextualSpacing/>
        <w:jc w:val="left"/>
        <w:rPr>
          <w:rFonts w:ascii="仿宋_GB2312" w:eastAsia="仿宋_GB2312"/>
          <w:color w:val="000000"/>
          <w:kern w:val="0"/>
          <w:sz w:val="32"/>
          <w:szCs w:val="32"/>
          <w:shd w:val="clear" w:color="auto" w:fill="FFFFFF"/>
          <w:lang w:val="zh-CN"/>
        </w:rPr>
      </w:pPr>
      <w:r>
        <w:rPr>
          <w:rFonts w:hint="eastAsia" w:ascii="仿宋_GB2312" w:eastAsia="仿宋_GB2312"/>
          <w:color w:val="000000"/>
          <w:kern w:val="0"/>
          <w:sz w:val="32"/>
          <w:szCs w:val="32"/>
          <w:shd w:val="clear" w:color="auto" w:fill="FFFFFF"/>
          <w:lang w:val="zh-CN"/>
        </w:rPr>
        <w:t>（三）人员概况。</w:t>
      </w:r>
    </w:p>
    <w:p>
      <w:pPr>
        <w:adjustRightInd w:val="0"/>
        <w:snapToGrid w:val="0"/>
        <w:spacing w:line="353" w:lineRule="auto"/>
        <w:ind w:firstLine="640" w:firstLineChars="200"/>
        <w:rPr>
          <w:rFonts w:ascii="仿宋_GB2312" w:eastAsia="仿宋_GB2312"/>
          <w:sz w:val="32"/>
          <w:szCs w:val="32"/>
        </w:rPr>
      </w:pPr>
      <w:r>
        <w:rPr>
          <w:rFonts w:hint="eastAsia" w:ascii="仿宋_GB2312" w:eastAsia="仿宋_GB2312"/>
          <w:sz w:val="32"/>
          <w:szCs w:val="32"/>
        </w:rPr>
        <w:t>部门现有行政编制41名、机关后勤服务人员控制数（机关后勤事业编制）0名、参公编制28名、事业编制10名。</w:t>
      </w:r>
    </w:p>
    <w:p>
      <w:pPr>
        <w:adjustRightInd w:val="0"/>
        <w:snapToGrid w:val="0"/>
        <w:spacing w:line="353" w:lineRule="auto"/>
        <w:rPr>
          <w:rFonts w:ascii="仿宋_GB2312" w:eastAsia="仿宋_GB2312"/>
          <w:color w:val="000000"/>
          <w:sz w:val="32"/>
          <w:szCs w:val="32"/>
        </w:rPr>
      </w:pPr>
      <w:r>
        <w:rPr>
          <w:rFonts w:hint="eastAsia" w:eastAsia="仿宋_GB2312"/>
          <w:sz w:val="32"/>
          <w:szCs w:val="32"/>
        </w:rPr>
        <w:t>  </w:t>
      </w:r>
      <w:r>
        <w:rPr>
          <w:rFonts w:hint="eastAsia" w:ascii="仿宋_GB2312" w:eastAsia="仿宋_GB2312"/>
          <w:sz w:val="32"/>
          <w:szCs w:val="32"/>
        </w:rPr>
        <w:t xml:space="preserve"> </w:t>
      </w:r>
      <w:r>
        <w:rPr>
          <w:rFonts w:hint="eastAsia" w:eastAsia="仿宋_GB2312"/>
          <w:sz w:val="32"/>
          <w:szCs w:val="32"/>
        </w:rPr>
        <w:t> </w:t>
      </w:r>
      <w:r>
        <w:rPr>
          <w:rFonts w:hint="eastAsia" w:ascii="仿宋_GB2312" w:eastAsia="仿宋_GB2312"/>
          <w:sz w:val="32"/>
          <w:szCs w:val="32"/>
        </w:rPr>
        <w:t xml:space="preserve"> </w:t>
      </w:r>
      <w:r>
        <w:rPr>
          <w:rFonts w:hint="eastAsia" w:eastAsia="仿宋_GB2312"/>
          <w:sz w:val="32"/>
          <w:szCs w:val="32"/>
        </w:rPr>
        <w:t> </w:t>
      </w:r>
      <w:r>
        <w:rPr>
          <w:rFonts w:hint="eastAsia" w:ascii="仿宋_GB2312" w:eastAsia="仿宋_GB2312"/>
          <w:sz w:val="32"/>
          <w:szCs w:val="32"/>
        </w:rPr>
        <w:t>部门年末在职实有人员共计77名，其中：机关行政人员43名、机关工勤人员3名、参公人员18名、事业人员5名，临聘人员8名。</w:t>
      </w:r>
    </w:p>
    <w:p>
      <w:pPr>
        <w:widowControl/>
        <w:adjustRightInd w:val="0"/>
        <w:snapToGrid w:val="0"/>
        <w:spacing w:line="580" w:lineRule="exact"/>
        <w:ind w:firstLine="640" w:firstLineChars="200"/>
        <w:contextualSpacing/>
        <w:jc w:val="left"/>
        <w:rPr>
          <w:rFonts w:ascii="仿宋_GB2312" w:eastAsia="仿宋_GB2312"/>
          <w:color w:val="000000"/>
          <w:kern w:val="0"/>
          <w:sz w:val="32"/>
          <w:szCs w:val="32"/>
          <w:shd w:val="clear" w:color="auto" w:fill="FFFFFF"/>
        </w:rPr>
      </w:pPr>
      <w:r>
        <w:rPr>
          <w:rFonts w:hint="eastAsia" w:ascii="仿宋_GB2312" w:eastAsia="仿宋_GB2312"/>
          <w:color w:val="000000"/>
          <w:kern w:val="0"/>
          <w:sz w:val="32"/>
          <w:szCs w:val="32"/>
          <w:shd w:val="clear" w:color="auto" w:fill="FFFFFF"/>
        </w:rPr>
        <w:t>二、部门财政资金收支情况</w:t>
      </w:r>
    </w:p>
    <w:p>
      <w:pPr>
        <w:widowControl/>
        <w:adjustRightInd w:val="0"/>
        <w:snapToGrid w:val="0"/>
        <w:spacing w:line="580" w:lineRule="exact"/>
        <w:ind w:firstLine="640" w:firstLineChars="200"/>
        <w:contextualSpacing/>
        <w:jc w:val="left"/>
        <w:rPr>
          <w:rFonts w:ascii="仿宋_GB2312" w:eastAsia="仿宋_GB2312"/>
          <w:color w:val="000000"/>
          <w:kern w:val="0"/>
          <w:sz w:val="32"/>
          <w:szCs w:val="32"/>
          <w:shd w:val="clear" w:color="auto" w:fill="FFFFFF"/>
          <w:lang w:val="zh-CN"/>
        </w:rPr>
      </w:pPr>
      <w:r>
        <w:rPr>
          <w:rFonts w:hint="eastAsia" w:ascii="仿宋_GB2312" w:eastAsia="仿宋_GB2312"/>
          <w:color w:val="000000"/>
          <w:kern w:val="0"/>
          <w:sz w:val="32"/>
          <w:szCs w:val="32"/>
          <w:shd w:val="clear" w:color="auto" w:fill="FFFFFF"/>
          <w:lang w:val="zh-CN"/>
        </w:rPr>
        <w:t>（一）部门财政资金收入情况。</w:t>
      </w:r>
    </w:p>
    <w:p>
      <w:pPr>
        <w:widowControl/>
        <w:adjustRightInd w:val="0"/>
        <w:snapToGrid w:val="0"/>
        <w:spacing w:line="580" w:lineRule="exact"/>
        <w:ind w:firstLine="640" w:firstLineChars="200"/>
        <w:contextualSpacing/>
        <w:jc w:val="left"/>
        <w:rPr>
          <w:rFonts w:ascii="仿宋_GB2312" w:eastAsia="仿宋_GB2312"/>
          <w:color w:val="000000"/>
          <w:kern w:val="0"/>
          <w:sz w:val="32"/>
          <w:szCs w:val="32"/>
          <w:shd w:val="clear" w:color="auto" w:fill="FFFFFF"/>
          <w:lang w:val="zh-CN"/>
        </w:rPr>
      </w:pPr>
      <w:r>
        <w:rPr>
          <w:rFonts w:hint="eastAsia" w:ascii="仿宋_GB2312" w:eastAsia="仿宋_GB2312"/>
          <w:color w:val="000000"/>
          <w:kern w:val="0"/>
          <w:sz w:val="32"/>
          <w:szCs w:val="32"/>
          <w:shd w:val="clear" w:color="auto" w:fill="FFFFFF"/>
          <w:lang w:val="zh-CN"/>
        </w:rPr>
        <w:t>2022年部门财政资金收入1398.26万元，其中政府性基金收入4.09万元。</w:t>
      </w:r>
    </w:p>
    <w:p>
      <w:pPr>
        <w:widowControl/>
        <w:adjustRightInd w:val="0"/>
        <w:snapToGrid w:val="0"/>
        <w:spacing w:line="580" w:lineRule="exact"/>
        <w:ind w:firstLine="640" w:firstLineChars="200"/>
        <w:contextualSpacing/>
        <w:jc w:val="left"/>
        <w:rPr>
          <w:rFonts w:ascii="仿宋_GB2312" w:eastAsia="仿宋_GB2312"/>
          <w:color w:val="000000"/>
          <w:kern w:val="0"/>
          <w:sz w:val="32"/>
          <w:szCs w:val="32"/>
          <w:shd w:val="clear" w:color="auto" w:fill="FFFFFF"/>
          <w:lang w:val="zh-CN"/>
        </w:rPr>
      </w:pPr>
      <w:r>
        <w:rPr>
          <w:rFonts w:hint="eastAsia" w:ascii="仿宋_GB2312" w:eastAsia="仿宋_GB2312"/>
          <w:color w:val="000000"/>
          <w:kern w:val="0"/>
          <w:sz w:val="32"/>
          <w:szCs w:val="32"/>
          <w:shd w:val="clear" w:color="auto" w:fill="FFFFFF"/>
          <w:lang w:val="zh-CN"/>
        </w:rPr>
        <w:t>（二）部门财政资金支出情况。</w:t>
      </w:r>
    </w:p>
    <w:p>
      <w:pPr>
        <w:widowControl/>
        <w:adjustRightInd w:val="0"/>
        <w:snapToGrid w:val="0"/>
        <w:spacing w:line="580" w:lineRule="exact"/>
        <w:ind w:firstLine="640" w:firstLineChars="200"/>
        <w:contextualSpacing/>
        <w:jc w:val="left"/>
        <w:rPr>
          <w:rFonts w:ascii="仿宋_GB2312" w:eastAsia="仿宋_GB2312"/>
          <w:color w:val="000000"/>
          <w:kern w:val="0"/>
          <w:sz w:val="32"/>
          <w:szCs w:val="32"/>
          <w:shd w:val="clear" w:color="auto" w:fill="FFFFFF"/>
          <w:lang w:val="zh-CN"/>
        </w:rPr>
      </w:pPr>
      <w:r>
        <w:rPr>
          <w:rFonts w:hint="eastAsia" w:ascii="仿宋_GB2312" w:eastAsia="仿宋_GB2312"/>
          <w:color w:val="000000"/>
          <w:kern w:val="0"/>
          <w:sz w:val="32"/>
          <w:szCs w:val="32"/>
          <w:shd w:val="clear" w:color="auto" w:fill="FFFFFF"/>
          <w:lang w:val="zh-CN"/>
        </w:rPr>
        <w:t>2022年部门财政资金支出1406.19万元，其中人员经费支出1235.87万元，公用经费支出107.45万元，项目经费支出62.88万元。</w:t>
      </w:r>
    </w:p>
    <w:p>
      <w:pPr>
        <w:widowControl/>
        <w:adjustRightInd w:val="0"/>
        <w:snapToGrid w:val="0"/>
        <w:spacing w:line="580" w:lineRule="exact"/>
        <w:ind w:firstLine="640" w:firstLineChars="200"/>
        <w:contextualSpacing/>
        <w:jc w:val="left"/>
        <w:rPr>
          <w:rFonts w:ascii="仿宋_GB2312" w:eastAsia="仿宋_GB2312"/>
          <w:color w:val="000000"/>
          <w:kern w:val="0"/>
          <w:sz w:val="32"/>
          <w:szCs w:val="32"/>
          <w:shd w:val="clear" w:color="auto" w:fill="FFFFFF"/>
        </w:rPr>
      </w:pPr>
      <w:r>
        <w:rPr>
          <w:rFonts w:hint="eastAsia" w:ascii="仿宋_GB2312" w:eastAsia="仿宋_GB2312"/>
          <w:color w:val="000000"/>
          <w:kern w:val="0"/>
          <w:sz w:val="32"/>
          <w:szCs w:val="32"/>
          <w:shd w:val="clear" w:color="auto" w:fill="FFFFFF"/>
        </w:rPr>
        <w:t>三、部门整体预算绩效管理情况</w:t>
      </w:r>
    </w:p>
    <w:p>
      <w:pPr>
        <w:widowControl/>
        <w:adjustRightInd w:val="0"/>
        <w:snapToGrid w:val="0"/>
        <w:spacing w:line="580" w:lineRule="exact"/>
        <w:ind w:firstLine="640" w:firstLineChars="200"/>
        <w:contextualSpacing/>
        <w:jc w:val="left"/>
        <w:rPr>
          <w:rFonts w:ascii="仿宋_GB2312" w:eastAsia="仿宋_GB2312"/>
          <w:color w:val="000000"/>
          <w:kern w:val="0"/>
          <w:sz w:val="32"/>
          <w:szCs w:val="32"/>
          <w:shd w:val="clear" w:color="auto" w:fill="FFFFFF"/>
          <w:lang w:val="zh-CN"/>
        </w:rPr>
      </w:pPr>
      <w:r>
        <w:rPr>
          <w:rFonts w:hint="eastAsia" w:ascii="仿宋_GB2312" w:eastAsia="仿宋_GB2312"/>
          <w:color w:val="000000"/>
          <w:kern w:val="0"/>
          <w:sz w:val="32"/>
          <w:szCs w:val="32"/>
          <w:shd w:val="clear" w:color="auto" w:fill="FFFFFF"/>
          <w:lang w:val="zh-CN"/>
        </w:rPr>
        <w:t>（一）部门预算项目绩效管理。</w:t>
      </w:r>
    </w:p>
    <w:p>
      <w:pPr>
        <w:widowControl/>
        <w:adjustRightInd w:val="0"/>
        <w:snapToGrid w:val="0"/>
        <w:spacing w:line="580" w:lineRule="exact"/>
        <w:ind w:firstLine="640" w:firstLineChars="200"/>
        <w:contextualSpacing/>
        <w:jc w:val="left"/>
        <w:rPr>
          <w:rFonts w:ascii="仿宋_GB2312" w:eastAsia="仿宋_GB2312"/>
          <w:color w:val="000000"/>
          <w:kern w:val="0"/>
          <w:sz w:val="32"/>
          <w:szCs w:val="32"/>
          <w:shd w:val="clear" w:color="auto" w:fill="FFFFFF"/>
          <w:lang w:val="zh-CN"/>
        </w:rPr>
      </w:pPr>
      <w:r>
        <w:rPr>
          <w:rFonts w:hint="eastAsia" w:ascii="仿宋_GB2312" w:eastAsia="仿宋_GB2312"/>
          <w:color w:val="000000"/>
          <w:kern w:val="0"/>
          <w:sz w:val="32"/>
          <w:szCs w:val="32"/>
          <w:shd w:val="clear" w:color="auto" w:fill="FFFFFF"/>
          <w:lang w:val="zh-CN"/>
        </w:rPr>
        <w:t>1.人员类绩效目标情况</w:t>
      </w:r>
    </w:p>
    <w:p>
      <w:pPr>
        <w:widowControl/>
        <w:adjustRightInd w:val="0"/>
        <w:snapToGrid w:val="0"/>
        <w:spacing w:line="580" w:lineRule="exact"/>
        <w:ind w:firstLine="640" w:firstLineChars="200"/>
        <w:contextualSpacing/>
        <w:jc w:val="left"/>
        <w:rPr>
          <w:rFonts w:ascii="仿宋_GB2312" w:eastAsia="仿宋_GB2312"/>
          <w:color w:val="000000"/>
          <w:kern w:val="0"/>
          <w:sz w:val="32"/>
          <w:szCs w:val="32"/>
          <w:shd w:val="clear" w:color="auto" w:fill="FFFFFF"/>
          <w:lang w:val="zh-CN"/>
        </w:rPr>
      </w:pPr>
      <w:r>
        <w:rPr>
          <w:rFonts w:hint="eastAsia" w:ascii="仿宋_GB2312" w:eastAsia="仿宋_GB2312"/>
          <w:color w:val="000000"/>
          <w:kern w:val="0"/>
          <w:sz w:val="32"/>
          <w:szCs w:val="32"/>
          <w:shd w:val="clear" w:color="auto" w:fill="FFFFFF"/>
          <w:lang w:val="zh-CN"/>
        </w:rPr>
        <w:t>2022年财政人员经费年初预算数1204.13万元，追加预算31.74万元，支出1235.87万元，预算完成率100%。</w:t>
      </w:r>
      <w:r>
        <w:rPr>
          <w:rFonts w:hint="eastAsia" w:ascii="仿宋_GB2312" w:eastAsia="仿宋_GB2312"/>
          <w:sz w:val="32"/>
          <w:szCs w:val="32"/>
        </w:rPr>
        <w:t>保障了局机关及所属事业单位职工人员支出。</w:t>
      </w:r>
    </w:p>
    <w:p>
      <w:pPr>
        <w:widowControl/>
        <w:adjustRightInd w:val="0"/>
        <w:snapToGrid w:val="0"/>
        <w:spacing w:line="580" w:lineRule="exact"/>
        <w:ind w:firstLine="640" w:firstLineChars="200"/>
        <w:contextualSpacing/>
        <w:jc w:val="left"/>
        <w:rPr>
          <w:rFonts w:ascii="仿宋_GB2312" w:eastAsia="仿宋_GB2312"/>
          <w:color w:val="000000"/>
          <w:kern w:val="0"/>
          <w:sz w:val="32"/>
          <w:szCs w:val="32"/>
          <w:shd w:val="clear" w:color="auto" w:fill="FFFFFF"/>
          <w:lang w:val="zh-CN"/>
        </w:rPr>
      </w:pPr>
      <w:r>
        <w:rPr>
          <w:rFonts w:hint="eastAsia" w:ascii="仿宋_GB2312" w:eastAsia="仿宋_GB2312"/>
          <w:color w:val="000000"/>
          <w:kern w:val="0"/>
          <w:sz w:val="32"/>
          <w:szCs w:val="32"/>
          <w:shd w:val="clear" w:color="auto" w:fill="FFFFFF"/>
          <w:lang w:val="zh-CN"/>
        </w:rPr>
        <w:t>2.公用经费（运转类）绩效目标情况</w:t>
      </w:r>
    </w:p>
    <w:p>
      <w:pPr>
        <w:widowControl/>
        <w:adjustRightInd w:val="0"/>
        <w:snapToGrid w:val="0"/>
        <w:spacing w:line="580" w:lineRule="exact"/>
        <w:ind w:firstLine="480" w:firstLineChars="150"/>
        <w:contextualSpacing/>
        <w:jc w:val="left"/>
        <w:rPr>
          <w:rFonts w:ascii="仿宋_GB2312" w:eastAsia="仿宋_GB2312"/>
          <w:color w:val="000000"/>
          <w:kern w:val="0"/>
          <w:sz w:val="32"/>
          <w:szCs w:val="32"/>
          <w:shd w:val="clear" w:color="auto" w:fill="FFFFFF"/>
          <w:lang w:val="zh-CN"/>
        </w:rPr>
      </w:pPr>
      <w:r>
        <w:rPr>
          <w:rFonts w:hint="eastAsia" w:ascii="仿宋_GB2312" w:eastAsia="仿宋_GB2312"/>
          <w:color w:val="000000"/>
          <w:kern w:val="0"/>
          <w:sz w:val="32"/>
          <w:szCs w:val="32"/>
          <w:shd w:val="clear" w:color="auto" w:fill="FFFFFF"/>
          <w:lang w:val="zh-CN"/>
        </w:rPr>
        <w:t>2022年公用经费财政收入107.45万元，支出107.45万元，预算完成率100%；有效保障机关正常运转，为各项工作开展提供基础。</w:t>
      </w:r>
    </w:p>
    <w:p>
      <w:pPr>
        <w:widowControl/>
        <w:adjustRightInd w:val="0"/>
        <w:snapToGrid w:val="0"/>
        <w:spacing w:line="580" w:lineRule="exact"/>
        <w:ind w:firstLine="640" w:firstLineChars="200"/>
        <w:contextualSpacing/>
        <w:jc w:val="left"/>
        <w:rPr>
          <w:rFonts w:ascii="仿宋_GB2312" w:eastAsia="仿宋_GB2312"/>
          <w:color w:val="000000"/>
          <w:kern w:val="0"/>
          <w:sz w:val="32"/>
          <w:szCs w:val="32"/>
          <w:shd w:val="clear" w:color="auto" w:fill="FFFFFF"/>
          <w:lang w:val="zh-CN"/>
        </w:rPr>
      </w:pPr>
      <w:r>
        <w:rPr>
          <w:rFonts w:hint="eastAsia" w:ascii="仿宋_GB2312" w:eastAsia="仿宋_GB2312"/>
          <w:color w:val="000000"/>
          <w:kern w:val="0"/>
          <w:sz w:val="32"/>
          <w:szCs w:val="32"/>
          <w:shd w:val="clear" w:color="auto" w:fill="FFFFFF"/>
          <w:lang w:val="zh-CN"/>
        </w:rPr>
        <w:t>3.特定目标类项目绩效目标情况</w:t>
      </w:r>
    </w:p>
    <w:p>
      <w:pPr>
        <w:widowControl/>
        <w:adjustRightInd w:val="0"/>
        <w:snapToGrid w:val="0"/>
        <w:spacing w:line="580" w:lineRule="exact"/>
        <w:ind w:firstLine="640" w:firstLineChars="200"/>
        <w:contextualSpacing/>
        <w:jc w:val="left"/>
        <w:rPr>
          <w:rFonts w:ascii="仿宋_GB2312" w:eastAsia="仿宋_GB2312"/>
          <w:color w:val="000000"/>
          <w:kern w:val="0"/>
          <w:sz w:val="32"/>
          <w:szCs w:val="32"/>
          <w:shd w:val="clear" w:color="auto" w:fill="FFFFFF"/>
          <w:lang w:val="zh-CN"/>
        </w:rPr>
      </w:pPr>
      <w:r>
        <w:rPr>
          <w:rFonts w:hint="eastAsia" w:ascii="仿宋_GB2312" w:eastAsia="仿宋_GB2312"/>
          <w:color w:val="000000"/>
          <w:kern w:val="0"/>
          <w:sz w:val="32"/>
          <w:szCs w:val="32"/>
          <w:shd w:val="clear" w:color="auto" w:fill="FFFFFF"/>
          <w:lang w:val="zh-CN"/>
        </w:rPr>
        <w:t>2022年区级财政资金下达 13个项目资金，资金下达62.43万元，支出16.67万元。预算执行率26.70%。</w:t>
      </w:r>
    </w:p>
    <w:p>
      <w:pPr>
        <w:widowControl/>
        <w:adjustRightInd w:val="0"/>
        <w:snapToGrid w:val="0"/>
        <w:spacing w:line="580" w:lineRule="exact"/>
        <w:ind w:firstLine="640" w:firstLineChars="200"/>
        <w:contextualSpacing/>
        <w:jc w:val="left"/>
        <w:rPr>
          <w:rFonts w:ascii="仿宋_GB2312" w:eastAsia="仿宋_GB2312"/>
          <w:color w:val="000000"/>
          <w:kern w:val="0"/>
          <w:sz w:val="32"/>
          <w:szCs w:val="32"/>
          <w:shd w:val="clear" w:color="auto" w:fill="FFFFFF"/>
          <w:lang w:val="zh-CN"/>
        </w:rPr>
      </w:pPr>
      <w:r>
        <w:rPr>
          <w:rFonts w:hint="eastAsia" w:ascii="仿宋_GB2312" w:eastAsia="仿宋_GB2312"/>
          <w:color w:val="000000"/>
          <w:kern w:val="0"/>
          <w:sz w:val="32"/>
          <w:szCs w:val="32"/>
          <w:shd w:val="clear" w:color="auto" w:fill="FFFFFF"/>
          <w:lang w:val="zh-CN"/>
        </w:rPr>
        <w:t>2022年上级结转资金和当年上级资金下达84.54万元，支付46.20万元，预算执行率64.65%。</w:t>
      </w:r>
    </w:p>
    <w:p>
      <w:pPr>
        <w:adjustRightInd w:val="0"/>
        <w:snapToGrid w:val="0"/>
        <w:spacing w:line="353" w:lineRule="auto"/>
        <w:ind w:firstLine="640" w:firstLineChars="200"/>
        <w:rPr>
          <w:rFonts w:ascii="仿宋_GB2312" w:eastAsia="仿宋_GB2312"/>
          <w:sz w:val="32"/>
          <w:szCs w:val="32"/>
        </w:rPr>
      </w:pPr>
      <w:r>
        <w:rPr>
          <w:rFonts w:hint="eastAsia" w:ascii="仿宋_GB2312" w:eastAsia="仿宋_GB2312"/>
          <w:sz w:val="32"/>
          <w:szCs w:val="32"/>
        </w:rPr>
        <w:t>按照部门年初目标任务和资金预算，我局对食品、药品、保健品、化妆品、特种设备安全、知识产权、计量、标准化、认证认可进行现场监管执法，开展食品、药品、化妆品、医疗器械、流通领域商品、工业产品的抽样检验，进行食品药品特种设备等的安全风险监测和评估。召开各类工作会议，安排布置监管工作。开展食品药品特种设备产品质量科普宣传。食品、药品、特种设备、产商品质量安全形势稳中向好，质量强区稳步推进，市场秩序井然有序，机构改革顺利推进，各项工作成效显著。</w:t>
      </w:r>
    </w:p>
    <w:p>
      <w:pPr>
        <w:pStyle w:val="4"/>
        <w:adjustRightInd w:val="0"/>
        <w:snapToGrid w:val="0"/>
        <w:spacing w:line="540" w:lineRule="exact"/>
        <w:ind w:firstLine="633" w:firstLineChars="197"/>
        <w:rPr>
          <w:rFonts w:ascii="仿宋_GB2312" w:eastAsia="仿宋_GB2312"/>
          <w:b w:val="0"/>
        </w:rPr>
      </w:pPr>
      <w:r>
        <w:rPr>
          <w:rFonts w:hint="eastAsia" w:ascii="仿宋_GB2312" w:eastAsia="仿宋_GB2312"/>
        </w:rPr>
        <w:t>（1）优化营商环境，激发市场活力</w:t>
      </w:r>
    </w:p>
    <w:p>
      <w:pPr>
        <w:adjustRightInd w:val="0"/>
        <w:snapToGrid w:val="0"/>
        <w:spacing w:line="54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深化企业便利化改革，共建线上“一网通办”综合登记平台和线下政务服务大厅“一窗通办”综合登记窗口，实行市场主体开办、注销“一门进出、一窗受理、一套材料、一网通办、一日办结”，市场主体开办时间压缩至1个工作日内；扩大简易注销企业类型范围，简易注销公示时间由45天压缩为20天，对申请材料齐全、符合法定形式的登记注销业务，实现现场受理当场办结、网上受理在1个工作日内办结。全年，通过线下“一窗受理”办结的许可件共计98件，通过网上“一窗通”办结的许可件共计991件，通过网上全程电子化办理许可309件。继续推进年检改年报制，截至目前，2021年，企业应报1465户，已报1376户，年报率93.92%；个体应报7116户，已报3761户，年报率52.85%；农专社应报23户，已报23户，年报率100%。全力完成经济目标任务，目前，已完成固定资产投资任务1.8503亿元。完成商引资任务1.4542亿元。建立“个转企”目标培育库40户，在目标培育库中，完成“个转企”任务19户，超目标任务数2户。</w:t>
      </w:r>
    </w:p>
    <w:p>
      <w:pPr>
        <w:adjustRightInd w:val="0"/>
        <w:snapToGrid w:val="0"/>
        <w:spacing w:line="540" w:lineRule="exact"/>
        <w:ind w:firstLine="793" w:firstLineChars="247"/>
        <w:rPr>
          <w:rFonts w:ascii="仿宋_GB2312" w:eastAsia="仿宋_GB2312"/>
          <w:b/>
          <w:color w:val="000000"/>
          <w:sz w:val="32"/>
          <w:szCs w:val="32"/>
        </w:rPr>
      </w:pPr>
      <w:r>
        <w:rPr>
          <w:rFonts w:hint="eastAsia" w:ascii="仿宋_GB2312" w:eastAsia="仿宋_GB2312"/>
          <w:b/>
          <w:sz w:val="32"/>
          <w:szCs w:val="32"/>
        </w:rPr>
        <w:t>（2）</w:t>
      </w:r>
      <w:r>
        <w:rPr>
          <w:rFonts w:hint="eastAsia" w:ascii="仿宋_GB2312" w:eastAsia="仿宋_GB2312"/>
          <w:b/>
          <w:color w:val="000000"/>
          <w:sz w:val="32"/>
          <w:szCs w:val="32"/>
        </w:rPr>
        <w:t>守牢安全底线，保障人民权益</w:t>
      </w:r>
    </w:p>
    <w:p>
      <w:pPr>
        <w:adjustRightInd w:val="0"/>
        <w:snapToGrid w:val="0"/>
        <w:spacing w:line="540" w:lineRule="exact"/>
        <w:ind w:firstLine="643" w:firstLineChars="200"/>
        <w:rPr>
          <w:rFonts w:ascii="仿宋_GB2312" w:eastAsia="仿宋_GB2312"/>
          <w:color w:val="000000"/>
          <w:sz w:val="32"/>
          <w:szCs w:val="32"/>
        </w:rPr>
      </w:pPr>
      <w:r>
        <w:rPr>
          <w:rFonts w:hint="eastAsia" w:ascii="仿宋_GB2312" w:eastAsia="仿宋_GB2312"/>
          <w:b/>
          <w:bCs/>
          <w:sz w:val="32"/>
          <w:szCs w:val="32"/>
        </w:rPr>
        <w:t>一是</w:t>
      </w:r>
      <w:r>
        <w:rPr>
          <w:rFonts w:hint="eastAsia" w:ascii="仿宋_GB2312" w:eastAsia="仿宋_GB2312"/>
          <w:color w:val="000000"/>
          <w:sz w:val="32"/>
          <w:szCs w:val="32"/>
        </w:rPr>
        <w:t xml:space="preserve">食品安全不断强化。大力推行“技术监管+行为监管”检监联动机制。目前已开展区本级食用农产品抽样237批次，普通食品50批次，不合格11批次，均已按要求开展核查处置。实行餐饮服务“曝光台”制度，把餐饮服务日常监管情况通过媒体向社会进行公示，目前已曝光20户餐饮单位。持续推进“互联网+食品监管”模式，目前，辖区共150余家经营单位纳入“互联网+食品安全监管”，保健食品经营场所摄像头已达到全覆盖；持续推进“合格证+追溯码”猪肉质量安全闭环监管模式，统一合格证样式、承诺内容、开具方式等指标，实现猪肉从养殖户到餐桌“一票通”。 推进食品安全“两个责任“落实，建立县（区）、镇（街道）、村（社区）三级包保主体台账和包保干部台账，实现“千斤重担人人挑，人人肩上有目标”。 </w:t>
      </w:r>
    </w:p>
    <w:p>
      <w:pPr>
        <w:adjustRightInd w:val="0"/>
        <w:snapToGrid w:val="0"/>
        <w:spacing w:line="540" w:lineRule="exact"/>
        <w:ind w:firstLine="643" w:firstLineChars="200"/>
        <w:rPr>
          <w:rFonts w:ascii="仿宋_GB2312" w:eastAsia="仿宋_GB2312"/>
          <w:sz w:val="32"/>
          <w:szCs w:val="32"/>
        </w:rPr>
      </w:pPr>
      <w:r>
        <w:rPr>
          <w:rFonts w:hint="eastAsia" w:ascii="仿宋_GB2312" w:eastAsia="仿宋_GB2312"/>
          <w:b/>
          <w:bCs/>
          <w:color w:val="000000"/>
          <w:sz w:val="32"/>
          <w:szCs w:val="32"/>
        </w:rPr>
        <w:t>二是</w:t>
      </w:r>
      <w:r>
        <w:rPr>
          <w:rFonts w:hint="eastAsia" w:ascii="仿宋_GB2312" w:eastAsia="仿宋_GB2312"/>
          <w:color w:val="000000"/>
          <w:sz w:val="32"/>
          <w:szCs w:val="32"/>
        </w:rPr>
        <w:t>药品安全持续向好</w:t>
      </w:r>
      <w:r>
        <w:rPr>
          <w:rFonts w:hint="eastAsia" w:ascii="仿宋_GB2312" w:eastAsia="仿宋_GB2312"/>
          <w:sz w:val="32"/>
          <w:szCs w:val="32"/>
        </w:rPr>
        <w:t>。注重药械化质量安全监管工作，加大药械化抽检力度，完成省、市、区级药品抽检50批次，医疗器械收件4批次、化妆品抽检4批次，对3起中药饮片不合格线索，已立案查处。全面规范化妆品市场经营秩序，督促引导经营使用单位建立质量管理制度，目前，已阶段性完成化妆品经营使用单位规范经营试点工作30家。强化风险管理理念，注重对药械化不良反应（事件）监测工作，收集并上报药品不良反应50例、医疗器械不良事件25例、化妆品不良反应23例。全面推行“互联网+药学服务”试点，辖区74家药品零售企业均安装了远程药学服务系统并通过验收。</w:t>
      </w:r>
    </w:p>
    <w:p>
      <w:pPr>
        <w:adjustRightInd w:val="0"/>
        <w:snapToGrid w:val="0"/>
        <w:spacing w:line="540" w:lineRule="exact"/>
        <w:ind w:firstLine="643" w:firstLineChars="200"/>
        <w:rPr>
          <w:rFonts w:ascii="仿宋_GB2312" w:eastAsia="仿宋_GB2312"/>
          <w:sz w:val="32"/>
          <w:szCs w:val="32"/>
        </w:rPr>
      </w:pPr>
      <w:r>
        <w:rPr>
          <w:rFonts w:hint="eastAsia" w:ascii="仿宋_GB2312" w:eastAsia="仿宋_GB2312"/>
          <w:b/>
          <w:bCs/>
          <w:sz w:val="32"/>
          <w:szCs w:val="32"/>
        </w:rPr>
        <w:t>三是</w:t>
      </w:r>
      <w:r>
        <w:rPr>
          <w:rFonts w:hint="eastAsia" w:ascii="仿宋_GB2312" w:eastAsia="仿宋_GB2312"/>
          <w:sz w:val="32"/>
          <w:szCs w:val="32"/>
        </w:rPr>
        <w:t>特种设备安全不断压实。持续推进改进电梯维护保养模式和调整电梯检验检测方式试点工作，目前，西区除政府电梯和中央公园电梯外已实现全区电梯物联网全覆盖，救援效率提升约50%。强化常专结合，全面开展气瓶质量安全监管、起重机械安全隐患排查、电梯鼓式制动器安全隐患排查、镇燃气排查等专项行动，着力抓好医院、工业园区、超市、住宅小区等重点场所（单位）检查。2022年以来，出动执法人员200余人次，检查各类企业300余家次，抽查各类特种设备2200余台个（含气瓶），下达特种设备安全监察指令书31份，立案查处特种设备违法案件17件，有效防范了特种设备重特大事故的发生。</w:t>
      </w:r>
    </w:p>
    <w:p>
      <w:pPr>
        <w:adjustRightInd w:val="0"/>
        <w:snapToGrid w:val="0"/>
        <w:spacing w:line="540" w:lineRule="exact"/>
        <w:ind w:firstLine="643" w:firstLineChars="200"/>
        <w:rPr>
          <w:rFonts w:ascii="仿宋_GB2312" w:eastAsia="仿宋_GB2312"/>
          <w:sz w:val="32"/>
          <w:szCs w:val="32"/>
        </w:rPr>
      </w:pPr>
      <w:r>
        <w:rPr>
          <w:rFonts w:hint="eastAsia" w:ascii="仿宋_GB2312" w:eastAsia="仿宋_GB2312"/>
          <w:b/>
          <w:bCs/>
          <w:sz w:val="32"/>
          <w:szCs w:val="32"/>
        </w:rPr>
        <w:t>四是</w:t>
      </w:r>
      <w:r>
        <w:rPr>
          <w:rFonts w:hint="eastAsia" w:ascii="仿宋_GB2312" w:eastAsia="仿宋_GB2312"/>
          <w:sz w:val="32"/>
          <w:szCs w:val="32"/>
        </w:rPr>
        <w:t>质量强区战略不断提升。深入开展质量强区暨质量提升行动，组织开展省市区级产商品质量专项抽检56批次，涉及儿童服装、婴幼儿服饰、玩具、取暖用品、学生用品等10余个类别，不合格批次已立案查处。开展儿童玩具3C认证、婴儿奶粉有机认证专项执法检查，涉及电动玩具、塑胶玩具、弹射玩具、奶粉等10个品种。开展民生计量工作，共检测西区计量器具600余台（套）。推进辖区知识产权保护工作，组织开展奥林匹克、成都大运会专用标志保护和“川渝味道”专利保护专项行动，查处侵犯冬奥会、冬残奥会标志案3件，办理专利案件7件。</w:t>
      </w:r>
    </w:p>
    <w:p>
      <w:pPr>
        <w:pStyle w:val="27"/>
        <w:snapToGrid w:val="0"/>
        <w:spacing w:line="540" w:lineRule="exact"/>
        <w:ind w:firstLine="643" w:firstLineChars="200"/>
        <w:jc w:val="both"/>
        <w:rPr>
          <w:rFonts w:ascii="仿宋_GB2312" w:eastAsia="仿宋_GB2312" w:cs="Times New Roman"/>
          <w:b/>
          <w:sz w:val="32"/>
          <w:szCs w:val="32"/>
        </w:rPr>
      </w:pPr>
      <w:r>
        <w:rPr>
          <w:rFonts w:hint="eastAsia" w:ascii="仿宋_GB2312" w:eastAsia="仿宋_GB2312"/>
          <w:b/>
          <w:sz w:val="32"/>
          <w:szCs w:val="32"/>
        </w:rPr>
        <w:t>（3）</w:t>
      </w:r>
      <w:r>
        <w:rPr>
          <w:rFonts w:hint="eastAsia" w:ascii="仿宋_GB2312" w:eastAsia="仿宋_GB2312" w:cs="Times New Roman"/>
          <w:b/>
          <w:sz w:val="32"/>
          <w:szCs w:val="32"/>
        </w:rPr>
        <w:t>规范市场秩序，维护公平竞争</w:t>
      </w:r>
    </w:p>
    <w:p>
      <w:pPr>
        <w:pStyle w:val="27"/>
        <w:snapToGrid w:val="0"/>
        <w:spacing w:line="540" w:lineRule="exact"/>
        <w:ind w:firstLine="643" w:firstLineChars="200"/>
        <w:jc w:val="both"/>
        <w:rPr>
          <w:rFonts w:ascii="仿宋_GB2312" w:eastAsia="仿宋_GB2312" w:cs="Times New Roman"/>
          <w:sz w:val="32"/>
          <w:szCs w:val="32"/>
        </w:rPr>
      </w:pPr>
      <w:r>
        <w:rPr>
          <w:rFonts w:hint="eastAsia" w:ascii="仿宋_GB2312" w:eastAsia="仿宋_GB2312" w:cs="Times New Roman"/>
          <w:b/>
          <w:bCs/>
          <w:sz w:val="32"/>
          <w:szCs w:val="32"/>
        </w:rPr>
        <w:t>一是</w:t>
      </w:r>
      <w:r>
        <w:rPr>
          <w:rFonts w:hint="eastAsia" w:ascii="仿宋_GB2312" w:eastAsia="仿宋_GB2312" w:cs="Times New Roman"/>
          <w:sz w:val="32"/>
          <w:szCs w:val="32"/>
        </w:rPr>
        <w:t>落实重点目标“硬任务”。积极推进扫黑除恶、文明城市创建、铁拳行动、“春雷行动”等重点工作，急难险重应对能力不断提升。2022年，对辖区7个农贸市场进行维修改造工作，累计投入资金230万元。在全市率先出台《攀枝花市西区市场监管类行政处罚案件线索移送管理制度（试行）》，查办攀枝花市首例涉及面向未成年人无底线营销食品的案件，该案件入选四川省十大典型案例之一，被中国市场监管报、攀枝花日报等多家主流媒体宣传报道，并在全国掀起了此类案件查办热潮。“春雷行动2022”期间，西区共查办案件122件，罚没款总额110.19万元，有力净化了市场环境。同年6月，攀枝花市西区市场监督管理局被省市场监管局评为“春雷行动2022”先进集体。</w:t>
      </w:r>
    </w:p>
    <w:p>
      <w:pPr>
        <w:adjustRightInd w:val="0"/>
        <w:snapToGrid w:val="0"/>
        <w:spacing w:line="540" w:lineRule="exact"/>
        <w:ind w:firstLine="643" w:firstLineChars="200"/>
        <w:rPr>
          <w:rFonts w:ascii="仿宋_GB2312" w:eastAsia="仿宋_GB2312"/>
          <w:sz w:val="32"/>
          <w:szCs w:val="32"/>
        </w:rPr>
      </w:pPr>
      <w:r>
        <w:rPr>
          <w:rFonts w:hint="eastAsia" w:ascii="仿宋_GB2312" w:eastAsia="仿宋_GB2312"/>
          <w:b/>
          <w:bCs/>
          <w:color w:val="000000"/>
          <w:sz w:val="32"/>
          <w:szCs w:val="32"/>
        </w:rPr>
        <w:t>二是</w:t>
      </w:r>
      <w:r>
        <w:rPr>
          <w:rFonts w:hint="eastAsia" w:ascii="仿宋_GB2312" w:eastAsia="仿宋_GB2312"/>
          <w:color w:val="000000"/>
          <w:sz w:val="32"/>
          <w:szCs w:val="32"/>
        </w:rPr>
        <w:t>当好群众利益“捍卫者”。</w:t>
      </w:r>
      <w:r>
        <w:rPr>
          <w:rFonts w:hint="eastAsia" w:ascii="仿宋_GB2312" w:eastAsia="仿宋_GB2312"/>
          <w:sz w:val="32"/>
          <w:szCs w:val="32"/>
        </w:rPr>
        <w:t>全面激活</w:t>
      </w:r>
      <w:r>
        <w:rPr>
          <w:rFonts w:hint="eastAsia" w:ascii="仿宋_GB2312" w:eastAsia="仿宋_GB2312"/>
          <w:color w:val="000000"/>
          <w:sz w:val="32"/>
          <w:szCs w:val="32"/>
        </w:rPr>
        <w:t>12315消费维权调解平台，实行咨询、投诉、举报24小时人工值守，坚决做到迅速解决群众诉求，化解矛盾纠纷。2022年以来，西区</w:t>
      </w:r>
      <w:r>
        <w:rPr>
          <w:rFonts w:hint="eastAsia" w:ascii="仿宋_GB2312" w:eastAsia="仿宋_GB2312"/>
          <w:sz w:val="32"/>
          <w:szCs w:val="32"/>
        </w:rPr>
        <w:t>共受理消费投诉举报共346件，其中举报2件，办理一般程序案件156件，罚没款723481.3元，涉嫌犯罪向公安机关移送案件6件，举行听证2件，行政诉讼2件，行政复议3件。</w:t>
      </w:r>
    </w:p>
    <w:p>
      <w:pPr>
        <w:adjustRightInd w:val="0"/>
        <w:snapToGrid w:val="0"/>
        <w:spacing w:line="540" w:lineRule="exact"/>
        <w:ind w:firstLine="663"/>
        <w:rPr>
          <w:rFonts w:ascii="仿宋_GB2312" w:eastAsia="仿宋_GB2312"/>
          <w:b/>
          <w:color w:val="000000"/>
          <w:sz w:val="32"/>
          <w:szCs w:val="32"/>
        </w:rPr>
      </w:pPr>
      <w:r>
        <w:rPr>
          <w:rFonts w:hint="eastAsia" w:ascii="仿宋_GB2312" w:eastAsia="仿宋_GB2312"/>
          <w:b/>
          <w:sz w:val="32"/>
          <w:szCs w:val="32"/>
        </w:rPr>
        <w:t>（4）</w:t>
      </w:r>
      <w:r>
        <w:rPr>
          <w:rFonts w:hint="eastAsia" w:ascii="仿宋_GB2312" w:eastAsia="仿宋_GB2312"/>
          <w:b/>
          <w:color w:val="000000"/>
          <w:sz w:val="32"/>
          <w:szCs w:val="32"/>
        </w:rPr>
        <w:t>全力阻击疫情，成功应对大考</w:t>
      </w:r>
    </w:p>
    <w:p>
      <w:pPr>
        <w:adjustRightInd w:val="0"/>
        <w:snapToGrid w:val="0"/>
        <w:spacing w:line="540" w:lineRule="exact"/>
        <w:ind w:firstLine="660"/>
        <w:rPr>
          <w:rFonts w:ascii="仿宋_GB2312" w:eastAsia="仿宋_GB2312"/>
          <w:sz w:val="32"/>
          <w:szCs w:val="32"/>
        </w:rPr>
      </w:pPr>
      <w:r>
        <w:rPr>
          <w:rFonts w:hint="eastAsia" w:ascii="仿宋_GB2312" w:eastAsia="仿宋_GB2312"/>
          <w:color w:val="000000"/>
          <w:sz w:val="32"/>
          <w:szCs w:val="32"/>
        </w:rPr>
        <w:t>强化冷链物流疫情防控。</w:t>
      </w:r>
      <w:r>
        <w:rPr>
          <w:rFonts w:hint="eastAsia" w:ascii="仿宋_GB2312" w:eastAsia="仿宋_GB2312"/>
          <w:sz w:val="32"/>
          <w:szCs w:val="32"/>
        </w:rPr>
        <w:t>开展冷链食品专项检查，严格落实“集中监管仓+库长责任制”，确保进口冷链食品“应进必进、应检必检、应消必消”和“批批检测、件件消毒、集中监管、严防严控”；动员辖区进口冷链食品从业人员定期进行核酸检测2000余人次，外环境采样500批次。加强对辖区各餐饮经营户聚集性活动管理，提倡红事缓办、白事简办，期间，累计劝导取消群体性宴席300余桌。全面开展新冠肺炎检测试剂专项检查，对辖区疾病预防控制中心和新冠病毒疫苗接种单位、临时接种点开展新冠疫苗质量专项检查24家次。积极稳定市场秩序，密切关注口罩、消毒剂、蔬菜、肉类等22类重要民生商品价格动态，全年，累计开展价格采集监测140余次，处理价格相关投诉举报26件。</w:t>
      </w:r>
    </w:p>
    <w:p>
      <w:pPr>
        <w:pStyle w:val="28"/>
        <w:widowControl/>
        <w:numPr>
          <w:ilvl w:val="0"/>
          <w:numId w:val="4"/>
        </w:numPr>
        <w:adjustRightInd w:val="0"/>
        <w:snapToGrid w:val="0"/>
        <w:spacing w:line="580" w:lineRule="exact"/>
        <w:ind w:firstLineChars="0"/>
        <w:contextualSpacing/>
        <w:jc w:val="left"/>
        <w:rPr>
          <w:rFonts w:ascii="仿宋_GB2312" w:eastAsia="仿宋_GB2312"/>
          <w:color w:val="000000"/>
          <w:kern w:val="0"/>
          <w:sz w:val="32"/>
          <w:szCs w:val="32"/>
          <w:shd w:val="clear" w:color="auto" w:fill="FFFFFF"/>
          <w:lang w:val="zh-CN"/>
        </w:rPr>
      </w:pPr>
      <w:r>
        <w:rPr>
          <w:rFonts w:hint="eastAsia" w:ascii="仿宋_GB2312" w:eastAsia="仿宋_GB2312"/>
          <w:color w:val="000000"/>
          <w:kern w:val="0"/>
          <w:sz w:val="32"/>
          <w:szCs w:val="32"/>
          <w:shd w:val="clear" w:color="auto" w:fill="FFFFFF"/>
          <w:lang w:val="zh-CN"/>
        </w:rPr>
        <w:t>结果应用情况。</w:t>
      </w:r>
    </w:p>
    <w:p>
      <w:pPr>
        <w:pStyle w:val="51"/>
        <w:widowControl/>
        <w:pBdr>
          <w:bottom w:val="single" w:color="FFFFFF" w:sz="4" w:space="29"/>
        </w:pBdr>
        <w:overflowPunct w:val="0"/>
        <w:autoSpaceDE w:val="0"/>
        <w:autoSpaceDN w:val="0"/>
        <w:adjustRightInd w:val="0"/>
        <w:snapToGrid w:val="0"/>
        <w:spacing w:line="353" w:lineRule="auto"/>
        <w:ind w:firstLine="1120" w:firstLineChars="350"/>
        <w:rPr>
          <w:rFonts w:ascii="仿宋_GB2312" w:eastAsia="仿宋_GB2312"/>
          <w:sz w:val="32"/>
          <w:szCs w:val="32"/>
        </w:rPr>
      </w:pPr>
      <w:r>
        <w:rPr>
          <w:rFonts w:hint="eastAsia" w:ascii="仿宋_GB2312" w:eastAsia="仿宋_GB2312"/>
          <w:sz w:val="32"/>
          <w:szCs w:val="32"/>
          <w:shd w:val="clear" w:color="auto" w:fill="FFFFFF"/>
        </w:rPr>
        <w:t>1.我局按照“谁支出，谁自评”预算绩效管理要求，组织开展了2022年整体绩效自评工作。逐步树立全员绩效管理意识，向绩效管理要财力，提高财政资金使用效益。对预算执行率偏低、自评结果较</w:t>
      </w:r>
      <w:r>
        <w:rPr>
          <w:rFonts w:hint="eastAsia" w:ascii="仿宋_GB2312" w:eastAsia="仿宋_GB2312"/>
          <w:sz w:val="32"/>
          <w:szCs w:val="32"/>
        </w:rPr>
        <w:t>差的项目，单独说明原因，提出整改措施。</w:t>
      </w:r>
    </w:p>
    <w:p>
      <w:pPr>
        <w:pStyle w:val="51"/>
        <w:widowControl/>
        <w:pBdr>
          <w:bottom w:val="single" w:color="FFFFFF" w:sz="4" w:space="29"/>
        </w:pBdr>
        <w:overflowPunct w:val="0"/>
        <w:autoSpaceDE w:val="0"/>
        <w:autoSpaceDN w:val="0"/>
        <w:adjustRightInd w:val="0"/>
        <w:snapToGrid w:val="0"/>
        <w:spacing w:line="353" w:lineRule="auto"/>
        <w:ind w:firstLine="640" w:firstLineChars="200"/>
        <w:rPr>
          <w:rFonts w:ascii="仿宋_GB2312" w:eastAsia="仿宋_GB2312"/>
          <w:sz w:val="32"/>
          <w:szCs w:val="32"/>
        </w:rPr>
      </w:pPr>
      <w:r>
        <w:rPr>
          <w:rFonts w:hint="eastAsia" w:ascii="仿宋_GB2312" w:eastAsia="仿宋_GB2312"/>
          <w:sz w:val="32"/>
          <w:szCs w:val="32"/>
        </w:rPr>
        <w:t>2.按要求在相关门户网站上及时公开本单位财政支出绩效评价情况，主动接受社会监督。在今后工作中，我局将切实加强项目整改落实，推动绩效评价结果与预算安排相结合，加大评价结果向社会公开的力度，提高资金使用效益。</w:t>
      </w:r>
    </w:p>
    <w:p>
      <w:pPr>
        <w:widowControl/>
        <w:numPr>
          <w:ilvl w:val="0"/>
          <w:numId w:val="5"/>
        </w:numPr>
        <w:adjustRightInd w:val="0"/>
        <w:snapToGrid w:val="0"/>
        <w:spacing w:line="580" w:lineRule="exact"/>
        <w:ind w:firstLine="640" w:firstLineChars="200"/>
        <w:contextualSpacing/>
        <w:jc w:val="left"/>
        <w:rPr>
          <w:rFonts w:ascii="仿宋_GB2312" w:eastAsia="仿宋_GB2312"/>
          <w:color w:val="000000"/>
          <w:kern w:val="0"/>
          <w:sz w:val="32"/>
          <w:szCs w:val="32"/>
          <w:shd w:val="clear" w:color="auto" w:fill="FFFFFF"/>
          <w:lang w:val="zh-CN"/>
        </w:rPr>
      </w:pPr>
      <w:r>
        <w:rPr>
          <w:rFonts w:hint="eastAsia" w:ascii="仿宋_GB2312" w:eastAsia="仿宋_GB2312"/>
          <w:color w:val="000000"/>
          <w:kern w:val="0"/>
          <w:sz w:val="32"/>
          <w:szCs w:val="32"/>
          <w:shd w:val="clear" w:color="auto" w:fill="FFFFFF"/>
          <w:lang w:val="zh-CN"/>
        </w:rPr>
        <w:t>自评质量。</w:t>
      </w:r>
    </w:p>
    <w:p>
      <w:pPr>
        <w:widowControl/>
        <w:adjustRightInd w:val="0"/>
        <w:snapToGrid w:val="0"/>
        <w:spacing w:line="580" w:lineRule="exact"/>
        <w:ind w:firstLine="630"/>
        <w:contextualSpacing/>
        <w:jc w:val="left"/>
        <w:rPr>
          <w:rFonts w:ascii="仿宋_GB2312" w:eastAsia="仿宋_GB2312"/>
          <w:color w:val="000000"/>
          <w:sz w:val="32"/>
          <w:szCs w:val="32"/>
        </w:rPr>
      </w:pPr>
      <w:r>
        <w:rPr>
          <w:rFonts w:hint="eastAsia" w:ascii="仿宋_GB2312" w:eastAsia="仿宋_GB2312"/>
          <w:color w:val="000000"/>
          <w:sz w:val="32"/>
          <w:szCs w:val="32"/>
        </w:rPr>
        <w:t>按照部门整体支出绩效评价要求，我局认真开展自评，部门绩效目标编制完整、合理，资金支付符合会计法律法规以及专项资金管理要求，项目支出专项核算、专款专用。</w:t>
      </w:r>
    </w:p>
    <w:p>
      <w:pPr>
        <w:widowControl/>
        <w:adjustRightInd w:val="0"/>
        <w:snapToGrid w:val="0"/>
        <w:spacing w:line="580" w:lineRule="exact"/>
        <w:ind w:firstLine="630"/>
        <w:contextualSpacing/>
        <w:jc w:val="left"/>
        <w:rPr>
          <w:rFonts w:ascii="仿宋_GB2312" w:eastAsia="仿宋_GB2312"/>
          <w:color w:val="000000"/>
          <w:kern w:val="0"/>
          <w:sz w:val="32"/>
          <w:szCs w:val="32"/>
          <w:shd w:val="clear" w:color="auto" w:fill="FFFFFF"/>
        </w:rPr>
      </w:pPr>
      <w:r>
        <w:rPr>
          <w:rFonts w:hint="eastAsia" w:ascii="仿宋_GB2312" w:eastAsia="仿宋_GB2312"/>
          <w:color w:val="000000"/>
          <w:kern w:val="0"/>
          <w:sz w:val="32"/>
          <w:szCs w:val="32"/>
          <w:shd w:val="clear" w:color="auto" w:fill="FFFFFF"/>
        </w:rPr>
        <w:t>四、评价结论及建议</w:t>
      </w:r>
    </w:p>
    <w:p>
      <w:pPr>
        <w:widowControl/>
        <w:adjustRightInd w:val="0"/>
        <w:snapToGrid w:val="0"/>
        <w:spacing w:line="580" w:lineRule="exact"/>
        <w:ind w:firstLine="640" w:firstLineChars="200"/>
        <w:contextualSpacing/>
        <w:jc w:val="left"/>
        <w:rPr>
          <w:rFonts w:ascii="仿宋_GB2312" w:eastAsia="仿宋_GB2312"/>
          <w:color w:val="000000"/>
          <w:kern w:val="0"/>
          <w:sz w:val="32"/>
          <w:szCs w:val="32"/>
          <w:shd w:val="clear" w:color="auto" w:fill="FFFFFF"/>
          <w:lang w:val="zh-CN"/>
        </w:rPr>
      </w:pPr>
      <w:r>
        <w:rPr>
          <w:rFonts w:hint="eastAsia" w:ascii="仿宋_GB2312" w:eastAsia="仿宋_GB2312"/>
          <w:color w:val="000000"/>
          <w:kern w:val="0"/>
          <w:sz w:val="32"/>
          <w:szCs w:val="32"/>
          <w:shd w:val="clear" w:color="auto" w:fill="FFFFFF"/>
          <w:lang w:val="zh-CN"/>
        </w:rPr>
        <w:t>（一）评价结论。</w:t>
      </w:r>
    </w:p>
    <w:p>
      <w:pPr>
        <w:pStyle w:val="51"/>
        <w:widowControl/>
        <w:pBdr>
          <w:bottom w:val="single" w:color="FFFFFF" w:sz="4" w:space="29"/>
        </w:pBdr>
        <w:overflowPunct w:val="0"/>
        <w:autoSpaceDE w:val="0"/>
        <w:autoSpaceDN w:val="0"/>
        <w:adjustRightInd w:val="0"/>
        <w:snapToGrid w:val="0"/>
        <w:spacing w:line="353" w:lineRule="auto"/>
        <w:ind w:firstLine="640" w:firstLineChars="200"/>
        <w:rPr>
          <w:rFonts w:ascii="仿宋_GB2312" w:eastAsia="仿宋_GB2312"/>
          <w:color w:val="000000"/>
          <w:sz w:val="32"/>
          <w:szCs w:val="32"/>
        </w:rPr>
      </w:pPr>
      <w:r>
        <w:rPr>
          <w:rFonts w:hint="eastAsia" w:ascii="仿宋_GB2312" w:eastAsia="仿宋_GB2312"/>
          <w:color w:val="000000"/>
          <w:sz w:val="32"/>
          <w:szCs w:val="32"/>
        </w:rPr>
        <w:t>按照部门整体支出绩效评价要求，我局认真开展自评，部门绩效目标编制完整、合理，资金支付符合会计法律法规以及专项资金管理要求，项目支出专项核算、专款专用。我局认真贯彻落实省局、市委和市政府的安排部署，围绕中心、服务大局、履职尽责、开拓创新，保障了各项工作有序推进。食品、药品、产商品质量、特种设备“四大安全”监管实现“零事故”。</w:t>
      </w:r>
    </w:p>
    <w:p>
      <w:pPr>
        <w:pStyle w:val="51"/>
        <w:widowControl/>
        <w:pBdr>
          <w:bottom w:val="single" w:color="FFFFFF" w:sz="4" w:space="29"/>
        </w:pBdr>
        <w:overflowPunct w:val="0"/>
        <w:autoSpaceDE w:val="0"/>
        <w:autoSpaceDN w:val="0"/>
        <w:adjustRightInd w:val="0"/>
        <w:snapToGrid w:val="0"/>
        <w:spacing w:line="353" w:lineRule="auto"/>
        <w:ind w:firstLine="640" w:firstLineChars="200"/>
        <w:rPr>
          <w:rFonts w:ascii="仿宋_GB2312" w:hAnsi="Times New Roman" w:eastAsia="仿宋_GB2312" w:cs="Times New Roman"/>
          <w:color w:val="000000"/>
          <w:kern w:val="0"/>
          <w:sz w:val="32"/>
          <w:szCs w:val="32"/>
          <w:shd w:val="clear" w:color="auto" w:fill="FFFFFF"/>
          <w:lang w:val="zh-CN"/>
        </w:rPr>
      </w:pPr>
      <w:r>
        <w:rPr>
          <w:rFonts w:hint="eastAsia" w:ascii="仿宋_GB2312" w:hAnsi="Times New Roman" w:eastAsia="仿宋_GB2312" w:cs="Times New Roman"/>
          <w:color w:val="000000"/>
          <w:kern w:val="0"/>
          <w:sz w:val="32"/>
          <w:szCs w:val="32"/>
          <w:shd w:val="clear" w:color="auto" w:fill="FFFFFF"/>
          <w:lang w:val="zh-CN"/>
        </w:rPr>
        <w:t>（二）存在问题。</w:t>
      </w:r>
    </w:p>
    <w:p>
      <w:pPr>
        <w:pStyle w:val="51"/>
        <w:widowControl/>
        <w:pBdr>
          <w:bottom w:val="single" w:color="FFFFFF" w:sz="4" w:space="29"/>
        </w:pBdr>
        <w:overflowPunct w:val="0"/>
        <w:autoSpaceDE w:val="0"/>
        <w:autoSpaceDN w:val="0"/>
        <w:adjustRightInd w:val="0"/>
        <w:snapToGrid w:val="0"/>
        <w:spacing w:line="353" w:lineRule="auto"/>
        <w:ind w:firstLine="672" w:firstLineChars="210"/>
        <w:rPr>
          <w:rFonts w:ascii="仿宋_GB2312" w:eastAsia="仿宋_GB2312"/>
          <w:sz w:val="32"/>
          <w:szCs w:val="32"/>
        </w:rPr>
      </w:pPr>
      <w:r>
        <w:rPr>
          <w:rFonts w:hint="eastAsia" w:ascii="仿宋_GB2312" w:eastAsia="仿宋_GB2312"/>
          <w:sz w:val="32"/>
          <w:szCs w:val="32"/>
        </w:rPr>
        <w:t>一是对全局职工绩效评价宣传培训工作做得不够，</w:t>
      </w:r>
      <w:r>
        <w:rPr>
          <w:rFonts w:hint="eastAsia" w:ascii="仿宋_GB2312" w:eastAsia="仿宋_GB2312"/>
          <w:sz w:val="32"/>
          <w:szCs w:val="32"/>
          <w:shd w:val="clear" w:color="auto" w:fill="FFFFFF"/>
        </w:rPr>
        <w:t>业务股室缺乏对预算绩效管理的全面认识</w:t>
      </w:r>
      <w:r>
        <w:rPr>
          <w:rFonts w:hint="eastAsia" w:ascii="仿宋_GB2312" w:eastAsia="仿宋_GB2312"/>
          <w:sz w:val="32"/>
          <w:szCs w:val="32"/>
        </w:rPr>
        <w:t>；二是财政财力紧张，导致部分款项无法支付，资金执行进度较低。</w:t>
      </w:r>
    </w:p>
    <w:p>
      <w:pPr>
        <w:pStyle w:val="51"/>
        <w:widowControl/>
        <w:pBdr>
          <w:bottom w:val="single" w:color="FFFFFF" w:sz="4" w:space="29"/>
        </w:pBdr>
        <w:overflowPunct w:val="0"/>
        <w:autoSpaceDE w:val="0"/>
        <w:autoSpaceDN w:val="0"/>
        <w:adjustRightInd w:val="0"/>
        <w:snapToGrid w:val="0"/>
        <w:spacing w:line="353" w:lineRule="auto"/>
        <w:ind w:firstLine="640" w:firstLineChars="200"/>
        <w:rPr>
          <w:rFonts w:ascii="仿宋_GB2312" w:hAnsi="Times New Roman" w:eastAsia="仿宋_GB2312" w:cs="Times New Roman"/>
          <w:color w:val="000000"/>
          <w:kern w:val="0"/>
          <w:sz w:val="32"/>
          <w:szCs w:val="32"/>
          <w:shd w:val="clear" w:color="auto" w:fill="FFFFFF"/>
          <w:lang w:val="zh-CN"/>
        </w:rPr>
      </w:pPr>
      <w:r>
        <w:rPr>
          <w:rFonts w:hint="eastAsia" w:ascii="仿宋_GB2312" w:hAnsi="Times New Roman" w:eastAsia="仿宋_GB2312" w:cs="Times New Roman"/>
          <w:color w:val="000000"/>
          <w:kern w:val="0"/>
          <w:sz w:val="32"/>
          <w:szCs w:val="32"/>
          <w:shd w:val="clear" w:color="auto" w:fill="FFFFFF"/>
          <w:lang w:val="zh-CN"/>
        </w:rPr>
        <w:t>（三）改进建议。</w:t>
      </w:r>
    </w:p>
    <w:p>
      <w:pPr>
        <w:pStyle w:val="51"/>
        <w:widowControl/>
        <w:pBdr>
          <w:bottom w:val="single" w:color="FFFFFF" w:sz="4" w:space="29"/>
        </w:pBdr>
        <w:overflowPunct w:val="0"/>
        <w:autoSpaceDE w:val="0"/>
        <w:autoSpaceDN w:val="0"/>
        <w:adjustRightInd w:val="0"/>
        <w:snapToGrid w:val="0"/>
        <w:spacing w:line="353" w:lineRule="auto"/>
        <w:ind w:firstLine="672" w:firstLineChars="210"/>
        <w:rPr>
          <w:rFonts w:ascii="仿宋_GB2312" w:eastAsia="仿宋_GB2312"/>
          <w:sz w:val="32"/>
          <w:szCs w:val="32"/>
        </w:rPr>
      </w:pPr>
      <w:r>
        <w:rPr>
          <w:rFonts w:hint="eastAsia" w:ascii="仿宋_GB2312" w:eastAsia="仿宋_GB2312"/>
          <w:sz w:val="32"/>
          <w:szCs w:val="32"/>
        </w:rPr>
        <w:t>一是强化项目实施股室对资金绩效实现情况的责任约束。对专项资金偏离预算绩效目标的支出，及时采取有效措施予以纠正，让资金管理人、使用人皆知自身的责任，进一步规范专项资金使用绩效。二是加强资金监管。针对资金绩效运行状况，及时查找资金使用和管理过程中的薄弱环节，提出纠正措施；加快资金执行进度，确保后续绩效目标的有效完成。三是加强与财政沟通协调。加大资金保障力度，加快资金执行进度，及时跟踪问效，实现全程可查询、可追溯、可控制。</w:t>
      </w:r>
    </w:p>
    <w:p>
      <w:pPr>
        <w:pStyle w:val="14"/>
        <w:spacing w:line="560" w:lineRule="exact"/>
        <w:ind w:left="2078" w:leftChars="304" w:hanging="1440" w:hangingChars="450"/>
        <w:rPr>
          <w:rFonts w:hAnsi="仿宋_GB2312" w:eastAsia="仿宋_GB2312" w:cs="仿宋_GB2312"/>
          <w:sz w:val="32"/>
          <w:lang w:val="zh-CN"/>
        </w:rPr>
      </w:pPr>
      <w:r>
        <w:rPr>
          <w:rFonts w:hint="eastAsia" w:eastAsia="仿宋_GB2312"/>
          <w:color w:val="000000"/>
          <w:kern w:val="0"/>
          <w:sz w:val="32"/>
          <w:shd w:val="clear" w:color="auto" w:fill="FFFFFF"/>
        </w:rPr>
        <w:t xml:space="preserve">   附件：</w:t>
      </w:r>
      <w:r>
        <w:rPr>
          <w:rFonts w:hint="eastAsia" w:hAnsi="仿宋_GB2312" w:eastAsia="仿宋_GB2312" w:cs="仿宋_GB2312"/>
          <w:sz w:val="32"/>
        </w:rPr>
        <w:t>部门预算项目支出绩效自评表（2022年度）见附件</w:t>
      </w:r>
      <w:r>
        <w:rPr>
          <w:rFonts w:hAnsi="仿宋_GB2312" w:eastAsia="仿宋_GB2312" w:cs="仿宋_GB2312"/>
          <w:sz w:val="32"/>
        </w:rPr>
        <w:t>3</w:t>
      </w:r>
    </w:p>
    <w:p>
      <w:pPr>
        <w:widowControl/>
        <w:adjustRightInd w:val="0"/>
        <w:snapToGrid w:val="0"/>
        <w:spacing w:line="580" w:lineRule="exact"/>
        <w:ind w:left="1260" w:hanging="1260" w:hangingChars="600"/>
        <w:contextualSpacing/>
        <w:jc w:val="left"/>
        <w:rPr>
          <w:color w:val="000000"/>
          <w:kern w:val="0"/>
          <w:szCs w:val="32"/>
          <w:shd w:val="clear" w:color="auto" w:fill="FFFFFF"/>
        </w:rPr>
      </w:pPr>
    </w:p>
    <w:p>
      <w:pPr>
        <w:spacing w:line="600" w:lineRule="exact"/>
        <w:outlineLvl w:val="0"/>
        <w:rPr>
          <w:rFonts w:ascii="黑体" w:hAnsi="黑体" w:eastAsia="黑体"/>
          <w:sz w:val="44"/>
          <w:szCs w:val="44"/>
        </w:rPr>
      </w:pPr>
    </w:p>
    <w:p>
      <w:pPr>
        <w:spacing w:line="600" w:lineRule="exact"/>
        <w:outlineLvl w:val="0"/>
        <w:rPr>
          <w:rFonts w:ascii="黑体" w:hAnsi="黑体" w:eastAsia="黑体"/>
          <w:sz w:val="44"/>
          <w:szCs w:val="44"/>
        </w:rPr>
      </w:pPr>
    </w:p>
    <w:p>
      <w:pPr>
        <w:spacing w:line="600" w:lineRule="exact"/>
        <w:outlineLvl w:val="0"/>
        <w:rPr>
          <w:rFonts w:ascii="黑体" w:hAnsi="黑体" w:eastAsia="黑体"/>
          <w:sz w:val="44"/>
          <w:szCs w:val="44"/>
        </w:rPr>
      </w:pPr>
    </w:p>
    <w:p>
      <w:pPr>
        <w:spacing w:line="600" w:lineRule="exact"/>
        <w:outlineLvl w:val="0"/>
        <w:rPr>
          <w:rFonts w:ascii="黑体" w:hAnsi="黑体" w:eastAsia="黑体"/>
          <w:sz w:val="44"/>
          <w:szCs w:val="44"/>
        </w:rPr>
      </w:pPr>
    </w:p>
    <w:p>
      <w:pPr>
        <w:spacing w:line="600" w:lineRule="exact"/>
        <w:outlineLvl w:val="0"/>
        <w:rPr>
          <w:rFonts w:ascii="黑体" w:hAnsi="黑体" w:eastAsia="黑体"/>
          <w:sz w:val="44"/>
          <w:szCs w:val="44"/>
        </w:rPr>
      </w:pPr>
    </w:p>
    <w:p>
      <w:pPr>
        <w:pStyle w:val="35"/>
        <w:spacing w:line="600" w:lineRule="exact"/>
        <w:ind w:firstLine="880" w:firstLineChars="200"/>
        <w:jc w:val="center"/>
        <w:rPr>
          <w:rFonts w:hint="eastAsia" w:ascii="黑体" w:hAnsi="黑体" w:eastAsia="黑体"/>
          <w:color w:val="auto"/>
          <w:kern w:val="2"/>
          <w:sz w:val="44"/>
          <w:szCs w:val="44"/>
          <w:lang w:val="en-US"/>
        </w:rPr>
      </w:pPr>
    </w:p>
    <w:p>
      <w:pPr>
        <w:pStyle w:val="35"/>
        <w:spacing w:line="600" w:lineRule="exact"/>
        <w:rPr>
          <w:rFonts w:hint="eastAsia" w:ascii="仿宋_GB2312" w:hAnsi="Times New Roman" w:eastAsia="仿宋_GB2312"/>
          <w:sz w:val="32"/>
          <w:szCs w:val="32"/>
          <w:lang w:val="en-US"/>
        </w:rPr>
      </w:pPr>
      <w:r>
        <w:rPr>
          <w:rFonts w:hint="eastAsia" w:ascii="仿宋_GB2312" w:hAnsi="黑体" w:eastAsia="仿宋_GB2312"/>
          <w:color w:val="auto"/>
          <w:kern w:val="2"/>
          <w:sz w:val="32"/>
          <w:szCs w:val="32"/>
          <w:lang w:val="en-US"/>
        </w:rPr>
        <w:t>附件2：</w:t>
      </w:r>
    </w:p>
    <w:p>
      <w:pPr>
        <w:pStyle w:val="35"/>
        <w:spacing w:line="600" w:lineRule="exact"/>
        <w:ind w:firstLine="880" w:firstLineChars="200"/>
        <w:jc w:val="center"/>
        <w:rPr>
          <w:rFonts w:ascii="Times New Roman" w:hAnsi="Times New Roman" w:eastAsia="方正小标宋简体"/>
          <w:sz w:val="44"/>
          <w:szCs w:val="44"/>
        </w:rPr>
      </w:pPr>
      <w:r>
        <w:rPr>
          <w:rFonts w:hint="eastAsia" w:ascii="Times New Roman" w:hAnsi="Times New Roman" w:eastAsia="方正小标宋简体"/>
          <w:sz w:val="44"/>
          <w:szCs w:val="44"/>
          <w:lang w:val="en-US"/>
        </w:rPr>
        <w:t>202</w:t>
      </w:r>
      <w:r>
        <w:rPr>
          <w:rFonts w:hint="eastAsia" w:ascii="Times New Roman" w:hAnsi="Times New Roman" w:eastAsia="方正小标宋简体"/>
          <w:sz w:val="44"/>
          <w:szCs w:val="44"/>
          <w:lang w:val="en-US" w:eastAsia="zh-CN"/>
        </w:rPr>
        <w:t>2</w:t>
      </w:r>
      <w:r>
        <w:rPr>
          <w:rFonts w:hint="eastAsia" w:ascii="Times New Roman" w:hAnsi="Times New Roman" w:eastAsia="方正小标宋简体"/>
          <w:sz w:val="44"/>
          <w:szCs w:val="44"/>
          <w:lang w:val="en-US"/>
        </w:rPr>
        <w:t>年</w:t>
      </w:r>
      <w:r>
        <w:rPr>
          <w:rFonts w:hint="eastAsia" w:ascii="Times New Roman" w:hAnsi="Times New Roman" w:eastAsia="方正小标宋简体"/>
          <w:sz w:val="44"/>
          <w:szCs w:val="44"/>
        </w:rPr>
        <w:t>省级市场监管专项项目</w:t>
      </w:r>
    </w:p>
    <w:p>
      <w:pPr>
        <w:pStyle w:val="35"/>
        <w:spacing w:line="600" w:lineRule="exact"/>
        <w:ind w:firstLine="880" w:firstLineChars="200"/>
        <w:jc w:val="center"/>
        <w:rPr>
          <w:rFonts w:ascii="Times New Roman" w:hAnsi="Times New Roman" w:eastAsia="方正小标宋简体"/>
          <w:sz w:val="44"/>
          <w:szCs w:val="44"/>
        </w:rPr>
      </w:pPr>
      <w:r>
        <w:rPr>
          <w:rFonts w:hint="eastAsia" w:ascii="Times New Roman" w:hAnsi="Times New Roman" w:eastAsia="方正小标宋简体"/>
          <w:sz w:val="44"/>
          <w:szCs w:val="44"/>
        </w:rPr>
        <w:t>支出绩效自评报告</w:t>
      </w:r>
    </w:p>
    <w:p>
      <w:pPr>
        <w:adjustRightInd w:val="0"/>
        <w:snapToGrid w:val="0"/>
        <w:spacing w:line="600" w:lineRule="exact"/>
        <w:ind w:firstLine="720"/>
        <w:rPr>
          <w:rFonts w:hint="eastAsia" w:ascii="仿宋_GB2312" w:eastAsia="仿宋_GB2312"/>
          <w:sz w:val="32"/>
          <w:szCs w:val="32"/>
          <w:lang w:val="zh-CN"/>
        </w:rPr>
      </w:pPr>
      <w:r>
        <w:rPr>
          <w:rFonts w:hint="eastAsia" w:ascii="仿宋_GB2312" w:eastAsia="仿宋_GB2312"/>
          <w:sz w:val="32"/>
          <w:szCs w:val="32"/>
        </w:rPr>
        <w:t>一、</w:t>
      </w:r>
      <w:r>
        <w:rPr>
          <w:rFonts w:hint="eastAsia" w:ascii="仿宋_GB2312" w:eastAsia="仿宋_GB2312"/>
          <w:sz w:val="32"/>
          <w:szCs w:val="32"/>
          <w:lang w:val="zh-CN"/>
        </w:rPr>
        <w:t>项目概况</w:t>
      </w:r>
    </w:p>
    <w:p>
      <w:pPr>
        <w:adjustRightInd w:val="0"/>
        <w:snapToGrid w:val="0"/>
        <w:spacing w:line="600" w:lineRule="exact"/>
        <w:ind w:firstLine="720"/>
        <w:rPr>
          <w:rFonts w:hint="eastAsia" w:ascii="仿宋_GB2312" w:eastAsia="仿宋_GB2312"/>
          <w:b/>
          <w:sz w:val="32"/>
          <w:szCs w:val="32"/>
          <w:lang w:val="zh-CN"/>
        </w:rPr>
      </w:pPr>
      <w:r>
        <w:rPr>
          <w:rFonts w:hint="eastAsia" w:ascii="仿宋_GB2312" w:eastAsia="仿宋_GB2312"/>
          <w:b/>
          <w:sz w:val="32"/>
          <w:szCs w:val="32"/>
          <w:lang w:val="zh-CN"/>
        </w:rPr>
        <w:t>（一）项目基本情况。</w:t>
      </w:r>
    </w:p>
    <w:p>
      <w:pPr>
        <w:adjustRightInd w:val="0"/>
        <w:snapToGrid w:val="0"/>
        <w:spacing w:line="600" w:lineRule="exact"/>
        <w:ind w:firstLine="720"/>
        <w:rPr>
          <w:rFonts w:hint="eastAsia" w:ascii="仿宋_GB2312" w:eastAsia="仿宋_GB2312"/>
          <w:sz w:val="32"/>
          <w:szCs w:val="32"/>
          <w:lang w:val="zh-CN"/>
        </w:rPr>
      </w:pPr>
      <w:r>
        <w:rPr>
          <w:rFonts w:hint="eastAsia" w:ascii="仿宋_GB2312" w:eastAsia="仿宋_GB2312"/>
          <w:sz w:val="32"/>
          <w:szCs w:val="32"/>
          <w:lang w:val="zh-CN"/>
        </w:rPr>
        <w:t>1．项目主管单位在该项目管理中的职能。</w:t>
      </w:r>
    </w:p>
    <w:p>
      <w:pPr>
        <w:adjustRightInd w:val="0"/>
        <w:snapToGrid w:val="0"/>
        <w:spacing w:line="353" w:lineRule="auto"/>
        <w:ind w:firstLine="640" w:firstLineChars="200"/>
        <w:rPr>
          <w:rFonts w:hint="eastAsia" w:ascii="仿宋_GB2312" w:eastAsia="仿宋_GB2312"/>
          <w:sz w:val="32"/>
          <w:szCs w:val="32"/>
        </w:rPr>
      </w:pPr>
      <w:r>
        <w:rPr>
          <w:rFonts w:hint="eastAsia" w:ascii="仿宋_GB2312" w:eastAsia="仿宋_GB2312"/>
          <w:bCs/>
          <w:kern w:val="0"/>
          <w:sz w:val="32"/>
          <w:szCs w:val="32"/>
        </w:rPr>
        <w:t>西区市场监管局负责承担依法规范和维护各类市场经营秩序的责任，负责市场监督管理和行政执法，组织查处违反食品药品监督管理、工商行政管理法律、法规、规章的行为。负责市场等公众聚集场所、食品、药品、医疗器械、化妆品安全事故应急体系和隐患排查治理机制建设，组织市场等公众聚集</w:t>
      </w:r>
      <w:r>
        <w:rPr>
          <w:rFonts w:hint="eastAsia" w:ascii="仿宋_GB2312" w:eastAsia="仿宋_GB2312"/>
          <w:sz w:val="32"/>
          <w:szCs w:val="32"/>
        </w:rPr>
        <w:t>场所、食品、药品、医疗器械、化妆品安全事故应急处置和调查处理工作，按规定负责市场等公众聚集场所、食品、药品、医疗器械、化妆品的安全事故和突发事件的应对处置。</w:t>
      </w:r>
    </w:p>
    <w:p>
      <w:pPr>
        <w:adjustRightInd w:val="0"/>
        <w:snapToGrid w:val="0"/>
        <w:spacing w:line="600" w:lineRule="exact"/>
        <w:ind w:firstLine="720"/>
        <w:rPr>
          <w:rFonts w:hint="eastAsia" w:ascii="仿宋_GB2312" w:eastAsia="仿宋_GB2312"/>
          <w:sz w:val="32"/>
          <w:szCs w:val="32"/>
          <w:lang w:val="zh-CN"/>
        </w:rPr>
      </w:pPr>
      <w:r>
        <w:rPr>
          <w:rFonts w:hint="eastAsia" w:ascii="仿宋_GB2312" w:eastAsia="仿宋_GB2312"/>
          <w:sz w:val="32"/>
          <w:szCs w:val="32"/>
          <w:lang w:val="zh-CN"/>
        </w:rPr>
        <w:t>2. 项目立项、资金申报的依据。</w:t>
      </w:r>
    </w:p>
    <w:p>
      <w:pPr>
        <w:ind w:firstLine="640" w:firstLineChars="200"/>
        <w:outlineLvl w:val="0"/>
        <w:rPr>
          <w:rFonts w:hint="eastAsia" w:ascii="仿宋_GB2312" w:eastAsia="仿宋_GB2312"/>
          <w:sz w:val="32"/>
          <w:szCs w:val="32"/>
          <w:lang w:val="zh-CN"/>
        </w:rPr>
      </w:pPr>
      <w:r>
        <w:rPr>
          <w:rFonts w:hint="eastAsia" w:ascii="仿宋_GB2312" w:eastAsia="仿宋_GB2312" w:cs="仿宋_GB2312"/>
          <w:sz w:val="32"/>
          <w:szCs w:val="32"/>
        </w:rPr>
        <w:t>紧紧围绕确定的年度重点工作，为了实施质量强区战略，严守食品药品、重要工业产品质量、特种设备四条安全底线。强化计量技术保障、筑牢标准化基础、完善认证认可和检验检测监管体系。</w:t>
      </w:r>
    </w:p>
    <w:p>
      <w:pPr>
        <w:adjustRightInd w:val="0"/>
        <w:snapToGrid w:val="0"/>
        <w:spacing w:line="600" w:lineRule="exact"/>
        <w:ind w:firstLine="720"/>
        <w:rPr>
          <w:rFonts w:hint="eastAsia" w:ascii="仿宋_GB2312" w:eastAsia="仿宋_GB2312"/>
          <w:sz w:val="32"/>
          <w:szCs w:val="32"/>
          <w:lang w:val="zh-CN"/>
        </w:rPr>
      </w:pPr>
      <w:r>
        <w:rPr>
          <w:rFonts w:hint="eastAsia" w:ascii="仿宋_GB2312" w:eastAsia="仿宋_GB2312"/>
          <w:sz w:val="32"/>
          <w:szCs w:val="32"/>
          <w:lang w:val="zh-CN"/>
        </w:rPr>
        <w:t>3．资金管理办法制定情况，资金支持具体项目的条件、范围与支持方式概况。</w:t>
      </w:r>
    </w:p>
    <w:p>
      <w:pPr>
        <w:spacing w:line="580" w:lineRule="exact"/>
        <w:ind w:left="-210" w:leftChars="-100" w:right="-210" w:rightChars="-100" w:firstLine="640" w:firstLineChars="200"/>
        <w:jc w:val="left"/>
        <w:outlineLvl w:val="0"/>
        <w:rPr>
          <w:rFonts w:hint="eastAsia" w:ascii="仿宋_GB2312" w:hAnsi="楷体" w:eastAsia="仿宋_GB2312"/>
          <w:color w:val="FF0000"/>
          <w:sz w:val="32"/>
          <w:szCs w:val="32"/>
        </w:rPr>
      </w:pPr>
      <w:r>
        <w:rPr>
          <w:rFonts w:hint="eastAsia" w:ascii="仿宋_GB2312" w:eastAsia="仿宋_GB2312" w:cs="仿宋_GB2312"/>
          <w:kern w:val="0"/>
          <w:sz w:val="32"/>
          <w:szCs w:val="32"/>
          <w:lang w:val="zh-CN"/>
        </w:rPr>
        <w:t>该项目资金实行专款专用，资金使用规范，严格执行相关财务管理制度，资金转付严格按照财务审批程序进行，会计核算结果真实、准确。</w:t>
      </w:r>
      <w:r>
        <w:rPr>
          <w:rFonts w:hint="eastAsia" w:ascii="仿宋_GB2312" w:eastAsia="仿宋_GB2312" w:cs="仿宋_GB2312"/>
          <w:sz w:val="32"/>
          <w:szCs w:val="32"/>
        </w:rPr>
        <w:t>切实做好绩效监控和绩效评价，确保资金安全。</w:t>
      </w:r>
    </w:p>
    <w:p>
      <w:pPr>
        <w:adjustRightInd w:val="0"/>
        <w:snapToGrid w:val="0"/>
        <w:spacing w:line="600" w:lineRule="exact"/>
        <w:ind w:firstLine="720"/>
        <w:rPr>
          <w:rFonts w:hint="eastAsia" w:ascii="仿宋_GB2312" w:eastAsia="仿宋_GB2312"/>
          <w:sz w:val="32"/>
          <w:szCs w:val="32"/>
          <w:lang w:val="zh-CN"/>
        </w:rPr>
      </w:pPr>
      <w:r>
        <w:rPr>
          <w:rFonts w:hint="eastAsia" w:ascii="仿宋_GB2312" w:eastAsia="仿宋_GB2312"/>
          <w:sz w:val="32"/>
          <w:szCs w:val="32"/>
          <w:lang w:val="zh-CN"/>
        </w:rPr>
        <w:t>4. 资金分配的原则及考虑因素。</w:t>
      </w:r>
    </w:p>
    <w:p>
      <w:pPr>
        <w:adjustRightInd w:val="0"/>
        <w:snapToGrid w:val="0"/>
        <w:spacing w:line="600" w:lineRule="exact"/>
        <w:ind w:firstLine="720"/>
        <w:rPr>
          <w:rFonts w:hint="eastAsia" w:ascii="仿宋_GB2312" w:eastAsia="仿宋_GB2312"/>
          <w:sz w:val="32"/>
          <w:szCs w:val="32"/>
          <w:lang w:val="zh-CN"/>
        </w:rPr>
      </w:pPr>
      <w:r>
        <w:rPr>
          <w:rFonts w:hint="eastAsia" w:ascii="仿宋_GB2312" w:eastAsia="仿宋_GB2312"/>
          <w:sz w:val="32"/>
          <w:szCs w:val="32"/>
          <w:lang w:val="zh-CN"/>
        </w:rPr>
        <w:t>西区财政结转了2021年省级市场监管专项资金25万，下达了2022年省级市场监管专项资金27.5万元，合计52.5万元。</w:t>
      </w:r>
    </w:p>
    <w:p>
      <w:pPr>
        <w:adjustRightInd w:val="0"/>
        <w:snapToGrid w:val="0"/>
        <w:spacing w:line="600" w:lineRule="exact"/>
        <w:ind w:firstLine="720"/>
        <w:rPr>
          <w:rFonts w:hint="eastAsia" w:ascii="仿宋_GB2312" w:eastAsia="仿宋_GB2312"/>
          <w:b/>
          <w:sz w:val="32"/>
          <w:szCs w:val="32"/>
          <w:lang w:val="zh-CN"/>
        </w:rPr>
      </w:pPr>
      <w:r>
        <w:rPr>
          <w:rFonts w:hint="eastAsia" w:ascii="仿宋_GB2312" w:eastAsia="仿宋_GB2312"/>
          <w:b/>
          <w:sz w:val="32"/>
          <w:szCs w:val="32"/>
          <w:lang w:val="zh-CN"/>
        </w:rPr>
        <w:t>（二）项目绩效目标。</w:t>
      </w:r>
    </w:p>
    <w:p>
      <w:pPr>
        <w:adjustRightInd w:val="0"/>
        <w:snapToGrid w:val="0"/>
        <w:spacing w:line="600" w:lineRule="exact"/>
        <w:ind w:firstLine="720"/>
        <w:rPr>
          <w:rFonts w:hint="eastAsia" w:ascii="仿宋_GB2312" w:eastAsia="仿宋_GB2312"/>
          <w:sz w:val="32"/>
          <w:szCs w:val="32"/>
          <w:lang w:val="zh-CN"/>
        </w:rPr>
      </w:pPr>
      <w:r>
        <w:rPr>
          <w:rFonts w:hint="eastAsia" w:ascii="仿宋_GB2312" w:eastAsia="仿宋_GB2312"/>
          <w:sz w:val="32"/>
          <w:szCs w:val="32"/>
          <w:lang w:val="zh-CN"/>
        </w:rPr>
        <w:t>1. 项目主要内容。</w:t>
      </w:r>
    </w:p>
    <w:p>
      <w:pPr>
        <w:adjustRightInd w:val="0"/>
        <w:snapToGrid w:val="0"/>
        <w:spacing w:line="560" w:lineRule="exact"/>
        <w:ind w:firstLine="640" w:firstLineChars="200"/>
        <w:rPr>
          <w:rFonts w:hint="eastAsia" w:ascii="仿宋_GB2312" w:eastAsia="仿宋_GB2312" w:cs="仿宋_GB2312"/>
          <w:sz w:val="32"/>
          <w:szCs w:val="32"/>
        </w:rPr>
      </w:pPr>
      <w:r>
        <w:rPr>
          <w:rFonts w:hint="eastAsia" w:ascii="仿宋_GB2312" w:eastAsia="仿宋_GB2312" w:cs="仿宋_GB2312"/>
          <w:sz w:val="32"/>
          <w:szCs w:val="32"/>
        </w:rPr>
        <w:t>紧紧围绕省局确定的年度重点工作， 深入实施质量强省战略， 全面提升全省市场监管能力。 严守食品、 重要工业产品质量、特种设备三条安全底线。 强化计量技术保障、筑牢标准化基础、完善认证认可和检验检测监管体系。 强化消费引导、 深入推动放心舒心消费环境建设。开展“春雷行动”、全国文明城市创建、国家食品安全示范城市创建、强化知识产权保护、加强反垄断和反不正当竞争执法、 价格监管、广告监管、网络和合同监管、 提高综合行政执法水平。</w:t>
      </w:r>
    </w:p>
    <w:p>
      <w:pPr>
        <w:adjustRightInd w:val="0"/>
        <w:snapToGrid w:val="0"/>
        <w:spacing w:line="600" w:lineRule="exact"/>
        <w:ind w:firstLine="720"/>
        <w:rPr>
          <w:rFonts w:hint="eastAsia" w:ascii="仿宋_GB2312" w:eastAsia="仿宋_GB2312"/>
          <w:sz w:val="32"/>
          <w:szCs w:val="32"/>
          <w:lang w:val="zh-CN"/>
        </w:rPr>
      </w:pPr>
      <w:r>
        <w:rPr>
          <w:rFonts w:hint="eastAsia" w:ascii="仿宋_GB2312" w:eastAsia="仿宋_GB2312"/>
          <w:sz w:val="32"/>
          <w:szCs w:val="32"/>
          <w:lang w:val="zh-CN"/>
        </w:rPr>
        <w:t>2. 项目应实现的具体绩效目标</w:t>
      </w:r>
    </w:p>
    <w:p>
      <w:pPr>
        <w:adjustRightInd w:val="0"/>
        <w:snapToGrid w:val="0"/>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通过线下“一窗受理”办结的许可件共计98件，通过网上“一窗通”办结的许可件共计991件，通过网上全程电子化办理许可309件。继续推进年检改年报制，截至目前，2021年，企业应报1465户，已报1376户，年报率93.92%；个体应报7116户，已报3761户，年报率52.85%；农专社应报23户，已报23户，年报率100%。全力完成经济目标任务，目前，已完成固定资产投资任务1.8503亿元。完成商引资任务1.4542亿元。建立“个转企”目标培育库40户，在目标培育库中，完成“个转企”任务19户，超目标任务数2户。2022年开展区本级食用农产品抽样237批次，普通食品50批次，不合格11批次，均已按要求开展核查处置</w:t>
      </w:r>
    </w:p>
    <w:p>
      <w:pPr>
        <w:adjustRightInd w:val="0"/>
        <w:snapToGrid w:val="0"/>
        <w:spacing w:line="600" w:lineRule="exact"/>
        <w:ind w:firstLine="720"/>
        <w:rPr>
          <w:rFonts w:hint="eastAsia" w:ascii="仿宋_GB2312" w:eastAsia="仿宋_GB2312"/>
          <w:sz w:val="32"/>
          <w:szCs w:val="32"/>
          <w:lang w:val="zh-CN"/>
        </w:rPr>
      </w:pPr>
      <w:r>
        <w:rPr>
          <w:rFonts w:hint="eastAsia" w:ascii="仿宋_GB2312" w:eastAsia="仿宋_GB2312"/>
          <w:sz w:val="32"/>
          <w:szCs w:val="32"/>
          <w:lang w:val="zh-CN"/>
        </w:rPr>
        <w:t>3. 申报内容与实际相符，申报目标合理可行。</w:t>
      </w:r>
    </w:p>
    <w:p>
      <w:pPr>
        <w:adjustRightInd w:val="0"/>
        <w:snapToGrid w:val="0"/>
        <w:spacing w:line="600" w:lineRule="exact"/>
        <w:ind w:firstLine="720"/>
        <w:rPr>
          <w:rFonts w:hint="eastAsia" w:ascii="仿宋_GB2312" w:eastAsia="仿宋_GB2312"/>
          <w:b/>
          <w:sz w:val="32"/>
          <w:szCs w:val="32"/>
          <w:lang w:val="zh-CN"/>
        </w:rPr>
      </w:pPr>
      <w:r>
        <w:rPr>
          <w:rFonts w:hint="eastAsia" w:ascii="仿宋_GB2312" w:eastAsia="仿宋_GB2312"/>
          <w:b/>
          <w:sz w:val="32"/>
          <w:szCs w:val="32"/>
          <w:lang w:val="zh-CN"/>
        </w:rPr>
        <w:t>（三）项目自评步骤及方法。</w:t>
      </w:r>
    </w:p>
    <w:p>
      <w:pPr>
        <w:adjustRightInd w:val="0"/>
        <w:ind w:firstLine="640" w:firstLineChars="200"/>
        <w:rPr>
          <w:rFonts w:hint="eastAsia" w:ascii="仿宋_GB2312" w:eastAsia="仿宋_GB2312"/>
          <w:sz w:val="32"/>
          <w:szCs w:val="32"/>
          <w:lang w:val="zh-CN"/>
        </w:rPr>
      </w:pPr>
      <w:r>
        <w:rPr>
          <w:rFonts w:hint="eastAsia" w:ascii="仿宋_GB2312" w:eastAsia="仿宋_GB2312"/>
          <w:sz w:val="32"/>
          <w:szCs w:val="32"/>
          <w:lang w:val="zh-CN"/>
        </w:rPr>
        <w:t>我局组织相关业务股室，严格按照“统筹兼顾、突出重点、促进发展、专款专用、注重绩效”的原则使用该笔专项补助经费。</w:t>
      </w:r>
    </w:p>
    <w:p>
      <w:pPr>
        <w:adjustRightInd w:val="0"/>
        <w:snapToGrid w:val="0"/>
        <w:spacing w:line="600" w:lineRule="exact"/>
        <w:ind w:firstLine="720"/>
        <w:rPr>
          <w:rFonts w:hint="eastAsia" w:ascii="仿宋_GB2312" w:eastAsia="仿宋_GB2312"/>
          <w:sz w:val="32"/>
          <w:szCs w:val="32"/>
        </w:rPr>
      </w:pPr>
      <w:r>
        <w:rPr>
          <w:rFonts w:hint="eastAsia" w:ascii="仿宋_GB2312" w:eastAsia="仿宋_GB2312"/>
          <w:sz w:val="32"/>
          <w:szCs w:val="32"/>
        </w:rPr>
        <w:t>二、项目资金申报及使用情况</w:t>
      </w:r>
    </w:p>
    <w:p>
      <w:pPr>
        <w:adjustRightInd w:val="0"/>
        <w:snapToGrid w:val="0"/>
        <w:spacing w:line="600" w:lineRule="exact"/>
        <w:ind w:firstLine="720"/>
        <w:rPr>
          <w:rFonts w:hint="eastAsia" w:ascii="仿宋_GB2312" w:eastAsia="仿宋_GB2312"/>
          <w:b/>
          <w:sz w:val="32"/>
          <w:szCs w:val="32"/>
          <w:lang w:val="zh-CN"/>
        </w:rPr>
      </w:pPr>
      <w:r>
        <w:rPr>
          <w:rFonts w:hint="eastAsia" w:ascii="仿宋_GB2312" w:eastAsia="仿宋_GB2312"/>
          <w:b/>
          <w:sz w:val="32"/>
          <w:szCs w:val="32"/>
          <w:lang w:val="zh-CN"/>
        </w:rPr>
        <w:t>（一）项目资金申报及批复情况。</w:t>
      </w:r>
    </w:p>
    <w:p>
      <w:pPr>
        <w:widowControl/>
        <w:adjustRightInd w:val="0"/>
        <w:snapToGrid w:val="0"/>
        <w:spacing w:line="560" w:lineRule="exact"/>
        <w:ind w:firstLine="640" w:firstLineChars="200"/>
        <w:jc w:val="left"/>
        <w:rPr>
          <w:rFonts w:hint="eastAsia" w:ascii="仿宋_GB2312" w:eastAsia="仿宋_GB2312"/>
          <w:sz w:val="32"/>
          <w:szCs w:val="32"/>
          <w:lang w:val="zh-CN"/>
        </w:rPr>
      </w:pPr>
      <w:r>
        <w:rPr>
          <w:rFonts w:hint="eastAsia" w:ascii="仿宋_GB2312" w:eastAsia="仿宋_GB2312"/>
          <w:sz w:val="32"/>
          <w:szCs w:val="32"/>
        </w:rPr>
        <w:t>根据2022年市场监督管理工作安排，</w:t>
      </w:r>
      <w:r>
        <w:rPr>
          <w:rFonts w:hint="eastAsia" w:ascii="仿宋_GB2312" w:hAnsi="宋体" w:eastAsia="仿宋_GB2312" w:cs="仿宋_GB2312"/>
          <w:kern w:val="0"/>
          <w:sz w:val="32"/>
          <w:szCs w:val="32"/>
        </w:rPr>
        <w:t>攀财资行</w:t>
      </w:r>
      <w:r>
        <w:rPr>
          <w:rFonts w:hint="eastAsia" w:ascii="仿宋_GB2312" w:eastAsia="仿宋_GB2312"/>
          <w:sz w:val="32"/>
          <w:szCs w:val="32"/>
        </w:rPr>
        <w:t>〔2022〕49号文下达西区市场监管局2022年省级市场监管专项资金27.5万元，其中市场秩序维护与监管费用15万元，,市场综合业务工作12.5万元</w:t>
      </w:r>
      <w:r>
        <w:rPr>
          <w:rFonts w:hint="eastAsia" w:ascii="仿宋_GB2312" w:hAnsi="仿宋_GB2312" w:eastAsia="仿宋_GB2312" w:cs="仿宋_GB2312"/>
          <w:sz w:val="32"/>
          <w:szCs w:val="32"/>
        </w:rPr>
        <w:t>。同时结转了2021年</w:t>
      </w:r>
      <w:r>
        <w:rPr>
          <w:rFonts w:hint="eastAsia" w:ascii="仿宋_GB2312" w:eastAsia="仿宋_GB2312"/>
          <w:sz w:val="32"/>
          <w:szCs w:val="32"/>
          <w:lang w:val="zh-CN"/>
        </w:rPr>
        <w:t>省级市场监管专项资金25万元。</w:t>
      </w:r>
    </w:p>
    <w:p>
      <w:pPr>
        <w:adjustRightInd w:val="0"/>
        <w:snapToGrid w:val="0"/>
        <w:spacing w:line="600" w:lineRule="exact"/>
        <w:ind w:firstLine="720"/>
        <w:rPr>
          <w:rFonts w:hint="eastAsia" w:ascii="仿宋_GB2312" w:eastAsia="仿宋_GB2312"/>
          <w:sz w:val="32"/>
          <w:szCs w:val="32"/>
          <w:lang w:val="zh-CN"/>
        </w:rPr>
      </w:pPr>
      <w:r>
        <w:rPr>
          <w:rFonts w:hint="eastAsia" w:ascii="仿宋_GB2312" w:eastAsia="仿宋_GB2312"/>
          <w:b/>
          <w:sz w:val="32"/>
          <w:szCs w:val="32"/>
          <w:lang w:val="zh-CN"/>
        </w:rPr>
        <w:t>（二）资金计划、到位及使用情况（可用表格形式反映）。</w:t>
      </w:r>
    </w:p>
    <w:p>
      <w:pPr>
        <w:autoSpaceDE w:val="0"/>
        <w:autoSpaceDN w:val="0"/>
        <w:adjustRightInd w:val="0"/>
        <w:snapToGrid w:val="0"/>
        <w:spacing w:line="560" w:lineRule="exact"/>
        <w:ind w:firstLine="640" w:firstLineChars="200"/>
        <w:jc w:val="left"/>
        <w:rPr>
          <w:rFonts w:hint="eastAsia" w:ascii="仿宋_GB2312" w:eastAsia="仿宋_GB2312"/>
          <w:sz w:val="32"/>
          <w:szCs w:val="32"/>
        </w:rPr>
      </w:pPr>
      <w:r>
        <w:rPr>
          <w:rFonts w:hint="eastAsia" w:ascii="仿宋_GB2312" w:eastAsia="仿宋_GB2312"/>
          <w:sz w:val="32"/>
          <w:szCs w:val="32"/>
          <w:lang w:val="zh-CN"/>
        </w:rPr>
        <w:t>1．资金计划及到位情况。</w:t>
      </w:r>
      <w:r>
        <w:rPr>
          <w:rFonts w:hint="eastAsia" w:ascii="仿宋_GB2312" w:eastAsia="仿宋_GB2312" w:cs="仿宋_GB2312"/>
          <w:kern w:val="0"/>
          <w:sz w:val="32"/>
          <w:szCs w:val="32"/>
          <w:lang w:val="zh-CN"/>
        </w:rPr>
        <w:t>20</w:t>
      </w:r>
      <w:r>
        <w:rPr>
          <w:rFonts w:hint="eastAsia" w:ascii="仿宋_GB2312" w:eastAsia="仿宋_GB2312" w:cs="仿宋_GB2312"/>
          <w:kern w:val="0"/>
          <w:sz w:val="32"/>
          <w:szCs w:val="32"/>
        </w:rPr>
        <w:t>22</w:t>
      </w:r>
      <w:r>
        <w:rPr>
          <w:rFonts w:hint="eastAsia" w:ascii="仿宋_GB2312" w:eastAsia="仿宋_GB2312" w:cs="仿宋_GB2312"/>
          <w:kern w:val="0"/>
          <w:sz w:val="32"/>
          <w:szCs w:val="32"/>
          <w:lang w:val="zh-CN"/>
        </w:rPr>
        <w:t>年</w:t>
      </w:r>
      <w:r>
        <w:rPr>
          <w:rFonts w:hint="eastAsia" w:ascii="仿宋_GB2312" w:eastAsia="仿宋_GB2312" w:cs="仿宋_GB2312"/>
          <w:kern w:val="0"/>
          <w:sz w:val="32"/>
          <w:szCs w:val="32"/>
        </w:rPr>
        <w:t>7</w:t>
      </w:r>
      <w:r>
        <w:rPr>
          <w:rFonts w:hint="eastAsia" w:ascii="仿宋_GB2312" w:eastAsia="仿宋_GB2312" w:cs="仿宋_GB2312"/>
          <w:kern w:val="0"/>
          <w:sz w:val="32"/>
          <w:szCs w:val="32"/>
          <w:lang w:val="zh-CN"/>
        </w:rPr>
        <w:t>月</w:t>
      </w:r>
      <w:r>
        <w:rPr>
          <w:rFonts w:hint="eastAsia" w:ascii="仿宋_GB2312" w:eastAsia="仿宋_GB2312" w:cs="仿宋_GB2312"/>
          <w:kern w:val="0"/>
          <w:sz w:val="32"/>
          <w:szCs w:val="32"/>
        </w:rPr>
        <w:t>4日区</w:t>
      </w:r>
      <w:r>
        <w:rPr>
          <w:rFonts w:hint="eastAsia" w:ascii="仿宋_GB2312" w:eastAsia="仿宋_GB2312" w:cs="仿宋_GB2312"/>
          <w:kern w:val="0"/>
          <w:sz w:val="32"/>
          <w:szCs w:val="32"/>
          <w:lang w:val="zh-CN"/>
        </w:rPr>
        <w:t>财政通过预算一体化系统对我局下达</w:t>
      </w:r>
      <w:r>
        <w:rPr>
          <w:rFonts w:hint="eastAsia" w:ascii="仿宋_GB2312" w:eastAsia="仿宋_GB2312" w:cs="仿宋_GB2312"/>
          <w:kern w:val="0"/>
          <w:sz w:val="32"/>
          <w:szCs w:val="32"/>
        </w:rPr>
        <w:t>2022年省级</w:t>
      </w:r>
      <w:r>
        <w:rPr>
          <w:rFonts w:hint="eastAsia" w:ascii="仿宋_GB2312" w:eastAsia="仿宋_GB2312" w:cs="仿宋_GB2312"/>
          <w:kern w:val="0"/>
          <w:sz w:val="32"/>
          <w:szCs w:val="32"/>
          <w:lang w:val="zh-CN"/>
        </w:rPr>
        <w:t>市场监督管理专项经费</w:t>
      </w:r>
      <w:r>
        <w:rPr>
          <w:rFonts w:hint="eastAsia" w:ascii="仿宋_GB2312" w:eastAsia="仿宋_GB2312" w:cs="仿宋_GB2312"/>
          <w:kern w:val="0"/>
          <w:sz w:val="32"/>
          <w:szCs w:val="32"/>
        </w:rPr>
        <w:t>27.5</w:t>
      </w:r>
      <w:r>
        <w:rPr>
          <w:rFonts w:hint="eastAsia" w:ascii="仿宋_GB2312" w:eastAsia="仿宋_GB2312" w:cs="仿宋_GB2312"/>
          <w:kern w:val="0"/>
          <w:sz w:val="32"/>
          <w:szCs w:val="32"/>
          <w:lang w:val="zh-CN"/>
        </w:rPr>
        <w:t>万元，资金及时到位，到位率100%。</w:t>
      </w:r>
    </w:p>
    <w:p>
      <w:pPr>
        <w:adjustRightInd w:val="0"/>
        <w:snapToGrid w:val="0"/>
        <w:spacing w:line="600" w:lineRule="exact"/>
        <w:ind w:firstLine="720"/>
        <w:rPr>
          <w:rFonts w:hint="eastAsia" w:ascii="仿宋_GB2312" w:eastAsia="仿宋_GB2312"/>
          <w:sz w:val="32"/>
          <w:szCs w:val="32"/>
          <w:lang w:val="zh-CN"/>
        </w:rPr>
      </w:pPr>
      <w:r>
        <w:rPr>
          <w:rFonts w:hint="eastAsia" w:ascii="仿宋_GB2312" w:eastAsia="仿宋_GB2312"/>
          <w:sz w:val="32"/>
          <w:szCs w:val="32"/>
          <w:lang w:val="zh-CN"/>
        </w:rPr>
        <w:t>2．资金使用。</w:t>
      </w:r>
    </w:p>
    <w:p>
      <w:pPr>
        <w:adjustRightInd w:val="0"/>
        <w:snapToGrid w:val="0"/>
        <w:spacing w:line="560" w:lineRule="exact"/>
        <w:ind w:firstLine="720"/>
        <w:rPr>
          <w:rFonts w:hint="eastAsia" w:ascii="仿宋_GB2312" w:hAnsi="宋体" w:eastAsia="仿宋_GB2312"/>
          <w:sz w:val="32"/>
          <w:szCs w:val="32"/>
        </w:rPr>
      </w:pPr>
      <w:r>
        <w:rPr>
          <w:rFonts w:hint="eastAsia" w:ascii="仿宋_GB2312" w:eastAsia="仿宋_GB2312"/>
          <w:sz w:val="32"/>
          <w:szCs w:val="32"/>
        </w:rPr>
        <w:t>我局严格按照资金管理办法使用资金，资金支付合规合法，资金开支范围与预算相符。</w:t>
      </w:r>
      <w:r>
        <w:rPr>
          <w:rFonts w:hint="eastAsia" w:ascii="仿宋_GB2312" w:eastAsia="仿宋_GB2312" w:cs="仿宋_GB2312"/>
          <w:kern w:val="0"/>
          <w:sz w:val="32"/>
          <w:szCs w:val="32"/>
        </w:rPr>
        <w:t>2022年省级</w:t>
      </w:r>
      <w:r>
        <w:rPr>
          <w:rFonts w:hint="eastAsia" w:ascii="仿宋_GB2312" w:eastAsia="仿宋_GB2312" w:cs="仿宋_GB2312"/>
          <w:kern w:val="0"/>
          <w:sz w:val="32"/>
          <w:szCs w:val="32"/>
          <w:lang w:val="zh-CN"/>
        </w:rPr>
        <w:t>市场监督管理专项经费下达了</w:t>
      </w:r>
      <w:r>
        <w:rPr>
          <w:rFonts w:hint="eastAsia" w:ascii="仿宋_GB2312" w:eastAsia="仿宋_GB2312" w:cs="仿宋_GB2312"/>
          <w:kern w:val="0"/>
          <w:sz w:val="32"/>
          <w:szCs w:val="32"/>
        </w:rPr>
        <w:t>27.5万元，</w:t>
      </w:r>
      <w:r>
        <w:rPr>
          <w:rFonts w:hint="eastAsia" w:ascii="仿宋_GB2312" w:eastAsia="仿宋_GB2312"/>
          <w:sz w:val="32"/>
          <w:szCs w:val="32"/>
          <w:lang w:val="zh-CN"/>
        </w:rPr>
        <w:t>目前支出了</w:t>
      </w:r>
      <w:r>
        <w:rPr>
          <w:rFonts w:hint="eastAsia" w:ascii="仿宋_GB2312" w:eastAsia="仿宋_GB2312"/>
          <w:sz w:val="32"/>
          <w:szCs w:val="32"/>
        </w:rPr>
        <w:t>4.8万元</w:t>
      </w:r>
      <w:r>
        <w:rPr>
          <w:rFonts w:hint="eastAsia" w:ascii="仿宋_GB2312" w:eastAsia="仿宋_GB2312"/>
          <w:sz w:val="32"/>
          <w:szCs w:val="32"/>
          <w:lang w:val="zh-CN"/>
        </w:rPr>
        <w:t>，剩余</w:t>
      </w:r>
      <w:r>
        <w:rPr>
          <w:rFonts w:hint="eastAsia" w:ascii="仿宋_GB2312" w:eastAsia="仿宋_GB2312"/>
          <w:sz w:val="32"/>
          <w:szCs w:val="32"/>
        </w:rPr>
        <w:t>资金</w:t>
      </w:r>
      <w:r>
        <w:rPr>
          <w:rFonts w:hint="eastAsia" w:ascii="仿宋_GB2312" w:eastAsia="仿宋_GB2312"/>
          <w:sz w:val="32"/>
          <w:szCs w:val="32"/>
          <w:lang w:val="zh-CN"/>
        </w:rPr>
        <w:t>正在安排使用。</w:t>
      </w:r>
      <w:r>
        <w:rPr>
          <w:rFonts w:hint="eastAsia" w:ascii="仿宋_GB2312" w:eastAsia="仿宋_GB2312"/>
          <w:sz w:val="32"/>
          <w:szCs w:val="32"/>
        </w:rPr>
        <w:t>2021</w:t>
      </w:r>
      <w:r>
        <w:rPr>
          <w:rFonts w:hint="eastAsia" w:ascii="仿宋_GB2312" w:eastAsia="仿宋_GB2312" w:cs="仿宋_GB2312"/>
          <w:kern w:val="0"/>
          <w:sz w:val="32"/>
          <w:szCs w:val="32"/>
        </w:rPr>
        <w:t>年省级</w:t>
      </w:r>
      <w:r>
        <w:rPr>
          <w:rFonts w:hint="eastAsia" w:ascii="仿宋_GB2312" w:eastAsia="仿宋_GB2312" w:cs="仿宋_GB2312"/>
          <w:kern w:val="0"/>
          <w:sz w:val="32"/>
          <w:szCs w:val="32"/>
          <w:lang w:val="zh-CN"/>
        </w:rPr>
        <w:t>市场监督管理专项经费结转了</w:t>
      </w:r>
      <w:r>
        <w:rPr>
          <w:rFonts w:hint="eastAsia" w:ascii="仿宋_GB2312" w:eastAsia="仿宋_GB2312" w:cs="仿宋_GB2312"/>
          <w:kern w:val="0"/>
          <w:sz w:val="32"/>
          <w:szCs w:val="32"/>
        </w:rPr>
        <w:t>25万元，支出</w:t>
      </w:r>
      <w:r>
        <w:rPr>
          <w:rFonts w:hint="eastAsia" w:ascii="仿宋_GB2312" w:eastAsia="仿宋_GB2312"/>
          <w:sz w:val="32"/>
          <w:szCs w:val="32"/>
          <w:lang w:val="zh-CN"/>
        </w:rPr>
        <w:t>市场秩序维护与监管</w:t>
      </w:r>
      <w:r>
        <w:rPr>
          <w:rFonts w:hint="eastAsia" w:ascii="仿宋_GB2312" w:eastAsia="仿宋_GB2312"/>
          <w:sz w:val="32"/>
          <w:szCs w:val="32"/>
        </w:rPr>
        <w:t>6.8397万元，市场监管综合业务7.92万元，支出14.7597万元，财政收回指标市场监管综合业务14.7597万元，财政调指标14.7597万元，支出14.7597万元，合计支付19.56万元，资金支付率37.26%。</w:t>
      </w:r>
    </w:p>
    <w:p>
      <w:pPr>
        <w:adjustRightInd w:val="0"/>
        <w:snapToGrid w:val="0"/>
        <w:spacing w:line="600" w:lineRule="exact"/>
        <w:ind w:firstLine="720"/>
        <w:rPr>
          <w:rFonts w:hint="eastAsia" w:ascii="仿宋_GB2312" w:eastAsia="仿宋_GB2312"/>
          <w:b/>
          <w:sz w:val="32"/>
          <w:szCs w:val="32"/>
          <w:lang w:val="zh-CN"/>
        </w:rPr>
      </w:pPr>
      <w:r>
        <w:rPr>
          <w:rFonts w:hint="eastAsia" w:ascii="仿宋_GB2312" w:eastAsia="仿宋_GB2312"/>
          <w:b/>
          <w:sz w:val="32"/>
          <w:szCs w:val="32"/>
          <w:lang w:val="zh-CN"/>
        </w:rPr>
        <w:t>（三）项目财务管理情况。</w:t>
      </w:r>
    </w:p>
    <w:p>
      <w:pPr>
        <w:adjustRightInd w:val="0"/>
        <w:snapToGrid w:val="0"/>
        <w:spacing w:line="560" w:lineRule="exact"/>
        <w:ind w:left="-210" w:leftChars="-100" w:right="-210" w:rightChars="-100" w:firstLine="640" w:firstLineChars="200"/>
        <w:jc w:val="left"/>
        <w:outlineLvl w:val="0"/>
        <w:rPr>
          <w:rFonts w:hint="eastAsia" w:ascii="仿宋_GB2312" w:hAnsi="楷体" w:eastAsia="仿宋_GB2312"/>
          <w:sz w:val="32"/>
          <w:szCs w:val="32"/>
        </w:rPr>
      </w:pPr>
      <w:r>
        <w:rPr>
          <w:rFonts w:hint="eastAsia" w:ascii="仿宋_GB2312" w:eastAsia="仿宋_GB2312" w:cs="仿宋_GB2312"/>
          <w:kern w:val="0"/>
          <w:sz w:val="32"/>
          <w:szCs w:val="32"/>
          <w:lang w:val="zh-CN"/>
        </w:rPr>
        <w:t>该项目资金实行专款专用，资金使用规范，严格执行相关财务管理制度，资金转付严格按照财务审批程序进行，会计核算结果真实、准确。</w:t>
      </w:r>
      <w:r>
        <w:rPr>
          <w:rFonts w:hint="eastAsia" w:ascii="仿宋_GB2312" w:eastAsia="仿宋_GB2312" w:cs="仿宋_GB2312"/>
          <w:sz w:val="32"/>
          <w:szCs w:val="32"/>
        </w:rPr>
        <w:t>切实做好绩效监控和绩效评价，确保资金安全。</w:t>
      </w:r>
    </w:p>
    <w:p>
      <w:pPr>
        <w:adjustRightInd w:val="0"/>
        <w:snapToGrid w:val="0"/>
        <w:spacing w:line="600" w:lineRule="exact"/>
        <w:ind w:firstLine="720"/>
        <w:rPr>
          <w:rFonts w:hint="eastAsia" w:ascii="仿宋_GB2312" w:eastAsia="仿宋_GB2312"/>
          <w:sz w:val="32"/>
          <w:szCs w:val="32"/>
        </w:rPr>
      </w:pPr>
      <w:r>
        <w:rPr>
          <w:rFonts w:hint="eastAsia" w:ascii="仿宋_GB2312" w:eastAsia="仿宋_GB2312"/>
          <w:sz w:val="32"/>
          <w:szCs w:val="32"/>
        </w:rPr>
        <w:t>三、项目实施及管理情况</w:t>
      </w:r>
    </w:p>
    <w:p>
      <w:pPr>
        <w:adjustRightInd w:val="0"/>
        <w:snapToGrid w:val="0"/>
        <w:spacing w:line="600" w:lineRule="exact"/>
        <w:ind w:firstLine="720"/>
        <w:rPr>
          <w:rFonts w:hint="eastAsia" w:ascii="仿宋_GB2312" w:eastAsia="仿宋_GB2312"/>
          <w:b/>
          <w:sz w:val="32"/>
          <w:szCs w:val="32"/>
          <w:lang w:val="zh-CN"/>
        </w:rPr>
      </w:pPr>
      <w:r>
        <w:rPr>
          <w:rFonts w:hint="eastAsia" w:ascii="仿宋_GB2312" w:eastAsia="仿宋_GB2312"/>
          <w:b/>
          <w:sz w:val="32"/>
          <w:szCs w:val="32"/>
          <w:lang w:val="zh-CN"/>
        </w:rPr>
        <w:t>（一）项目组织架构及实施流程。</w:t>
      </w:r>
    </w:p>
    <w:p>
      <w:pPr>
        <w:adjustRightInd w:val="0"/>
        <w:snapToGrid w:val="0"/>
        <w:spacing w:line="600" w:lineRule="exact"/>
        <w:ind w:firstLine="720"/>
        <w:rPr>
          <w:rFonts w:hint="eastAsia" w:ascii="仿宋_GB2312" w:eastAsia="仿宋_GB2312"/>
          <w:sz w:val="32"/>
          <w:szCs w:val="32"/>
          <w:lang w:val="zh-CN"/>
        </w:rPr>
      </w:pPr>
      <w:r>
        <w:rPr>
          <w:rFonts w:hint="eastAsia" w:ascii="仿宋_GB2312" w:eastAsia="仿宋_GB2312"/>
          <w:b/>
          <w:sz w:val="32"/>
          <w:szCs w:val="32"/>
          <w:lang w:val="zh-CN"/>
        </w:rPr>
        <w:t>（二）项目管理情况。</w:t>
      </w:r>
      <w:r>
        <w:rPr>
          <w:rFonts w:hint="eastAsia" w:ascii="仿宋_GB2312" w:eastAsia="仿宋_GB2312"/>
          <w:sz w:val="32"/>
          <w:szCs w:val="32"/>
          <w:lang w:val="zh-CN"/>
        </w:rPr>
        <w:t>结合项目特点，总体评价各项目实施单位执行相关法律法规及项目管理制度等情况，如招投标、政府采购、项目公示制等相关规定。</w:t>
      </w:r>
    </w:p>
    <w:p>
      <w:pPr>
        <w:adjustRightInd w:val="0"/>
        <w:snapToGrid w:val="0"/>
        <w:spacing w:line="600" w:lineRule="exact"/>
        <w:ind w:firstLine="720"/>
        <w:rPr>
          <w:rFonts w:hint="eastAsia" w:ascii="仿宋_GB2312" w:eastAsia="仿宋_GB2312"/>
          <w:sz w:val="32"/>
          <w:szCs w:val="32"/>
          <w:lang w:val="zh-CN"/>
        </w:rPr>
      </w:pPr>
      <w:r>
        <w:rPr>
          <w:rFonts w:hint="eastAsia" w:ascii="仿宋_GB2312" w:eastAsia="仿宋_GB2312"/>
          <w:b/>
          <w:sz w:val="32"/>
          <w:szCs w:val="32"/>
          <w:lang w:val="zh-CN"/>
        </w:rPr>
        <w:t>（三）项目监管情况。</w:t>
      </w:r>
      <w:r>
        <w:rPr>
          <w:rFonts w:hint="eastAsia" w:ascii="仿宋_GB2312" w:eastAsia="仿宋_GB2312"/>
          <w:sz w:val="32"/>
          <w:szCs w:val="32"/>
          <w:lang w:val="zh-CN"/>
        </w:rPr>
        <w:t>说明项目主管部门为加强项目管理所采取的监管手段、监管程序、监管工作开展情况及实现的效果等。</w:t>
      </w:r>
    </w:p>
    <w:p>
      <w:pPr>
        <w:adjustRightInd w:val="0"/>
        <w:snapToGrid w:val="0"/>
        <w:spacing w:line="600" w:lineRule="exact"/>
        <w:ind w:firstLine="720"/>
        <w:rPr>
          <w:rFonts w:hint="eastAsia" w:ascii="仿宋_GB2312" w:eastAsia="仿宋_GB2312"/>
          <w:sz w:val="32"/>
          <w:szCs w:val="32"/>
          <w:lang w:val="zh-CN"/>
        </w:rPr>
      </w:pPr>
      <w:r>
        <w:rPr>
          <w:rFonts w:hint="eastAsia" w:ascii="仿宋_GB2312" w:eastAsia="仿宋_GB2312"/>
          <w:sz w:val="32"/>
          <w:szCs w:val="32"/>
        </w:rPr>
        <w:t>四、项目绩效情况</w:t>
      </w:r>
      <w:r>
        <w:rPr>
          <w:rFonts w:hint="eastAsia" w:ascii="仿宋_GB2312" w:eastAsia="仿宋_GB2312"/>
          <w:sz w:val="32"/>
          <w:szCs w:val="32"/>
          <w:lang w:val="zh-CN"/>
        </w:rPr>
        <w:tab/>
      </w:r>
    </w:p>
    <w:p>
      <w:pPr>
        <w:adjustRightInd w:val="0"/>
        <w:snapToGrid w:val="0"/>
        <w:spacing w:line="600" w:lineRule="exact"/>
        <w:ind w:firstLine="720"/>
        <w:rPr>
          <w:rFonts w:hint="eastAsia" w:ascii="仿宋_GB2312" w:eastAsia="仿宋_GB2312"/>
          <w:b/>
          <w:sz w:val="32"/>
          <w:szCs w:val="32"/>
          <w:lang w:val="zh-CN"/>
        </w:rPr>
      </w:pPr>
      <w:r>
        <w:rPr>
          <w:rFonts w:hint="eastAsia" w:ascii="仿宋_GB2312" w:eastAsia="仿宋_GB2312"/>
          <w:b/>
          <w:sz w:val="32"/>
          <w:szCs w:val="32"/>
          <w:lang w:val="zh-CN"/>
        </w:rPr>
        <w:t>（一）项目完成情况。</w:t>
      </w:r>
    </w:p>
    <w:p>
      <w:pPr>
        <w:pStyle w:val="4"/>
        <w:adjustRightInd w:val="0"/>
        <w:snapToGrid w:val="0"/>
        <w:spacing w:line="560" w:lineRule="exact"/>
        <w:ind w:left="640"/>
        <w:rPr>
          <w:rFonts w:hint="eastAsia" w:ascii="仿宋_GB2312" w:eastAsia="仿宋_GB2312"/>
          <w:b w:val="0"/>
        </w:rPr>
      </w:pPr>
      <w:r>
        <w:rPr>
          <w:rFonts w:hint="eastAsia" w:ascii="仿宋_GB2312" w:eastAsia="仿宋_GB2312"/>
        </w:rPr>
        <w:t>1.优化营商环境，激发市场活力</w:t>
      </w:r>
    </w:p>
    <w:p>
      <w:pPr>
        <w:adjustRightInd w:val="0"/>
        <w:snapToGrid w:val="0"/>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深化企业便利化改革，共建线上“一网通办”综合登记平台和线下政务服务大厅“一窗通办”综合登记窗口，实行市场主体开办、注销“一门进出、一窗受理、一套材料、一网通办、一日办结”，市场主体开办时间压缩至1个工作日内；扩大简易注销企业类型范围，简易注销公示时间由45天压缩为20天，对申请材料齐全、符合法定形式的登记注销业务，实现现场受理当场办结、网上受理在1个工作日内办结。全年，通过线下“一窗受理”办结的许可件共计98件，通过网上“一窗通”办结的许可件共计991件，通过网上全程电子化办理许可309件。继续推进年检改年报制，截至目前，2021年，企业应报1465户，已报1376户，年报率93.92%；个体应报7116户，已报3761户，年报率52.85%；农专社应报23户，已报23户，年报率100%。全力完成经济目标任务，目前，已完成固定资产投资任务1.8503亿元。完成商引资任务1.4542亿元。建立“个转企”目标培育库40户，在目标培育库中，完成“个转企”任务19户，超目标任务数2户。</w:t>
      </w:r>
    </w:p>
    <w:p>
      <w:pPr>
        <w:adjustRightInd w:val="0"/>
        <w:snapToGrid w:val="0"/>
        <w:spacing w:line="560" w:lineRule="exact"/>
        <w:ind w:left="640"/>
        <w:rPr>
          <w:rFonts w:hint="eastAsia" w:ascii="仿宋_GB2312" w:eastAsia="仿宋_GB2312"/>
          <w:b/>
          <w:color w:val="000000"/>
          <w:sz w:val="32"/>
          <w:szCs w:val="32"/>
        </w:rPr>
      </w:pPr>
      <w:r>
        <w:rPr>
          <w:rFonts w:hint="eastAsia" w:ascii="仿宋_GB2312" w:eastAsia="仿宋_GB2312"/>
          <w:b/>
          <w:color w:val="000000"/>
          <w:sz w:val="32"/>
          <w:szCs w:val="32"/>
        </w:rPr>
        <w:t>2.守牢安全底线，保障人民权益</w:t>
      </w:r>
    </w:p>
    <w:p>
      <w:pPr>
        <w:adjustRightInd w:val="0"/>
        <w:snapToGrid w:val="0"/>
        <w:spacing w:line="560" w:lineRule="exact"/>
        <w:ind w:firstLine="643" w:firstLineChars="200"/>
        <w:rPr>
          <w:rFonts w:hint="eastAsia" w:ascii="仿宋_GB2312" w:eastAsia="仿宋_GB2312"/>
          <w:color w:val="000000"/>
          <w:sz w:val="32"/>
          <w:szCs w:val="32"/>
        </w:rPr>
      </w:pPr>
      <w:r>
        <w:rPr>
          <w:rFonts w:hint="eastAsia" w:ascii="仿宋_GB2312" w:eastAsia="仿宋_GB2312"/>
          <w:b/>
          <w:bCs/>
          <w:sz w:val="32"/>
          <w:szCs w:val="32"/>
        </w:rPr>
        <w:t>一是</w:t>
      </w:r>
      <w:r>
        <w:rPr>
          <w:rFonts w:hint="eastAsia" w:ascii="仿宋_GB2312" w:eastAsia="仿宋_GB2312"/>
          <w:color w:val="000000"/>
          <w:sz w:val="32"/>
          <w:szCs w:val="32"/>
        </w:rPr>
        <w:t xml:space="preserve">食品安全不断强化。大力推行“技术监管+行为监管”检监联动机制。目前已开展区本级食用农产品抽样237批次，普通食品50批次，不合格11批次，均已按要求开展核查处置。实行餐饮服务“曝光台”制度，把餐饮服务日常监管情况通过媒体向社会进行公示，目前已曝光20户餐饮单位。持续推进“互联网+食品监管”模式，目前，辖区共150余家经营单位纳入“互联网+食品安全监管”，保健食品经营场所摄像头已达到全覆盖；持续推进“合格证+追溯码”猪肉质量安全闭环监管模式，统一合格证样式、承诺内容、开具方式等指标，实现猪肉从养殖户到餐桌“一票通”。 推进食品安全“两个责任“落实，建立县（区）、镇（街道）、村（社区）三级包保主体台账和包保干部台账，实现“千斤重担人人挑，人人肩上有目标”。 </w:t>
      </w:r>
    </w:p>
    <w:p>
      <w:pPr>
        <w:adjustRightInd w:val="0"/>
        <w:snapToGrid w:val="0"/>
        <w:spacing w:line="560" w:lineRule="exact"/>
        <w:ind w:firstLine="643" w:firstLineChars="200"/>
        <w:rPr>
          <w:rFonts w:hint="eastAsia" w:ascii="仿宋_GB2312" w:eastAsia="仿宋_GB2312"/>
          <w:sz w:val="32"/>
          <w:szCs w:val="32"/>
        </w:rPr>
      </w:pPr>
      <w:r>
        <w:rPr>
          <w:rFonts w:hint="eastAsia" w:ascii="仿宋_GB2312" w:eastAsia="仿宋_GB2312"/>
          <w:b/>
          <w:bCs/>
          <w:color w:val="000000"/>
          <w:sz w:val="32"/>
          <w:szCs w:val="32"/>
        </w:rPr>
        <w:t>二是</w:t>
      </w:r>
      <w:r>
        <w:rPr>
          <w:rFonts w:hint="eastAsia" w:ascii="仿宋_GB2312" w:eastAsia="仿宋_GB2312"/>
          <w:color w:val="000000"/>
          <w:sz w:val="32"/>
          <w:szCs w:val="32"/>
        </w:rPr>
        <w:t>药品安全持续向好</w:t>
      </w:r>
      <w:r>
        <w:rPr>
          <w:rFonts w:hint="eastAsia" w:ascii="仿宋_GB2312" w:eastAsia="仿宋_GB2312"/>
          <w:sz w:val="32"/>
          <w:szCs w:val="32"/>
        </w:rPr>
        <w:t>。注重药械化质量安全监管工作，加大药械化抽检力度，完成省、市、区级药品抽检50批次，医疗器械收件4批次、化妆品抽检4批次，对3起中药饮片不合格线索，已立案查处。全面规范化妆品市场经营秩序，督促引导经营使用单位建立质量管理制度，目前，已阶段性完成化妆品经营使用单位规范经营试点工作30家。强化风险管理理念，注重对药械化不良反应（事件）监测工作，收集并上报药品不良反应50例、医疗器械不良事件25例、化妆品不良反应23例。全面推行“互联网+药学服务”试点，辖区74家药品零售企业均安装了远程药学服务系统并通过验收。</w:t>
      </w:r>
    </w:p>
    <w:p>
      <w:pPr>
        <w:adjustRightInd w:val="0"/>
        <w:snapToGrid w:val="0"/>
        <w:spacing w:line="560" w:lineRule="exact"/>
        <w:ind w:firstLine="643" w:firstLineChars="200"/>
        <w:rPr>
          <w:rFonts w:hint="eastAsia" w:ascii="仿宋_GB2312" w:eastAsia="仿宋_GB2312"/>
          <w:sz w:val="32"/>
          <w:szCs w:val="32"/>
        </w:rPr>
      </w:pPr>
      <w:r>
        <w:rPr>
          <w:rFonts w:hint="eastAsia" w:ascii="仿宋_GB2312" w:eastAsia="仿宋_GB2312"/>
          <w:b/>
          <w:bCs/>
          <w:sz w:val="32"/>
          <w:szCs w:val="32"/>
        </w:rPr>
        <w:t>三是</w:t>
      </w:r>
      <w:r>
        <w:rPr>
          <w:rFonts w:hint="eastAsia" w:ascii="仿宋_GB2312" w:eastAsia="仿宋_GB2312"/>
          <w:sz w:val="32"/>
          <w:szCs w:val="32"/>
        </w:rPr>
        <w:t>特种设备安全不断压实。持续推进改进电梯维护保养模式和调整电梯检验检测方式试点工作，目前，西区除政府电梯和中央公园电梯外已实现全区电梯物联网全覆盖，救援效率提升约50%。强化常专结合，全面开展气瓶质量安全监管、起重机械安全隐患排查、电梯鼓式制动器安全隐患排查、镇燃气排查等专项行动，着力抓好医院、工业园区、超市、住宅小区等重点场所（单位）检查。2022年以来，出动执法人员200余人次，检查各类企业300余家次，抽查各类特种设备2200余台个（含气瓶），下达特种设备安全监察指令书31份，立案查处特种设备违法案件17件，有效防范了特种设备重特大事故的发生。</w:t>
      </w:r>
    </w:p>
    <w:p>
      <w:pPr>
        <w:adjustRightInd w:val="0"/>
        <w:snapToGrid w:val="0"/>
        <w:spacing w:line="560" w:lineRule="exact"/>
        <w:ind w:firstLine="643" w:firstLineChars="200"/>
        <w:rPr>
          <w:rFonts w:hint="eastAsia" w:ascii="仿宋_GB2312" w:eastAsia="仿宋_GB2312"/>
          <w:sz w:val="32"/>
          <w:szCs w:val="32"/>
        </w:rPr>
      </w:pPr>
      <w:r>
        <w:rPr>
          <w:rFonts w:hint="eastAsia" w:ascii="仿宋_GB2312" w:eastAsia="仿宋_GB2312"/>
          <w:b/>
          <w:bCs/>
          <w:sz w:val="32"/>
          <w:szCs w:val="32"/>
        </w:rPr>
        <w:t>四是</w:t>
      </w:r>
      <w:r>
        <w:rPr>
          <w:rFonts w:hint="eastAsia" w:ascii="仿宋_GB2312" w:eastAsia="仿宋_GB2312"/>
          <w:sz w:val="32"/>
          <w:szCs w:val="32"/>
        </w:rPr>
        <w:t>质量强区战略不断提升。深入开展质量强区暨质量提升行动，组织开展省市区级产商品质量专项抽检56批次，涉及儿童服装、婴幼儿服饰、玩具、取暖用品、学生用品等10余个类别，不合格批次已立案查处。开展儿童玩具3C认证、婴儿奶粉有机认证专项执法检查，涉及电动玩具、塑胶玩具、弹射玩具、奶粉等10个品种。开展民生计量工作，共检测西区计量器具600余台（套）。推进辖区知识产权保护工作，组织开展奥林匹克、成都大运会专用标志保护和“川渝味道”专利保护专项行动，查处侵犯冬奥会、冬残奥会标志案3件，办理专利案件7件。</w:t>
      </w:r>
    </w:p>
    <w:p>
      <w:pPr>
        <w:pStyle w:val="27"/>
        <w:snapToGrid w:val="0"/>
        <w:spacing w:line="560" w:lineRule="exact"/>
        <w:ind w:firstLine="643" w:firstLineChars="200"/>
        <w:jc w:val="both"/>
        <w:rPr>
          <w:rFonts w:hint="eastAsia" w:ascii="仿宋_GB2312" w:eastAsia="仿宋_GB2312" w:cs="Times New Roman"/>
          <w:b/>
          <w:sz w:val="32"/>
          <w:szCs w:val="32"/>
        </w:rPr>
      </w:pPr>
      <w:r>
        <w:rPr>
          <w:rFonts w:hint="eastAsia" w:ascii="仿宋_GB2312" w:eastAsia="仿宋_GB2312" w:cs="Times New Roman"/>
          <w:b/>
          <w:sz w:val="32"/>
          <w:szCs w:val="32"/>
        </w:rPr>
        <w:t>3.规范市场秩序，维护公平竞争</w:t>
      </w:r>
    </w:p>
    <w:p>
      <w:pPr>
        <w:pStyle w:val="27"/>
        <w:snapToGrid w:val="0"/>
        <w:spacing w:line="560" w:lineRule="exact"/>
        <w:ind w:firstLine="643" w:firstLineChars="200"/>
        <w:jc w:val="both"/>
        <w:rPr>
          <w:rFonts w:hint="eastAsia" w:ascii="仿宋_GB2312" w:eastAsia="仿宋_GB2312" w:cs="Times New Roman"/>
          <w:sz w:val="32"/>
          <w:szCs w:val="32"/>
        </w:rPr>
      </w:pPr>
      <w:r>
        <w:rPr>
          <w:rFonts w:hint="eastAsia" w:ascii="仿宋_GB2312" w:eastAsia="仿宋_GB2312" w:cs="Times New Roman"/>
          <w:b/>
          <w:bCs/>
          <w:sz w:val="32"/>
          <w:szCs w:val="32"/>
        </w:rPr>
        <w:t>一是</w:t>
      </w:r>
      <w:r>
        <w:rPr>
          <w:rFonts w:hint="eastAsia" w:ascii="仿宋_GB2312" w:eastAsia="仿宋_GB2312" w:cs="Times New Roman"/>
          <w:sz w:val="32"/>
          <w:szCs w:val="32"/>
        </w:rPr>
        <w:t>落实重点目标“硬任务”。积极推进扫黑除恶、文明城市创建、铁拳行动、“春雷行动”等重点工作，急难险重应对能力不断提升。2022年，对辖区7个农贸市场进行维修改造工作，累计投入资金230万元。在全市率先出台《攀枝花市西区市场监管类行政处罚案件线索移送管理制度（试行）》，查办攀枝花市首例涉及面向未成年人无底线营销食品的案件，该案件入选四川省十大典型案例之一，被中国市场监管报、攀枝花日报等多家主流媒体宣传报道，并在全国掀起了此类案件查办热潮。“春雷行动2022”期间，西区共查办案件122件，罚没款总额110.19万元，有力净化了市场环境。同年6月，攀枝花市西区市场监督管理局被省市场监管局评为“春雷行动2022”先进集体。</w:t>
      </w:r>
    </w:p>
    <w:p>
      <w:pPr>
        <w:adjustRightInd w:val="0"/>
        <w:snapToGrid w:val="0"/>
        <w:spacing w:line="560" w:lineRule="exact"/>
        <w:ind w:firstLine="643" w:firstLineChars="200"/>
        <w:rPr>
          <w:rFonts w:hint="eastAsia" w:ascii="仿宋_GB2312" w:eastAsia="仿宋_GB2312"/>
          <w:sz w:val="32"/>
          <w:szCs w:val="32"/>
        </w:rPr>
      </w:pPr>
      <w:r>
        <w:rPr>
          <w:rFonts w:hint="eastAsia" w:ascii="仿宋_GB2312" w:eastAsia="仿宋_GB2312"/>
          <w:b/>
          <w:bCs/>
          <w:color w:val="000000"/>
          <w:sz w:val="32"/>
          <w:szCs w:val="32"/>
        </w:rPr>
        <w:t>二是</w:t>
      </w:r>
      <w:r>
        <w:rPr>
          <w:rFonts w:hint="eastAsia" w:ascii="仿宋_GB2312" w:eastAsia="仿宋_GB2312"/>
          <w:color w:val="000000"/>
          <w:sz w:val="32"/>
          <w:szCs w:val="32"/>
        </w:rPr>
        <w:t>当好群众利益“捍卫者”。</w:t>
      </w:r>
      <w:r>
        <w:rPr>
          <w:rFonts w:hint="eastAsia" w:ascii="仿宋_GB2312" w:eastAsia="仿宋_GB2312"/>
          <w:sz w:val="32"/>
          <w:szCs w:val="32"/>
        </w:rPr>
        <w:t>全面激活</w:t>
      </w:r>
      <w:r>
        <w:rPr>
          <w:rFonts w:hint="eastAsia" w:ascii="仿宋_GB2312" w:eastAsia="仿宋_GB2312"/>
          <w:color w:val="000000"/>
          <w:sz w:val="32"/>
          <w:szCs w:val="32"/>
        </w:rPr>
        <w:t>12315消费维权调解平台，实行咨询、投诉、举报24小时人工值守，坚决做到迅速解决群众诉求，化解矛盾纠纷。2022年以来，西区</w:t>
      </w:r>
      <w:r>
        <w:rPr>
          <w:rFonts w:hint="eastAsia" w:ascii="仿宋_GB2312" w:eastAsia="仿宋_GB2312"/>
          <w:sz w:val="32"/>
          <w:szCs w:val="32"/>
        </w:rPr>
        <w:t>共受理消费投诉举报共346件，其中举报2件，办理一般程序案件156件，罚没款723481.3元，涉嫌犯罪向公安机关移送案件6件，举行听证2件，行政诉讼2件，行政复议3件。</w:t>
      </w:r>
    </w:p>
    <w:p>
      <w:pPr>
        <w:adjustRightInd w:val="0"/>
        <w:snapToGrid w:val="0"/>
        <w:spacing w:line="560" w:lineRule="exact"/>
        <w:ind w:firstLine="663"/>
        <w:rPr>
          <w:rFonts w:hint="eastAsia" w:ascii="仿宋_GB2312" w:eastAsia="仿宋_GB2312"/>
          <w:b/>
          <w:color w:val="000000"/>
          <w:sz w:val="32"/>
          <w:szCs w:val="32"/>
        </w:rPr>
      </w:pPr>
      <w:r>
        <w:rPr>
          <w:rFonts w:hint="eastAsia" w:ascii="仿宋_GB2312" w:eastAsia="仿宋_GB2312"/>
          <w:b/>
          <w:color w:val="000000"/>
          <w:sz w:val="32"/>
          <w:szCs w:val="32"/>
        </w:rPr>
        <w:t>4.全力阻击疫情，成功应对大考</w:t>
      </w:r>
    </w:p>
    <w:p>
      <w:pPr>
        <w:adjustRightInd w:val="0"/>
        <w:snapToGrid w:val="0"/>
        <w:spacing w:line="560" w:lineRule="exact"/>
        <w:ind w:firstLine="660"/>
        <w:rPr>
          <w:rFonts w:hint="eastAsia" w:ascii="仿宋_GB2312" w:eastAsia="仿宋_GB2312"/>
          <w:sz w:val="32"/>
          <w:szCs w:val="32"/>
        </w:rPr>
      </w:pPr>
      <w:r>
        <w:rPr>
          <w:rFonts w:hint="eastAsia" w:ascii="仿宋_GB2312" w:eastAsia="仿宋_GB2312"/>
          <w:color w:val="000000"/>
          <w:sz w:val="32"/>
          <w:szCs w:val="32"/>
        </w:rPr>
        <w:t>强化冷链物流疫情防控。</w:t>
      </w:r>
      <w:r>
        <w:rPr>
          <w:rFonts w:hint="eastAsia" w:ascii="仿宋_GB2312" w:eastAsia="仿宋_GB2312"/>
          <w:sz w:val="32"/>
          <w:szCs w:val="32"/>
        </w:rPr>
        <w:t>开展冷链食品专项检查，严格落实“集中监管仓+库长责任制”，确保进口冷链食品“应进必进、应检必检、应消必消”和“批批检测、件件消毒、集中监管、严防严控”；动员辖区进口冷链食品从业人员定期进行核酸检测2000余人次，外环境采样500批次。加强对辖区各餐饮经营户聚集性活动管理，提倡红事缓办、白事简办，期间，累计劝导取消群体性宴席300余桌。全面开展新冠肺炎检测试剂专项检查，对辖区疾病预防控制中心和新冠病毒疫苗接种单位、临时接种点开展新冠疫苗质量专项检查24家次。积极稳定市场秩序，密切关注口罩、消毒剂、蔬菜、肉类等22类重要民生商品价格动态，全年，累计开展价格采集监测140余次，处理价格相关投诉举报26件。</w:t>
      </w:r>
    </w:p>
    <w:p>
      <w:pPr>
        <w:adjustRightInd w:val="0"/>
        <w:snapToGrid w:val="0"/>
        <w:spacing w:line="560" w:lineRule="exact"/>
        <w:ind w:firstLine="640" w:firstLineChars="200"/>
        <w:rPr>
          <w:rFonts w:hint="eastAsia" w:ascii="仿宋_GB2312" w:eastAsia="仿宋_GB2312" w:cs="仿宋_GB2312"/>
          <w:kern w:val="0"/>
          <w:sz w:val="32"/>
          <w:szCs w:val="32"/>
        </w:rPr>
      </w:pPr>
      <w:r>
        <w:rPr>
          <w:rFonts w:hint="eastAsia" w:ascii="仿宋_GB2312" w:eastAsia="仿宋_GB2312" w:cs="仿宋_GB2312"/>
          <w:kern w:val="0"/>
          <w:sz w:val="32"/>
          <w:szCs w:val="32"/>
        </w:rPr>
        <w:t>项目工作内容在2022年规定时间内完成，成本控制在目标内，项目目标绩效评价自评得分90分。</w:t>
      </w:r>
    </w:p>
    <w:p>
      <w:pPr>
        <w:adjustRightInd w:val="0"/>
        <w:snapToGrid w:val="0"/>
        <w:spacing w:line="600" w:lineRule="exact"/>
        <w:ind w:firstLine="720"/>
        <w:rPr>
          <w:rFonts w:hint="eastAsia" w:ascii="仿宋_GB2312" w:eastAsia="仿宋_GB2312"/>
          <w:b/>
          <w:sz w:val="32"/>
          <w:szCs w:val="32"/>
          <w:lang w:val="zh-CN"/>
        </w:rPr>
      </w:pPr>
      <w:r>
        <w:rPr>
          <w:rFonts w:hint="eastAsia" w:ascii="仿宋_GB2312" w:eastAsia="仿宋_GB2312"/>
          <w:b/>
          <w:sz w:val="32"/>
          <w:szCs w:val="32"/>
          <w:lang w:val="zh-CN"/>
        </w:rPr>
        <w:t>（二）项目效益情况。</w:t>
      </w:r>
    </w:p>
    <w:p>
      <w:pPr>
        <w:adjustRightInd w:val="0"/>
        <w:snapToGrid w:val="0"/>
        <w:spacing w:line="560" w:lineRule="exact"/>
        <w:ind w:firstLine="640" w:firstLineChars="200"/>
        <w:rPr>
          <w:rFonts w:hint="eastAsia" w:ascii="仿宋_GB2312" w:eastAsia="仿宋_GB2312"/>
          <w:b/>
          <w:sz w:val="32"/>
          <w:szCs w:val="32"/>
          <w:lang w:val="zh-CN"/>
        </w:rPr>
      </w:pPr>
      <w:r>
        <w:rPr>
          <w:rFonts w:hint="eastAsia" w:ascii="仿宋_GB2312" w:hAnsi="宋体" w:eastAsia="仿宋_GB2312" w:cs="宋体"/>
          <w:kern w:val="0"/>
          <w:sz w:val="32"/>
          <w:szCs w:val="32"/>
          <w:shd w:val="clear" w:color="auto" w:fill="FFFFFF"/>
          <w:lang w:val="zh-CN"/>
        </w:rPr>
        <w:t>该项目实施</w:t>
      </w:r>
      <w:r>
        <w:rPr>
          <w:rFonts w:hint="eastAsia" w:ascii="仿宋_GB2312" w:eastAsia="仿宋_GB2312"/>
          <w:sz w:val="32"/>
          <w:szCs w:val="32"/>
        </w:rPr>
        <w:t>有效的加强我区市场综合监管，提升了春雷行动质量，</w:t>
      </w:r>
      <w:r>
        <w:rPr>
          <w:rFonts w:hint="eastAsia" w:ascii="仿宋_GB2312" w:eastAsia="仿宋_GB2312"/>
          <w:sz w:val="32"/>
          <w:szCs w:val="32"/>
          <w:lang w:val="zh-CN"/>
        </w:rPr>
        <w:t>基层执法装备逐步完善，更加规范和维护市场经济秩序；公平竞争的市场秩序及基层监管队伍执法能力和监管水平不断提高。</w:t>
      </w:r>
    </w:p>
    <w:p>
      <w:pPr>
        <w:adjustRightInd w:val="0"/>
        <w:snapToGrid w:val="0"/>
        <w:spacing w:line="600" w:lineRule="exact"/>
        <w:ind w:firstLine="720"/>
        <w:rPr>
          <w:rFonts w:hint="eastAsia" w:ascii="仿宋_GB2312" w:eastAsia="仿宋_GB2312"/>
          <w:sz w:val="32"/>
          <w:szCs w:val="32"/>
        </w:rPr>
      </w:pPr>
      <w:r>
        <w:rPr>
          <w:rFonts w:hint="eastAsia" w:ascii="仿宋_GB2312" w:eastAsia="仿宋_GB2312"/>
          <w:sz w:val="32"/>
          <w:szCs w:val="32"/>
        </w:rPr>
        <w:t>五、评价结论及建议</w:t>
      </w:r>
    </w:p>
    <w:p>
      <w:pPr>
        <w:adjustRightInd w:val="0"/>
        <w:snapToGrid w:val="0"/>
        <w:spacing w:line="600" w:lineRule="exact"/>
        <w:ind w:firstLine="720"/>
        <w:rPr>
          <w:rFonts w:hint="eastAsia" w:ascii="仿宋_GB2312" w:eastAsia="仿宋_GB2312"/>
          <w:b/>
          <w:sz w:val="32"/>
          <w:szCs w:val="32"/>
          <w:lang w:val="zh-CN"/>
        </w:rPr>
      </w:pPr>
      <w:r>
        <w:rPr>
          <w:rFonts w:hint="eastAsia" w:ascii="仿宋_GB2312" w:eastAsia="仿宋_GB2312"/>
          <w:b/>
          <w:sz w:val="32"/>
          <w:szCs w:val="32"/>
          <w:lang w:val="zh-CN"/>
        </w:rPr>
        <w:t>（一）评价结论。</w:t>
      </w:r>
    </w:p>
    <w:p>
      <w:pPr>
        <w:adjustRightInd w:val="0"/>
        <w:snapToGrid w:val="0"/>
        <w:spacing w:line="600" w:lineRule="exact"/>
        <w:ind w:firstLine="720"/>
        <w:rPr>
          <w:rFonts w:hint="eastAsia" w:ascii="仿宋_GB2312" w:eastAsia="仿宋_GB2312"/>
          <w:sz w:val="32"/>
          <w:szCs w:val="32"/>
          <w:shd w:val="clear" w:color="auto" w:fill="FFFFFF"/>
        </w:rPr>
      </w:pPr>
      <w:r>
        <w:rPr>
          <w:rFonts w:hint="eastAsia" w:ascii="仿宋_GB2312" w:eastAsia="仿宋_GB2312"/>
          <w:sz w:val="32"/>
          <w:szCs w:val="32"/>
          <w:shd w:val="clear" w:color="auto" w:fill="FFFFFF"/>
        </w:rPr>
        <w:t>经开展项目绩效目标自评，未发现项目偏离绩效目标的情况。</w:t>
      </w:r>
      <w:r>
        <w:rPr>
          <w:rFonts w:hint="eastAsia" w:ascii="仿宋_GB2312" w:eastAsia="仿宋_GB2312"/>
          <w:color w:val="000000"/>
          <w:sz w:val="32"/>
          <w:szCs w:val="32"/>
        </w:rPr>
        <w:t>充分发挥市场监管职能，充分履行了行政职责。最大化地实现了市场监管专项资金的绩效目标。</w:t>
      </w:r>
    </w:p>
    <w:p>
      <w:pPr>
        <w:adjustRightInd w:val="0"/>
        <w:snapToGrid w:val="0"/>
        <w:spacing w:line="600" w:lineRule="exact"/>
        <w:ind w:firstLine="720"/>
        <w:rPr>
          <w:rFonts w:hint="eastAsia" w:ascii="仿宋_GB2312" w:eastAsia="仿宋_GB2312"/>
          <w:b/>
          <w:sz w:val="32"/>
          <w:szCs w:val="32"/>
          <w:lang w:val="zh-CN"/>
        </w:rPr>
      </w:pPr>
      <w:r>
        <w:rPr>
          <w:rFonts w:hint="eastAsia" w:ascii="仿宋_GB2312" w:eastAsia="仿宋_GB2312"/>
          <w:b/>
          <w:sz w:val="32"/>
          <w:szCs w:val="32"/>
          <w:lang w:val="zh-CN"/>
        </w:rPr>
        <w:t>（二）存在的问题。</w:t>
      </w:r>
    </w:p>
    <w:p>
      <w:pPr>
        <w:adjustRightInd w:val="0"/>
        <w:snapToGrid w:val="0"/>
        <w:spacing w:line="560" w:lineRule="exact"/>
        <w:ind w:firstLine="640" w:firstLineChars="200"/>
        <w:rPr>
          <w:rFonts w:hint="eastAsia" w:ascii="仿宋_GB2312" w:eastAsia="仿宋_GB2312"/>
          <w:sz w:val="32"/>
          <w:szCs w:val="32"/>
          <w:lang w:val="zh-CN"/>
        </w:rPr>
      </w:pPr>
      <w:r>
        <w:rPr>
          <w:rFonts w:hint="eastAsia" w:ascii="仿宋_GB2312" w:eastAsia="仿宋_GB2312"/>
          <w:sz w:val="32"/>
          <w:szCs w:val="32"/>
          <w:lang w:val="zh-CN"/>
        </w:rPr>
        <w:t>市场监管补助资金预算执行率较低。</w:t>
      </w:r>
    </w:p>
    <w:p>
      <w:pPr>
        <w:adjustRightInd w:val="0"/>
        <w:snapToGrid w:val="0"/>
        <w:spacing w:line="600" w:lineRule="exact"/>
        <w:ind w:firstLine="720"/>
        <w:rPr>
          <w:rFonts w:hint="eastAsia" w:ascii="仿宋_GB2312" w:eastAsia="仿宋_GB2312"/>
          <w:b/>
          <w:sz w:val="32"/>
          <w:szCs w:val="32"/>
          <w:lang w:val="zh-CN"/>
        </w:rPr>
      </w:pPr>
      <w:r>
        <w:rPr>
          <w:rFonts w:hint="eastAsia" w:ascii="仿宋_GB2312" w:eastAsia="仿宋_GB2312"/>
          <w:b/>
          <w:sz w:val="32"/>
          <w:szCs w:val="32"/>
          <w:lang w:val="zh-CN"/>
        </w:rPr>
        <w:t>（三）相关建议。</w:t>
      </w:r>
    </w:p>
    <w:p>
      <w:pPr>
        <w:adjustRightInd w:val="0"/>
        <w:snapToGrid w:val="0"/>
        <w:spacing w:line="560" w:lineRule="exact"/>
        <w:ind w:firstLine="640" w:firstLineChars="200"/>
        <w:rPr>
          <w:rFonts w:hint="eastAsia" w:ascii="仿宋_GB2312" w:eastAsia="仿宋_GB2312" w:cs="仿宋_GB2312"/>
          <w:kern w:val="0"/>
          <w:sz w:val="32"/>
          <w:szCs w:val="32"/>
        </w:rPr>
      </w:pPr>
      <w:r>
        <w:rPr>
          <w:rFonts w:hint="eastAsia" w:ascii="仿宋_GB2312" w:eastAsia="仿宋_GB2312" w:cs="仿宋_GB2312"/>
          <w:kern w:val="0"/>
          <w:sz w:val="32"/>
          <w:szCs w:val="32"/>
        </w:rPr>
        <w:t>建议市级相关科室对资金提出合理化实施方案，以便县区执行；并对县区资金使用情况进行指导，让资金最大合理规范化。</w:t>
      </w:r>
    </w:p>
    <w:p>
      <w:pPr>
        <w:pStyle w:val="2"/>
        <w:spacing w:before="93"/>
        <w:rPr>
          <w:rFonts w:hint="eastAsia"/>
          <w:sz w:val="32"/>
          <w:szCs w:val="32"/>
        </w:rPr>
      </w:pPr>
    </w:p>
    <w:p>
      <w:pPr>
        <w:pStyle w:val="2"/>
        <w:spacing w:before="93"/>
        <w:rPr>
          <w:rFonts w:hint="eastAsia"/>
        </w:rPr>
      </w:pPr>
    </w:p>
    <w:p>
      <w:pPr>
        <w:pStyle w:val="2"/>
        <w:spacing w:before="93"/>
        <w:rPr>
          <w:rFonts w:hint="eastAsia"/>
        </w:rPr>
      </w:pPr>
    </w:p>
    <w:p>
      <w:pPr>
        <w:pStyle w:val="2"/>
        <w:spacing w:before="93"/>
        <w:rPr>
          <w:rFonts w:hint="eastAsia"/>
        </w:rPr>
      </w:pPr>
    </w:p>
    <w:p>
      <w:pPr>
        <w:jc w:val="center"/>
        <w:rPr>
          <w:rFonts w:hint="eastAsia" w:eastAsia="方正小标宋简体"/>
          <w:sz w:val="40"/>
          <w:szCs w:val="40"/>
        </w:rPr>
      </w:pPr>
      <w:r>
        <w:rPr>
          <w:rFonts w:hint="eastAsia" w:ascii="方正小标宋简体" w:eastAsia="方正小标宋简体"/>
          <w:spacing w:val="-4"/>
          <w:sz w:val="40"/>
        </w:rPr>
        <w:t>202</w:t>
      </w:r>
      <w:r>
        <w:rPr>
          <w:rFonts w:hint="eastAsia" w:ascii="方正小标宋简体" w:eastAsia="方正小标宋简体"/>
          <w:spacing w:val="-4"/>
          <w:sz w:val="40"/>
          <w:lang w:val="en-US" w:eastAsia="zh-CN"/>
        </w:rPr>
        <w:t>2</w:t>
      </w:r>
      <w:r>
        <w:rPr>
          <w:rFonts w:hint="eastAsia" w:ascii="方正小标宋简体" w:eastAsia="方正小标宋简体"/>
          <w:spacing w:val="-4"/>
          <w:sz w:val="40"/>
        </w:rPr>
        <w:t>年中央药品监管</w:t>
      </w:r>
      <w:r>
        <w:rPr>
          <w:rFonts w:ascii="方正小标宋简体" w:eastAsia="方正小标宋简体"/>
          <w:spacing w:val="-4"/>
          <w:sz w:val="40"/>
        </w:rPr>
        <w:t>补助</w:t>
      </w:r>
      <w:r>
        <w:rPr>
          <w:rFonts w:hint="eastAsia" w:ascii="方正小标宋简体" w:eastAsia="方正小标宋简体"/>
          <w:spacing w:val="-4"/>
          <w:sz w:val="40"/>
        </w:rPr>
        <w:t>专项</w:t>
      </w:r>
      <w:r>
        <w:rPr>
          <w:rFonts w:eastAsia="方正小标宋简体"/>
          <w:sz w:val="40"/>
          <w:szCs w:val="40"/>
        </w:rPr>
        <w:t>支出</w:t>
      </w:r>
    </w:p>
    <w:p>
      <w:pPr>
        <w:jc w:val="center"/>
        <w:rPr>
          <w:rFonts w:eastAsia="方正小标宋简体"/>
          <w:sz w:val="40"/>
          <w:szCs w:val="40"/>
        </w:rPr>
      </w:pPr>
      <w:r>
        <w:rPr>
          <w:rFonts w:eastAsia="方正小标宋简体"/>
          <w:sz w:val="40"/>
          <w:szCs w:val="40"/>
        </w:rPr>
        <w:t>绩效自评报告</w:t>
      </w:r>
    </w:p>
    <w:p>
      <w:pPr>
        <w:pStyle w:val="35"/>
        <w:spacing w:line="600" w:lineRule="exact"/>
        <w:ind w:firstLine="640"/>
        <w:jc w:val="center"/>
        <w:rPr>
          <w:rFonts w:ascii="Times New Roman" w:hAnsi="Times New Roman"/>
          <w:color w:val="auto"/>
          <w:kern w:val="2"/>
          <w:sz w:val="32"/>
          <w:szCs w:val="32"/>
        </w:rPr>
      </w:pPr>
    </w:p>
    <w:p>
      <w:pPr>
        <w:adjustRightInd w:val="0"/>
        <w:snapToGrid w:val="0"/>
        <w:spacing w:line="600" w:lineRule="exact"/>
        <w:ind w:firstLine="720"/>
        <w:rPr>
          <w:rFonts w:hint="eastAsia" w:ascii="仿宋_GB2312" w:eastAsia="仿宋_GB2312"/>
          <w:sz w:val="32"/>
          <w:szCs w:val="32"/>
          <w:lang w:val="zh-CN"/>
        </w:rPr>
      </w:pPr>
      <w:r>
        <w:rPr>
          <w:rFonts w:hint="eastAsia" w:ascii="仿宋_GB2312" w:eastAsia="仿宋_GB2312"/>
          <w:sz w:val="32"/>
          <w:szCs w:val="32"/>
        </w:rPr>
        <w:t>一、</w:t>
      </w:r>
      <w:r>
        <w:rPr>
          <w:rFonts w:hint="eastAsia" w:ascii="仿宋_GB2312" w:eastAsia="仿宋_GB2312"/>
          <w:sz w:val="32"/>
          <w:szCs w:val="32"/>
          <w:lang w:val="zh-CN"/>
        </w:rPr>
        <w:t>项目概况</w:t>
      </w:r>
    </w:p>
    <w:p>
      <w:pPr>
        <w:adjustRightInd w:val="0"/>
        <w:snapToGrid w:val="0"/>
        <w:spacing w:line="600" w:lineRule="exact"/>
        <w:ind w:firstLine="720"/>
        <w:rPr>
          <w:rFonts w:hint="eastAsia" w:ascii="仿宋_GB2312" w:eastAsia="仿宋_GB2312"/>
          <w:b/>
          <w:sz w:val="32"/>
          <w:szCs w:val="32"/>
          <w:lang w:val="zh-CN"/>
        </w:rPr>
      </w:pPr>
      <w:r>
        <w:rPr>
          <w:rFonts w:hint="eastAsia" w:ascii="仿宋_GB2312" w:eastAsia="仿宋_GB2312"/>
          <w:b/>
          <w:sz w:val="32"/>
          <w:szCs w:val="32"/>
          <w:lang w:val="zh-CN"/>
        </w:rPr>
        <w:t>（一）项目基本情况。</w:t>
      </w:r>
    </w:p>
    <w:p>
      <w:pPr>
        <w:adjustRightInd w:val="0"/>
        <w:snapToGrid w:val="0"/>
        <w:spacing w:line="600" w:lineRule="exact"/>
        <w:ind w:firstLine="720"/>
        <w:rPr>
          <w:rFonts w:hint="eastAsia" w:ascii="仿宋_GB2312" w:eastAsia="仿宋_GB2312"/>
          <w:sz w:val="32"/>
          <w:szCs w:val="32"/>
          <w:lang w:val="zh-CN"/>
        </w:rPr>
      </w:pPr>
      <w:r>
        <w:rPr>
          <w:rFonts w:hint="eastAsia" w:ascii="仿宋_GB2312" w:eastAsia="仿宋_GB2312"/>
          <w:sz w:val="32"/>
          <w:szCs w:val="32"/>
          <w:lang w:val="zh-CN"/>
        </w:rPr>
        <w:t>1．说明项目主管部门（单位）在该项目管理中的职能。</w:t>
      </w:r>
    </w:p>
    <w:p>
      <w:pPr>
        <w:adjustRightInd w:val="0"/>
        <w:snapToGrid w:val="0"/>
        <w:spacing w:line="353" w:lineRule="auto"/>
        <w:ind w:firstLine="640" w:firstLineChars="200"/>
        <w:rPr>
          <w:rFonts w:hint="eastAsia" w:ascii="仿宋_GB2312" w:eastAsia="仿宋_GB2312"/>
          <w:bCs/>
          <w:kern w:val="0"/>
          <w:sz w:val="32"/>
          <w:szCs w:val="32"/>
        </w:rPr>
      </w:pPr>
      <w:r>
        <w:rPr>
          <w:rFonts w:hint="eastAsia" w:ascii="仿宋_GB2312" w:eastAsia="仿宋_GB2312"/>
          <w:bCs/>
          <w:kern w:val="0"/>
          <w:sz w:val="32"/>
          <w:szCs w:val="32"/>
        </w:rPr>
        <w:t>监督实施药品和医疗器械的标准、分类管理制度；监督实施药品和医疗器械的研制、生产、经营、使用等质量管理规范；配合实施国家基本药物制度；负责麻醉药品、精神药品、毒性药品、放射性药品和易制毒化学药品的监督管理；严格执行执业药师资格准入制度，组织开展相关从业人员培训；监督实施化妆品监督管理办法。</w:t>
      </w:r>
    </w:p>
    <w:p>
      <w:pPr>
        <w:adjustRightInd w:val="0"/>
        <w:snapToGrid w:val="0"/>
        <w:spacing w:line="600" w:lineRule="exact"/>
        <w:ind w:firstLine="720"/>
        <w:rPr>
          <w:rFonts w:hint="eastAsia" w:ascii="仿宋_GB2312" w:eastAsia="仿宋_GB2312"/>
          <w:sz w:val="32"/>
          <w:szCs w:val="32"/>
          <w:lang w:val="zh-CN"/>
        </w:rPr>
      </w:pPr>
      <w:r>
        <w:rPr>
          <w:rFonts w:hint="eastAsia" w:ascii="仿宋_GB2312" w:eastAsia="仿宋_GB2312"/>
          <w:sz w:val="32"/>
          <w:szCs w:val="32"/>
          <w:lang w:val="zh-CN"/>
        </w:rPr>
        <w:t>2. 项目立项、资金申报的依据。</w:t>
      </w:r>
    </w:p>
    <w:p>
      <w:pPr>
        <w:adjustRightInd w:val="0"/>
        <w:snapToGrid w:val="0"/>
        <w:spacing w:line="560" w:lineRule="exact"/>
        <w:ind w:firstLine="592"/>
        <w:rPr>
          <w:rFonts w:hint="eastAsia" w:ascii="仿宋_GB2312" w:eastAsia="仿宋_GB2312"/>
          <w:spacing w:val="-4"/>
          <w:sz w:val="32"/>
          <w:szCs w:val="32"/>
        </w:rPr>
      </w:pPr>
      <w:r>
        <w:rPr>
          <w:rFonts w:hint="eastAsia" w:ascii="仿宋_GB2312" w:eastAsia="仿宋_GB2312"/>
          <w:sz w:val="32"/>
          <w:szCs w:val="32"/>
        </w:rPr>
        <w:t>依据《攀枝花市市场监督管理局关于印发 2022 年中央药品监管补助资金项目实施方案和绩效目标的通知（攀市监发〔2022〕199号）文件，分配至我区的2022年中央药品监管补助资金共6万元，用于药品（含医疗器械、化妆品，下同）日常监管抽检、不良反应监测和药物滥用监测、无菌植入类医疗器械专项整治、药品专项整治、监管人员素质能力提升及药品科普宣传等工作。</w:t>
      </w:r>
    </w:p>
    <w:p>
      <w:pPr>
        <w:adjustRightInd w:val="0"/>
        <w:snapToGrid w:val="0"/>
        <w:spacing w:line="600" w:lineRule="exact"/>
        <w:ind w:firstLine="720"/>
        <w:rPr>
          <w:rFonts w:hint="eastAsia" w:ascii="仿宋_GB2312" w:eastAsia="仿宋_GB2312"/>
          <w:sz w:val="32"/>
          <w:szCs w:val="32"/>
          <w:lang w:val="zh-CN"/>
        </w:rPr>
      </w:pPr>
      <w:r>
        <w:rPr>
          <w:rFonts w:hint="eastAsia" w:ascii="仿宋_GB2312" w:eastAsia="仿宋_GB2312"/>
          <w:sz w:val="32"/>
          <w:szCs w:val="32"/>
          <w:lang w:val="zh-CN"/>
        </w:rPr>
        <w:t>3．资金管理办法制定情况，资金支持具体项目的条件、范围与支持方式概况。</w:t>
      </w:r>
    </w:p>
    <w:p>
      <w:pPr>
        <w:adjustRightInd w:val="0"/>
        <w:snapToGrid w:val="0"/>
        <w:spacing w:line="560" w:lineRule="exact"/>
        <w:ind w:firstLine="592"/>
        <w:rPr>
          <w:rFonts w:hint="eastAsia" w:ascii="仿宋_GB2312" w:eastAsia="仿宋_GB2312"/>
          <w:spacing w:val="-4"/>
          <w:sz w:val="32"/>
          <w:szCs w:val="32"/>
        </w:rPr>
      </w:pPr>
      <w:r>
        <w:rPr>
          <w:rFonts w:hint="eastAsia" w:ascii="仿宋_GB2312" w:eastAsia="仿宋_GB2312"/>
          <w:sz w:val="32"/>
          <w:szCs w:val="32"/>
        </w:rPr>
        <w:t>依据《攀枝花市市场监督管理局关于印发 2022 年中央药品监管补助资金项目实施方案和绩效目标的通知（攀市监发〔2022〕199号）文件，分配至我区的2022年中央药品监管补助资金共6万元，用于药品（含医疗器械、化妆品，下同）日常监管抽检、不良反应监测和药物滥用监测、无菌植入类医疗器械专项整治、药品专项整治、监管人员素质能力提升及药品科普宣传等工作。</w:t>
      </w:r>
    </w:p>
    <w:p>
      <w:pPr>
        <w:adjustRightInd w:val="0"/>
        <w:snapToGrid w:val="0"/>
        <w:spacing w:line="600" w:lineRule="exact"/>
        <w:ind w:firstLine="720"/>
        <w:rPr>
          <w:rFonts w:hint="eastAsia" w:ascii="仿宋_GB2312" w:eastAsia="仿宋_GB2312"/>
          <w:sz w:val="32"/>
          <w:szCs w:val="32"/>
          <w:lang w:val="zh-CN"/>
        </w:rPr>
      </w:pPr>
      <w:r>
        <w:rPr>
          <w:rFonts w:hint="eastAsia" w:ascii="仿宋_GB2312" w:eastAsia="仿宋_GB2312"/>
          <w:sz w:val="32"/>
          <w:szCs w:val="32"/>
          <w:lang w:val="zh-CN"/>
        </w:rPr>
        <w:t>4. 资金分配的原则及考虑因素。</w:t>
      </w:r>
    </w:p>
    <w:p>
      <w:pPr>
        <w:adjustRightInd w:val="0"/>
        <w:snapToGrid w:val="0"/>
        <w:spacing w:line="600" w:lineRule="exact"/>
        <w:ind w:firstLine="720"/>
        <w:rPr>
          <w:rFonts w:hint="eastAsia" w:ascii="仿宋_GB2312" w:eastAsia="仿宋_GB2312"/>
          <w:b/>
          <w:sz w:val="32"/>
          <w:szCs w:val="32"/>
          <w:lang w:val="zh-CN"/>
        </w:rPr>
      </w:pPr>
      <w:r>
        <w:rPr>
          <w:rFonts w:hint="eastAsia" w:ascii="仿宋_GB2312" w:eastAsia="仿宋_GB2312"/>
          <w:b/>
          <w:sz w:val="32"/>
          <w:szCs w:val="32"/>
          <w:lang w:val="zh-CN"/>
        </w:rPr>
        <w:t>（二）项目绩效目标。</w:t>
      </w:r>
    </w:p>
    <w:p>
      <w:pPr>
        <w:adjustRightInd w:val="0"/>
        <w:snapToGrid w:val="0"/>
        <w:spacing w:line="600" w:lineRule="exact"/>
        <w:ind w:firstLine="720"/>
        <w:rPr>
          <w:rFonts w:hint="eastAsia" w:ascii="仿宋_GB2312" w:eastAsia="仿宋_GB2312"/>
          <w:sz w:val="32"/>
          <w:szCs w:val="32"/>
          <w:lang w:val="zh-CN"/>
        </w:rPr>
      </w:pPr>
      <w:r>
        <w:rPr>
          <w:rFonts w:hint="eastAsia" w:ascii="仿宋_GB2312" w:eastAsia="仿宋_GB2312"/>
          <w:sz w:val="32"/>
          <w:szCs w:val="32"/>
          <w:lang w:val="zh-CN"/>
        </w:rPr>
        <w:t>1. 项目主要内容。</w:t>
      </w:r>
    </w:p>
    <w:p>
      <w:pPr>
        <w:adjustRightInd w:val="0"/>
        <w:snapToGrid w:val="0"/>
        <w:spacing w:line="600" w:lineRule="exact"/>
        <w:rPr>
          <w:rFonts w:hint="eastAsia" w:ascii="仿宋_GB2312" w:eastAsia="仿宋_GB2312"/>
          <w:sz w:val="32"/>
          <w:szCs w:val="32"/>
          <w:lang w:val="zh-CN"/>
        </w:rPr>
      </w:pPr>
      <w:r>
        <w:rPr>
          <w:rFonts w:hint="eastAsia" w:ascii="仿宋_GB2312" w:eastAsia="仿宋_GB2312"/>
          <w:sz w:val="32"/>
          <w:szCs w:val="32"/>
          <w:lang w:val="zh-CN"/>
        </w:rPr>
        <w:t xml:space="preserve">完成市市场监管局下达的药品不良反应、化妆品不良反应、医疗器械不良事件和药物滥用报告数及相关培训次数；开展药品零售企业合规性检查；完成市市场监督管理局下达的医疗器械经营使用单位日常监管和专项检查等相关工作；                                               完成市市场监督管理局下达的医疗器械经营使用单位日常监管和专项检查等相关工作；配合完成市市场监管局下达的药品抽样任务数组织开展药械化相关法律法规的宣传。                           </w:t>
      </w:r>
    </w:p>
    <w:p>
      <w:pPr>
        <w:adjustRightInd w:val="0"/>
        <w:snapToGrid w:val="0"/>
        <w:spacing w:line="600" w:lineRule="exact"/>
        <w:ind w:firstLine="720"/>
        <w:rPr>
          <w:rFonts w:hint="eastAsia" w:ascii="仿宋_GB2312" w:eastAsia="仿宋_GB2312"/>
          <w:sz w:val="32"/>
          <w:szCs w:val="32"/>
          <w:lang w:val="zh-CN"/>
        </w:rPr>
      </w:pPr>
      <w:r>
        <w:rPr>
          <w:rFonts w:hint="eastAsia" w:ascii="仿宋_GB2312" w:eastAsia="仿宋_GB2312"/>
          <w:sz w:val="32"/>
          <w:szCs w:val="32"/>
          <w:lang w:val="zh-CN"/>
        </w:rPr>
        <w:t>2. 项目应实现的具体绩效目标，包括目标的量化、细化情况以及项目实施进度计划等。</w:t>
      </w:r>
    </w:p>
    <w:p>
      <w:pPr>
        <w:adjustRightInd w:val="0"/>
        <w:snapToGrid w:val="0"/>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完成省、市、区级药品抽检50批次，医疗器械收件4批次、化妆品抽检4批次，对3起中药饮片不合格线索，已立案查处。全面规范化妆品市场经营秩序，督促引导经营使用单位建立质量管理制度，目前，已阶段性完成化妆品经营使用单位规范经营试点工作30家。强化风险管理理念，注重对药械化不良反应（事件）监测工作，收集并上报药品不良反应50例、医疗器械不良事件25例、化妆品不良反应23例。全面推行“互联网+药学服务”试点，辖区74家药品零售企业均安装了远程药学服务系统并通过验收。</w:t>
      </w:r>
    </w:p>
    <w:p>
      <w:pPr>
        <w:adjustRightInd w:val="0"/>
        <w:snapToGrid w:val="0"/>
        <w:spacing w:line="600" w:lineRule="exact"/>
        <w:ind w:firstLine="720"/>
        <w:rPr>
          <w:rFonts w:hint="eastAsia" w:ascii="仿宋_GB2312" w:eastAsia="仿宋_GB2312"/>
          <w:sz w:val="32"/>
          <w:szCs w:val="32"/>
          <w:lang w:val="zh-CN"/>
        </w:rPr>
      </w:pPr>
      <w:r>
        <w:rPr>
          <w:rFonts w:hint="eastAsia" w:ascii="仿宋_GB2312" w:eastAsia="仿宋_GB2312"/>
          <w:sz w:val="32"/>
          <w:szCs w:val="32"/>
          <w:lang w:val="zh-CN"/>
        </w:rPr>
        <w:t>3. 评价申报内容与实际相符，申报目标合理可行。</w:t>
      </w:r>
    </w:p>
    <w:p>
      <w:pPr>
        <w:adjustRightInd w:val="0"/>
        <w:snapToGrid w:val="0"/>
        <w:spacing w:line="600" w:lineRule="exact"/>
        <w:ind w:firstLine="720"/>
        <w:rPr>
          <w:rFonts w:hint="eastAsia" w:ascii="仿宋_GB2312" w:eastAsia="仿宋_GB2312"/>
          <w:b/>
          <w:sz w:val="32"/>
          <w:szCs w:val="32"/>
          <w:lang w:val="zh-CN"/>
        </w:rPr>
      </w:pPr>
      <w:r>
        <w:rPr>
          <w:rFonts w:hint="eastAsia" w:ascii="仿宋_GB2312" w:eastAsia="仿宋_GB2312"/>
          <w:b/>
          <w:sz w:val="32"/>
          <w:szCs w:val="32"/>
          <w:lang w:val="zh-CN"/>
        </w:rPr>
        <w:t>（三）项目自评步骤及方法。</w:t>
      </w:r>
    </w:p>
    <w:p>
      <w:pPr>
        <w:adjustRightInd w:val="0"/>
        <w:snapToGrid w:val="0"/>
        <w:spacing w:line="600" w:lineRule="exact"/>
        <w:ind w:firstLine="720"/>
        <w:rPr>
          <w:rFonts w:hint="eastAsia" w:ascii="仿宋_GB2312" w:eastAsia="仿宋_GB2312"/>
          <w:sz w:val="32"/>
          <w:szCs w:val="32"/>
          <w:lang w:val="zh-CN"/>
        </w:rPr>
      </w:pPr>
      <w:r>
        <w:rPr>
          <w:rFonts w:hint="eastAsia" w:ascii="仿宋_GB2312" w:eastAsia="仿宋_GB2312"/>
          <w:sz w:val="32"/>
          <w:szCs w:val="32"/>
          <w:lang w:val="zh-CN"/>
        </w:rPr>
        <w:t>说明项目绩效自评采用的组织实施步骤及方法。</w:t>
      </w:r>
    </w:p>
    <w:p>
      <w:pPr>
        <w:adjustRightInd w:val="0"/>
        <w:snapToGrid w:val="0"/>
        <w:spacing w:line="600" w:lineRule="exact"/>
        <w:ind w:firstLine="720"/>
        <w:rPr>
          <w:rFonts w:hint="eastAsia" w:ascii="仿宋_GB2312" w:eastAsia="仿宋_GB2312"/>
          <w:sz w:val="32"/>
          <w:szCs w:val="32"/>
        </w:rPr>
      </w:pPr>
      <w:r>
        <w:rPr>
          <w:rFonts w:hint="eastAsia" w:ascii="仿宋_GB2312" w:eastAsia="仿宋_GB2312"/>
          <w:sz w:val="32"/>
          <w:szCs w:val="32"/>
        </w:rPr>
        <w:t>二、项目资金申报及使用情况</w:t>
      </w:r>
    </w:p>
    <w:p>
      <w:pPr>
        <w:adjustRightInd w:val="0"/>
        <w:snapToGrid w:val="0"/>
        <w:spacing w:line="600" w:lineRule="exact"/>
        <w:ind w:firstLine="720"/>
        <w:rPr>
          <w:rFonts w:hint="eastAsia" w:ascii="仿宋_GB2312" w:eastAsia="仿宋_GB2312"/>
          <w:b/>
          <w:sz w:val="32"/>
          <w:szCs w:val="32"/>
          <w:lang w:val="zh-CN"/>
        </w:rPr>
      </w:pPr>
      <w:r>
        <w:rPr>
          <w:rFonts w:hint="eastAsia" w:ascii="仿宋_GB2312" w:eastAsia="仿宋_GB2312"/>
          <w:b/>
          <w:sz w:val="32"/>
          <w:szCs w:val="32"/>
          <w:lang w:val="zh-CN"/>
        </w:rPr>
        <w:t>（一）项目资金申报及批复情况。</w:t>
      </w:r>
    </w:p>
    <w:p>
      <w:pPr>
        <w:adjustRightInd w:val="0"/>
        <w:snapToGrid w:val="0"/>
        <w:spacing w:line="600" w:lineRule="exact"/>
        <w:ind w:firstLine="720"/>
        <w:rPr>
          <w:rFonts w:hint="eastAsia" w:ascii="仿宋_GB2312" w:eastAsia="仿宋_GB2312"/>
          <w:sz w:val="32"/>
          <w:szCs w:val="32"/>
          <w:lang w:val="zh-CN"/>
        </w:rPr>
      </w:pPr>
      <w:r>
        <w:rPr>
          <w:rFonts w:hint="eastAsia" w:ascii="仿宋_GB2312" w:eastAsia="仿宋_GB2312"/>
          <w:sz w:val="32"/>
          <w:szCs w:val="32"/>
          <w:lang w:val="zh-CN"/>
        </w:rPr>
        <w:t>说明项目资金申报、批复及预算调整等程序的相关情况。</w:t>
      </w:r>
    </w:p>
    <w:p>
      <w:pPr>
        <w:adjustRightInd w:val="0"/>
        <w:snapToGrid w:val="0"/>
        <w:spacing w:line="600" w:lineRule="exact"/>
        <w:ind w:firstLine="720"/>
        <w:rPr>
          <w:rFonts w:hint="eastAsia" w:ascii="仿宋_GB2312" w:eastAsia="仿宋_GB2312"/>
          <w:sz w:val="32"/>
          <w:szCs w:val="32"/>
          <w:lang w:val="zh-CN"/>
        </w:rPr>
      </w:pPr>
      <w:r>
        <w:rPr>
          <w:rFonts w:hint="eastAsia" w:ascii="仿宋_GB2312" w:eastAsia="仿宋_GB2312"/>
          <w:b/>
          <w:sz w:val="32"/>
          <w:szCs w:val="32"/>
          <w:lang w:val="zh-CN"/>
        </w:rPr>
        <w:t>（二）资金计划、到位及使用情况。</w:t>
      </w:r>
    </w:p>
    <w:p>
      <w:pPr>
        <w:adjustRightInd w:val="0"/>
        <w:snapToGrid w:val="0"/>
        <w:spacing w:line="600" w:lineRule="exact"/>
        <w:ind w:firstLine="720"/>
        <w:rPr>
          <w:rFonts w:hint="eastAsia" w:ascii="仿宋_GB2312" w:eastAsia="仿宋_GB2312"/>
          <w:sz w:val="32"/>
          <w:szCs w:val="32"/>
          <w:lang w:val="zh-CN"/>
        </w:rPr>
      </w:pPr>
      <w:r>
        <w:rPr>
          <w:rFonts w:hint="eastAsia" w:ascii="仿宋_GB2312" w:eastAsia="仿宋_GB2312"/>
          <w:sz w:val="32"/>
          <w:szCs w:val="32"/>
          <w:lang w:val="zh-CN"/>
        </w:rPr>
        <w:t>1．资金计划。中央、区级财政根据我单位上报预算资金及时安排了药品监管补助资金计划。</w:t>
      </w:r>
    </w:p>
    <w:p>
      <w:pPr>
        <w:adjustRightInd w:val="0"/>
        <w:snapToGrid w:val="0"/>
        <w:spacing w:line="600" w:lineRule="exact"/>
        <w:ind w:firstLine="720"/>
        <w:rPr>
          <w:rFonts w:hint="eastAsia" w:ascii="仿宋_GB2312" w:eastAsia="仿宋_GB2312"/>
          <w:b/>
          <w:sz w:val="32"/>
          <w:szCs w:val="32"/>
        </w:rPr>
      </w:pPr>
      <w:r>
        <w:rPr>
          <w:rFonts w:hint="eastAsia" w:ascii="仿宋_GB2312" w:eastAsia="仿宋_GB2312"/>
          <w:sz w:val="32"/>
          <w:szCs w:val="32"/>
          <w:lang w:val="zh-CN"/>
        </w:rPr>
        <w:t>2．资金到位。</w:t>
      </w:r>
      <w:r>
        <w:rPr>
          <w:rFonts w:hint="eastAsia" w:ascii="仿宋_GB2312" w:eastAsia="仿宋_GB2312"/>
          <w:sz w:val="32"/>
          <w:szCs w:val="32"/>
        </w:rPr>
        <w:t>截止目前，2022年中央下达药品监管补助资金和省级药品监管专项项目资金共计6万元已全部到位，到位率100%。</w:t>
      </w:r>
    </w:p>
    <w:p>
      <w:pPr>
        <w:adjustRightInd w:val="0"/>
        <w:snapToGrid w:val="0"/>
        <w:spacing w:line="560" w:lineRule="exact"/>
        <w:ind w:firstLine="592"/>
        <w:rPr>
          <w:rFonts w:hint="eastAsia" w:ascii="仿宋_GB2312" w:eastAsia="仿宋_GB2312"/>
          <w:spacing w:val="-4"/>
          <w:sz w:val="32"/>
          <w:szCs w:val="32"/>
        </w:rPr>
      </w:pPr>
      <w:r>
        <w:rPr>
          <w:rFonts w:hint="eastAsia" w:ascii="仿宋_GB2312" w:eastAsia="仿宋_GB2312"/>
          <w:sz w:val="32"/>
          <w:szCs w:val="32"/>
          <w:lang w:val="zh-CN"/>
        </w:rPr>
        <w:t>3．资金使用。</w:t>
      </w:r>
      <w:r>
        <w:rPr>
          <w:rFonts w:hint="eastAsia" w:ascii="仿宋_GB2312" w:eastAsia="仿宋_GB2312"/>
          <w:sz w:val="32"/>
          <w:szCs w:val="32"/>
        </w:rPr>
        <w:t>我区按照《四川省药品监管专项资金管理办法》（川财行〔2019〕78号）等文件规定，专款专用，并严格根据《攀枝花市西区市场监督管理局关于印发2022年中央药品监管补助资金项目实施方案和绩效目标的通知》（攀西市管【2022】70号）要求使用项目资金。截止此次评价时，我区2022年中央药品监管补助资金中用于药品综合监管工作部分6万元，已完成支付6万元，；我区2022年药品监管补助资金项目实施方案和绩效目标（0.18万元）已全部执行并完成支付，省级药品抽查检验项目资金（0.18万元）已完成支付0.18万元。</w:t>
      </w:r>
    </w:p>
    <w:p>
      <w:pPr>
        <w:adjustRightInd w:val="0"/>
        <w:snapToGrid w:val="0"/>
        <w:spacing w:line="600" w:lineRule="exact"/>
        <w:ind w:firstLine="720"/>
        <w:rPr>
          <w:rFonts w:hint="eastAsia" w:ascii="仿宋_GB2312" w:eastAsia="仿宋_GB2312"/>
          <w:b/>
          <w:sz w:val="32"/>
          <w:szCs w:val="32"/>
          <w:lang w:val="zh-CN"/>
        </w:rPr>
      </w:pPr>
      <w:r>
        <w:rPr>
          <w:rFonts w:hint="eastAsia" w:ascii="仿宋_GB2312" w:eastAsia="仿宋_GB2312"/>
          <w:b/>
          <w:sz w:val="32"/>
          <w:szCs w:val="32"/>
          <w:lang w:val="zh-CN"/>
        </w:rPr>
        <w:t>（三）项目财务管理情况。</w:t>
      </w:r>
    </w:p>
    <w:p>
      <w:pPr>
        <w:autoSpaceDE w:val="0"/>
        <w:autoSpaceDN w:val="0"/>
        <w:adjustRightInd w:val="0"/>
        <w:snapToGrid w:val="0"/>
        <w:spacing w:line="336" w:lineRule="auto"/>
        <w:ind w:firstLine="640" w:firstLineChars="200"/>
        <w:rPr>
          <w:rFonts w:hint="eastAsia" w:ascii="仿宋_GB2312" w:eastAsia="仿宋_GB2312"/>
          <w:kern w:val="0"/>
          <w:sz w:val="32"/>
          <w:szCs w:val="32"/>
        </w:rPr>
      </w:pPr>
      <w:r>
        <w:rPr>
          <w:rFonts w:hint="eastAsia" w:ascii="仿宋_GB2312" w:eastAsia="仿宋_GB2312"/>
          <w:kern w:val="0"/>
          <w:sz w:val="32"/>
          <w:szCs w:val="32"/>
        </w:rPr>
        <w:t>1．我局制定了专项补助资金使用方案和资金管理办法，严格按照制度管理和使用资金；</w:t>
      </w:r>
    </w:p>
    <w:p>
      <w:pPr>
        <w:autoSpaceDE w:val="0"/>
        <w:autoSpaceDN w:val="0"/>
        <w:adjustRightInd w:val="0"/>
        <w:snapToGrid w:val="0"/>
        <w:spacing w:line="336" w:lineRule="auto"/>
        <w:ind w:firstLine="640" w:firstLineChars="200"/>
        <w:rPr>
          <w:rFonts w:hint="eastAsia" w:ascii="仿宋_GB2312" w:eastAsia="仿宋_GB2312"/>
          <w:kern w:val="0"/>
          <w:sz w:val="32"/>
          <w:szCs w:val="32"/>
        </w:rPr>
      </w:pPr>
      <w:r>
        <w:rPr>
          <w:rFonts w:hint="eastAsia" w:ascii="仿宋_GB2312" w:eastAsia="仿宋_GB2312"/>
          <w:kern w:val="0"/>
          <w:sz w:val="32"/>
          <w:szCs w:val="32"/>
        </w:rPr>
        <w:t xml:space="preserve">2.我局及时与区财政衔接，保证了专项资金及时足额拨付到位； </w:t>
      </w:r>
    </w:p>
    <w:p>
      <w:pPr>
        <w:adjustRightInd w:val="0"/>
        <w:snapToGrid w:val="0"/>
        <w:spacing w:line="336" w:lineRule="auto"/>
        <w:ind w:firstLine="640"/>
        <w:rPr>
          <w:rFonts w:hint="eastAsia" w:ascii="仿宋_GB2312" w:eastAsia="仿宋_GB2312"/>
          <w:kern w:val="0"/>
          <w:sz w:val="32"/>
          <w:szCs w:val="32"/>
        </w:rPr>
      </w:pPr>
      <w:r>
        <w:rPr>
          <w:rFonts w:hint="eastAsia" w:ascii="仿宋_GB2312" w:eastAsia="仿宋_GB2312"/>
          <w:kern w:val="0"/>
          <w:sz w:val="32"/>
          <w:szCs w:val="32"/>
        </w:rPr>
        <w:t>3.此项经费实行专款专用，严格按照相关规定支付。我局无截留、挪用专项补助资金，无违反财审规定使用资金的情况；</w:t>
      </w:r>
    </w:p>
    <w:p>
      <w:pPr>
        <w:adjustRightInd w:val="0"/>
        <w:snapToGrid w:val="0"/>
        <w:spacing w:line="600" w:lineRule="exact"/>
        <w:ind w:firstLine="720"/>
        <w:rPr>
          <w:rFonts w:hint="eastAsia" w:ascii="仿宋_GB2312" w:eastAsia="仿宋_GB2312"/>
          <w:sz w:val="32"/>
          <w:szCs w:val="32"/>
        </w:rPr>
      </w:pPr>
      <w:r>
        <w:rPr>
          <w:rFonts w:hint="eastAsia" w:ascii="仿宋_GB2312" w:eastAsia="仿宋_GB2312"/>
          <w:sz w:val="32"/>
          <w:szCs w:val="32"/>
        </w:rPr>
        <w:t>三、项目实施及管理情况</w:t>
      </w:r>
    </w:p>
    <w:p>
      <w:pPr>
        <w:adjustRightInd w:val="0"/>
        <w:snapToGrid w:val="0"/>
        <w:spacing w:line="600" w:lineRule="exact"/>
        <w:ind w:firstLine="720"/>
        <w:rPr>
          <w:rFonts w:hint="eastAsia" w:ascii="仿宋_GB2312" w:eastAsia="仿宋_GB2312"/>
          <w:sz w:val="32"/>
          <w:szCs w:val="32"/>
          <w:lang w:val="zh-CN"/>
        </w:rPr>
      </w:pPr>
      <w:r>
        <w:rPr>
          <w:rFonts w:hint="eastAsia" w:ascii="仿宋_GB2312" w:eastAsia="仿宋_GB2312"/>
          <w:sz w:val="32"/>
          <w:szCs w:val="32"/>
          <w:lang w:val="zh-CN"/>
        </w:rPr>
        <w:t>结合项目组织实施管理办法，重点围绕以下内容进行分析评价，并对自评中发现的问题分析说明。</w:t>
      </w:r>
    </w:p>
    <w:p>
      <w:pPr>
        <w:adjustRightInd w:val="0"/>
        <w:snapToGrid w:val="0"/>
        <w:spacing w:line="600" w:lineRule="exact"/>
        <w:ind w:firstLine="720"/>
        <w:rPr>
          <w:rFonts w:hint="eastAsia" w:ascii="仿宋_GB2312" w:eastAsia="仿宋_GB2312"/>
          <w:b/>
          <w:sz w:val="32"/>
          <w:szCs w:val="32"/>
          <w:lang w:val="zh-CN"/>
        </w:rPr>
      </w:pPr>
      <w:r>
        <w:rPr>
          <w:rFonts w:hint="eastAsia" w:ascii="仿宋_GB2312" w:eastAsia="仿宋_GB2312"/>
          <w:b/>
          <w:sz w:val="32"/>
          <w:szCs w:val="32"/>
          <w:lang w:val="zh-CN"/>
        </w:rPr>
        <w:t>（一）项目组织架构及实施流程。</w:t>
      </w:r>
    </w:p>
    <w:p>
      <w:pPr>
        <w:adjustRightInd w:val="0"/>
        <w:snapToGrid w:val="0"/>
        <w:spacing w:line="600" w:lineRule="exact"/>
        <w:ind w:firstLine="720"/>
        <w:rPr>
          <w:rFonts w:hint="eastAsia" w:ascii="仿宋_GB2312" w:eastAsia="仿宋_GB2312"/>
          <w:sz w:val="32"/>
          <w:szCs w:val="32"/>
          <w:lang w:val="zh-CN"/>
        </w:rPr>
      </w:pPr>
      <w:r>
        <w:rPr>
          <w:rFonts w:hint="eastAsia" w:ascii="仿宋_GB2312" w:eastAsia="仿宋_GB2312"/>
          <w:b/>
          <w:sz w:val="32"/>
          <w:szCs w:val="32"/>
          <w:lang w:val="zh-CN"/>
        </w:rPr>
        <w:t>（二）项目管理情况。</w:t>
      </w:r>
      <w:r>
        <w:rPr>
          <w:rFonts w:hint="eastAsia" w:ascii="仿宋_GB2312" w:eastAsia="仿宋_GB2312"/>
          <w:sz w:val="32"/>
          <w:szCs w:val="32"/>
          <w:lang w:val="zh-CN"/>
        </w:rPr>
        <w:t>结合项目特点，总体评价各项目实施单位执行相关法律法规及项目管理制度等情况，如招投标、政府采购、项目公示制等相关规定。</w:t>
      </w:r>
    </w:p>
    <w:p>
      <w:pPr>
        <w:adjustRightInd w:val="0"/>
        <w:snapToGrid w:val="0"/>
        <w:spacing w:line="560" w:lineRule="exact"/>
        <w:ind w:firstLine="592"/>
        <w:rPr>
          <w:rFonts w:hint="eastAsia" w:ascii="仿宋_GB2312" w:hAnsi="仿宋_GB2312" w:eastAsia="仿宋_GB2312" w:cs="仿宋_GB2312"/>
          <w:sz w:val="32"/>
          <w:szCs w:val="32"/>
        </w:rPr>
      </w:pPr>
      <w:r>
        <w:rPr>
          <w:rFonts w:hint="eastAsia" w:ascii="仿宋_GB2312" w:eastAsia="仿宋_GB2312"/>
          <w:b/>
          <w:sz w:val="32"/>
          <w:szCs w:val="32"/>
          <w:lang w:val="zh-CN"/>
        </w:rPr>
        <w:t>（三）项目监管情况。</w:t>
      </w:r>
      <w:r>
        <w:rPr>
          <w:rFonts w:hint="eastAsia" w:ascii="仿宋_GB2312" w:hAnsi="仿宋_GB2312" w:eastAsia="仿宋_GB2312" w:cs="仿宋_GB2312"/>
          <w:sz w:val="32"/>
          <w:szCs w:val="32"/>
        </w:rPr>
        <w:t>我局严格按照相关制度和资金实施方案要求，强化专项经费和支付管理，实行专款专用，做好预算执行，加快预算支出进度，促进资金及时足额拨付。专项资金财政拨款到位后按照实施方案开展项目和资金投入。同时注重提高资金项目的安全性，严格按照财务管理制度，规范财务核算，严格执行“收支两条线”的规定，防止截留、坐支、挪用和私设“小金库”，防止数据不实、虚假立项、骗取套取、挤占挪用财政资金等行为。</w:t>
      </w:r>
    </w:p>
    <w:p>
      <w:pPr>
        <w:adjustRightInd w:val="0"/>
        <w:snapToGrid w:val="0"/>
        <w:spacing w:line="600" w:lineRule="exact"/>
        <w:ind w:firstLine="720"/>
        <w:rPr>
          <w:rFonts w:hint="eastAsia" w:ascii="仿宋_GB2312" w:eastAsia="仿宋_GB2312"/>
          <w:sz w:val="32"/>
          <w:szCs w:val="32"/>
          <w:lang w:val="zh-CN"/>
        </w:rPr>
      </w:pPr>
      <w:r>
        <w:rPr>
          <w:rFonts w:hint="eastAsia" w:ascii="仿宋_GB2312" w:eastAsia="仿宋_GB2312"/>
          <w:sz w:val="32"/>
          <w:szCs w:val="32"/>
        </w:rPr>
        <w:t>四、项目绩效情况</w:t>
      </w:r>
      <w:r>
        <w:rPr>
          <w:rFonts w:hint="eastAsia" w:ascii="仿宋_GB2312" w:eastAsia="仿宋_GB2312"/>
          <w:sz w:val="32"/>
          <w:szCs w:val="32"/>
          <w:lang w:val="zh-CN"/>
        </w:rPr>
        <w:tab/>
      </w:r>
    </w:p>
    <w:p>
      <w:pPr>
        <w:adjustRightInd w:val="0"/>
        <w:snapToGrid w:val="0"/>
        <w:spacing w:line="600" w:lineRule="exact"/>
        <w:ind w:firstLine="720"/>
        <w:rPr>
          <w:rFonts w:hint="eastAsia" w:ascii="仿宋_GB2312" w:eastAsia="仿宋_GB2312"/>
          <w:b/>
          <w:sz w:val="32"/>
          <w:szCs w:val="32"/>
          <w:lang w:val="zh-CN"/>
        </w:rPr>
      </w:pPr>
      <w:r>
        <w:rPr>
          <w:rFonts w:hint="eastAsia" w:ascii="仿宋_GB2312" w:eastAsia="仿宋_GB2312"/>
          <w:b/>
          <w:sz w:val="32"/>
          <w:szCs w:val="32"/>
          <w:lang w:val="zh-CN"/>
        </w:rPr>
        <w:t>（一）项目完成情况。</w:t>
      </w:r>
    </w:p>
    <w:p>
      <w:pPr>
        <w:adjustRightInd w:val="0"/>
        <w:ind w:firstLine="624" w:firstLineChars="200"/>
        <w:rPr>
          <w:rFonts w:hint="eastAsia" w:ascii="仿宋_GB2312" w:eastAsia="仿宋_GB2312"/>
          <w:spacing w:val="-4"/>
          <w:sz w:val="32"/>
          <w:szCs w:val="32"/>
        </w:rPr>
      </w:pPr>
      <w:r>
        <w:rPr>
          <w:rFonts w:hint="eastAsia" w:ascii="仿宋_GB2312" w:eastAsia="仿宋_GB2312"/>
          <w:spacing w:val="-4"/>
          <w:sz w:val="32"/>
          <w:szCs w:val="32"/>
        </w:rPr>
        <w:t>1.产出指标完成情况分析。</w:t>
      </w:r>
    </w:p>
    <w:p>
      <w:pPr>
        <w:adjustRightInd w:val="0"/>
        <w:snapToGrid w:val="0"/>
        <w:spacing w:line="560" w:lineRule="exact"/>
        <w:ind w:firstLine="592"/>
        <w:rPr>
          <w:rFonts w:hint="eastAsia" w:ascii="仿宋_GB2312" w:eastAsia="仿宋_GB2312"/>
          <w:spacing w:val="-4"/>
          <w:sz w:val="32"/>
          <w:szCs w:val="32"/>
        </w:rPr>
      </w:pPr>
      <w:r>
        <w:rPr>
          <w:rFonts w:hint="eastAsia" w:ascii="仿宋_GB2312" w:eastAsia="仿宋_GB2312"/>
          <w:spacing w:val="-4"/>
          <w:sz w:val="32"/>
          <w:szCs w:val="32"/>
        </w:rPr>
        <w:t>（1）数量指标。</w:t>
      </w:r>
      <w:r>
        <w:rPr>
          <w:rFonts w:hint="eastAsia" w:ascii="仿宋_GB2312" w:eastAsia="仿宋_GB2312"/>
          <w:sz w:val="32"/>
          <w:szCs w:val="32"/>
        </w:rPr>
        <w:t>我区已完成中央药品监管补助资金项目实施方案和绩效目标要求中药品、医疗器械、化妆品监管企业数和药品监管人员专业化培训学时等数量指标值。我区已完成2022年药品监管补助资金项目实施方案和绩效目标要求中全部数量指标值。</w:t>
      </w:r>
    </w:p>
    <w:p>
      <w:pPr>
        <w:adjustRightInd w:val="0"/>
        <w:ind w:firstLine="624" w:firstLineChars="200"/>
        <w:rPr>
          <w:rFonts w:hint="eastAsia" w:ascii="仿宋_GB2312" w:eastAsia="仿宋_GB2312"/>
          <w:spacing w:val="-4"/>
          <w:sz w:val="32"/>
          <w:szCs w:val="32"/>
        </w:rPr>
      </w:pPr>
      <w:r>
        <w:rPr>
          <w:rFonts w:hint="eastAsia" w:ascii="仿宋_GB2312" w:eastAsia="仿宋_GB2312"/>
          <w:spacing w:val="-4"/>
          <w:sz w:val="32"/>
          <w:szCs w:val="32"/>
        </w:rPr>
        <w:t>（2）质量指标。</w:t>
      </w:r>
      <w:r>
        <w:rPr>
          <w:rFonts w:hint="eastAsia" w:ascii="仿宋_GB2312" w:eastAsia="仿宋_GB2312"/>
          <w:sz w:val="32"/>
          <w:szCs w:val="32"/>
        </w:rPr>
        <w:t>我区已完成2022年中央药品监管补助资金项目实施方案和绩效目标要求要求中所有质量指标值。我区已完成2022年省级药品综合监管及专项整治项目、药品抽查检验项目绩效目标要求中所有质量指标值。</w:t>
      </w:r>
    </w:p>
    <w:p>
      <w:pPr>
        <w:adjustRightInd w:val="0"/>
        <w:snapToGrid w:val="0"/>
        <w:spacing w:line="560" w:lineRule="exact"/>
        <w:ind w:firstLine="592"/>
        <w:rPr>
          <w:rFonts w:hint="eastAsia" w:ascii="仿宋_GB2312" w:eastAsia="仿宋_GB2312"/>
          <w:spacing w:val="-4"/>
          <w:sz w:val="32"/>
          <w:szCs w:val="32"/>
        </w:rPr>
      </w:pPr>
      <w:r>
        <w:rPr>
          <w:rFonts w:hint="eastAsia" w:ascii="仿宋_GB2312" w:eastAsia="仿宋_GB2312"/>
          <w:spacing w:val="-4"/>
          <w:sz w:val="32"/>
          <w:szCs w:val="32"/>
        </w:rPr>
        <w:t>（3）时效指标。</w:t>
      </w:r>
      <w:r>
        <w:rPr>
          <w:rFonts w:hint="eastAsia" w:ascii="仿宋_GB2312" w:eastAsia="仿宋_GB2312"/>
          <w:sz w:val="32"/>
          <w:szCs w:val="32"/>
        </w:rPr>
        <w:t>所有产出指标均按要求于2022年12月31日前完成。</w:t>
      </w:r>
    </w:p>
    <w:p>
      <w:pPr>
        <w:adjustRightInd w:val="0"/>
        <w:snapToGrid w:val="0"/>
        <w:spacing w:line="560" w:lineRule="exact"/>
        <w:ind w:firstLine="592"/>
        <w:rPr>
          <w:rFonts w:hint="eastAsia" w:ascii="仿宋_GB2312" w:eastAsia="仿宋_GB2312"/>
          <w:spacing w:val="-4"/>
          <w:sz w:val="32"/>
          <w:szCs w:val="32"/>
        </w:rPr>
      </w:pPr>
      <w:r>
        <w:rPr>
          <w:rFonts w:hint="eastAsia" w:ascii="仿宋_GB2312" w:eastAsia="仿宋_GB2312"/>
          <w:spacing w:val="-4"/>
          <w:sz w:val="32"/>
          <w:szCs w:val="32"/>
        </w:rPr>
        <w:t>（4）成本指标。</w:t>
      </w:r>
      <w:r>
        <w:rPr>
          <w:rFonts w:hint="eastAsia" w:ascii="仿宋_GB2312" w:eastAsia="仿宋_GB2312"/>
          <w:sz w:val="32"/>
          <w:szCs w:val="32"/>
        </w:rPr>
        <w:t>严格按照“培训成本</w:t>
      </w:r>
      <w:r>
        <w:rPr>
          <w:rFonts w:hint="eastAsia" w:ascii="仿宋_GB2312" w:hAnsi="宋体" w:cs="宋体"/>
          <w:sz w:val="32"/>
          <w:szCs w:val="32"/>
        </w:rPr>
        <w:t>≦</w:t>
      </w:r>
      <w:r>
        <w:rPr>
          <w:rFonts w:hint="eastAsia" w:ascii="仿宋_GB2312" w:hAnsi="宋体" w:eastAsia="仿宋_GB2312" w:cs="宋体"/>
          <w:sz w:val="32"/>
          <w:szCs w:val="32"/>
        </w:rPr>
        <w:t>400元/人.天”的指标值开展培训。</w:t>
      </w:r>
    </w:p>
    <w:p>
      <w:pPr>
        <w:adjustRightInd w:val="0"/>
        <w:snapToGrid w:val="0"/>
        <w:spacing w:line="600" w:lineRule="exact"/>
        <w:ind w:firstLine="720"/>
        <w:rPr>
          <w:rFonts w:hint="eastAsia" w:ascii="仿宋_GB2312" w:eastAsia="仿宋_GB2312"/>
          <w:b/>
          <w:sz w:val="32"/>
          <w:szCs w:val="32"/>
          <w:lang w:val="zh-CN"/>
        </w:rPr>
      </w:pPr>
      <w:r>
        <w:rPr>
          <w:rFonts w:hint="eastAsia" w:ascii="仿宋_GB2312" w:eastAsia="仿宋_GB2312"/>
          <w:b/>
          <w:sz w:val="32"/>
          <w:szCs w:val="32"/>
          <w:lang w:val="zh-CN"/>
        </w:rPr>
        <w:t>（二）项目效益情况。</w:t>
      </w:r>
    </w:p>
    <w:p>
      <w:pPr>
        <w:adjustRightInd w:val="0"/>
        <w:snapToGrid w:val="0"/>
        <w:spacing w:line="560" w:lineRule="exact"/>
        <w:ind w:firstLine="592"/>
        <w:rPr>
          <w:rFonts w:hint="eastAsia" w:ascii="仿宋_GB2312" w:eastAsia="仿宋_GB2312"/>
          <w:spacing w:val="-4"/>
          <w:sz w:val="32"/>
          <w:szCs w:val="32"/>
        </w:rPr>
      </w:pPr>
      <w:r>
        <w:rPr>
          <w:rFonts w:hint="eastAsia" w:ascii="仿宋_GB2312" w:eastAsia="仿宋_GB2312"/>
          <w:spacing w:val="-4"/>
          <w:sz w:val="32"/>
          <w:szCs w:val="32"/>
        </w:rPr>
        <w:t>（1）经济效益。</w:t>
      </w:r>
      <w:r>
        <w:rPr>
          <w:rFonts w:hint="eastAsia" w:ascii="仿宋_GB2312" w:eastAsia="仿宋_GB2312"/>
          <w:sz w:val="32"/>
          <w:szCs w:val="32"/>
        </w:rPr>
        <w:t>无经济效益指标。</w:t>
      </w:r>
    </w:p>
    <w:p>
      <w:pPr>
        <w:adjustRightInd w:val="0"/>
        <w:snapToGrid w:val="0"/>
        <w:spacing w:line="560" w:lineRule="exact"/>
        <w:ind w:firstLine="592"/>
        <w:rPr>
          <w:rFonts w:hint="eastAsia" w:ascii="仿宋_GB2312" w:eastAsia="仿宋_GB2312"/>
          <w:spacing w:val="-4"/>
          <w:sz w:val="32"/>
          <w:szCs w:val="32"/>
        </w:rPr>
      </w:pPr>
      <w:r>
        <w:rPr>
          <w:rFonts w:hint="eastAsia" w:ascii="仿宋_GB2312" w:eastAsia="仿宋_GB2312"/>
          <w:spacing w:val="-4"/>
          <w:sz w:val="32"/>
          <w:szCs w:val="32"/>
        </w:rPr>
        <w:t>（2）社会效益。</w:t>
      </w:r>
      <w:r>
        <w:rPr>
          <w:rFonts w:hint="eastAsia" w:ascii="仿宋_GB2312" w:eastAsia="仿宋_GB2312"/>
          <w:sz w:val="32"/>
          <w:szCs w:val="32"/>
        </w:rPr>
        <w:t>已达到2022年中央药品监管补助资金项目实施方案和绩效目标和2022年省级中央药品监管补助资金项目实施方案和绩效目标中所有社会效益指标要求。</w:t>
      </w:r>
    </w:p>
    <w:p>
      <w:pPr>
        <w:adjustRightInd w:val="0"/>
        <w:ind w:firstLine="624" w:firstLineChars="200"/>
        <w:rPr>
          <w:rFonts w:hint="eastAsia" w:ascii="仿宋_GB2312" w:eastAsia="仿宋_GB2312"/>
          <w:spacing w:val="-4"/>
          <w:sz w:val="32"/>
          <w:szCs w:val="32"/>
        </w:rPr>
      </w:pPr>
      <w:r>
        <w:rPr>
          <w:rFonts w:hint="eastAsia" w:ascii="仿宋_GB2312" w:eastAsia="仿宋_GB2312"/>
          <w:spacing w:val="-4"/>
          <w:sz w:val="32"/>
          <w:szCs w:val="32"/>
        </w:rPr>
        <w:t>（3）生态效益。</w:t>
      </w:r>
      <w:r>
        <w:rPr>
          <w:rFonts w:hint="eastAsia" w:ascii="仿宋_GB2312" w:eastAsia="仿宋_GB2312"/>
          <w:sz w:val="32"/>
          <w:szCs w:val="32"/>
        </w:rPr>
        <w:t>无生态效益指标。</w:t>
      </w:r>
    </w:p>
    <w:p>
      <w:pPr>
        <w:adjustRightInd w:val="0"/>
        <w:snapToGrid w:val="0"/>
        <w:spacing w:line="560" w:lineRule="exact"/>
        <w:ind w:firstLine="592"/>
        <w:rPr>
          <w:rFonts w:hint="eastAsia" w:ascii="仿宋_GB2312" w:eastAsia="仿宋_GB2312"/>
          <w:spacing w:val="-4"/>
          <w:sz w:val="32"/>
          <w:szCs w:val="32"/>
        </w:rPr>
      </w:pPr>
      <w:r>
        <w:rPr>
          <w:rFonts w:hint="eastAsia" w:ascii="仿宋_GB2312" w:eastAsia="仿宋_GB2312"/>
          <w:spacing w:val="-4"/>
          <w:sz w:val="32"/>
          <w:szCs w:val="32"/>
        </w:rPr>
        <w:t>（4）可持续影响。</w:t>
      </w:r>
      <w:r>
        <w:rPr>
          <w:rFonts w:hint="eastAsia" w:ascii="仿宋_GB2312" w:eastAsia="仿宋_GB2312"/>
          <w:sz w:val="32"/>
          <w:szCs w:val="32"/>
        </w:rPr>
        <w:t>已达到2021年中央药品监管补助资金区域绩效目标和2022年省级中央药品监管补助资金项目实施方案和绩效目标中所有社会效益指标要求。</w:t>
      </w:r>
    </w:p>
    <w:p>
      <w:pPr>
        <w:adjustRightInd w:val="0"/>
        <w:ind w:firstLine="624" w:firstLineChars="200"/>
        <w:rPr>
          <w:rFonts w:hint="eastAsia" w:ascii="仿宋_GB2312" w:eastAsia="仿宋_GB2312"/>
          <w:spacing w:val="-4"/>
          <w:sz w:val="32"/>
          <w:szCs w:val="32"/>
        </w:rPr>
      </w:pPr>
      <w:r>
        <w:rPr>
          <w:rFonts w:hint="eastAsia" w:ascii="仿宋_GB2312" w:eastAsia="仿宋_GB2312"/>
          <w:spacing w:val="-4"/>
          <w:sz w:val="32"/>
          <w:szCs w:val="32"/>
        </w:rPr>
        <w:t>3.满意度指标完成情况分析。2022年西区满意度排名第四名，未达到满意度指标。</w:t>
      </w:r>
    </w:p>
    <w:p>
      <w:pPr>
        <w:adjustRightInd w:val="0"/>
        <w:snapToGrid w:val="0"/>
        <w:spacing w:line="600" w:lineRule="exact"/>
        <w:ind w:firstLine="720"/>
        <w:rPr>
          <w:rFonts w:hint="eastAsia" w:ascii="仿宋_GB2312" w:eastAsia="仿宋_GB2312"/>
          <w:sz w:val="32"/>
          <w:szCs w:val="32"/>
        </w:rPr>
      </w:pPr>
      <w:r>
        <w:rPr>
          <w:rFonts w:hint="eastAsia" w:ascii="仿宋_GB2312" w:eastAsia="仿宋_GB2312"/>
          <w:sz w:val="32"/>
          <w:szCs w:val="32"/>
        </w:rPr>
        <w:t>五、评价结论及建议</w:t>
      </w:r>
    </w:p>
    <w:p>
      <w:pPr>
        <w:adjustRightInd w:val="0"/>
        <w:snapToGrid w:val="0"/>
        <w:spacing w:line="600" w:lineRule="exact"/>
        <w:ind w:firstLine="720"/>
        <w:rPr>
          <w:rFonts w:hint="eastAsia" w:ascii="仿宋_GB2312" w:eastAsia="仿宋_GB2312"/>
          <w:b/>
          <w:sz w:val="32"/>
          <w:szCs w:val="32"/>
          <w:lang w:val="zh-CN"/>
        </w:rPr>
      </w:pPr>
      <w:r>
        <w:rPr>
          <w:rFonts w:hint="eastAsia" w:ascii="仿宋_GB2312" w:eastAsia="仿宋_GB2312"/>
          <w:b/>
          <w:sz w:val="32"/>
          <w:szCs w:val="32"/>
          <w:lang w:val="zh-CN"/>
        </w:rPr>
        <w:t>（一）评价结论。</w:t>
      </w:r>
    </w:p>
    <w:p>
      <w:pPr>
        <w:adjustRightInd w:val="0"/>
        <w:snapToGrid w:val="0"/>
        <w:spacing w:line="600" w:lineRule="exact"/>
        <w:ind w:firstLine="720"/>
        <w:rPr>
          <w:rFonts w:hint="eastAsia" w:ascii="仿宋_GB2312" w:eastAsia="仿宋_GB2312"/>
          <w:sz w:val="32"/>
          <w:szCs w:val="32"/>
          <w:shd w:val="clear" w:color="auto" w:fill="FFFFFF"/>
        </w:rPr>
      </w:pPr>
      <w:r>
        <w:rPr>
          <w:rFonts w:hint="eastAsia" w:ascii="仿宋_GB2312" w:eastAsia="仿宋_GB2312"/>
          <w:sz w:val="32"/>
          <w:szCs w:val="32"/>
          <w:shd w:val="clear" w:color="auto" w:fill="FFFFFF"/>
        </w:rPr>
        <w:t>经开展项目绩效目标自评，未发现项目偏离绩效目标的情况。</w:t>
      </w:r>
      <w:r>
        <w:rPr>
          <w:rFonts w:hint="eastAsia" w:ascii="仿宋_GB2312" w:eastAsia="仿宋_GB2312"/>
          <w:color w:val="000000"/>
          <w:sz w:val="32"/>
          <w:szCs w:val="32"/>
        </w:rPr>
        <w:t>保障了全区药品安全，充分履行了行政职责。最大化地实现了药品监管补助专项资金的绩效目标。</w:t>
      </w:r>
    </w:p>
    <w:p>
      <w:pPr>
        <w:adjustRightInd w:val="0"/>
        <w:snapToGrid w:val="0"/>
        <w:spacing w:line="600" w:lineRule="exact"/>
        <w:ind w:firstLine="720"/>
        <w:rPr>
          <w:rFonts w:hint="eastAsia" w:ascii="仿宋_GB2312" w:eastAsia="仿宋_GB2312"/>
          <w:b/>
          <w:sz w:val="32"/>
          <w:szCs w:val="32"/>
          <w:lang w:val="zh-CN"/>
        </w:rPr>
      </w:pPr>
      <w:r>
        <w:rPr>
          <w:rFonts w:hint="eastAsia" w:ascii="仿宋_GB2312" w:eastAsia="仿宋_GB2312"/>
          <w:b/>
          <w:sz w:val="32"/>
          <w:szCs w:val="32"/>
          <w:lang w:val="zh-CN"/>
        </w:rPr>
        <w:t>（二）存在的问题。</w:t>
      </w:r>
    </w:p>
    <w:p>
      <w:pPr>
        <w:adjustRightInd w:val="0"/>
        <w:snapToGrid w:val="0"/>
        <w:spacing w:line="560" w:lineRule="exact"/>
        <w:ind w:firstLine="592"/>
        <w:rPr>
          <w:rFonts w:hint="eastAsia" w:ascii="仿宋_GB2312" w:eastAsia="仿宋_GB2312"/>
          <w:sz w:val="32"/>
          <w:szCs w:val="32"/>
        </w:rPr>
      </w:pPr>
      <w:r>
        <w:rPr>
          <w:rFonts w:hint="eastAsia" w:ascii="仿宋_GB2312" w:eastAsia="仿宋_GB2312"/>
          <w:sz w:val="32"/>
          <w:szCs w:val="32"/>
        </w:rPr>
        <w:t>因辖区药品行业构成简单，体量小，无药品生产企业、批发企业、零售连锁总部等，在药品日常监管中，暂未发现辖区药品经营企业、使用单位有购进单一药品品种货值金额达到“50万元及以上”规模情况，要完成“案值50万元及以上重大典型药品案件数量”这一数量指标难度大。</w:t>
      </w:r>
    </w:p>
    <w:p>
      <w:pPr>
        <w:adjustRightInd w:val="0"/>
        <w:snapToGrid w:val="0"/>
        <w:spacing w:line="600" w:lineRule="exact"/>
        <w:ind w:firstLine="720"/>
        <w:rPr>
          <w:rFonts w:hint="eastAsia" w:ascii="仿宋_GB2312" w:eastAsia="仿宋_GB2312"/>
          <w:b/>
          <w:sz w:val="32"/>
          <w:szCs w:val="32"/>
          <w:lang w:val="zh-CN"/>
        </w:rPr>
      </w:pPr>
      <w:r>
        <w:rPr>
          <w:rFonts w:hint="eastAsia" w:ascii="仿宋_GB2312" w:eastAsia="仿宋_GB2312"/>
          <w:b/>
          <w:sz w:val="32"/>
          <w:szCs w:val="32"/>
          <w:lang w:val="zh-CN"/>
        </w:rPr>
        <w:t>（三）相关建议。</w:t>
      </w:r>
    </w:p>
    <w:p>
      <w:pPr>
        <w:pStyle w:val="2"/>
        <w:spacing w:before="93"/>
        <w:rPr>
          <w:rFonts w:hint="eastAsia"/>
          <w:sz w:val="32"/>
          <w:szCs w:val="32"/>
        </w:rPr>
      </w:pPr>
      <w:r>
        <w:rPr>
          <w:rFonts w:hint="eastAsia"/>
          <w:sz w:val="32"/>
          <w:szCs w:val="32"/>
        </w:rPr>
        <w:t>为不断提高“两品一械”总体安全水平，增加药械化安全科普知识宣传覆盖面及公众自我保护意识，持续提升药械化监管、执法队伍素质和执法装备配置水平，需根据监管形势变化加大执法人员培训力度、法律法规和科普知识宣传培训，，但2022年受新冠肺炎疫情持续影响，各类宣传培训活动均大幅度减少。</w:t>
      </w:r>
    </w:p>
    <w:p>
      <w:pPr>
        <w:pStyle w:val="2"/>
        <w:spacing w:before="93"/>
        <w:rPr>
          <w:rFonts w:hint="eastAsia"/>
          <w:sz w:val="32"/>
          <w:szCs w:val="32"/>
        </w:rPr>
      </w:pPr>
    </w:p>
    <w:p>
      <w:pPr>
        <w:adjustRightInd w:val="0"/>
        <w:snapToGrid w:val="0"/>
        <w:spacing w:line="300" w:lineRule="auto"/>
        <w:jc w:val="center"/>
        <w:rPr>
          <w:rFonts w:eastAsia="方正小标宋_GBK"/>
          <w:spacing w:val="-18"/>
          <w:sz w:val="44"/>
          <w:szCs w:val="44"/>
        </w:rPr>
      </w:pPr>
      <w:r>
        <w:rPr>
          <w:rFonts w:eastAsia="方正小标宋_GBK"/>
          <w:spacing w:val="-18"/>
          <w:sz w:val="44"/>
          <w:szCs w:val="44"/>
        </w:rPr>
        <w:t>202</w:t>
      </w:r>
      <w:r>
        <w:rPr>
          <w:rFonts w:hint="eastAsia" w:eastAsia="方正小标宋_GBK"/>
          <w:spacing w:val="-18"/>
          <w:sz w:val="44"/>
          <w:szCs w:val="44"/>
          <w:lang w:val="en-US" w:eastAsia="zh-CN"/>
        </w:rPr>
        <w:t>2</w:t>
      </w:r>
      <w:bookmarkStart w:id="67" w:name="_GoBack"/>
      <w:bookmarkEnd w:id="67"/>
      <w:r>
        <w:rPr>
          <w:rFonts w:eastAsia="方正小标宋_GBK"/>
          <w:spacing w:val="-18"/>
          <w:sz w:val="44"/>
          <w:szCs w:val="44"/>
        </w:rPr>
        <w:t>年食品监管补助专项资金自评报告</w:t>
      </w:r>
    </w:p>
    <w:p>
      <w:pPr>
        <w:adjustRightInd w:val="0"/>
        <w:snapToGrid w:val="0"/>
        <w:spacing w:line="600" w:lineRule="exact"/>
        <w:ind w:firstLine="720"/>
        <w:rPr>
          <w:rFonts w:hint="eastAsia" w:ascii="仿宋_GB2312" w:eastAsia="仿宋_GB2312"/>
          <w:sz w:val="32"/>
          <w:szCs w:val="32"/>
          <w:lang w:val="zh-CN"/>
        </w:rPr>
      </w:pPr>
      <w:r>
        <w:rPr>
          <w:rFonts w:hint="eastAsia" w:ascii="仿宋_GB2312" w:eastAsia="仿宋_GB2312"/>
          <w:sz w:val="32"/>
          <w:szCs w:val="32"/>
        </w:rPr>
        <w:t>一、</w:t>
      </w:r>
      <w:r>
        <w:rPr>
          <w:rFonts w:hint="eastAsia" w:ascii="仿宋_GB2312" w:eastAsia="仿宋_GB2312"/>
          <w:sz w:val="32"/>
          <w:szCs w:val="32"/>
          <w:lang w:val="zh-CN"/>
        </w:rPr>
        <w:t>项目概况</w:t>
      </w:r>
    </w:p>
    <w:p>
      <w:pPr>
        <w:adjustRightInd w:val="0"/>
        <w:snapToGrid w:val="0"/>
        <w:spacing w:line="600" w:lineRule="exact"/>
        <w:ind w:firstLine="720"/>
        <w:rPr>
          <w:rFonts w:hint="eastAsia" w:ascii="仿宋_GB2312" w:eastAsia="仿宋_GB2312"/>
          <w:b/>
          <w:sz w:val="32"/>
          <w:szCs w:val="32"/>
          <w:lang w:val="zh-CN"/>
        </w:rPr>
      </w:pPr>
      <w:r>
        <w:rPr>
          <w:rFonts w:hint="eastAsia" w:ascii="仿宋_GB2312" w:eastAsia="仿宋_GB2312"/>
          <w:b/>
          <w:sz w:val="32"/>
          <w:szCs w:val="32"/>
          <w:lang w:val="zh-CN"/>
        </w:rPr>
        <w:t>（一）项目基本情况。</w:t>
      </w:r>
    </w:p>
    <w:p>
      <w:pPr>
        <w:adjustRightInd w:val="0"/>
        <w:snapToGrid w:val="0"/>
        <w:spacing w:line="336" w:lineRule="auto"/>
        <w:ind w:firstLine="640" w:firstLineChars="200"/>
        <w:rPr>
          <w:rFonts w:hint="eastAsia" w:ascii="仿宋_GB2312" w:eastAsia="仿宋_GB2312"/>
          <w:bCs/>
          <w:sz w:val="32"/>
          <w:szCs w:val="32"/>
        </w:rPr>
      </w:pPr>
      <w:r>
        <w:rPr>
          <w:rFonts w:hint="eastAsia" w:ascii="仿宋_GB2312" w:eastAsia="仿宋_GB2312"/>
          <w:color w:val="000000"/>
          <w:sz w:val="32"/>
          <w:szCs w:val="32"/>
        </w:rPr>
        <w:t>1.我局一直按照专项资金管理办法，通过加强执法，积极强化市场监管，规范了市场经济秩序，保障了全区食品安全，充分履行了行政职责。最大化地实现了食品监管补助专项资金的绩效目标。</w:t>
      </w:r>
      <w:r>
        <w:rPr>
          <w:rFonts w:hint="eastAsia" w:ascii="仿宋_GB2312" w:eastAsia="仿宋_GB2312"/>
          <w:sz w:val="32"/>
          <w:szCs w:val="32"/>
        </w:rPr>
        <w:t>2021年、2022年分别下达西区中央食品监管补助资金共计3.8万元、2.3万元，主要用于综合监管及食品安全抽检工作。2022年单位自评总体得分80分。预算执行率分值20分，得分0分，原因是所有资金全部安排使用完毕，但由于财政困难没有审核就没有支付出去；年度目标完成分值20分，得分20分；年度绩效指标完成分值50分，得分50分；是否商同级财政部门分值10分，得分10分。</w:t>
      </w:r>
    </w:p>
    <w:p>
      <w:pPr>
        <w:adjustRightInd w:val="0"/>
        <w:snapToGrid w:val="0"/>
        <w:spacing w:line="600" w:lineRule="exact"/>
        <w:ind w:firstLine="720"/>
        <w:rPr>
          <w:rFonts w:hint="eastAsia" w:ascii="仿宋_GB2312" w:eastAsia="仿宋_GB2312"/>
          <w:sz w:val="32"/>
          <w:szCs w:val="32"/>
          <w:lang w:val="zh-CN"/>
        </w:rPr>
      </w:pPr>
      <w:r>
        <w:rPr>
          <w:rFonts w:hint="eastAsia" w:ascii="仿宋_GB2312" w:eastAsia="仿宋_GB2312"/>
          <w:sz w:val="32"/>
          <w:szCs w:val="32"/>
          <w:lang w:val="zh-CN"/>
        </w:rPr>
        <w:t>2.资金分配的原则及考虑因素。</w:t>
      </w:r>
    </w:p>
    <w:p>
      <w:pPr>
        <w:adjustRightInd w:val="0"/>
        <w:snapToGrid w:val="0"/>
        <w:spacing w:line="336" w:lineRule="auto"/>
        <w:ind w:firstLine="640" w:firstLineChars="200"/>
        <w:rPr>
          <w:rFonts w:hint="eastAsia" w:ascii="仿宋_GB2312" w:eastAsia="仿宋_GB2312"/>
          <w:sz w:val="32"/>
          <w:szCs w:val="32"/>
        </w:rPr>
      </w:pPr>
      <w:r>
        <w:rPr>
          <w:rFonts w:hint="eastAsia" w:ascii="仿宋_GB2312" w:eastAsia="仿宋_GB2312"/>
          <w:sz w:val="32"/>
          <w:szCs w:val="32"/>
        </w:rPr>
        <w:t>西区财政局上年结转行〔2022〕295号下达西区中央2021年食品监管补助资金3.8万元，其中：食品安全综合监管0.7万元；食品安全抽检经费3.1万元。攀财资行〔2022〕76号下达西区中央2022年食品监管补助资金2.3万元，其中：食品安全综合监管0.7万元；食品安全抽检经费1.8万元。</w:t>
      </w:r>
    </w:p>
    <w:p>
      <w:pPr>
        <w:adjustRightInd w:val="0"/>
        <w:snapToGrid w:val="0"/>
        <w:spacing w:line="600" w:lineRule="exact"/>
        <w:ind w:firstLine="720"/>
        <w:rPr>
          <w:rFonts w:hint="eastAsia" w:ascii="仿宋_GB2312" w:eastAsia="仿宋_GB2312"/>
          <w:b/>
          <w:sz w:val="32"/>
          <w:szCs w:val="32"/>
          <w:lang w:val="zh-CN"/>
        </w:rPr>
      </w:pPr>
      <w:r>
        <w:rPr>
          <w:rFonts w:hint="eastAsia" w:ascii="仿宋_GB2312" w:eastAsia="仿宋_GB2312"/>
          <w:b/>
          <w:sz w:val="32"/>
          <w:szCs w:val="32"/>
          <w:lang w:val="zh-CN"/>
        </w:rPr>
        <w:t>（二）项目绩效目标。</w:t>
      </w:r>
    </w:p>
    <w:p>
      <w:pPr>
        <w:adjustRightInd w:val="0"/>
        <w:snapToGrid w:val="0"/>
        <w:spacing w:line="600" w:lineRule="exact"/>
        <w:ind w:firstLine="720"/>
        <w:rPr>
          <w:rFonts w:hint="eastAsia" w:ascii="仿宋_GB2312" w:eastAsia="仿宋_GB2312"/>
          <w:sz w:val="32"/>
          <w:szCs w:val="32"/>
          <w:lang w:val="zh-CN"/>
        </w:rPr>
      </w:pPr>
      <w:r>
        <w:rPr>
          <w:rFonts w:hint="eastAsia" w:ascii="仿宋_GB2312" w:eastAsia="仿宋_GB2312"/>
          <w:sz w:val="32"/>
          <w:szCs w:val="32"/>
          <w:lang w:val="zh-CN"/>
        </w:rPr>
        <w:t>1. 项目主要内容。</w:t>
      </w:r>
    </w:p>
    <w:p>
      <w:pPr>
        <w:adjustRightInd w:val="0"/>
        <w:snapToGrid w:val="0"/>
        <w:spacing w:line="600" w:lineRule="exact"/>
        <w:ind w:firstLine="720"/>
        <w:rPr>
          <w:rFonts w:hint="eastAsia" w:ascii="仿宋_GB2312" w:eastAsia="仿宋_GB2312"/>
          <w:color w:val="000000"/>
          <w:sz w:val="32"/>
          <w:szCs w:val="32"/>
        </w:rPr>
      </w:pPr>
      <w:r>
        <w:rPr>
          <w:rFonts w:hint="eastAsia" w:ascii="仿宋_GB2312" w:eastAsia="仿宋_GB2312"/>
          <w:color w:val="000000"/>
          <w:sz w:val="32"/>
          <w:szCs w:val="32"/>
        </w:rPr>
        <w:t>组织实施省局下达的食品安全抽检监测任务，深入开展食品风险隐患排查，加强食品安全监管等相关工作，加大大案要案查办力度，加强基层食品监管人员业务能力提升培训。进一步提高全市食品监管水平，保障食品安全。</w:t>
      </w:r>
    </w:p>
    <w:p>
      <w:pPr>
        <w:adjustRightInd w:val="0"/>
        <w:snapToGrid w:val="0"/>
        <w:spacing w:line="336" w:lineRule="auto"/>
        <w:ind w:firstLine="640" w:firstLineChars="200"/>
        <w:rPr>
          <w:rFonts w:hint="eastAsia" w:ascii="仿宋_GB2312" w:eastAsia="仿宋_GB2312"/>
          <w:sz w:val="32"/>
          <w:szCs w:val="32"/>
          <w:lang w:val="zh-CN"/>
        </w:rPr>
      </w:pPr>
      <w:r>
        <w:rPr>
          <w:rFonts w:hint="eastAsia" w:ascii="仿宋_GB2312" w:eastAsia="仿宋_GB2312"/>
          <w:sz w:val="32"/>
          <w:szCs w:val="32"/>
          <w:lang w:val="zh-CN"/>
        </w:rPr>
        <w:t>2. 项目应实现的具体绩效目标。</w:t>
      </w:r>
    </w:p>
    <w:p>
      <w:pPr>
        <w:adjustRightInd w:val="0"/>
        <w:snapToGrid w:val="0"/>
        <w:spacing w:line="336" w:lineRule="auto"/>
        <w:ind w:firstLine="640" w:firstLineChars="200"/>
        <w:rPr>
          <w:rFonts w:hint="eastAsia" w:ascii="仿宋_GB2312" w:eastAsia="仿宋_GB2312"/>
          <w:sz w:val="32"/>
          <w:szCs w:val="32"/>
        </w:rPr>
      </w:pPr>
      <w:r>
        <w:rPr>
          <w:rFonts w:hint="eastAsia" w:ascii="仿宋_GB2312" w:eastAsia="仿宋_GB2312"/>
          <w:sz w:val="32"/>
          <w:szCs w:val="32"/>
          <w:lang w:val="zh-CN"/>
        </w:rPr>
        <w:t>食品监管补助资金使用，有效</w:t>
      </w:r>
      <w:r>
        <w:rPr>
          <w:rFonts w:hint="eastAsia" w:ascii="仿宋_GB2312" w:eastAsia="仿宋_GB2312"/>
          <w:sz w:val="32"/>
          <w:szCs w:val="32"/>
        </w:rPr>
        <w:t>配</w:t>
      </w:r>
      <w:r>
        <w:rPr>
          <w:rFonts w:hint="eastAsia" w:ascii="仿宋_GB2312" w:eastAsia="仿宋_GB2312"/>
          <w:kern w:val="0"/>
          <w:sz w:val="32"/>
          <w:szCs w:val="32"/>
        </w:rPr>
        <w:t xml:space="preserve">合完成了省市食品抽检监测450批次，完成食用农产品抽检100批次，食品生产企业监管户数5户，食品小作坊监管户数26户 </w:t>
      </w:r>
      <w:r>
        <w:rPr>
          <w:rFonts w:hint="eastAsia" w:ascii="仿宋_GB2312" w:eastAsia="仿宋_GB2312"/>
          <w:sz w:val="32"/>
          <w:szCs w:val="32"/>
        </w:rPr>
        <w:t>；食品抽检不合格食品核查处置率100%、食品安全投诉处置率100%、食品抽检信息公布及信息录入系统基本完成；</w:t>
      </w:r>
    </w:p>
    <w:p>
      <w:pPr>
        <w:adjustRightInd w:val="0"/>
        <w:snapToGrid w:val="0"/>
        <w:spacing w:line="600" w:lineRule="exact"/>
        <w:ind w:firstLine="720"/>
        <w:rPr>
          <w:rFonts w:hint="eastAsia" w:ascii="仿宋_GB2312" w:eastAsia="仿宋_GB2312"/>
          <w:sz w:val="32"/>
          <w:szCs w:val="32"/>
          <w:lang w:val="zh-CN"/>
        </w:rPr>
      </w:pPr>
      <w:r>
        <w:rPr>
          <w:rFonts w:hint="eastAsia" w:ascii="仿宋_GB2312" w:eastAsia="仿宋_GB2312"/>
          <w:sz w:val="32"/>
          <w:szCs w:val="32"/>
          <w:lang w:val="zh-CN"/>
        </w:rPr>
        <w:t>3. 食品监管补助资金评价申报内容与实际相符，申报目标合理可行。</w:t>
      </w:r>
    </w:p>
    <w:p>
      <w:pPr>
        <w:adjustRightInd w:val="0"/>
        <w:snapToGrid w:val="0"/>
        <w:spacing w:line="600" w:lineRule="exact"/>
        <w:ind w:firstLine="720"/>
        <w:rPr>
          <w:rFonts w:hint="eastAsia" w:ascii="仿宋_GB2312" w:eastAsia="仿宋_GB2312"/>
          <w:b/>
          <w:sz w:val="32"/>
          <w:szCs w:val="32"/>
          <w:lang w:val="zh-CN"/>
        </w:rPr>
      </w:pPr>
      <w:r>
        <w:rPr>
          <w:rFonts w:hint="eastAsia" w:ascii="仿宋_GB2312" w:eastAsia="仿宋_GB2312"/>
          <w:b/>
          <w:sz w:val="32"/>
          <w:szCs w:val="32"/>
          <w:lang w:val="zh-CN"/>
        </w:rPr>
        <w:t>（三）项目自评步骤及方法。</w:t>
      </w:r>
    </w:p>
    <w:p>
      <w:pPr>
        <w:adjustRightInd w:val="0"/>
        <w:snapToGrid w:val="0"/>
        <w:spacing w:line="600" w:lineRule="exact"/>
        <w:ind w:firstLine="720"/>
        <w:rPr>
          <w:rFonts w:hint="eastAsia" w:ascii="仿宋_GB2312" w:eastAsia="仿宋_GB2312"/>
          <w:sz w:val="32"/>
          <w:szCs w:val="32"/>
          <w:lang w:val="zh-CN"/>
        </w:rPr>
      </w:pPr>
      <w:r>
        <w:rPr>
          <w:rFonts w:hint="eastAsia" w:ascii="仿宋_GB2312" w:eastAsia="仿宋_GB2312"/>
          <w:sz w:val="32"/>
          <w:szCs w:val="32"/>
          <w:lang w:val="zh-CN"/>
        </w:rPr>
        <w:t>说明项目绩效自评采用的组织实施步骤及方法。</w:t>
      </w:r>
    </w:p>
    <w:p>
      <w:pPr>
        <w:adjustRightInd w:val="0"/>
        <w:snapToGrid w:val="0"/>
        <w:spacing w:line="600" w:lineRule="exact"/>
        <w:ind w:firstLine="720"/>
        <w:rPr>
          <w:rFonts w:hint="eastAsia" w:ascii="仿宋_GB2312" w:eastAsia="仿宋_GB2312"/>
          <w:sz w:val="32"/>
          <w:szCs w:val="32"/>
        </w:rPr>
      </w:pPr>
      <w:r>
        <w:rPr>
          <w:rFonts w:hint="eastAsia" w:ascii="仿宋_GB2312" w:eastAsia="仿宋_GB2312"/>
          <w:sz w:val="32"/>
          <w:szCs w:val="32"/>
        </w:rPr>
        <w:t>二、项目资金申报及使用情况</w:t>
      </w:r>
    </w:p>
    <w:p>
      <w:pPr>
        <w:adjustRightInd w:val="0"/>
        <w:snapToGrid w:val="0"/>
        <w:spacing w:line="600" w:lineRule="exact"/>
        <w:ind w:firstLine="720"/>
        <w:rPr>
          <w:rFonts w:hint="eastAsia" w:ascii="仿宋_GB2312" w:eastAsia="仿宋_GB2312"/>
          <w:b/>
          <w:sz w:val="32"/>
          <w:szCs w:val="32"/>
          <w:lang w:val="zh-CN"/>
        </w:rPr>
      </w:pPr>
      <w:r>
        <w:rPr>
          <w:rFonts w:hint="eastAsia" w:ascii="仿宋_GB2312" w:eastAsia="仿宋_GB2312"/>
          <w:b/>
          <w:sz w:val="32"/>
          <w:szCs w:val="32"/>
          <w:lang w:val="zh-CN"/>
        </w:rPr>
        <w:t>（一）项目资金申报及批复情况。</w:t>
      </w:r>
    </w:p>
    <w:p>
      <w:pPr>
        <w:adjustRightInd w:val="0"/>
        <w:snapToGrid w:val="0"/>
        <w:spacing w:line="336" w:lineRule="auto"/>
        <w:ind w:firstLine="640" w:firstLineChars="200"/>
        <w:rPr>
          <w:rFonts w:hint="eastAsia" w:ascii="仿宋_GB2312" w:eastAsia="仿宋_GB2312"/>
          <w:sz w:val="32"/>
          <w:szCs w:val="32"/>
        </w:rPr>
      </w:pPr>
      <w:r>
        <w:rPr>
          <w:rFonts w:hint="eastAsia" w:ascii="仿宋_GB2312" w:eastAsia="仿宋_GB2312"/>
          <w:sz w:val="32"/>
          <w:szCs w:val="32"/>
        </w:rPr>
        <w:t>年初西区财政局上年结转行〔2022〕295号下达西区中央2021年食品监管补助资金3.8万元，其中：食品安全综合监管0.7万元；食品安全抽检经费3.1万元。攀财资行〔2022〕76号下达西区中央2022年食品监管补助资金2.3万元，其中：食品安全综合监管0.7万元；食品安全抽检经费1.8万元。</w:t>
      </w:r>
    </w:p>
    <w:p>
      <w:pPr>
        <w:adjustRightInd w:val="0"/>
        <w:snapToGrid w:val="0"/>
        <w:spacing w:line="600" w:lineRule="exact"/>
        <w:ind w:firstLine="720"/>
        <w:rPr>
          <w:rFonts w:hint="eastAsia" w:ascii="仿宋_GB2312" w:eastAsia="仿宋_GB2312"/>
          <w:sz w:val="32"/>
          <w:szCs w:val="32"/>
          <w:lang w:val="zh-CN"/>
        </w:rPr>
      </w:pPr>
      <w:r>
        <w:rPr>
          <w:rFonts w:hint="eastAsia" w:ascii="仿宋_GB2312" w:eastAsia="仿宋_GB2312"/>
          <w:b/>
          <w:sz w:val="32"/>
          <w:szCs w:val="32"/>
          <w:lang w:val="zh-CN"/>
        </w:rPr>
        <w:t>（二）资金计划、到位及使用情况。</w:t>
      </w:r>
    </w:p>
    <w:p>
      <w:pPr>
        <w:adjustRightInd w:val="0"/>
        <w:snapToGrid w:val="0"/>
        <w:spacing w:line="600" w:lineRule="exact"/>
        <w:ind w:firstLine="720"/>
        <w:rPr>
          <w:rFonts w:hint="eastAsia" w:ascii="仿宋_GB2312" w:eastAsia="仿宋_GB2312"/>
          <w:sz w:val="32"/>
          <w:szCs w:val="32"/>
          <w:lang w:val="zh-CN"/>
        </w:rPr>
      </w:pPr>
      <w:r>
        <w:rPr>
          <w:rFonts w:hint="eastAsia" w:ascii="仿宋_GB2312" w:eastAsia="仿宋_GB2312"/>
          <w:sz w:val="32"/>
          <w:szCs w:val="32"/>
          <w:lang w:val="zh-CN"/>
        </w:rPr>
        <w:t>1．资金计划。中央、区级财政根据我单位上报预算资金及时安排了食品监管补助资金计划。</w:t>
      </w:r>
    </w:p>
    <w:p>
      <w:pPr>
        <w:adjustRightInd w:val="0"/>
        <w:snapToGrid w:val="0"/>
        <w:spacing w:line="336" w:lineRule="auto"/>
        <w:ind w:firstLine="640"/>
        <w:rPr>
          <w:rFonts w:hint="eastAsia" w:ascii="仿宋_GB2312" w:eastAsia="仿宋_GB2312"/>
          <w:sz w:val="32"/>
          <w:szCs w:val="32"/>
        </w:rPr>
      </w:pPr>
      <w:r>
        <w:rPr>
          <w:rFonts w:hint="eastAsia" w:ascii="仿宋_GB2312" w:eastAsia="仿宋_GB2312"/>
          <w:sz w:val="32"/>
          <w:szCs w:val="32"/>
          <w:lang w:val="zh-CN"/>
        </w:rPr>
        <w:t>2．资金到位。</w:t>
      </w:r>
      <w:r>
        <w:rPr>
          <w:rFonts w:hint="eastAsia" w:ascii="仿宋_GB2312" w:eastAsia="仿宋_GB2312"/>
          <w:sz w:val="32"/>
          <w:szCs w:val="32"/>
        </w:rPr>
        <w:t>2022年2月15日我局收到区财政结转的西区中央2021年食品监管补助资金3.8万元；2022年10月12日区财政根据相关文件下达西区中央2022年食品监管补助资金2.3万元，资金下达100%。</w:t>
      </w:r>
    </w:p>
    <w:p>
      <w:pPr>
        <w:adjustRightInd w:val="0"/>
        <w:snapToGrid w:val="0"/>
        <w:spacing w:line="600" w:lineRule="exact"/>
        <w:ind w:firstLine="720"/>
        <w:rPr>
          <w:rFonts w:hint="eastAsia" w:ascii="仿宋_GB2312" w:eastAsia="仿宋_GB2312"/>
          <w:sz w:val="32"/>
          <w:szCs w:val="32"/>
          <w:lang w:val="zh-CN"/>
        </w:rPr>
      </w:pPr>
      <w:r>
        <w:rPr>
          <w:rFonts w:hint="eastAsia" w:ascii="仿宋_GB2312" w:eastAsia="仿宋_GB2312"/>
          <w:sz w:val="32"/>
          <w:szCs w:val="32"/>
          <w:lang w:val="zh-CN"/>
        </w:rPr>
        <w:t>3．资金使用。</w:t>
      </w:r>
      <w:r>
        <w:rPr>
          <w:rFonts w:hint="eastAsia" w:ascii="仿宋_GB2312" w:eastAsia="仿宋_GB2312"/>
          <w:sz w:val="32"/>
          <w:szCs w:val="32"/>
        </w:rPr>
        <w:t>我局收到资金文件后，制定项目实施目标绩效，及时向区政府申请拨付项目资金。2021年中央食品监管补助资金已使用0.7万元，还剩余3.1万元，2022年中央食品监管补助资金余2.3万元，剩余原因是所有资金已安排使用，由于区财政困难未审核支付出去。</w:t>
      </w:r>
    </w:p>
    <w:p>
      <w:pPr>
        <w:adjustRightInd w:val="0"/>
        <w:snapToGrid w:val="0"/>
        <w:spacing w:line="336" w:lineRule="auto"/>
        <w:ind w:firstLine="321" w:firstLineChars="100"/>
        <w:rPr>
          <w:rFonts w:hint="eastAsia" w:ascii="仿宋_GB2312" w:eastAsia="仿宋_GB2312"/>
          <w:sz w:val="32"/>
          <w:szCs w:val="32"/>
        </w:rPr>
      </w:pPr>
      <w:r>
        <w:rPr>
          <w:rFonts w:hint="eastAsia" w:ascii="仿宋_GB2312" w:eastAsia="仿宋_GB2312"/>
          <w:b/>
          <w:sz w:val="32"/>
          <w:szCs w:val="32"/>
          <w:lang w:val="zh-CN"/>
        </w:rPr>
        <w:t>（三）项目财务管理情况。</w:t>
      </w:r>
    </w:p>
    <w:p>
      <w:pPr>
        <w:autoSpaceDE w:val="0"/>
        <w:autoSpaceDN w:val="0"/>
        <w:adjustRightInd w:val="0"/>
        <w:snapToGrid w:val="0"/>
        <w:spacing w:line="336" w:lineRule="auto"/>
        <w:ind w:firstLine="640" w:firstLineChars="200"/>
        <w:rPr>
          <w:rFonts w:hint="eastAsia" w:ascii="仿宋_GB2312" w:eastAsia="仿宋_GB2312"/>
          <w:kern w:val="0"/>
          <w:sz w:val="32"/>
          <w:szCs w:val="32"/>
        </w:rPr>
      </w:pPr>
      <w:r>
        <w:rPr>
          <w:rFonts w:hint="eastAsia" w:ascii="仿宋_GB2312" w:eastAsia="仿宋_GB2312"/>
          <w:kern w:val="0"/>
          <w:sz w:val="32"/>
          <w:szCs w:val="32"/>
        </w:rPr>
        <w:t>1．我局制定了专项补助资金使用方案和资金管理办法，严格按照制度管理和使用资金；</w:t>
      </w:r>
    </w:p>
    <w:p>
      <w:pPr>
        <w:autoSpaceDE w:val="0"/>
        <w:autoSpaceDN w:val="0"/>
        <w:adjustRightInd w:val="0"/>
        <w:snapToGrid w:val="0"/>
        <w:spacing w:line="336" w:lineRule="auto"/>
        <w:ind w:firstLine="640" w:firstLineChars="200"/>
        <w:rPr>
          <w:rFonts w:hint="eastAsia" w:ascii="仿宋_GB2312" w:eastAsia="仿宋_GB2312"/>
          <w:kern w:val="0"/>
          <w:sz w:val="32"/>
          <w:szCs w:val="32"/>
        </w:rPr>
      </w:pPr>
      <w:r>
        <w:rPr>
          <w:rFonts w:hint="eastAsia" w:ascii="仿宋_GB2312" w:eastAsia="仿宋_GB2312"/>
          <w:kern w:val="0"/>
          <w:sz w:val="32"/>
          <w:szCs w:val="32"/>
        </w:rPr>
        <w:t xml:space="preserve">2.我局及时与区财政衔接，保证了专项资金及时足额拨付到位； </w:t>
      </w:r>
    </w:p>
    <w:p>
      <w:pPr>
        <w:adjustRightInd w:val="0"/>
        <w:snapToGrid w:val="0"/>
        <w:spacing w:line="336" w:lineRule="auto"/>
        <w:ind w:firstLine="640"/>
        <w:rPr>
          <w:rFonts w:hint="eastAsia" w:ascii="仿宋_GB2312" w:eastAsia="仿宋_GB2312"/>
          <w:kern w:val="0"/>
          <w:sz w:val="32"/>
          <w:szCs w:val="32"/>
        </w:rPr>
      </w:pPr>
      <w:r>
        <w:rPr>
          <w:rFonts w:hint="eastAsia" w:ascii="仿宋_GB2312" w:eastAsia="仿宋_GB2312"/>
          <w:kern w:val="0"/>
          <w:sz w:val="32"/>
          <w:szCs w:val="32"/>
        </w:rPr>
        <w:t>3.此项经费实行专款专用，严格按照相关规定支付。我局无截留、挪用专项补助资金，无违反财审规定使用资金的情况；</w:t>
      </w:r>
    </w:p>
    <w:p>
      <w:pPr>
        <w:adjustRightInd w:val="0"/>
        <w:snapToGrid w:val="0"/>
        <w:spacing w:line="600" w:lineRule="exact"/>
        <w:ind w:firstLine="720"/>
        <w:rPr>
          <w:rFonts w:hint="eastAsia" w:ascii="仿宋_GB2312" w:eastAsia="仿宋_GB2312"/>
          <w:sz w:val="32"/>
          <w:szCs w:val="32"/>
        </w:rPr>
      </w:pPr>
      <w:r>
        <w:rPr>
          <w:rFonts w:hint="eastAsia" w:ascii="仿宋_GB2312" w:eastAsia="仿宋_GB2312"/>
          <w:sz w:val="32"/>
          <w:szCs w:val="32"/>
        </w:rPr>
        <w:t>三、项目实施及管理情况</w:t>
      </w:r>
    </w:p>
    <w:p>
      <w:pPr>
        <w:adjustRightInd w:val="0"/>
        <w:snapToGrid w:val="0"/>
        <w:spacing w:line="600" w:lineRule="exact"/>
        <w:ind w:firstLine="720"/>
        <w:rPr>
          <w:rFonts w:hint="eastAsia" w:ascii="仿宋_GB2312" w:eastAsia="仿宋_GB2312"/>
          <w:sz w:val="32"/>
          <w:szCs w:val="32"/>
          <w:lang w:val="zh-CN"/>
        </w:rPr>
      </w:pPr>
      <w:r>
        <w:rPr>
          <w:rFonts w:hint="eastAsia" w:ascii="仿宋_GB2312" w:eastAsia="仿宋_GB2312"/>
          <w:sz w:val="32"/>
          <w:szCs w:val="32"/>
          <w:lang w:val="zh-CN"/>
        </w:rPr>
        <w:t>结合项目组织实施管理办法，重点围绕以下内容进行分析评价，并对自评中发现的问题分析说明。</w:t>
      </w:r>
    </w:p>
    <w:p>
      <w:pPr>
        <w:adjustRightInd w:val="0"/>
        <w:snapToGrid w:val="0"/>
        <w:spacing w:line="600" w:lineRule="exact"/>
        <w:ind w:firstLine="720"/>
        <w:rPr>
          <w:rFonts w:hint="eastAsia" w:ascii="仿宋_GB2312" w:eastAsia="仿宋_GB2312"/>
          <w:b/>
          <w:sz w:val="32"/>
          <w:szCs w:val="32"/>
          <w:lang w:val="zh-CN"/>
        </w:rPr>
      </w:pPr>
      <w:r>
        <w:rPr>
          <w:rFonts w:hint="eastAsia" w:ascii="仿宋_GB2312" w:eastAsia="仿宋_GB2312"/>
          <w:b/>
          <w:sz w:val="32"/>
          <w:szCs w:val="32"/>
          <w:lang w:val="zh-CN"/>
        </w:rPr>
        <w:t>（一）项目组织架构及实施流程。</w:t>
      </w:r>
    </w:p>
    <w:p>
      <w:pPr>
        <w:adjustRightInd w:val="0"/>
        <w:snapToGrid w:val="0"/>
        <w:spacing w:line="600" w:lineRule="exact"/>
        <w:ind w:firstLine="720"/>
        <w:rPr>
          <w:rFonts w:hint="eastAsia" w:ascii="仿宋_GB2312" w:eastAsia="仿宋_GB2312"/>
          <w:sz w:val="32"/>
          <w:szCs w:val="32"/>
          <w:lang w:val="zh-CN"/>
        </w:rPr>
      </w:pPr>
      <w:r>
        <w:rPr>
          <w:rFonts w:hint="eastAsia" w:ascii="仿宋_GB2312" w:eastAsia="仿宋_GB2312"/>
          <w:b/>
          <w:sz w:val="32"/>
          <w:szCs w:val="32"/>
          <w:lang w:val="zh-CN"/>
        </w:rPr>
        <w:t>（二）项目管理情况。</w:t>
      </w:r>
      <w:r>
        <w:rPr>
          <w:rFonts w:hint="eastAsia" w:ascii="仿宋_GB2312" w:eastAsia="仿宋_GB2312"/>
          <w:sz w:val="32"/>
          <w:szCs w:val="32"/>
          <w:lang w:val="zh-CN"/>
        </w:rPr>
        <w:t>结合项目特点，总体评价各项目实施单位执行相关法律法规及项目管理制度等情况，如招投标、政府采购、项目公示制等相关规定。</w:t>
      </w:r>
    </w:p>
    <w:p>
      <w:pPr>
        <w:adjustRightInd w:val="0"/>
        <w:snapToGrid w:val="0"/>
        <w:spacing w:line="600" w:lineRule="exact"/>
        <w:ind w:firstLine="720"/>
        <w:rPr>
          <w:rFonts w:hint="eastAsia" w:ascii="仿宋_GB2312" w:eastAsia="仿宋_GB2312"/>
          <w:sz w:val="32"/>
          <w:szCs w:val="32"/>
          <w:lang w:val="zh-CN"/>
        </w:rPr>
      </w:pPr>
      <w:r>
        <w:rPr>
          <w:rFonts w:hint="eastAsia" w:ascii="仿宋_GB2312" w:eastAsia="仿宋_GB2312"/>
          <w:b/>
          <w:sz w:val="32"/>
          <w:szCs w:val="32"/>
          <w:lang w:val="zh-CN"/>
        </w:rPr>
        <w:t>（三）项目监管情况。</w:t>
      </w:r>
      <w:r>
        <w:rPr>
          <w:rFonts w:hint="eastAsia" w:ascii="仿宋_GB2312" w:eastAsia="仿宋_GB2312"/>
          <w:sz w:val="32"/>
          <w:szCs w:val="32"/>
          <w:lang w:val="zh-CN"/>
        </w:rPr>
        <w:t>说明项目主管部门为加强项目管理所采取的监管手段、监管程序、监管工作开展情况及实现的效果等。</w:t>
      </w:r>
    </w:p>
    <w:p>
      <w:pPr>
        <w:adjustRightInd w:val="0"/>
        <w:snapToGrid w:val="0"/>
        <w:spacing w:line="600" w:lineRule="exact"/>
        <w:ind w:firstLine="720"/>
        <w:rPr>
          <w:rFonts w:hint="eastAsia" w:ascii="仿宋_GB2312" w:eastAsia="仿宋_GB2312"/>
          <w:sz w:val="32"/>
          <w:szCs w:val="32"/>
          <w:lang w:val="zh-CN"/>
        </w:rPr>
      </w:pPr>
      <w:r>
        <w:rPr>
          <w:rFonts w:hint="eastAsia" w:ascii="仿宋_GB2312" w:eastAsia="仿宋_GB2312"/>
          <w:sz w:val="32"/>
          <w:szCs w:val="32"/>
        </w:rPr>
        <w:t>四、项目绩效情况</w:t>
      </w:r>
      <w:r>
        <w:rPr>
          <w:rFonts w:hint="eastAsia" w:ascii="仿宋_GB2312" w:eastAsia="仿宋_GB2312"/>
          <w:sz w:val="32"/>
          <w:szCs w:val="32"/>
          <w:lang w:val="zh-CN"/>
        </w:rPr>
        <w:tab/>
      </w:r>
    </w:p>
    <w:p>
      <w:pPr>
        <w:adjustRightInd w:val="0"/>
        <w:snapToGrid w:val="0"/>
        <w:spacing w:line="600" w:lineRule="exact"/>
        <w:ind w:firstLine="720"/>
        <w:rPr>
          <w:rFonts w:hint="eastAsia" w:ascii="仿宋_GB2312" w:eastAsia="仿宋_GB2312"/>
          <w:b/>
          <w:sz w:val="32"/>
          <w:szCs w:val="32"/>
          <w:lang w:val="zh-CN"/>
        </w:rPr>
      </w:pPr>
      <w:r>
        <w:rPr>
          <w:rFonts w:hint="eastAsia" w:ascii="仿宋_GB2312" w:eastAsia="仿宋_GB2312"/>
          <w:b/>
          <w:sz w:val="32"/>
          <w:szCs w:val="32"/>
          <w:lang w:val="zh-CN"/>
        </w:rPr>
        <w:t>（一）项目完成情况。</w:t>
      </w:r>
    </w:p>
    <w:p>
      <w:pPr>
        <w:adjustRightInd w:val="0"/>
        <w:snapToGrid w:val="0"/>
        <w:spacing w:line="336" w:lineRule="auto"/>
        <w:ind w:firstLine="640" w:firstLineChars="200"/>
        <w:rPr>
          <w:rFonts w:hint="eastAsia" w:ascii="仿宋_GB2312" w:eastAsia="仿宋_GB2312"/>
          <w:sz w:val="32"/>
          <w:szCs w:val="32"/>
        </w:rPr>
      </w:pPr>
      <w:r>
        <w:rPr>
          <w:rFonts w:hint="eastAsia" w:ascii="仿宋_GB2312" w:eastAsia="仿宋_GB2312"/>
          <w:sz w:val="32"/>
          <w:szCs w:val="32"/>
        </w:rPr>
        <w:t>1.数量指标。配</w:t>
      </w:r>
      <w:r>
        <w:rPr>
          <w:rFonts w:hint="eastAsia" w:ascii="仿宋_GB2312" w:eastAsia="仿宋_GB2312"/>
          <w:kern w:val="0"/>
          <w:sz w:val="32"/>
          <w:szCs w:val="32"/>
        </w:rPr>
        <w:t xml:space="preserve">合完成省市食品抽检监测450批次，完成食用农产品抽检100批次，食品生产企业监管户数5户，食品小作坊监管户数26户；  </w:t>
      </w:r>
      <w:r>
        <w:rPr>
          <w:rFonts w:hint="eastAsia" w:ascii="仿宋_GB2312" w:eastAsia="仿宋_GB2312"/>
          <w:sz w:val="32"/>
          <w:szCs w:val="32"/>
        </w:rPr>
        <w:t xml:space="preserve"> </w:t>
      </w:r>
    </w:p>
    <w:p>
      <w:pPr>
        <w:adjustRightInd w:val="0"/>
        <w:snapToGrid w:val="0"/>
        <w:spacing w:line="336" w:lineRule="auto"/>
        <w:ind w:firstLine="640" w:firstLineChars="200"/>
        <w:rPr>
          <w:rFonts w:hint="eastAsia" w:ascii="仿宋_GB2312" w:eastAsia="仿宋_GB2312"/>
          <w:sz w:val="32"/>
          <w:szCs w:val="32"/>
        </w:rPr>
      </w:pPr>
      <w:r>
        <w:rPr>
          <w:rFonts w:hint="eastAsia" w:ascii="仿宋_GB2312" w:eastAsia="仿宋_GB2312"/>
          <w:sz w:val="32"/>
          <w:szCs w:val="32"/>
        </w:rPr>
        <w:t>2.质量指标。食品抽检不合格食品核查处置率100%、食品安全投诉处置率100%、食品抽检信息公布及信息录入系统基本完成；</w:t>
      </w:r>
    </w:p>
    <w:p>
      <w:pPr>
        <w:adjustRightInd w:val="0"/>
        <w:snapToGrid w:val="0"/>
        <w:spacing w:line="336" w:lineRule="auto"/>
        <w:ind w:firstLine="640" w:firstLineChars="200"/>
        <w:rPr>
          <w:rFonts w:hint="eastAsia" w:ascii="仿宋_GB2312" w:eastAsia="仿宋_GB2312"/>
          <w:sz w:val="32"/>
          <w:szCs w:val="32"/>
        </w:rPr>
      </w:pPr>
      <w:r>
        <w:rPr>
          <w:rFonts w:hint="eastAsia" w:ascii="仿宋_GB2312" w:eastAsia="仿宋_GB2312"/>
          <w:sz w:val="32"/>
          <w:szCs w:val="32"/>
        </w:rPr>
        <w:t>3.时效指标。2022年12月底基本完成任务；</w:t>
      </w:r>
    </w:p>
    <w:p>
      <w:pPr>
        <w:adjustRightInd w:val="0"/>
        <w:snapToGrid w:val="0"/>
        <w:spacing w:line="336" w:lineRule="auto"/>
        <w:ind w:firstLine="640" w:firstLineChars="200"/>
        <w:rPr>
          <w:rFonts w:hint="eastAsia" w:ascii="仿宋_GB2312" w:eastAsia="仿宋_GB2312"/>
          <w:sz w:val="32"/>
          <w:szCs w:val="32"/>
        </w:rPr>
      </w:pPr>
      <w:r>
        <w:rPr>
          <w:rFonts w:hint="eastAsia" w:ascii="仿宋_GB2312" w:eastAsia="仿宋_GB2312"/>
          <w:sz w:val="32"/>
          <w:szCs w:val="32"/>
        </w:rPr>
        <w:t>4.成本指标。人员培训小于400元/人·天；食品监管宣传印刷、差旅费等费用按标准执行；食用农产品专项抽检平均成本≤100元/批次；配合抽样监测平均成本≤500元/批次。</w:t>
      </w:r>
    </w:p>
    <w:p>
      <w:pPr>
        <w:adjustRightInd w:val="0"/>
        <w:snapToGrid w:val="0"/>
        <w:spacing w:line="600" w:lineRule="exact"/>
        <w:ind w:firstLine="720"/>
        <w:rPr>
          <w:rFonts w:hint="eastAsia" w:ascii="仿宋_GB2312" w:eastAsia="仿宋_GB2312"/>
          <w:b/>
          <w:sz w:val="32"/>
          <w:szCs w:val="32"/>
          <w:lang w:val="zh-CN"/>
        </w:rPr>
      </w:pPr>
      <w:r>
        <w:rPr>
          <w:rFonts w:hint="eastAsia" w:ascii="仿宋_GB2312" w:eastAsia="仿宋_GB2312"/>
          <w:b/>
          <w:sz w:val="32"/>
          <w:szCs w:val="32"/>
          <w:lang w:val="zh-CN"/>
        </w:rPr>
        <w:t>（二）项目效益情况。</w:t>
      </w:r>
    </w:p>
    <w:p>
      <w:pPr>
        <w:tabs>
          <w:tab w:val="left" w:pos="6425"/>
        </w:tabs>
        <w:adjustRightInd w:val="0"/>
        <w:snapToGrid w:val="0"/>
        <w:spacing w:line="336" w:lineRule="auto"/>
        <w:ind w:firstLine="640" w:firstLineChars="200"/>
        <w:outlineLvl w:val="0"/>
        <w:rPr>
          <w:rFonts w:hint="eastAsia" w:ascii="仿宋_GB2312" w:eastAsia="仿宋_GB2312"/>
          <w:sz w:val="32"/>
          <w:szCs w:val="32"/>
        </w:rPr>
      </w:pPr>
      <w:r>
        <w:rPr>
          <w:rFonts w:hint="eastAsia" w:ascii="仿宋_GB2312" w:eastAsia="仿宋_GB2312"/>
          <w:sz w:val="32"/>
          <w:szCs w:val="32"/>
        </w:rPr>
        <w:t>1.经济效益。</w:t>
      </w:r>
      <w:r>
        <w:rPr>
          <w:rFonts w:hint="eastAsia" w:ascii="仿宋_GB2312" w:eastAsia="仿宋_GB2312"/>
          <w:color w:val="000000"/>
          <w:sz w:val="32"/>
          <w:szCs w:val="32"/>
        </w:rPr>
        <w:t>一是食品安全监管水平逐步提高； 二是让</w:t>
      </w:r>
      <w:r>
        <w:rPr>
          <w:rFonts w:hint="eastAsia" w:ascii="仿宋_GB2312" w:eastAsia="仿宋_GB2312"/>
          <w:color w:val="000000"/>
          <w:sz w:val="32"/>
          <w:szCs w:val="32"/>
        </w:rPr>
        <w:br w:type="textWrapping"/>
      </w:r>
      <w:r>
        <w:rPr>
          <w:rFonts w:hint="eastAsia" w:ascii="仿宋_GB2312" w:eastAsia="仿宋_GB2312"/>
          <w:color w:val="000000"/>
          <w:sz w:val="32"/>
          <w:szCs w:val="32"/>
        </w:rPr>
        <w:t>更多人民群众对食品安全知识有所认识</w:t>
      </w:r>
      <w:r>
        <w:rPr>
          <w:rFonts w:hint="eastAsia" w:ascii="仿宋_GB2312" w:eastAsia="仿宋_GB2312"/>
          <w:sz w:val="32"/>
          <w:szCs w:val="32"/>
        </w:rPr>
        <w:t>。</w:t>
      </w:r>
    </w:p>
    <w:p>
      <w:pPr>
        <w:tabs>
          <w:tab w:val="left" w:pos="6425"/>
        </w:tabs>
        <w:adjustRightInd w:val="0"/>
        <w:snapToGrid w:val="0"/>
        <w:spacing w:line="336" w:lineRule="auto"/>
        <w:ind w:firstLine="640" w:firstLineChars="200"/>
        <w:outlineLvl w:val="0"/>
        <w:rPr>
          <w:rFonts w:hint="eastAsia" w:ascii="仿宋_GB2312" w:eastAsia="仿宋_GB2312"/>
          <w:sz w:val="32"/>
          <w:szCs w:val="32"/>
        </w:rPr>
      </w:pPr>
      <w:r>
        <w:rPr>
          <w:rFonts w:hint="eastAsia" w:ascii="仿宋_GB2312" w:eastAsia="仿宋_GB2312"/>
          <w:sz w:val="32"/>
          <w:szCs w:val="32"/>
        </w:rPr>
        <w:t>2.社会效益。重大食品安全监管责任事故发生0次；辖区公众食品安全科普知识水平逐步提高；</w:t>
      </w:r>
    </w:p>
    <w:p>
      <w:pPr>
        <w:tabs>
          <w:tab w:val="left" w:pos="6425"/>
        </w:tabs>
        <w:adjustRightInd w:val="0"/>
        <w:snapToGrid w:val="0"/>
        <w:spacing w:line="336" w:lineRule="auto"/>
        <w:ind w:firstLine="640" w:firstLineChars="200"/>
        <w:outlineLvl w:val="0"/>
        <w:rPr>
          <w:rFonts w:hint="eastAsia" w:ascii="仿宋_GB2312" w:eastAsia="仿宋_GB2312"/>
          <w:sz w:val="32"/>
          <w:szCs w:val="32"/>
        </w:rPr>
      </w:pPr>
      <w:r>
        <w:rPr>
          <w:rFonts w:hint="eastAsia" w:ascii="仿宋_GB2312" w:eastAsia="仿宋_GB2312"/>
          <w:sz w:val="32"/>
          <w:szCs w:val="32"/>
        </w:rPr>
        <w:t>3.可持续影响。食品安全执法能力和监管能力、食品经营安全监管水平逐步提高。</w:t>
      </w:r>
    </w:p>
    <w:p>
      <w:pPr>
        <w:tabs>
          <w:tab w:val="left" w:pos="6425"/>
        </w:tabs>
        <w:adjustRightInd w:val="0"/>
        <w:snapToGrid w:val="0"/>
        <w:spacing w:line="336" w:lineRule="auto"/>
        <w:ind w:firstLine="643" w:firstLineChars="200"/>
        <w:outlineLvl w:val="0"/>
        <w:rPr>
          <w:rFonts w:hint="eastAsia" w:ascii="仿宋_GB2312" w:eastAsia="仿宋_GB2312"/>
          <w:sz w:val="32"/>
          <w:szCs w:val="32"/>
        </w:rPr>
      </w:pPr>
      <w:r>
        <w:rPr>
          <w:rFonts w:hint="eastAsia" w:ascii="仿宋_GB2312" w:eastAsia="仿宋_GB2312"/>
          <w:b/>
          <w:sz w:val="32"/>
          <w:szCs w:val="32"/>
        </w:rPr>
        <w:t>4.</w:t>
      </w:r>
      <w:r>
        <w:rPr>
          <w:rFonts w:hint="eastAsia" w:ascii="仿宋_GB2312" w:eastAsia="仿宋_GB2312"/>
          <w:sz w:val="32"/>
          <w:szCs w:val="32"/>
        </w:rPr>
        <w:t>满意度指标完成情况分析。</w:t>
      </w:r>
    </w:p>
    <w:p>
      <w:pPr>
        <w:adjustRightInd w:val="0"/>
        <w:snapToGrid w:val="0"/>
        <w:spacing w:line="336" w:lineRule="auto"/>
        <w:ind w:firstLine="640" w:firstLineChars="200"/>
        <w:rPr>
          <w:rFonts w:hint="eastAsia" w:ascii="仿宋_GB2312" w:eastAsia="仿宋_GB2312"/>
          <w:sz w:val="32"/>
          <w:szCs w:val="32"/>
        </w:rPr>
      </w:pPr>
      <w:r>
        <w:rPr>
          <w:rFonts w:hint="eastAsia" w:ascii="仿宋_GB2312" w:eastAsia="仿宋_GB2312"/>
          <w:sz w:val="32"/>
          <w:szCs w:val="32"/>
        </w:rPr>
        <w:t>培训对象对培训工作满意度85%；食品安全满意度得分≥70分。</w:t>
      </w:r>
    </w:p>
    <w:p>
      <w:pPr>
        <w:adjustRightInd w:val="0"/>
        <w:snapToGrid w:val="0"/>
        <w:spacing w:line="600" w:lineRule="exact"/>
        <w:ind w:firstLine="720"/>
        <w:rPr>
          <w:rFonts w:hint="eastAsia" w:ascii="仿宋_GB2312" w:eastAsia="仿宋_GB2312"/>
          <w:sz w:val="32"/>
          <w:szCs w:val="32"/>
        </w:rPr>
      </w:pPr>
      <w:r>
        <w:rPr>
          <w:rFonts w:hint="eastAsia" w:ascii="仿宋_GB2312" w:eastAsia="仿宋_GB2312"/>
          <w:sz w:val="32"/>
          <w:szCs w:val="32"/>
        </w:rPr>
        <w:t>五、评价结论及建议</w:t>
      </w:r>
    </w:p>
    <w:p>
      <w:pPr>
        <w:adjustRightInd w:val="0"/>
        <w:snapToGrid w:val="0"/>
        <w:spacing w:line="600" w:lineRule="exact"/>
        <w:ind w:firstLine="720"/>
        <w:rPr>
          <w:rFonts w:hint="eastAsia" w:ascii="仿宋_GB2312" w:eastAsia="仿宋_GB2312"/>
          <w:b/>
          <w:sz w:val="32"/>
          <w:szCs w:val="32"/>
          <w:lang w:val="zh-CN"/>
        </w:rPr>
      </w:pPr>
      <w:r>
        <w:rPr>
          <w:rFonts w:hint="eastAsia" w:ascii="仿宋_GB2312" w:eastAsia="仿宋_GB2312"/>
          <w:b/>
          <w:sz w:val="32"/>
          <w:szCs w:val="32"/>
          <w:lang w:val="zh-CN"/>
        </w:rPr>
        <w:t>（一）评价结论。</w:t>
      </w:r>
    </w:p>
    <w:p>
      <w:pPr>
        <w:adjustRightInd w:val="0"/>
        <w:snapToGrid w:val="0"/>
        <w:spacing w:line="600" w:lineRule="exact"/>
        <w:ind w:firstLine="720"/>
        <w:rPr>
          <w:rFonts w:hint="eastAsia" w:ascii="仿宋_GB2312" w:eastAsia="仿宋_GB2312"/>
          <w:sz w:val="32"/>
          <w:szCs w:val="32"/>
          <w:shd w:val="clear" w:color="auto" w:fill="FFFFFF"/>
        </w:rPr>
      </w:pPr>
      <w:r>
        <w:rPr>
          <w:rFonts w:hint="eastAsia" w:ascii="仿宋_GB2312" w:eastAsia="仿宋_GB2312"/>
          <w:sz w:val="32"/>
          <w:szCs w:val="32"/>
          <w:shd w:val="clear" w:color="auto" w:fill="FFFFFF"/>
        </w:rPr>
        <w:t>经开展项目绩效目标自评，未发现项目偏离绩效目标的情况。</w:t>
      </w:r>
      <w:r>
        <w:rPr>
          <w:rFonts w:hint="eastAsia" w:ascii="仿宋_GB2312" w:eastAsia="仿宋_GB2312"/>
          <w:color w:val="000000"/>
          <w:sz w:val="32"/>
          <w:szCs w:val="32"/>
        </w:rPr>
        <w:t>保障了全区食品安全，充分履行了行政职责。最大化地实现了食品监管补助专项资金的绩效目标。</w:t>
      </w:r>
    </w:p>
    <w:p>
      <w:pPr>
        <w:adjustRightInd w:val="0"/>
        <w:snapToGrid w:val="0"/>
        <w:spacing w:line="600" w:lineRule="exact"/>
        <w:ind w:firstLine="720"/>
        <w:rPr>
          <w:rFonts w:hint="eastAsia" w:ascii="仿宋_GB2312" w:eastAsia="仿宋_GB2312"/>
          <w:b/>
          <w:sz w:val="32"/>
          <w:szCs w:val="32"/>
          <w:lang w:val="zh-CN"/>
        </w:rPr>
      </w:pPr>
      <w:r>
        <w:rPr>
          <w:rFonts w:hint="eastAsia" w:ascii="仿宋_GB2312" w:eastAsia="仿宋_GB2312"/>
          <w:b/>
          <w:sz w:val="32"/>
          <w:szCs w:val="32"/>
          <w:lang w:val="zh-CN"/>
        </w:rPr>
        <w:t>（二）存在的问题。</w:t>
      </w:r>
    </w:p>
    <w:p>
      <w:pPr>
        <w:adjustRightInd w:val="0"/>
        <w:snapToGrid w:val="0"/>
        <w:spacing w:line="600" w:lineRule="exact"/>
        <w:ind w:firstLine="720"/>
        <w:rPr>
          <w:rFonts w:hint="eastAsia" w:ascii="仿宋_GB2312" w:eastAsia="仿宋_GB2312"/>
          <w:sz w:val="32"/>
          <w:szCs w:val="32"/>
        </w:rPr>
      </w:pPr>
      <w:r>
        <w:rPr>
          <w:rFonts w:hint="eastAsia" w:ascii="仿宋_GB2312" w:eastAsia="仿宋_GB2312"/>
          <w:sz w:val="32"/>
          <w:szCs w:val="32"/>
        </w:rPr>
        <w:t>由于区财政困难，资金支付率低</w:t>
      </w:r>
    </w:p>
    <w:p>
      <w:pPr>
        <w:adjustRightInd w:val="0"/>
        <w:snapToGrid w:val="0"/>
        <w:spacing w:line="600" w:lineRule="exact"/>
        <w:ind w:firstLine="720"/>
        <w:rPr>
          <w:rFonts w:hint="eastAsia" w:ascii="仿宋_GB2312" w:eastAsia="仿宋_GB2312"/>
          <w:b/>
          <w:sz w:val="32"/>
          <w:szCs w:val="32"/>
          <w:lang w:val="zh-CN"/>
        </w:rPr>
      </w:pPr>
      <w:r>
        <w:rPr>
          <w:rFonts w:hint="eastAsia" w:ascii="仿宋_GB2312" w:eastAsia="仿宋_GB2312"/>
          <w:b/>
          <w:sz w:val="32"/>
          <w:szCs w:val="32"/>
          <w:lang w:val="zh-CN"/>
        </w:rPr>
        <w:t>（三）相关建议。</w:t>
      </w:r>
    </w:p>
    <w:p>
      <w:pPr>
        <w:pStyle w:val="13"/>
        <w:widowControl/>
        <w:adjustRightInd w:val="0"/>
        <w:snapToGrid w:val="0"/>
        <w:spacing w:line="336" w:lineRule="auto"/>
        <w:ind w:firstLine="633" w:firstLineChars="198"/>
        <w:jc w:val="both"/>
        <w:rPr>
          <w:rFonts w:hint="eastAsia" w:ascii="仿宋_GB2312" w:eastAsia="仿宋_GB2312"/>
          <w:sz w:val="32"/>
          <w:szCs w:val="32"/>
        </w:rPr>
      </w:pPr>
      <w:r>
        <w:rPr>
          <w:rFonts w:hint="eastAsia" w:ascii="仿宋_GB2312" w:eastAsia="仿宋_GB2312"/>
          <w:sz w:val="32"/>
          <w:szCs w:val="32"/>
          <w:shd w:val="clear" w:color="auto" w:fill="FFFFFF"/>
        </w:rPr>
        <w:t>下一步，我们将继续完善项目程序、优化项目内容、 提升项目效益，更加深入地掌握项目实施目标、项目执行意义、项目实施途径，以便于更好的实现项目绩效目标。同时加强与财政对接，提高资金支付率。</w:t>
      </w:r>
    </w:p>
    <w:p>
      <w:pPr>
        <w:pStyle w:val="2"/>
        <w:spacing w:before="93"/>
        <w:rPr>
          <w:rFonts w:hint="eastAsia"/>
          <w:sz w:val="32"/>
          <w:szCs w:val="32"/>
        </w:rPr>
      </w:pPr>
    </w:p>
    <w:p>
      <w:pPr>
        <w:pStyle w:val="2"/>
        <w:spacing w:before="93"/>
        <w:rPr>
          <w:rFonts w:hint="eastAsia"/>
          <w:sz w:val="32"/>
          <w:szCs w:val="32"/>
        </w:rPr>
      </w:pPr>
    </w:p>
    <w:p>
      <w:pPr>
        <w:pStyle w:val="2"/>
        <w:spacing w:before="93"/>
        <w:rPr>
          <w:rFonts w:hint="eastAsia"/>
          <w:sz w:val="32"/>
          <w:szCs w:val="32"/>
        </w:rPr>
      </w:pPr>
    </w:p>
    <w:p>
      <w:pPr>
        <w:pStyle w:val="2"/>
        <w:spacing w:before="93"/>
        <w:rPr>
          <w:rFonts w:hint="eastAsia"/>
          <w:sz w:val="32"/>
          <w:szCs w:val="32"/>
        </w:rPr>
      </w:pPr>
    </w:p>
    <w:p>
      <w:pPr>
        <w:pStyle w:val="2"/>
        <w:spacing w:before="93"/>
        <w:rPr>
          <w:rFonts w:hint="eastAsia"/>
          <w:sz w:val="32"/>
          <w:szCs w:val="32"/>
        </w:rPr>
      </w:pPr>
    </w:p>
    <w:p>
      <w:pPr>
        <w:spacing w:line="600" w:lineRule="exact"/>
        <w:outlineLvl w:val="0"/>
        <w:rPr>
          <w:rFonts w:ascii="仿宋" w:hAnsi="仿宋" w:eastAsia="仿宋"/>
        </w:rPr>
      </w:pPr>
      <w:r>
        <w:rPr>
          <w:rFonts w:hint="eastAsia" w:ascii="黑体" w:hAnsi="黑体" w:eastAsia="黑体"/>
          <w:sz w:val="44"/>
          <w:szCs w:val="44"/>
        </w:rPr>
        <w:t>第</w:t>
      </w:r>
      <w:r>
        <w:rPr>
          <w:rStyle w:val="29"/>
          <w:rFonts w:hint="eastAsia" w:ascii="黑体" w:hAnsi="黑体" w:eastAsia="黑体"/>
          <w:b w:val="0"/>
        </w:rPr>
        <w:t>五部分 附表</w:t>
      </w:r>
      <w:bookmarkEnd w:id="52"/>
      <w:bookmarkEnd w:id="53"/>
      <w:bookmarkStart w:id="54" w:name="_Toc15396619"/>
    </w:p>
    <w:p>
      <w:pPr>
        <w:pStyle w:val="4"/>
        <w:rPr>
          <w:rFonts w:ascii="仿宋" w:hAnsi="仿宋" w:eastAsia="仿宋"/>
        </w:rPr>
      </w:pPr>
      <w:r>
        <w:rPr>
          <w:rFonts w:hint="eastAsia" w:ascii="仿宋" w:hAnsi="仿宋" w:eastAsia="仿宋"/>
          <w:b w:val="0"/>
        </w:rPr>
        <w:t>一、收</w:t>
      </w:r>
      <w:r>
        <w:rPr>
          <w:rStyle w:val="30"/>
          <w:rFonts w:hint="eastAsia" w:ascii="仿宋" w:hAnsi="仿宋" w:eastAsia="仿宋"/>
          <w:b w:val="0"/>
          <w:bCs w:val="0"/>
        </w:rPr>
        <w:t>入支出决算总表</w:t>
      </w:r>
      <w:bookmarkEnd w:id="54"/>
    </w:p>
    <w:p>
      <w:pPr>
        <w:pStyle w:val="4"/>
        <w:rPr>
          <w:rFonts w:ascii="仿宋" w:hAnsi="仿宋" w:eastAsia="仿宋"/>
        </w:rPr>
      </w:pPr>
      <w:bookmarkStart w:id="55" w:name="_Toc15396620"/>
      <w:r>
        <w:rPr>
          <w:rFonts w:hint="eastAsia" w:ascii="仿宋" w:hAnsi="仿宋" w:eastAsia="仿宋"/>
          <w:b w:val="0"/>
        </w:rPr>
        <w:t>二、收</w:t>
      </w:r>
      <w:r>
        <w:rPr>
          <w:rStyle w:val="30"/>
          <w:rFonts w:hint="eastAsia" w:ascii="仿宋" w:hAnsi="仿宋" w:eastAsia="仿宋"/>
          <w:b w:val="0"/>
          <w:bCs w:val="0"/>
        </w:rPr>
        <w:t>入决算表</w:t>
      </w:r>
      <w:bookmarkEnd w:id="55"/>
    </w:p>
    <w:p>
      <w:pPr>
        <w:pStyle w:val="4"/>
        <w:rPr>
          <w:rFonts w:ascii="仿宋" w:hAnsi="仿宋" w:eastAsia="仿宋"/>
        </w:rPr>
      </w:pPr>
      <w:bookmarkStart w:id="56" w:name="_Toc15396621"/>
      <w:r>
        <w:rPr>
          <w:rStyle w:val="30"/>
          <w:rFonts w:hint="eastAsia" w:ascii="仿宋" w:hAnsi="仿宋" w:eastAsia="仿宋"/>
          <w:b w:val="0"/>
          <w:bCs w:val="0"/>
        </w:rPr>
        <w:t>三、</w:t>
      </w:r>
      <w:r>
        <w:rPr>
          <w:rFonts w:hint="eastAsia" w:ascii="仿宋" w:hAnsi="仿宋" w:eastAsia="仿宋"/>
          <w:b w:val="0"/>
        </w:rPr>
        <w:t>支</w:t>
      </w:r>
      <w:r>
        <w:rPr>
          <w:rStyle w:val="30"/>
          <w:rFonts w:hint="eastAsia" w:ascii="仿宋" w:hAnsi="仿宋" w:eastAsia="仿宋"/>
          <w:b w:val="0"/>
          <w:bCs w:val="0"/>
        </w:rPr>
        <w:t>出决算表</w:t>
      </w:r>
      <w:bookmarkEnd w:id="56"/>
    </w:p>
    <w:p>
      <w:pPr>
        <w:pStyle w:val="4"/>
        <w:rPr>
          <w:rFonts w:ascii="仿宋" w:hAnsi="仿宋" w:eastAsia="仿宋"/>
          <w:b w:val="0"/>
        </w:rPr>
      </w:pPr>
      <w:bookmarkStart w:id="57" w:name="_Toc15396622"/>
      <w:r>
        <w:rPr>
          <w:rStyle w:val="30"/>
          <w:rFonts w:hint="eastAsia" w:ascii="仿宋" w:hAnsi="仿宋" w:eastAsia="仿宋"/>
          <w:b w:val="0"/>
          <w:bCs w:val="0"/>
        </w:rPr>
        <w:t>四、</w:t>
      </w:r>
      <w:r>
        <w:rPr>
          <w:rFonts w:hint="eastAsia" w:ascii="仿宋" w:hAnsi="仿宋" w:eastAsia="仿宋"/>
          <w:b w:val="0"/>
        </w:rPr>
        <w:t>财</w:t>
      </w:r>
      <w:r>
        <w:rPr>
          <w:rStyle w:val="30"/>
          <w:rFonts w:hint="eastAsia" w:ascii="仿宋" w:hAnsi="仿宋" w:eastAsia="仿宋"/>
          <w:b w:val="0"/>
          <w:bCs w:val="0"/>
        </w:rPr>
        <w:t>政拨款收入支出决算总表</w:t>
      </w:r>
      <w:bookmarkEnd w:id="57"/>
    </w:p>
    <w:p>
      <w:pPr>
        <w:pStyle w:val="4"/>
        <w:rPr>
          <w:rStyle w:val="30"/>
          <w:rFonts w:ascii="仿宋" w:hAnsi="仿宋" w:eastAsia="仿宋"/>
          <w:b w:val="0"/>
          <w:bCs w:val="0"/>
        </w:rPr>
      </w:pPr>
      <w:bookmarkStart w:id="58" w:name="_Toc15396623"/>
      <w:r>
        <w:rPr>
          <w:rStyle w:val="30"/>
          <w:rFonts w:hint="eastAsia" w:ascii="仿宋" w:hAnsi="仿宋" w:eastAsia="仿宋"/>
          <w:b w:val="0"/>
          <w:bCs w:val="0"/>
        </w:rPr>
        <w:t>五、</w:t>
      </w:r>
      <w:r>
        <w:rPr>
          <w:rFonts w:hint="eastAsia" w:ascii="仿宋" w:hAnsi="仿宋" w:eastAsia="仿宋"/>
          <w:b w:val="0"/>
        </w:rPr>
        <w:t>财</w:t>
      </w:r>
      <w:r>
        <w:rPr>
          <w:rStyle w:val="30"/>
          <w:rFonts w:hint="eastAsia" w:ascii="仿宋" w:hAnsi="仿宋" w:eastAsia="仿宋"/>
          <w:b w:val="0"/>
          <w:bCs w:val="0"/>
        </w:rPr>
        <w:t>政拨款支出决算明细表</w:t>
      </w:r>
      <w:bookmarkEnd w:id="58"/>
      <w:bookmarkStart w:id="59" w:name="_Toc15396624"/>
    </w:p>
    <w:p>
      <w:pPr>
        <w:pStyle w:val="4"/>
        <w:rPr>
          <w:rFonts w:ascii="仿宋" w:hAnsi="仿宋" w:eastAsia="仿宋"/>
        </w:rPr>
      </w:pPr>
      <w:r>
        <w:rPr>
          <w:rStyle w:val="30"/>
          <w:rFonts w:hint="eastAsia" w:ascii="仿宋" w:hAnsi="仿宋" w:eastAsia="仿宋"/>
          <w:b w:val="0"/>
          <w:bCs w:val="0"/>
        </w:rPr>
        <w:t>六、</w:t>
      </w:r>
      <w:r>
        <w:rPr>
          <w:rFonts w:hint="eastAsia" w:ascii="仿宋" w:hAnsi="仿宋" w:eastAsia="仿宋"/>
          <w:b w:val="0"/>
        </w:rPr>
        <w:t>一</w:t>
      </w:r>
      <w:r>
        <w:rPr>
          <w:rStyle w:val="30"/>
          <w:rFonts w:hint="eastAsia" w:ascii="仿宋" w:hAnsi="仿宋" w:eastAsia="仿宋"/>
          <w:b w:val="0"/>
          <w:bCs w:val="0"/>
        </w:rPr>
        <w:t>般公共预算财政拨款支出决算表</w:t>
      </w:r>
      <w:bookmarkEnd w:id="59"/>
    </w:p>
    <w:p>
      <w:pPr>
        <w:pStyle w:val="4"/>
        <w:rPr>
          <w:rFonts w:ascii="仿宋" w:hAnsi="仿宋" w:eastAsia="仿宋"/>
        </w:rPr>
      </w:pPr>
      <w:bookmarkStart w:id="60" w:name="_Toc15396625"/>
      <w:r>
        <w:rPr>
          <w:rStyle w:val="30"/>
          <w:rFonts w:hint="eastAsia" w:ascii="仿宋" w:hAnsi="仿宋" w:eastAsia="仿宋"/>
          <w:b w:val="0"/>
          <w:bCs w:val="0"/>
        </w:rPr>
        <w:t>七、</w:t>
      </w:r>
      <w:r>
        <w:rPr>
          <w:rFonts w:hint="eastAsia" w:ascii="仿宋" w:hAnsi="仿宋" w:eastAsia="仿宋"/>
          <w:b w:val="0"/>
        </w:rPr>
        <w:t>一</w:t>
      </w:r>
      <w:r>
        <w:rPr>
          <w:rStyle w:val="30"/>
          <w:rFonts w:hint="eastAsia" w:ascii="仿宋" w:hAnsi="仿宋" w:eastAsia="仿宋"/>
          <w:b w:val="0"/>
          <w:bCs w:val="0"/>
        </w:rPr>
        <w:t>般公共预算财政拨款支出决算明细表</w:t>
      </w:r>
      <w:bookmarkEnd w:id="60"/>
    </w:p>
    <w:p>
      <w:pPr>
        <w:pStyle w:val="4"/>
        <w:rPr>
          <w:rFonts w:ascii="仿宋" w:hAnsi="仿宋" w:eastAsia="仿宋"/>
        </w:rPr>
      </w:pPr>
      <w:bookmarkStart w:id="61" w:name="_Toc15396626"/>
      <w:r>
        <w:rPr>
          <w:rStyle w:val="30"/>
          <w:rFonts w:hint="eastAsia" w:ascii="仿宋" w:hAnsi="仿宋" w:eastAsia="仿宋"/>
          <w:b w:val="0"/>
          <w:bCs w:val="0"/>
        </w:rPr>
        <w:t>八、</w:t>
      </w:r>
      <w:r>
        <w:rPr>
          <w:rFonts w:hint="eastAsia" w:ascii="仿宋" w:hAnsi="仿宋" w:eastAsia="仿宋"/>
          <w:b w:val="0"/>
        </w:rPr>
        <w:t>一</w:t>
      </w:r>
      <w:r>
        <w:rPr>
          <w:rStyle w:val="30"/>
          <w:rFonts w:hint="eastAsia" w:ascii="仿宋" w:hAnsi="仿宋" w:eastAsia="仿宋"/>
          <w:b w:val="0"/>
          <w:bCs w:val="0"/>
        </w:rPr>
        <w:t>般公共预算财政拨款基本支出决算表</w:t>
      </w:r>
      <w:bookmarkEnd w:id="61"/>
    </w:p>
    <w:p>
      <w:pPr>
        <w:pStyle w:val="4"/>
        <w:rPr>
          <w:rFonts w:ascii="仿宋" w:hAnsi="仿宋" w:eastAsia="仿宋"/>
        </w:rPr>
      </w:pPr>
      <w:bookmarkStart w:id="62" w:name="_Toc15396627"/>
      <w:r>
        <w:rPr>
          <w:rStyle w:val="30"/>
          <w:rFonts w:hint="eastAsia" w:ascii="仿宋" w:hAnsi="仿宋" w:eastAsia="仿宋"/>
          <w:b w:val="0"/>
          <w:bCs w:val="0"/>
        </w:rPr>
        <w:t>九、</w:t>
      </w:r>
      <w:r>
        <w:rPr>
          <w:rFonts w:hint="eastAsia" w:ascii="仿宋" w:hAnsi="仿宋" w:eastAsia="仿宋"/>
          <w:b w:val="0"/>
        </w:rPr>
        <w:t>一</w:t>
      </w:r>
      <w:r>
        <w:rPr>
          <w:rStyle w:val="30"/>
          <w:rFonts w:hint="eastAsia" w:ascii="仿宋" w:hAnsi="仿宋" w:eastAsia="仿宋"/>
          <w:b w:val="0"/>
          <w:bCs w:val="0"/>
        </w:rPr>
        <w:t>般公共预算财政拨款项目支出决算表</w:t>
      </w:r>
      <w:bookmarkEnd w:id="62"/>
    </w:p>
    <w:p>
      <w:pPr>
        <w:pStyle w:val="4"/>
        <w:rPr>
          <w:rFonts w:ascii="仿宋" w:hAnsi="仿宋" w:eastAsia="仿宋"/>
        </w:rPr>
      </w:pPr>
      <w:bookmarkStart w:id="63" w:name="_Toc15396628"/>
      <w:r>
        <w:rPr>
          <w:rStyle w:val="30"/>
          <w:rFonts w:hint="eastAsia" w:ascii="仿宋" w:hAnsi="仿宋" w:eastAsia="仿宋"/>
          <w:b w:val="0"/>
          <w:bCs w:val="0"/>
        </w:rPr>
        <w:t>十、</w:t>
      </w:r>
      <w:bookmarkEnd w:id="63"/>
      <w:r>
        <w:rPr>
          <w:rFonts w:hint="eastAsia" w:ascii="仿宋" w:hAnsi="仿宋" w:eastAsia="仿宋"/>
          <w:b w:val="0"/>
        </w:rPr>
        <w:t>政</w:t>
      </w:r>
      <w:r>
        <w:rPr>
          <w:rStyle w:val="30"/>
          <w:rFonts w:hint="eastAsia" w:ascii="仿宋" w:hAnsi="仿宋" w:eastAsia="仿宋"/>
          <w:b w:val="0"/>
          <w:bCs w:val="0"/>
        </w:rPr>
        <w:t>府性基金预算财政拨款收入支出决算表</w:t>
      </w:r>
    </w:p>
    <w:p>
      <w:pPr>
        <w:pStyle w:val="4"/>
        <w:rPr>
          <w:rFonts w:ascii="仿宋" w:hAnsi="仿宋" w:eastAsia="仿宋"/>
        </w:rPr>
      </w:pPr>
      <w:bookmarkStart w:id="64" w:name="_Toc15396629"/>
      <w:r>
        <w:rPr>
          <w:rStyle w:val="30"/>
          <w:rFonts w:hint="eastAsia" w:ascii="仿宋" w:hAnsi="仿宋" w:eastAsia="仿宋"/>
          <w:b w:val="0"/>
          <w:bCs w:val="0"/>
        </w:rPr>
        <w:t>十一、</w:t>
      </w:r>
      <w:bookmarkEnd w:id="64"/>
      <w:r>
        <w:rPr>
          <w:rFonts w:hint="eastAsia" w:ascii="仿宋" w:hAnsi="仿宋" w:eastAsia="仿宋"/>
          <w:b w:val="0"/>
        </w:rPr>
        <w:t>国</w:t>
      </w:r>
      <w:r>
        <w:rPr>
          <w:rStyle w:val="30"/>
          <w:rFonts w:hint="eastAsia" w:ascii="仿宋" w:hAnsi="仿宋" w:eastAsia="仿宋"/>
          <w:b w:val="0"/>
          <w:bCs w:val="0"/>
        </w:rPr>
        <w:t>有资本经营预算财政拨款收入支出决算表</w:t>
      </w:r>
    </w:p>
    <w:p>
      <w:pPr>
        <w:pStyle w:val="4"/>
        <w:rPr>
          <w:rFonts w:ascii="仿宋" w:hAnsi="仿宋" w:eastAsia="仿宋"/>
        </w:rPr>
      </w:pPr>
      <w:bookmarkStart w:id="65" w:name="_Toc15396630"/>
      <w:r>
        <w:rPr>
          <w:rStyle w:val="30"/>
          <w:rFonts w:hint="eastAsia" w:ascii="仿宋" w:hAnsi="仿宋" w:eastAsia="仿宋"/>
          <w:b w:val="0"/>
          <w:bCs w:val="0"/>
        </w:rPr>
        <w:t>十二、</w:t>
      </w:r>
      <w:bookmarkEnd w:id="65"/>
      <w:r>
        <w:rPr>
          <w:rStyle w:val="30"/>
          <w:rFonts w:hint="eastAsia" w:ascii="仿宋" w:hAnsi="仿宋" w:eastAsia="仿宋"/>
          <w:b w:val="0"/>
          <w:bCs w:val="0"/>
        </w:rPr>
        <w:t>国有资本经营预算财政拨款支出决算表</w:t>
      </w:r>
    </w:p>
    <w:p>
      <w:pPr>
        <w:pStyle w:val="4"/>
        <w:rPr>
          <w:rFonts w:eastAsia="仿宋"/>
        </w:rPr>
      </w:pPr>
      <w:bookmarkStart w:id="66" w:name="_Toc15396631"/>
      <w:r>
        <w:rPr>
          <w:rStyle w:val="30"/>
          <w:rFonts w:hint="eastAsia" w:ascii="仿宋" w:hAnsi="仿宋" w:eastAsia="仿宋"/>
          <w:b w:val="0"/>
          <w:bCs w:val="0"/>
        </w:rPr>
        <w:t>十三、</w:t>
      </w:r>
      <w:bookmarkEnd w:id="66"/>
      <w:r>
        <w:rPr>
          <w:rStyle w:val="30"/>
          <w:rFonts w:hint="eastAsia" w:ascii="仿宋" w:hAnsi="仿宋" w:eastAsia="仿宋"/>
          <w:b w:val="0"/>
          <w:bCs w:val="0"/>
        </w:rPr>
        <w:t>财政拨款“三公”经费支出决算表</w:t>
      </w:r>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
    <w:altName w:val="Times New Roman"/>
    <w:panose1 w:val="00000000000000000000"/>
    <w:charset w:val="00"/>
    <w:family w:val="roman"/>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Courier New">
    <w:panose1 w:val="02070309020205020404"/>
    <w:charset w:val="00"/>
    <w:family w:val="modern"/>
    <w:pitch w:val="default"/>
    <w:sig w:usb0="E0002EFF" w:usb1="C0007843" w:usb2="00000009" w:usb3="00000000" w:csb0="400001FF" w:csb1="FFFF0000"/>
  </w:font>
  <w:font w:name="微软雅黑">
    <w:panose1 w:val="020B0503020204020204"/>
    <w:charset w:val="86"/>
    <w:family w:val="swiss"/>
    <w:pitch w:val="default"/>
    <w:sig w:usb0="80000287" w:usb1="2ACF3C50" w:usb2="00000016" w:usb3="00000000" w:csb0="0004001F" w:csb1="00000000"/>
  </w:font>
  <w:font w:name="方正仿宋简体">
    <w:panose1 w:val="02010601030101010101"/>
    <w:charset w:val="86"/>
    <w:family w:val="script"/>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9"/>
          <w:jc w:val="center"/>
        </w:pPr>
        <w:r>
          <w:fldChar w:fldCharType="begin"/>
        </w:r>
        <w:r>
          <w:instrText xml:space="preserve">PAGE   \* MERGEFORMAT</w:instrText>
        </w:r>
        <w:r>
          <w:fldChar w:fldCharType="separate"/>
        </w:r>
        <w:r>
          <w:rPr>
            <w:lang w:val="zh-CN"/>
          </w:rPr>
          <w:t>2</w:t>
        </w:r>
        <w:r>
          <w:rPr>
            <w:lang w:val="zh-CN"/>
          </w:rPr>
          <w:fldChar w:fldCharType="end"/>
        </w:r>
      </w:p>
    </w:sdtContent>
  </w:sdt>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0FD16D87"/>
    <w:multiLevelType w:val="multilevel"/>
    <w:tmpl w:val="0FD16D87"/>
    <w:lvl w:ilvl="0" w:tentative="0">
      <w:start w:val="1"/>
      <w:numFmt w:val="japaneseCounting"/>
      <w:lvlText w:val="%1、"/>
      <w:lvlJc w:val="left"/>
      <w:pPr>
        <w:ind w:left="630" w:hanging="63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3">
    <w:nsid w:val="27C57BD5"/>
    <w:multiLevelType w:val="multilevel"/>
    <w:tmpl w:val="27C57BD5"/>
    <w:lvl w:ilvl="0" w:tentative="0">
      <w:start w:val="2"/>
      <w:numFmt w:val="japaneseCounting"/>
      <w:lvlText w:val="（%1）"/>
      <w:lvlJc w:val="left"/>
      <w:pPr>
        <w:ind w:left="1720" w:hanging="108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4">
    <w:nsid w:val="3E794925"/>
    <w:multiLevelType w:val="singleLevel"/>
    <w:tmpl w:val="3E794925"/>
    <w:lvl w:ilvl="0" w:tentative="0">
      <w:start w:val="3"/>
      <w:numFmt w:val="chineseCounting"/>
      <w:suff w:val="nothing"/>
      <w:lvlText w:val="（%1）"/>
      <w:lvlJc w:val="left"/>
      <w:rPr>
        <w:rFonts w:hint="eastAsia"/>
      </w:r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WQ2ZWExMDIwMTAyNTlkY2I3MDQ0MGE2NzkwYzQ5NGQifQ=="/>
  </w:docVars>
  <w:rsids>
    <w:rsidRoot w:val="00F1361C"/>
    <w:rsid w:val="000071F0"/>
    <w:rsid w:val="000222C6"/>
    <w:rsid w:val="0002549F"/>
    <w:rsid w:val="00040F23"/>
    <w:rsid w:val="000468DB"/>
    <w:rsid w:val="00053380"/>
    <w:rsid w:val="00055BEF"/>
    <w:rsid w:val="0006487A"/>
    <w:rsid w:val="00065F8F"/>
    <w:rsid w:val="00070A43"/>
    <w:rsid w:val="000768F2"/>
    <w:rsid w:val="0008167C"/>
    <w:rsid w:val="000844F2"/>
    <w:rsid w:val="00090251"/>
    <w:rsid w:val="0009184B"/>
    <w:rsid w:val="00094236"/>
    <w:rsid w:val="0009593C"/>
    <w:rsid w:val="00097322"/>
    <w:rsid w:val="000A6A92"/>
    <w:rsid w:val="000B047F"/>
    <w:rsid w:val="000B2D4D"/>
    <w:rsid w:val="000B5923"/>
    <w:rsid w:val="000B5A48"/>
    <w:rsid w:val="000B5D06"/>
    <w:rsid w:val="000B6FF3"/>
    <w:rsid w:val="000C3467"/>
    <w:rsid w:val="000C3CA6"/>
    <w:rsid w:val="000C6B36"/>
    <w:rsid w:val="000D1267"/>
    <w:rsid w:val="000D1D50"/>
    <w:rsid w:val="000D5782"/>
    <w:rsid w:val="000D7513"/>
    <w:rsid w:val="000E6613"/>
    <w:rsid w:val="000E7119"/>
    <w:rsid w:val="000F274D"/>
    <w:rsid w:val="00114E9B"/>
    <w:rsid w:val="001219DF"/>
    <w:rsid w:val="00126CD4"/>
    <w:rsid w:val="00136D0C"/>
    <w:rsid w:val="0014135F"/>
    <w:rsid w:val="00142216"/>
    <w:rsid w:val="00144D6A"/>
    <w:rsid w:val="00147195"/>
    <w:rsid w:val="0014729F"/>
    <w:rsid w:val="00157BAB"/>
    <w:rsid w:val="001654D1"/>
    <w:rsid w:val="00174518"/>
    <w:rsid w:val="0018106D"/>
    <w:rsid w:val="001877A7"/>
    <w:rsid w:val="00191536"/>
    <w:rsid w:val="00196687"/>
    <w:rsid w:val="001C0962"/>
    <w:rsid w:val="001C3F47"/>
    <w:rsid w:val="001D7531"/>
    <w:rsid w:val="001E2FF1"/>
    <w:rsid w:val="001E737D"/>
    <w:rsid w:val="001F0592"/>
    <w:rsid w:val="001F7506"/>
    <w:rsid w:val="002006CD"/>
    <w:rsid w:val="00202B36"/>
    <w:rsid w:val="00204B7A"/>
    <w:rsid w:val="00204CDE"/>
    <w:rsid w:val="0021101A"/>
    <w:rsid w:val="00217081"/>
    <w:rsid w:val="00220536"/>
    <w:rsid w:val="00235543"/>
    <w:rsid w:val="00235629"/>
    <w:rsid w:val="00247B82"/>
    <w:rsid w:val="002578A0"/>
    <w:rsid w:val="00260C38"/>
    <w:rsid w:val="002616C0"/>
    <w:rsid w:val="00262586"/>
    <w:rsid w:val="00265372"/>
    <w:rsid w:val="002662AA"/>
    <w:rsid w:val="00280496"/>
    <w:rsid w:val="00294DC9"/>
    <w:rsid w:val="00295495"/>
    <w:rsid w:val="002A31DE"/>
    <w:rsid w:val="002B2613"/>
    <w:rsid w:val="002B548F"/>
    <w:rsid w:val="002D6D05"/>
    <w:rsid w:val="002E0ADB"/>
    <w:rsid w:val="002F1818"/>
    <w:rsid w:val="002F567B"/>
    <w:rsid w:val="00306245"/>
    <w:rsid w:val="003216A9"/>
    <w:rsid w:val="00335A74"/>
    <w:rsid w:val="00361F24"/>
    <w:rsid w:val="0036561B"/>
    <w:rsid w:val="003660AF"/>
    <w:rsid w:val="0037013F"/>
    <w:rsid w:val="0037629B"/>
    <w:rsid w:val="00380C92"/>
    <w:rsid w:val="00382B90"/>
    <w:rsid w:val="00391A2F"/>
    <w:rsid w:val="003A484F"/>
    <w:rsid w:val="003A4883"/>
    <w:rsid w:val="003A7D1F"/>
    <w:rsid w:val="003B0BE0"/>
    <w:rsid w:val="003B0C1B"/>
    <w:rsid w:val="003B688C"/>
    <w:rsid w:val="003C0291"/>
    <w:rsid w:val="003C39AE"/>
    <w:rsid w:val="003C7B60"/>
    <w:rsid w:val="003D0C0F"/>
    <w:rsid w:val="003D1FB2"/>
    <w:rsid w:val="003D66DA"/>
    <w:rsid w:val="003E1310"/>
    <w:rsid w:val="003E1576"/>
    <w:rsid w:val="003E583D"/>
    <w:rsid w:val="003E6F55"/>
    <w:rsid w:val="003F2E89"/>
    <w:rsid w:val="00401406"/>
    <w:rsid w:val="00406254"/>
    <w:rsid w:val="00410ACD"/>
    <w:rsid w:val="004223DE"/>
    <w:rsid w:val="00434489"/>
    <w:rsid w:val="00437085"/>
    <w:rsid w:val="00443880"/>
    <w:rsid w:val="004464F4"/>
    <w:rsid w:val="00446E63"/>
    <w:rsid w:val="004574AC"/>
    <w:rsid w:val="00467094"/>
    <w:rsid w:val="00471401"/>
    <w:rsid w:val="00473F31"/>
    <w:rsid w:val="0048263A"/>
    <w:rsid w:val="00487E5D"/>
    <w:rsid w:val="004A711F"/>
    <w:rsid w:val="004B199D"/>
    <w:rsid w:val="004B4690"/>
    <w:rsid w:val="004D2FE7"/>
    <w:rsid w:val="004E0A2D"/>
    <w:rsid w:val="004E206B"/>
    <w:rsid w:val="004E3AA5"/>
    <w:rsid w:val="004E6DF7"/>
    <w:rsid w:val="004F0FBD"/>
    <w:rsid w:val="004F2A46"/>
    <w:rsid w:val="00505A47"/>
    <w:rsid w:val="0051280F"/>
    <w:rsid w:val="00512FDA"/>
    <w:rsid w:val="00520DA0"/>
    <w:rsid w:val="00525E15"/>
    <w:rsid w:val="005663CD"/>
    <w:rsid w:val="005664BB"/>
    <w:rsid w:val="00566FFA"/>
    <w:rsid w:val="0057481D"/>
    <w:rsid w:val="00584073"/>
    <w:rsid w:val="0058486E"/>
    <w:rsid w:val="00585B33"/>
    <w:rsid w:val="0059014D"/>
    <w:rsid w:val="005A0B0C"/>
    <w:rsid w:val="005B5C64"/>
    <w:rsid w:val="005B67C6"/>
    <w:rsid w:val="005C5337"/>
    <w:rsid w:val="005C6BD0"/>
    <w:rsid w:val="005D1A64"/>
    <w:rsid w:val="005D1C8B"/>
    <w:rsid w:val="005D468D"/>
    <w:rsid w:val="005D5CED"/>
    <w:rsid w:val="005D7D8C"/>
    <w:rsid w:val="005E1D5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1BBB"/>
    <w:rsid w:val="0066343B"/>
    <w:rsid w:val="00664777"/>
    <w:rsid w:val="0067280B"/>
    <w:rsid w:val="006748A4"/>
    <w:rsid w:val="00681A31"/>
    <w:rsid w:val="00683E73"/>
    <w:rsid w:val="006A3141"/>
    <w:rsid w:val="006A5E34"/>
    <w:rsid w:val="006A7DFE"/>
    <w:rsid w:val="006B0023"/>
    <w:rsid w:val="006B2422"/>
    <w:rsid w:val="006B2B9A"/>
    <w:rsid w:val="006C0EBE"/>
    <w:rsid w:val="006C1937"/>
    <w:rsid w:val="006C67DD"/>
    <w:rsid w:val="006C6ADC"/>
    <w:rsid w:val="006E3826"/>
    <w:rsid w:val="006F020C"/>
    <w:rsid w:val="007127B7"/>
    <w:rsid w:val="0071798E"/>
    <w:rsid w:val="007416B6"/>
    <w:rsid w:val="00746F48"/>
    <w:rsid w:val="0075404D"/>
    <w:rsid w:val="0076182A"/>
    <w:rsid w:val="00767B7E"/>
    <w:rsid w:val="00773FED"/>
    <w:rsid w:val="007770C3"/>
    <w:rsid w:val="00784D24"/>
    <w:rsid w:val="00785FBA"/>
    <w:rsid w:val="00786E4A"/>
    <w:rsid w:val="007875EB"/>
    <w:rsid w:val="0079426B"/>
    <w:rsid w:val="00795145"/>
    <w:rsid w:val="007D1682"/>
    <w:rsid w:val="007D312A"/>
    <w:rsid w:val="007D3A55"/>
    <w:rsid w:val="007D3F19"/>
    <w:rsid w:val="007E23B0"/>
    <w:rsid w:val="007E23E5"/>
    <w:rsid w:val="007F1991"/>
    <w:rsid w:val="007F2C2F"/>
    <w:rsid w:val="007F557A"/>
    <w:rsid w:val="007F55FC"/>
    <w:rsid w:val="007F5665"/>
    <w:rsid w:val="00800112"/>
    <w:rsid w:val="00813348"/>
    <w:rsid w:val="008253BB"/>
    <w:rsid w:val="008261C8"/>
    <w:rsid w:val="0083706E"/>
    <w:rsid w:val="008408F6"/>
    <w:rsid w:val="008423A5"/>
    <w:rsid w:val="00850625"/>
    <w:rsid w:val="00853718"/>
    <w:rsid w:val="008547BB"/>
    <w:rsid w:val="00855221"/>
    <w:rsid w:val="00856A8C"/>
    <w:rsid w:val="00860645"/>
    <w:rsid w:val="008660F2"/>
    <w:rsid w:val="00871F71"/>
    <w:rsid w:val="00872FD8"/>
    <w:rsid w:val="00885AF4"/>
    <w:rsid w:val="008939CD"/>
    <w:rsid w:val="008B7303"/>
    <w:rsid w:val="008B768C"/>
    <w:rsid w:val="008C4DB1"/>
    <w:rsid w:val="008C4EAF"/>
    <w:rsid w:val="008C5176"/>
    <w:rsid w:val="008C7FD0"/>
    <w:rsid w:val="008D15E5"/>
    <w:rsid w:val="008E1DE7"/>
    <w:rsid w:val="008E707C"/>
    <w:rsid w:val="00900B08"/>
    <w:rsid w:val="00902155"/>
    <w:rsid w:val="00902FA3"/>
    <w:rsid w:val="009115EE"/>
    <w:rsid w:val="00923564"/>
    <w:rsid w:val="0092392E"/>
    <w:rsid w:val="009315F9"/>
    <w:rsid w:val="00933499"/>
    <w:rsid w:val="0093462B"/>
    <w:rsid w:val="00935C98"/>
    <w:rsid w:val="00943DCE"/>
    <w:rsid w:val="00946945"/>
    <w:rsid w:val="00951248"/>
    <w:rsid w:val="0095152F"/>
    <w:rsid w:val="00954C49"/>
    <w:rsid w:val="00955E37"/>
    <w:rsid w:val="0097099F"/>
    <w:rsid w:val="00971997"/>
    <w:rsid w:val="00971FFC"/>
    <w:rsid w:val="0097377A"/>
    <w:rsid w:val="0098660A"/>
    <w:rsid w:val="00991DC1"/>
    <w:rsid w:val="009931C3"/>
    <w:rsid w:val="009A6D7F"/>
    <w:rsid w:val="009B2C43"/>
    <w:rsid w:val="009B4EAE"/>
    <w:rsid w:val="009B7573"/>
    <w:rsid w:val="009C22F4"/>
    <w:rsid w:val="009C2A4B"/>
    <w:rsid w:val="009C2E98"/>
    <w:rsid w:val="009C602D"/>
    <w:rsid w:val="009D1000"/>
    <w:rsid w:val="009D3447"/>
    <w:rsid w:val="009D4711"/>
    <w:rsid w:val="009D7855"/>
    <w:rsid w:val="009E0E76"/>
    <w:rsid w:val="009E4DB6"/>
    <w:rsid w:val="009E760B"/>
    <w:rsid w:val="009F1185"/>
    <w:rsid w:val="009F18CD"/>
    <w:rsid w:val="009F2A13"/>
    <w:rsid w:val="009F5540"/>
    <w:rsid w:val="009F7527"/>
    <w:rsid w:val="00A0013D"/>
    <w:rsid w:val="00A03369"/>
    <w:rsid w:val="00A04EB0"/>
    <w:rsid w:val="00A12E23"/>
    <w:rsid w:val="00A13CC1"/>
    <w:rsid w:val="00A16847"/>
    <w:rsid w:val="00A237D8"/>
    <w:rsid w:val="00A268C4"/>
    <w:rsid w:val="00A307CD"/>
    <w:rsid w:val="00A331C8"/>
    <w:rsid w:val="00A40A00"/>
    <w:rsid w:val="00A4142F"/>
    <w:rsid w:val="00A422EB"/>
    <w:rsid w:val="00A45BB7"/>
    <w:rsid w:val="00A5505F"/>
    <w:rsid w:val="00A56DF2"/>
    <w:rsid w:val="00A56E6E"/>
    <w:rsid w:val="00A67AB5"/>
    <w:rsid w:val="00A707A9"/>
    <w:rsid w:val="00A733B2"/>
    <w:rsid w:val="00A741C2"/>
    <w:rsid w:val="00A91760"/>
    <w:rsid w:val="00A93B00"/>
    <w:rsid w:val="00A93C21"/>
    <w:rsid w:val="00AB64C9"/>
    <w:rsid w:val="00AC2C86"/>
    <w:rsid w:val="00AC3C6A"/>
    <w:rsid w:val="00AD5620"/>
    <w:rsid w:val="00AD656B"/>
    <w:rsid w:val="00AD7C1B"/>
    <w:rsid w:val="00AE138F"/>
    <w:rsid w:val="00AE16BA"/>
    <w:rsid w:val="00AE1EBE"/>
    <w:rsid w:val="00AF0A50"/>
    <w:rsid w:val="00B03C9D"/>
    <w:rsid w:val="00B05E51"/>
    <w:rsid w:val="00B060AE"/>
    <w:rsid w:val="00B10517"/>
    <w:rsid w:val="00B14E76"/>
    <w:rsid w:val="00B161B8"/>
    <w:rsid w:val="00B2048C"/>
    <w:rsid w:val="00B310B9"/>
    <w:rsid w:val="00B35F3F"/>
    <w:rsid w:val="00B36CBB"/>
    <w:rsid w:val="00B425E0"/>
    <w:rsid w:val="00B440AA"/>
    <w:rsid w:val="00B44B70"/>
    <w:rsid w:val="00B5045D"/>
    <w:rsid w:val="00B53C56"/>
    <w:rsid w:val="00B57DAF"/>
    <w:rsid w:val="00B77EA6"/>
    <w:rsid w:val="00B81598"/>
    <w:rsid w:val="00B841F1"/>
    <w:rsid w:val="00B944D6"/>
    <w:rsid w:val="00B9767C"/>
    <w:rsid w:val="00BB4DF0"/>
    <w:rsid w:val="00BC289F"/>
    <w:rsid w:val="00BC2D50"/>
    <w:rsid w:val="00BC5361"/>
    <w:rsid w:val="00BC5460"/>
    <w:rsid w:val="00BC6B50"/>
    <w:rsid w:val="00BD0E25"/>
    <w:rsid w:val="00BE49B7"/>
    <w:rsid w:val="00BF5BD6"/>
    <w:rsid w:val="00C03E31"/>
    <w:rsid w:val="00C33E72"/>
    <w:rsid w:val="00C354B2"/>
    <w:rsid w:val="00C35554"/>
    <w:rsid w:val="00C42709"/>
    <w:rsid w:val="00C52575"/>
    <w:rsid w:val="00C533CC"/>
    <w:rsid w:val="00C5751C"/>
    <w:rsid w:val="00C57B4B"/>
    <w:rsid w:val="00C61BFC"/>
    <w:rsid w:val="00C62B85"/>
    <w:rsid w:val="00C65438"/>
    <w:rsid w:val="00C70B1E"/>
    <w:rsid w:val="00C87FD8"/>
    <w:rsid w:val="00C91381"/>
    <w:rsid w:val="00C91CBB"/>
    <w:rsid w:val="00CB4E70"/>
    <w:rsid w:val="00CC09B6"/>
    <w:rsid w:val="00CC666F"/>
    <w:rsid w:val="00CC6BAC"/>
    <w:rsid w:val="00CD1E3F"/>
    <w:rsid w:val="00CD63E0"/>
    <w:rsid w:val="00CE44F6"/>
    <w:rsid w:val="00CE49DA"/>
    <w:rsid w:val="00CE7B61"/>
    <w:rsid w:val="00CF6DC6"/>
    <w:rsid w:val="00D00095"/>
    <w:rsid w:val="00D11415"/>
    <w:rsid w:val="00D114F0"/>
    <w:rsid w:val="00D20620"/>
    <w:rsid w:val="00D254F7"/>
    <w:rsid w:val="00D26091"/>
    <w:rsid w:val="00D2685C"/>
    <w:rsid w:val="00D3317D"/>
    <w:rsid w:val="00D34E7C"/>
    <w:rsid w:val="00D34F17"/>
    <w:rsid w:val="00D35489"/>
    <w:rsid w:val="00D36AFE"/>
    <w:rsid w:val="00D51276"/>
    <w:rsid w:val="00D51FCA"/>
    <w:rsid w:val="00D5702F"/>
    <w:rsid w:val="00D7035F"/>
    <w:rsid w:val="00D96F96"/>
    <w:rsid w:val="00DA634F"/>
    <w:rsid w:val="00DA65AC"/>
    <w:rsid w:val="00DB0FFC"/>
    <w:rsid w:val="00DB1913"/>
    <w:rsid w:val="00DC410D"/>
    <w:rsid w:val="00DC4B63"/>
    <w:rsid w:val="00DC5A81"/>
    <w:rsid w:val="00DC68CA"/>
    <w:rsid w:val="00DC7CBA"/>
    <w:rsid w:val="00DD73B7"/>
    <w:rsid w:val="00DE6266"/>
    <w:rsid w:val="00DF06E2"/>
    <w:rsid w:val="00DF28BC"/>
    <w:rsid w:val="00DF34B9"/>
    <w:rsid w:val="00E01053"/>
    <w:rsid w:val="00E042C8"/>
    <w:rsid w:val="00E07ACF"/>
    <w:rsid w:val="00E22135"/>
    <w:rsid w:val="00E229AC"/>
    <w:rsid w:val="00E331A1"/>
    <w:rsid w:val="00E33202"/>
    <w:rsid w:val="00E336A9"/>
    <w:rsid w:val="00E35B9E"/>
    <w:rsid w:val="00E419F8"/>
    <w:rsid w:val="00E472B1"/>
    <w:rsid w:val="00E50624"/>
    <w:rsid w:val="00E5285B"/>
    <w:rsid w:val="00E567B6"/>
    <w:rsid w:val="00E568DF"/>
    <w:rsid w:val="00E64269"/>
    <w:rsid w:val="00E65242"/>
    <w:rsid w:val="00E82267"/>
    <w:rsid w:val="00E853CE"/>
    <w:rsid w:val="00E867B6"/>
    <w:rsid w:val="00EA010F"/>
    <w:rsid w:val="00EA15DB"/>
    <w:rsid w:val="00ED1B63"/>
    <w:rsid w:val="00ED3C1F"/>
    <w:rsid w:val="00ED4085"/>
    <w:rsid w:val="00ED420E"/>
    <w:rsid w:val="00ED4A47"/>
    <w:rsid w:val="00ED6FBE"/>
    <w:rsid w:val="00EE2515"/>
    <w:rsid w:val="00EE2F57"/>
    <w:rsid w:val="00EF39C0"/>
    <w:rsid w:val="00EF4C34"/>
    <w:rsid w:val="00EF77C6"/>
    <w:rsid w:val="00F05438"/>
    <w:rsid w:val="00F111D1"/>
    <w:rsid w:val="00F1301C"/>
    <w:rsid w:val="00F1361C"/>
    <w:rsid w:val="00F156F0"/>
    <w:rsid w:val="00F160C7"/>
    <w:rsid w:val="00F2408F"/>
    <w:rsid w:val="00F240E9"/>
    <w:rsid w:val="00F267FF"/>
    <w:rsid w:val="00F36D8F"/>
    <w:rsid w:val="00F417B1"/>
    <w:rsid w:val="00F45853"/>
    <w:rsid w:val="00F602DF"/>
    <w:rsid w:val="00F65567"/>
    <w:rsid w:val="00F754A1"/>
    <w:rsid w:val="00F774F0"/>
    <w:rsid w:val="00F817CC"/>
    <w:rsid w:val="00F81FD9"/>
    <w:rsid w:val="00F841AA"/>
    <w:rsid w:val="00F84A94"/>
    <w:rsid w:val="00F86A4E"/>
    <w:rsid w:val="00F87E96"/>
    <w:rsid w:val="00FA23E8"/>
    <w:rsid w:val="00FC65BE"/>
    <w:rsid w:val="00FD3CC1"/>
    <w:rsid w:val="00FF1E02"/>
    <w:rsid w:val="00FF30B4"/>
    <w:rsid w:val="015975B8"/>
    <w:rsid w:val="02143E91"/>
    <w:rsid w:val="066E0107"/>
    <w:rsid w:val="07996F6E"/>
    <w:rsid w:val="0A2032A3"/>
    <w:rsid w:val="0F98263C"/>
    <w:rsid w:val="101860EC"/>
    <w:rsid w:val="10C055FF"/>
    <w:rsid w:val="118107EC"/>
    <w:rsid w:val="13D50BC4"/>
    <w:rsid w:val="16BB723D"/>
    <w:rsid w:val="1BE8440E"/>
    <w:rsid w:val="1D155CEE"/>
    <w:rsid w:val="1EC7098C"/>
    <w:rsid w:val="1FF35744"/>
    <w:rsid w:val="23860B96"/>
    <w:rsid w:val="240371BF"/>
    <w:rsid w:val="29FD04D3"/>
    <w:rsid w:val="2C8A61B5"/>
    <w:rsid w:val="2DF04E50"/>
    <w:rsid w:val="2F040D46"/>
    <w:rsid w:val="319F7F4E"/>
    <w:rsid w:val="3304709D"/>
    <w:rsid w:val="36AA5135"/>
    <w:rsid w:val="37087D63"/>
    <w:rsid w:val="376D39B2"/>
    <w:rsid w:val="37E16F03"/>
    <w:rsid w:val="38D469F0"/>
    <w:rsid w:val="3D98207C"/>
    <w:rsid w:val="3E78745D"/>
    <w:rsid w:val="44E268DA"/>
    <w:rsid w:val="4A627F82"/>
    <w:rsid w:val="4B0E749A"/>
    <w:rsid w:val="4B4F25DA"/>
    <w:rsid w:val="4BE068DB"/>
    <w:rsid w:val="4D577224"/>
    <w:rsid w:val="4EAB630A"/>
    <w:rsid w:val="4ECE2238"/>
    <w:rsid w:val="537E6D0A"/>
    <w:rsid w:val="5AF92295"/>
    <w:rsid w:val="5CD71FC4"/>
    <w:rsid w:val="6C4A05C8"/>
    <w:rsid w:val="6D8276B5"/>
    <w:rsid w:val="6E7E3605"/>
    <w:rsid w:val="6FF5CC65"/>
    <w:rsid w:val="715C0E4B"/>
    <w:rsid w:val="72734D90"/>
    <w:rsid w:val="73AD73D5"/>
    <w:rsid w:val="73B6EB34"/>
    <w:rsid w:val="744731E5"/>
    <w:rsid w:val="76E3355F"/>
    <w:rsid w:val="778769C8"/>
    <w:rsid w:val="79EE5BA4"/>
    <w:rsid w:val="7A894339"/>
    <w:rsid w:val="7EEF11D3"/>
    <w:rsid w:val="7FA30C79"/>
    <w:rsid w:val="7FB7269E"/>
    <w:rsid w:val="7FC96657"/>
    <w:rsid w:val="D8D6DB89"/>
    <w:rsid w:val="DB6F4CAB"/>
    <w:rsid w:val="DF6F9789"/>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9"/>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30"/>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3"/>
    <w:unhideWhenUsed/>
    <w:qFormat/>
    <w:uiPriority w:val="9"/>
    <w:pPr>
      <w:keepNext/>
      <w:keepLines/>
      <w:spacing w:before="260" w:after="260" w:line="416" w:lineRule="auto"/>
      <w:outlineLvl w:val="2"/>
    </w:pPr>
    <w:rPr>
      <w:b/>
      <w:bCs/>
      <w:sz w:val="32"/>
      <w:szCs w:val="32"/>
    </w:rPr>
  </w:style>
  <w:style w:type="character" w:default="1" w:styleId="16">
    <w:name w:val="Default Paragraph Font"/>
    <w:semiHidden/>
    <w:unhideWhenUsed/>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6"/>
    <w:qFormat/>
    <w:uiPriority w:val="99"/>
    <w:pPr>
      <w:spacing w:beforeLines="30"/>
    </w:pPr>
    <w:rPr>
      <w:rFonts w:ascii="仿宋_GB2312" w:eastAsia="仿宋_GB2312"/>
      <w:kern w:val="0"/>
      <w:sz w:val="30"/>
    </w:rPr>
  </w:style>
  <w:style w:type="paragraph" w:styleId="6">
    <w:name w:val="Body Text Indent"/>
    <w:basedOn w:val="1"/>
    <w:qFormat/>
    <w:uiPriority w:val="0"/>
    <w:pPr>
      <w:spacing w:after="120"/>
      <w:ind w:left="200" w:leftChars="200"/>
    </w:pPr>
    <w:rPr>
      <w:rFonts w:ascii="仿宋_GB2312"/>
      <w:szCs w:val="32"/>
    </w:rPr>
  </w:style>
  <w:style w:type="paragraph" w:styleId="7">
    <w:name w:val="toc 3"/>
    <w:basedOn w:val="1"/>
    <w:next w:val="1"/>
    <w:unhideWhenUsed/>
    <w:qFormat/>
    <w:uiPriority w:val="39"/>
    <w:pPr>
      <w:tabs>
        <w:tab w:val="right" w:leader="dot" w:pos="8296"/>
      </w:tabs>
      <w:ind w:left="840" w:leftChars="400"/>
    </w:pPr>
  </w:style>
  <w:style w:type="paragraph" w:styleId="8">
    <w:name w:val="Balloon Text"/>
    <w:basedOn w:val="1"/>
    <w:link w:val="32"/>
    <w:semiHidden/>
    <w:unhideWhenUsed/>
    <w:qFormat/>
    <w:uiPriority w:val="99"/>
    <w:rPr>
      <w:sz w:val="18"/>
      <w:szCs w:val="18"/>
    </w:rPr>
  </w:style>
  <w:style w:type="paragraph" w:styleId="9">
    <w:name w:val="footer"/>
    <w:basedOn w:val="1"/>
    <w:link w:val="24"/>
    <w:qFormat/>
    <w:uiPriority w:val="99"/>
    <w:pPr>
      <w:tabs>
        <w:tab w:val="center" w:pos="4153"/>
        <w:tab w:val="right" w:pos="8306"/>
      </w:tabs>
      <w:snapToGrid w:val="0"/>
      <w:jc w:val="left"/>
    </w:pPr>
    <w:rPr>
      <w:rFonts w:ascii="Calibri" w:hAnsi="Calibri"/>
      <w:kern w:val="0"/>
      <w:sz w:val="18"/>
      <w:szCs w:val="18"/>
    </w:rPr>
  </w:style>
  <w:style w:type="paragraph" w:styleId="10">
    <w:name w:val="header"/>
    <w:basedOn w:val="1"/>
    <w:link w:val="22"/>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1">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2">
    <w:name w:val="toc 2"/>
    <w:basedOn w:val="1"/>
    <w:next w:val="1"/>
    <w:unhideWhenUsed/>
    <w:qFormat/>
    <w:uiPriority w:val="39"/>
    <w:pPr>
      <w:tabs>
        <w:tab w:val="right" w:leader="dot" w:pos="8296"/>
      </w:tabs>
      <w:ind w:left="420" w:leftChars="200"/>
    </w:pPr>
  </w:style>
  <w:style w:type="paragraph" w:styleId="13">
    <w:name w:val="Normal (Web)"/>
    <w:basedOn w:val="1"/>
    <w:qFormat/>
    <w:uiPriority w:val="0"/>
    <w:pPr>
      <w:jc w:val="left"/>
    </w:pPr>
    <w:rPr>
      <w:rFonts w:eastAsia="方正仿宋简体"/>
      <w:kern w:val="0"/>
      <w:sz w:val="24"/>
      <w:szCs w:val="22"/>
    </w:rPr>
  </w:style>
  <w:style w:type="paragraph" w:styleId="14">
    <w:name w:val="Body Text First Indent 2"/>
    <w:basedOn w:val="6"/>
    <w:unhideWhenUsed/>
    <w:qFormat/>
    <w:uiPriority w:val="99"/>
    <w:pPr>
      <w:ind w:firstLine="420" w:firstLineChars="200"/>
    </w:pPr>
  </w:style>
  <w:style w:type="character" w:styleId="17">
    <w:name w:val="Strong"/>
    <w:basedOn w:val="16"/>
    <w:qFormat/>
    <w:uiPriority w:val="99"/>
    <w:rPr>
      <w:b/>
    </w:rPr>
  </w:style>
  <w:style w:type="character" w:styleId="18">
    <w:name w:val="FollowedHyperlink"/>
    <w:basedOn w:val="16"/>
    <w:semiHidden/>
    <w:unhideWhenUsed/>
    <w:uiPriority w:val="99"/>
    <w:rPr>
      <w:color w:val="954F72"/>
      <w:u w:val="single"/>
    </w:rPr>
  </w:style>
  <w:style w:type="character" w:styleId="19">
    <w:name w:val="Hyperlink"/>
    <w:basedOn w:val="16"/>
    <w:unhideWhenUsed/>
    <w:qFormat/>
    <w:uiPriority w:val="99"/>
    <w:rPr>
      <w:color w:val="0000FF" w:themeColor="hyperlink"/>
      <w:u w:val="single"/>
    </w:rPr>
  </w:style>
  <w:style w:type="paragraph" w:customStyle="1" w:styleId="20">
    <w:name w:val="标题 5（有编号）（绿盟科技）"/>
    <w:next w:val="1"/>
    <w:qFormat/>
    <w:uiPriority w:val="99"/>
    <w:pPr>
      <w:keepNext/>
      <w:keepLines/>
      <w:widowControl w:val="0"/>
      <w:spacing w:before="280" w:after="156" w:line="377" w:lineRule="auto"/>
      <w:outlineLvl w:val="4"/>
    </w:pPr>
    <w:rPr>
      <w:rFonts w:ascii="Arial" w:hAnsi="Arial" w:eastAsia="黑体" w:cs="Times New Roman"/>
      <w:b/>
      <w:kern w:val="2"/>
      <w:sz w:val="24"/>
      <w:szCs w:val="28"/>
      <w:lang w:val="en-US" w:eastAsia="zh-CN" w:bidi="ar-SA"/>
    </w:rPr>
  </w:style>
  <w:style w:type="character" w:customStyle="1" w:styleId="21">
    <w:name w:val="Header Char"/>
    <w:basedOn w:val="16"/>
    <w:semiHidden/>
    <w:qFormat/>
    <w:uiPriority w:val="99"/>
    <w:rPr>
      <w:rFonts w:ascii="Times New Roman" w:hAnsi="Times New Roman"/>
      <w:sz w:val="18"/>
      <w:szCs w:val="18"/>
    </w:rPr>
  </w:style>
  <w:style w:type="character" w:customStyle="1" w:styleId="22">
    <w:name w:val="页眉 Char"/>
    <w:link w:val="10"/>
    <w:semiHidden/>
    <w:qFormat/>
    <w:locked/>
    <w:uiPriority w:val="99"/>
    <w:rPr>
      <w:sz w:val="18"/>
    </w:rPr>
  </w:style>
  <w:style w:type="character" w:customStyle="1" w:styleId="23">
    <w:name w:val="Footer Char"/>
    <w:basedOn w:val="16"/>
    <w:semiHidden/>
    <w:qFormat/>
    <w:uiPriority w:val="99"/>
    <w:rPr>
      <w:rFonts w:ascii="Times New Roman" w:hAnsi="Times New Roman"/>
      <w:sz w:val="18"/>
      <w:szCs w:val="18"/>
    </w:rPr>
  </w:style>
  <w:style w:type="character" w:customStyle="1" w:styleId="24">
    <w:name w:val="页脚 Char"/>
    <w:link w:val="9"/>
    <w:qFormat/>
    <w:locked/>
    <w:uiPriority w:val="99"/>
    <w:rPr>
      <w:sz w:val="18"/>
    </w:rPr>
  </w:style>
  <w:style w:type="character" w:customStyle="1" w:styleId="25">
    <w:name w:val="Body Text Char"/>
    <w:basedOn w:val="16"/>
    <w:semiHidden/>
    <w:qFormat/>
    <w:uiPriority w:val="99"/>
    <w:rPr>
      <w:rFonts w:ascii="Times New Roman" w:hAnsi="Times New Roman"/>
      <w:szCs w:val="24"/>
    </w:rPr>
  </w:style>
  <w:style w:type="character" w:customStyle="1" w:styleId="26">
    <w:name w:val="正文文本 Char"/>
    <w:link w:val="2"/>
    <w:qFormat/>
    <w:locked/>
    <w:uiPriority w:val="99"/>
    <w:rPr>
      <w:rFonts w:ascii="仿宋_GB2312" w:hAnsi="Times New Roman" w:eastAsia="仿宋_GB2312"/>
      <w:sz w:val="24"/>
    </w:rPr>
  </w:style>
  <w:style w:type="paragraph" w:customStyle="1" w:styleId="27">
    <w:name w:val="Default"/>
    <w:qFormat/>
    <w:uiPriority w:val="0"/>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8">
    <w:name w:val="List Paragraph"/>
    <w:basedOn w:val="1"/>
    <w:qFormat/>
    <w:uiPriority w:val="99"/>
    <w:pPr>
      <w:ind w:firstLine="420" w:firstLineChars="200"/>
    </w:pPr>
  </w:style>
  <w:style w:type="character" w:customStyle="1" w:styleId="29">
    <w:name w:val="标题 1 Char"/>
    <w:basedOn w:val="16"/>
    <w:link w:val="3"/>
    <w:qFormat/>
    <w:uiPriority w:val="9"/>
    <w:rPr>
      <w:rFonts w:ascii="Times New Roman" w:hAnsi="Times New Roman"/>
      <w:b/>
      <w:bCs/>
      <w:kern w:val="44"/>
      <w:sz w:val="44"/>
      <w:szCs w:val="44"/>
    </w:rPr>
  </w:style>
  <w:style w:type="character" w:customStyle="1" w:styleId="30">
    <w:name w:val="标题 2 Char"/>
    <w:basedOn w:val="16"/>
    <w:link w:val="4"/>
    <w:qFormat/>
    <w:uiPriority w:val="9"/>
    <w:rPr>
      <w:rFonts w:asciiTheme="majorHAnsi" w:hAnsiTheme="majorHAnsi" w:eastAsiaTheme="majorEastAsia" w:cstheme="majorBidi"/>
      <w:b/>
      <w:bCs/>
      <w:kern w:val="2"/>
      <w:sz w:val="32"/>
      <w:szCs w:val="32"/>
    </w:rPr>
  </w:style>
  <w:style w:type="paragraph" w:customStyle="1" w:styleId="31">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32">
    <w:name w:val="批注框文本 Char"/>
    <w:basedOn w:val="16"/>
    <w:link w:val="8"/>
    <w:semiHidden/>
    <w:qFormat/>
    <w:uiPriority w:val="99"/>
    <w:rPr>
      <w:rFonts w:ascii="Times New Roman" w:hAnsi="Times New Roman"/>
      <w:kern w:val="2"/>
      <w:sz w:val="18"/>
      <w:szCs w:val="18"/>
    </w:rPr>
  </w:style>
  <w:style w:type="character" w:customStyle="1" w:styleId="33">
    <w:name w:val="标题 3 Char"/>
    <w:basedOn w:val="16"/>
    <w:link w:val="5"/>
    <w:qFormat/>
    <w:uiPriority w:val="9"/>
    <w:rPr>
      <w:rFonts w:ascii="Times New Roman" w:hAnsi="Times New Roman"/>
      <w:b/>
      <w:bCs/>
      <w:kern w:val="2"/>
      <w:sz w:val="32"/>
      <w:szCs w:val="32"/>
    </w:rPr>
  </w:style>
  <w:style w:type="paragraph" w:customStyle="1" w:styleId="34">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paragraph" w:customStyle="1" w:styleId="35">
    <w:name w:val="四号正文"/>
    <w:basedOn w:val="1"/>
    <w:qFormat/>
    <w:uiPriority w:val="0"/>
    <w:pPr>
      <w:spacing w:line="360" w:lineRule="auto"/>
    </w:pPr>
    <w:rPr>
      <w:rFonts w:ascii="??" w:hAnsi="??"/>
      <w:color w:val="000000"/>
      <w:kern w:val="0"/>
      <w:sz w:val="28"/>
      <w:szCs w:val="21"/>
      <w:lang w:val="zh-CN"/>
    </w:rPr>
  </w:style>
  <w:style w:type="paragraph" w:customStyle="1" w:styleId="36">
    <w:name w:val="TOC 标题3"/>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66091" w:themeColor="accent1" w:themeShade="BF"/>
      <w:kern w:val="0"/>
      <w:sz w:val="32"/>
      <w:szCs w:val="32"/>
    </w:rPr>
  </w:style>
  <w:style w:type="paragraph" w:customStyle="1" w:styleId="37">
    <w:name w:val="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38">
    <w:name w:val="font5"/>
    <w:basedOn w:val="1"/>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39">
    <w:name w:val="xl6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color w:val="000000"/>
      <w:kern w:val="0"/>
      <w:sz w:val="18"/>
      <w:szCs w:val="18"/>
    </w:rPr>
  </w:style>
  <w:style w:type="paragraph" w:customStyle="1" w:styleId="40">
    <w:name w:val="xl64"/>
    <w:basedOn w:val="1"/>
    <w:qFormat/>
    <w:uiPriority w:val="0"/>
    <w:pPr>
      <w:widowControl/>
      <w:spacing w:before="100" w:beforeAutospacing="1" w:after="100" w:afterAutospacing="1"/>
      <w:jc w:val="left"/>
    </w:pPr>
    <w:rPr>
      <w:rFonts w:ascii="Courier New" w:hAnsi="Courier New" w:cs="Courier New"/>
      <w:color w:val="000000"/>
      <w:kern w:val="0"/>
      <w:sz w:val="18"/>
      <w:szCs w:val="18"/>
    </w:rPr>
  </w:style>
  <w:style w:type="paragraph" w:customStyle="1" w:styleId="41">
    <w:name w:val="xl6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kern w:val="0"/>
      <w:sz w:val="18"/>
      <w:szCs w:val="18"/>
    </w:rPr>
  </w:style>
  <w:style w:type="paragraph" w:customStyle="1" w:styleId="42">
    <w:name w:val="xl6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kern w:val="0"/>
      <w:sz w:val="18"/>
      <w:szCs w:val="18"/>
    </w:rPr>
  </w:style>
  <w:style w:type="paragraph" w:customStyle="1" w:styleId="43">
    <w:name w:val="xl6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kern w:val="0"/>
      <w:sz w:val="18"/>
      <w:szCs w:val="18"/>
    </w:rPr>
  </w:style>
  <w:style w:type="paragraph" w:customStyle="1" w:styleId="44">
    <w:name w:val="xl6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微软雅黑" w:hAnsi="微软雅黑" w:eastAsia="微软雅黑" w:cs="宋体"/>
      <w:i/>
      <w:iCs/>
      <w:color w:val="000000"/>
      <w:kern w:val="0"/>
      <w:sz w:val="16"/>
      <w:szCs w:val="16"/>
    </w:rPr>
  </w:style>
  <w:style w:type="paragraph" w:customStyle="1" w:styleId="45">
    <w:name w:val="xl69"/>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46">
    <w:name w:val="xl70"/>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黑体" w:hAnsi="黑体" w:eastAsia="黑体" w:cs="宋体"/>
      <w:b/>
      <w:bCs/>
      <w:color w:val="000000"/>
      <w:kern w:val="0"/>
      <w:sz w:val="30"/>
      <w:szCs w:val="30"/>
    </w:rPr>
  </w:style>
  <w:style w:type="paragraph" w:customStyle="1" w:styleId="47">
    <w:name w:val="xl7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Courier New" w:hAnsi="Courier New" w:cs="Courier New"/>
      <w:color w:val="000000"/>
      <w:kern w:val="0"/>
      <w:sz w:val="18"/>
      <w:szCs w:val="18"/>
    </w:rPr>
  </w:style>
  <w:style w:type="paragraph" w:customStyle="1" w:styleId="48">
    <w:name w:val="xl7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Courier New" w:hAnsi="Courier New" w:cs="Courier New"/>
      <w:color w:val="000000"/>
      <w:kern w:val="0"/>
      <w:sz w:val="18"/>
      <w:szCs w:val="18"/>
    </w:rPr>
  </w:style>
  <w:style w:type="paragraph" w:customStyle="1" w:styleId="49">
    <w:name w:val="xl7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Courier New" w:hAnsi="Courier New" w:cs="Courier New"/>
      <w:i/>
      <w:iCs/>
      <w:color w:val="000000"/>
      <w:kern w:val="0"/>
      <w:sz w:val="18"/>
      <w:szCs w:val="18"/>
    </w:rPr>
  </w:style>
  <w:style w:type="paragraph" w:customStyle="1" w:styleId="50">
    <w:name w:val="xl74"/>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微软雅黑" w:hAnsi="微软雅黑" w:eastAsia="微软雅黑" w:cs="宋体"/>
      <w:i/>
      <w:iCs/>
      <w:color w:val="000000"/>
      <w:kern w:val="0"/>
      <w:sz w:val="16"/>
      <w:szCs w:val="16"/>
    </w:rPr>
  </w:style>
  <w:style w:type="paragraph" w:customStyle="1" w:styleId="51">
    <w:name w:val="正文 New New New"/>
    <w:qFormat/>
    <w:uiPriority w:val="0"/>
    <w:pPr>
      <w:widowControl w:val="0"/>
      <w:jc w:val="both"/>
    </w:pPr>
    <w:rPr>
      <w:rFonts w:ascii="Calibri" w:hAnsi="Calibri" w:eastAsia="宋体" w:cs="黑体"/>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numbering" Target="numbering.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file:///D:\2023&#24180;\&#36130;&#25919;&#23616;\2022&#24180;&#20915;&#31639;&#20844;&#24320;\2022&#24180;&#20915;&#31639;&#20844;&#24320;&#35828;&#26126;&#21450;&#34920;\&#26032;&#24314;%20Microsoft%20Office%20Excel%20&#24037;&#20316;&#34920;.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2023&#24180;\&#36130;&#25919;&#23616;\2022&#24180;&#20915;&#31639;&#20844;&#24320;\2022&#24180;&#20915;&#31639;&#20844;&#24320;&#35828;&#26126;&#21450;&#34920;\&#26032;&#24314;%20Microsoft%20Office%20Excel%20&#24037;&#20316;&#34920;.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2023&#24180;\&#36130;&#25919;&#23616;\2022&#24180;&#20915;&#31639;&#20844;&#24320;\2022&#24180;&#20915;&#31639;&#20844;&#24320;&#35828;&#26126;&#21450;&#34920;\&#26032;&#24314;%20Microsoft%20Office%20Excel%20&#24037;&#20316;&#34920;.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D:\2023&#24180;\&#36130;&#25919;&#23616;\2022&#24180;&#20915;&#31639;&#20844;&#24320;\2022&#24180;&#20915;&#31639;&#20844;&#24320;&#35828;&#26126;&#21450;&#34920;\&#26032;&#24314;%20Microsoft%20Office%20Excel%20&#24037;&#20316;&#34920;.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D:\2023&#24180;\&#36130;&#25919;&#23616;\2022&#24180;&#20915;&#31639;&#20844;&#24320;\2022&#24180;&#20915;&#31639;&#20844;&#24320;&#35828;&#26126;&#21450;&#34920;\&#26032;&#24314;%20Microsoft%20Office%20Excel%20&#24037;&#20316;&#34920;.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D:\2023&#24180;\&#36130;&#25919;&#23616;\2022&#24180;&#20915;&#31639;&#20844;&#24320;\2022&#24180;&#20915;&#31639;&#20844;&#24320;&#35828;&#26126;&#21450;&#34920;\&#26032;&#24314;%20Microsoft%20Office%20Excel%20&#24037;&#20316;&#34920;.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D:\2023&#24180;\&#36130;&#25919;&#23616;\2022&#24180;&#20915;&#31639;&#20844;&#24320;\2022&#24180;&#20915;&#31639;&#20844;&#24320;&#35828;&#26126;&#21450;&#34920;\&#26032;&#24314;%20Microsoft%20Office%20Excel%20&#24037;&#20316;&#3492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en-US"/>
              <a:t>收、支决算总计变动情况 单位：万元</a:t>
            </a:r>
            <a:endParaRPr lang="zh-CN" altLang="en-US"/>
          </a:p>
        </c:rich>
      </c:tx>
      <c:layout/>
      <c:overlay val="0"/>
    </c:title>
    <c:autoTitleDeleted val="0"/>
    <c:plotArea>
      <c:layout/>
      <c:barChart>
        <c:barDir val="col"/>
        <c:grouping val="clustered"/>
        <c:varyColors val="0"/>
        <c:ser>
          <c:idx val="0"/>
          <c:order val="0"/>
          <c:tx>
            <c:strRef>
              <c:f>Sheet1!$B$1:$B$2</c:f>
              <c:strCache>
                <c:ptCount val="1"/>
                <c:pt idx="0">
                  <c:v>收、支决算总计变动情况 金额（万元）</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Sheet1!$A$3:$A$5</c:f>
              <c:strCache>
                <c:ptCount val="3"/>
                <c:pt idx="0">
                  <c:v>2021年</c:v>
                </c:pt>
                <c:pt idx="1">
                  <c:v>2022年</c:v>
                </c:pt>
                <c:pt idx="2">
                  <c:v>2022年减少额</c:v>
                </c:pt>
              </c:strCache>
            </c:strRef>
          </c:cat>
          <c:val>
            <c:numRef>
              <c:f>Sheet1!$B$3:$B$5</c:f>
              <c:numCache>
                <c:formatCode>General</c:formatCode>
                <c:ptCount val="3"/>
                <c:pt idx="0">
                  <c:v>1503.34</c:v>
                </c:pt>
                <c:pt idx="1">
                  <c:v>1406.19</c:v>
                </c:pt>
                <c:pt idx="2">
                  <c:v>97.15</c:v>
                </c:pt>
              </c:numCache>
            </c:numRef>
          </c:val>
        </c:ser>
        <c:dLbls>
          <c:showLegendKey val="0"/>
          <c:showVal val="1"/>
          <c:showCatName val="0"/>
          <c:showSerName val="0"/>
          <c:showPercent val="0"/>
          <c:showBubbleSize val="0"/>
        </c:dLbls>
        <c:gapWidth val="150"/>
        <c:axId val="140004352"/>
        <c:axId val="140006912"/>
      </c:barChart>
      <c:catAx>
        <c:axId val="140004352"/>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40006912"/>
        <c:crosses val="autoZero"/>
        <c:auto val="1"/>
        <c:lblAlgn val="ctr"/>
        <c:lblOffset val="100"/>
        <c:noMultiLvlLbl val="0"/>
      </c:catAx>
      <c:valAx>
        <c:axId val="140006912"/>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40004352"/>
        <c:crosses val="autoZero"/>
        <c:crossBetween val="between"/>
      </c:valAx>
    </c:plotArea>
    <c:plotVisOnly val="1"/>
    <c:dispBlanksAs val="gap"/>
    <c:showDLblsOverMax val="0"/>
  </c:chart>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en-US"/>
              <a:t>收入决算结构图             </a:t>
            </a:r>
            <a:r>
              <a:rPr lang="zh-CN" altLang="en-US" sz="1050"/>
              <a:t>单位：万元</a:t>
            </a:r>
            <a:endParaRPr lang="zh-CN" altLang="en-US" sz="1050"/>
          </a:p>
        </c:rich>
      </c:tx>
      <c:layout/>
      <c:overlay val="0"/>
    </c:title>
    <c:autoTitleDeleted val="0"/>
    <c:plotArea>
      <c:layout/>
      <c:pieChart>
        <c:varyColors val="1"/>
        <c:ser>
          <c:idx val="0"/>
          <c:order val="0"/>
          <c:tx>
            <c:strRef>
              <c:f>Sheet6!$B$1:$B$2</c:f>
              <c:strCache>
                <c:ptCount val="1"/>
                <c:pt idx="0">
                  <c:v>收入决算结构图 单位：万元</c:v>
                </c:pt>
              </c:strCache>
            </c:strRef>
          </c:tx>
          <c:explosion val="0"/>
          <c:dPt>
            <c:idx val="0"/>
            <c:bubble3D val="0"/>
          </c:dPt>
          <c:dPt>
            <c:idx val="1"/>
            <c:bubble3D val="0"/>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ext>
            </c:extLst>
          </c:dLbls>
          <c:cat>
            <c:strRef>
              <c:f>Sheet6!$A$3:$A$4</c:f>
              <c:strCache>
                <c:ptCount val="2"/>
                <c:pt idx="0">
                  <c:v>：一般公共预算财政拨款收入</c:v>
                </c:pt>
                <c:pt idx="1">
                  <c:v>政府性基金预算财政拨款收入</c:v>
                </c:pt>
              </c:strCache>
            </c:strRef>
          </c:cat>
          <c:val>
            <c:numRef>
              <c:f>Sheet6!$B$3:$B$4</c:f>
              <c:numCache>
                <c:formatCode>General</c:formatCode>
                <c:ptCount val="2"/>
                <c:pt idx="0">
                  <c:v>1394.14</c:v>
                </c:pt>
                <c:pt idx="1">
                  <c:v>4.09</c:v>
                </c:pt>
              </c:numCache>
            </c:numRef>
          </c:val>
        </c:ser>
        <c:dLbls>
          <c:showLegendKey val="0"/>
          <c:showVal val="1"/>
          <c:showCatName val="0"/>
          <c:showSerName val="0"/>
          <c:showPercent val="0"/>
          <c:showBubbleSize val="0"/>
          <c:showLeaderLines val="1"/>
        </c:dLbls>
        <c:firstSliceAng val="0"/>
      </c:pieChart>
    </c:plotArea>
    <c:legend>
      <c:legendPos val="b"/>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en-US"/>
              <a:t>本年支出决算结构图     </a:t>
            </a:r>
            <a:r>
              <a:rPr lang="zh-CN" altLang="en-US" sz="1050"/>
              <a:t>单位：万元</a:t>
            </a:r>
            <a:endParaRPr lang="zh-CN" altLang="en-US" sz="1050"/>
          </a:p>
        </c:rich>
      </c:tx>
      <c:layout/>
      <c:overlay val="0"/>
    </c:title>
    <c:autoTitleDeleted val="0"/>
    <c:plotArea>
      <c:layout/>
      <c:pieChart>
        <c:varyColors val="1"/>
        <c:ser>
          <c:idx val="0"/>
          <c:order val="0"/>
          <c:tx>
            <c:strRef>
              <c:f>Sheet4!$B$1:$B$2</c:f>
              <c:strCache>
                <c:ptCount val="1"/>
                <c:pt idx="0">
                  <c:v>本年支出合计  单位：万元</c:v>
                </c:pt>
              </c:strCache>
            </c:strRef>
          </c:tx>
          <c:explosion val="0"/>
          <c:dPt>
            <c:idx val="0"/>
            <c:bubble3D val="0"/>
          </c:dPt>
          <c:dPt>
            <c:idx val="1"/>
            <c:bubble3D val="0"/>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ext>
            </c:extLst>
          </c:dLbls>
          <c:cat>
            <c:strRef>
              <c:f>Sheet4!$A$3:$A$4</c:f>
              <c:strCache>
                <c:ptCount val="2"/>
                <c:pt idx="0">
                  <c:v>基本支出</c:v>
                </c:pt>
                <c:pt idx="1">
                  <c:v>项目支出</c:v>
                </c:pt>
              </c:strCache>
            </c:strRef>
          </c:cat>
          <c:val>
            <c:numRef>
              <c:f>Sheet4!$B$3:$B$4</c:f>
              <c:numCache>
                <c:formatCode>General</c:formatCode>
                <c:ptCount val="2"/>
                <c:pt idx="0">
                  <c:v>1343.32</c:v>
                </c:pt>
                <c:pt idx="1">
                  <c:v>62.88</c:v>
                </c:pt>
              </c:numCache>
            </c:numRef>
          </c:val>
        </c:ser>
        <c:dLbls>
          <c:showLegendKey val="0"/>
          <c:showVal val="1"/>
          <c:showCatName val="0"/>
          <c:showSerName val="0"/>
          <c:showPercent val="0"/>
          <c:showBubbleSize val="0"/>
          <c:showLeaderLines val="1"/>
        </c:dLbls>
        <c:firstSliceAng val="0"/>
      </c:pieChart>
    </c:plotArea>
    <c:legend>
      <c:legendPos val="b"/>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en-US"/>
              <a:t>财政拨款收、支决算总计变动情况 单位：万元</a:t>
            </a:r>
            <a:endParaRPr lang="zh-CN" altLang="en-US"/>
          </a:p>
        </c:rich>
      </c:tx>
      <c:layout/>
      <c:overlay val="0"/>
    </c:title>
    <c:autoTitleDeleted val="0"/>
    <c:plotArea>
      <c:layout/>
      <c:barChart>
        <c:barDir val="col"/>
        <c:grouping val="clustered"/>
        <c:varyColors val="0"/>
        <c:ser>
          <c:idx val="0"/>
          <c:order val="0"/>
          <c:tx>
            <c:strRef>
              <c:f>Sheet2!$B$1:$B$2</c:f>
              <c:strCache>
                <c:ptCount val="1"/>
                <c:pt idx="0">
                  <c:v>财政拨款收、支决算总计变动情况 金额（万元）</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Sheet2!$A$3:$A$5</c:f>
              <c:strCache>
                <c:ptCount val="3"/>
                <c:pt idx="0">
                  <c:v>2021年</c:v>
                </c:pt>
                <c:pt idx="1">
                  <c:v>2022年</c:v>
                </c:pt>
                <c:pt idx="2">
                  <c:v>2022年减少额</c:v>
                </c:pt>
              </c:strCache>
            </c:strRef>
          </c:cat>
          <c:val>
            <c:numRef>
              <c:f>Sheet2!$B$3:$B$5</c:f>
              <c:numCache>
                <c:formatCode>General</c:formatCode>
                <c:ptCount val="3"/>
                <c:pt idx="0">
                  <c:v>1503.25</c:v>
                </c:pt>
                <c:pt idx="1">
                  <c:v>1406.19</c:v>
                </c:pt>
                <c:pt idx="2">
                  <c:v>97.06</c:v>
                </c:pt>
              </c:numCache>
            </c:numRef>
          </c:val>
        </c:ser>
        <c:dLbls>
          <c:showLegendKey val="0"/>
          <c:showVal val="1"/>
          <c:showCatName val="0"/>
          <c:showSerName val="0"/>
          <c:showPercent val="0"/>
          <c:showBubbleSize val="0"/>
        </c:dLbls>
        <c:gapWidth val="150"/>
        <c:axId val="255903232"/>
        <c:axId val="255904768"/>
      </c:barChart>
      <c:catAx>
        <c:axId val="255903232"/>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55904768"/>
        <c:crosses val="autoZero"/>
        <c:auto val="1"/>
        <c:lblAlgn val="ctr"/>
        <c:lblOffset val="100"/>
        <c:noMultiLvlLbl val="0"/>
      </c:catAx>
      <c:valAx>
        <c:axId val="255904768"/>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55903232"/>
        <c:crosses val="autoZero"/>
        <c:crossBetween val="between"/>
      </c:valAx>
    </c:plotArea>
    <c:plotVisOnly val="1"/>
    <c:dispBlanksAs val="gap"/>
    <c:showDLblsOverMax val="0"/>
  </c:chart>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en-US"/>
              <a:t>一般公共预算财政拨款支出决算变动情况       </a:t>
            </a:r>
            <a:r>
              <a:rPr lang="zh-CN" altLang="en-US" sz="1050"/>
              <a:t>单位：万元</a:t>
            </a:r>
            <a:endParaRPr lang="zh-CN" altLang="en-US" sz="1050"/>
          </a:p>
        </c:rich>
      </c:tx>
      <c:layout/>
      <c:overlay val="0"/>
    </c:title>
    <c:autoTitleDeleted val="0"/>
    <c:plotArea>
      <c:layout/>
      <c:barChart>
        <c:barDir val="col"/>
        <c:grouping val="clustered"/>
        <c:varyColors val="0"/>
        <c:ser>
          <c:idx val="0"/>
          <c:order val="0"/>
          <c:tx>
            <c:strRef>
              <c:f>Sheet3!$B$1:$B$2</c:f>
              <c:strCache>
                <c:ptCount val="1"/>
                <c:pt idx="0">
                  <c:v>一般公共预算财政拨款支出决算变动情况 金额万元）</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Sheet3!$A$3:$A$4</c:f>
              <c:strCache>
                <c:ptCount val="2"/>
                <c:pt idx="0">
                  <c:v>2021年</c:v>
                </c:pt>
                <c:pt idx="1">
                  <c:v>2022年</c:v>
                </c:pt>
              </c:strCache>
            </c:strRef>
          </c:cat>
          <c:val>
            <c:numRef>
              <c:f>Sheet3!$B$3:$B$4</c:f>
              <c:numCache>
                <c:formatCode>General</c:formatCode>
                <c:ptCount val="2"/>
                <c:pt idx="0">
                  <c:v>1494.45</c:v>
                </c:pt>
                <c:pt idx="1">
                  <c:v>1402.11</c:v>
                </c:pt>
              </c:numCache>
            </c:numRef>
          </c:val>
        </c:ser>
        <c:dLbls>
          <c:showLegendKey val="0"/>
          <c:showVal val="1"/>
          <c:showCatName val="0"/>
          <c:showSerName val="0"/>
          <c:showPercent val="0"/>
          <c:showBubbleSize val="0"/>
        </c:dLbls>
        <c:gapWidth val="150"/>
        <c:axId val="258898944"/>
        <c:axId val="259023616"/>
      </c:barChart>
      <c:catAx>
        <c:axId val="258898944"/>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59023616"/>
        <c:crosses val="autoZero"/>
        <c:auto val="1"/>
        <c:lblAlgn val="ctr"/>
        <c:lblOffset val="100"/>
        <c:noMultiLvlLbl val="0"/>
      </c:catAx>
      <c:valAx>
        <c:axId val="259023616"/>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58898944"/>
        <c:crosses val="autoZero"/>
        <c:crossBetween val="between"/>
      </c:valAx>
    </c:plotArea>
    <c:plotVisOnly val="1"/>
    <c:dispBlanksAs val="gap"/>
    <c:showDLblsOverMax val="0"/>
  </c:chart>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en-US"/>
              <a:t>一般公共预算财政拨款支出决算结构                                      </a:t>
            </a:r>
            <a:r>
              <a:rPr lang="zh-CN" altLang="en-US" sz="1100"/>
              <a:t>单位：万元</a:t>
            </a:r>
            <a:endParaRPr lang="zh-CN" altLang="en-US" sz="1100"/>
          </a:p>
        </c:rich>
      </c:tx>
      <c:layout>
        <c:manualLayout>
          <c:xMode val="edge"/>
          <c:yMode val="edge"/>
          <c:x val="0.0929860017497812"/>
          <c:y val="0.0462962962962964"/>
        </c:manualLayout>
      </c:layout>
      <c:overlay val="0"/>
    </c:title>
    <c:autoTitleDeleted val="0"/>
    <c:plotArea>
      <c:layout/>
      <c:pieChart>
        <c:varyColors val="1"/>
        <c:ser>
          <c:idx val="0"/>
          <c:order val="0"/>
          <c:tx>
            <c:strRef>
              <c:f>Sheet7!$B$1:$B$2</c:f>
              <c:strCache>
                <c:ptCount val="1"/>
                <c:pt idx="0">
                  <c:v>一般公共预算财政拨款支出决算结构 单位：万元</c:v>
                </c:pt>
              </c:strCache>
            </c:strRef>
          </c:tx>
          <c:explosion val="0"/>
          <c:dPt>
            <c:idx val="0"/>
            <c:bubble3D val="0"/>
          </c:dPt>
          <c:dPt>
            <c:idx val="1"/>
            <c:bubble3D val="0"/>
          </c:dPt>
          <c:dPt>
            <c:idx val="2"/>
            <c:bubble3D val="0"/>
          </c:dPt>
          <c:dPt>
            <c:idx val="3"/>
            <c:bubble3D val="0"/>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ext>
            </c:extLst>
          </c:dLbls>
          <c:cat>
            <c:strRef>
              <c:f>Sheet7!$A$3:$A$6</c:f>
              <c:strCache>
                <c:ptCount val="4"/>
                <c:pt idx="0">
                  <c:v>一般公共服务支出</c:v>
                </c:pt>
                <c:pt idx="1">
                  <c:v>社会保障和就业支出</c:v>
                </c:pt>
                <c:pt idx="2">
                  <c:v>卫生健康支出</c:v>
                </c:pt>
                <c:pt idx="3">
                  <c:v>住房保障支出</c:v>
                </c:pt>
              </c:strCache>
            </c:strRef>
          </c:cat>
          <c:val>
            <c:numRef>
              <c:f>Sheet7!$B$3:$B$6</c:f>
              <c:numCache>
                <c:formatCode>General</c:formatCode>
                <c:ptCount val="4"/>
                <c:pt idx="0">
                  <c:v>1088.43</c:v>
                </c:pt>
                <c:pt idx="1">
                  <c:v>130.77</c:v>
                </c:pt>
                <c:pt idx="2">
                  <c:v>75.38</c:v>
                </c:pt>
                <c:pt idx="3">
                  <c:v>107.53</c:v>
                </c:pt>
              </c:numCache>
            </c:numRef>
          </c:val>
        </c:ser>
        <c:dLbls>
          <c:showLegendKey val="0"/>
          <c:showVal val="1"/>
          <c:showCatName val="0"/>
          <c:showSerName val="0"/>
          <c:showPercent val="0"/>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en-US"/>
              <a:t>“三公”经费财政拨款支出结构     </a:t>
            </a:r>
            <a:r>
              <a:rPr lang="zh-CN" altLang="en-US" sz="1100"/>
              <a:t>单位：万元</a:t>
            </a:r>
            <a:endParaRPr lang="zh-CN" altLang="en-US" sz="1100"/>
          </a:p>
        </c:rich>
      </c:tx>
      <c:layout/>
      <c:overlay val="0"/>
    </c:title>
    <c:autoTitleDeleted val="0"/>
    <c:plotArea>
      <c:layout/>
      <c:pieChart>
        <c:varyColors val="1"/>
        <c:ser>
          <c:idx val="0"/>
          <c:order val="0"/>
          <c:tx>
            <c:strRef>
              <c:f>Sheet8!$B$1:$B$2</c:f>
              <c:strCache>
                <c:ptCount val="1"/>
                <c:pt idx="0">
                  <c:v>“三公”经费财政拨款支出结构 单位：万元</c:v>
                </c:pt>
              </c:strCache>
            </c:strRef>
          </c:tx>
          <c:explosion val="0"/>
          <c:dPt>
            <c:idx val="0"/>
            <c:bubble3D val="0"/>
          </c:dPt>
          <c:dPt>
            <c:idx val="1"/>
            <c:bubble3D val="0"/>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ext>
            </c:extLst>
          </c:dLbls>
          <c:cat>
            <c:strRef>
              <c:f>Sheet8!$A$3:$A$4</c:f>
              <c:strCache>
                <c:ptCount val="2"/>
                <c:pt idx="0">
                  <c:v>公务用车购置及运行维护费支出决算</c:v>
                </c:pt>
                <c:pt idx="1">
                  <c:v>公务接待费支出决算</c:v>
                </c:pt>
              </c:strCache>
            </c:strRef>
          </c:cat>
          <c:val>
            <c:numRef>
              <c:f>Sheet8!$B$3:$B$4</c:f>
              <c:numCache>
                <c:formatCode>General</c:formatCode>
                <c:ptCount val="2"/>
                <c:pt idx="0">
                  <c:v>3.06</c:v>
                </c:pt>
                <c:pt idx="1">
                  <c:v>0.35</c:v>
                </c:pt>
              </c:numCache>
            </c:numRef>
          </c:val>
        </c:ser>
        <c:dLbls>
          <c:showLegendKey val="0"/>
          <c:showVal val="1"/>
          <c:showCatName val="0"/>
          <c:showSerName val="0"/>
          <c:showPercent val="0"/>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254559-93CF-48BE-B031-A3CC7661D421}">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51</Pages>
  <Words>3510</Words>
  <Characters>20010</Characters>
  <Lines>166</Lines>
  <Paragraphs>46</Paragraphs>
  <TotalTime>360</TotalTime>
  <ScaleCrop>false</ScaleCrop>
  <LinksUpToDate>false</LinksUpToDate>
  <CharactersWithSpaces>23474</CharactersWithSpaces>
  <Application>WPS Office_11.8.6.11830_F1E327BC-269C-435d-A152-05C5408002CA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2020-08-05T01:49:00Z</dcterms:created>
  <dc:creator>曹颖</dc:creator>
  <cp:lastModifiedBy>郑传秀</cp:lastModifiedBy>
  <cp:lastPrinted>2023-07-31T02:35:00Z</cp:lastPrinted>
  <dcterms:modified xsi:type="dcterms:W3CDTF">2024-05-23T01:19:38Z</dcterms:modified>
  <dc:title>四川省***</dc:title>
  <cp:revision>140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2052-11.8.6.11830</vt:lpwstr>
  </property>
  <property fmtid="{D5CDD505-2E9C-101B-9397-08002B2CF9AE}" pid="3" name="ICV">
    <vt:lpwstr>423AE45F2EA74D15BDF760A36EB3D5FE_12</vt:lpwstr>
  </property>
</Properties>
</file>