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sz w:val="72"/>
          <w:szCs w:val="72"/>
        </w:rPr>
      </w:pPr>
      <w:bookmarkStart w:id="0" w:name="_Toc15378441"/>
      <w:bookmarkStart w:id="1" w:name="_Toc15377193"/>
      <w:bookmarkStart w:id="2" w:name="_Toc15396475"/>
      <w:bookmarkStart w:id="3" w:name="_Toc15377425"/>
      <w:bookmarkStart w:id="4" w:name="_Toc15396597"/>
      <w:bookmarkStart w:id="5" w:name="_Toc15306267"/>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29732"/>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bookmarkEnd w:id="6"/>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7" w:name="_Toc15377426"/>
      <w:bookmarkStart w:id="8" w:name="_Toc15396598"/>
      <w:bookmarkStart w:id="9" w:name="_Toc15378442"/>
      <w:bookmarkStart w:id="10" w:name="_Toc15396476"/>
      <w:bookmarkStart w:id="11" w:name="_Toc1725"/>
      <w:bookmarkStart w:id="12" w:name="_Toc15377194"/>
      <w:r>
        <w:rPr>
          <w:rFonts w:hint="eastAsia" w:ascii="方正小标宋简体" w:hAnsi="方正小标宋简体" w:eastAsia="方正小标宋简体" w:cs="方正小标宋简体"/>
          <w:sz w:val="72"/>
          <w:szCs w:val="72"/>
        </w:rPr>
        <w:t>攀枝花市西区</w:t>
      </w:r>
      <w:bookmarkEnd w:id="5"/>
      <w:bookmarkStart w:id="13" w:name="_Toc15306268"/>
      <w:r>
        <w:rPr>
          <w:rFonts w:hint="eastAsia" w:ascii="方正小标宋简体" w:hAnsi="方正小标宋简体" w:eastAsia="方正小标宋简体" w:cs="方正小标宋简体"/>
          <w:sz w:val="72"/>
          <w:szCs w:val="72"/>
        </w:rPr>
        <w:t>机关事务</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服务中心部门决算</w:t>
      </w:r>
      <w:bookmarkEnd w:id="7"/>
      <w:bookmarkEnd w:id="8"/>
      <w:bookmarkEnd w:id="9"/>
      <w:bookmarkEnd w:id="10"/>
      <w:bookmarkEnd w:id="11"/>
      <w:bookmarkEnd w:id="12"/>
      <w:bookmarkEnd w:id="13"/>
    </w:p>
    <w:p>
      <w:pPr>
        <w:widowControl/>
        <w:spacing w:line="440" w:lineRule="exact"/>
        <w:jc w:val="left"/>
        <w:rPr>
          <w:rFonts w:ascii="仿宋" w:hAnsi="仿宋" w:eastAsia="仿宋"/>
          <w:b/>
          <w:sz w:val="24"/>
        </w:rPr>
      </w:pPr>
      <w:r>
        <w:rPr>
          <w:rFonts w:ascii="方正小标宋简体" w:hAnsi="宋体" w:eastAsia="方正小标宋简体"/>
          <w:sz w:val="36"/>
          <w:szCs w:val="36"/>
        </w:rPr>
        <w:br w:type="page"/>
      </w:r>
      <w:bookmarkStart w:id="14" w:name="_Toc15377196"/>
      <w:bookmarkStart w:id="15" w:name="_Toc15396599"/>
    </w:p>
    <w:sdt>
      <w:sdtPr>
        <w:rPr>
          <w:rFonts w:ascii="宋体" w:hAnsi="宋体" w:eastAsia="宋体" w:cs="Times New Roman"/>
          <w:kern w:val="2"/>
          <w:sz w:val="21"/>
          <w:szCs w:val="24"/>
          <w:lang w:val="en-US" w:eastAsia="zh-CN" w:bidi="ar-SA"/>
        </w:rPr>
        <w:id w:val="147468637"/>
        <w15:color w:val="DBDBDB"/>
        <w:docPartObj>
          <w:docPartGallery w:val="Table of Contents"/>
          <w:docPartUnique/>
        </w:docPartObj>
      </w:sdtPr>
      <w:sdtEndPr>
        <w:rPr>
          <w:rFonts w:ascii="仿宋_GB2312" w:hAnsi="Times New Roman" w:eastAsia="仿宋_GB2312" w:cs="Times New Roman"/>
          <w:b/>
          <w:kern w:val="0"/>
          <w:sz w:val="30"/>
          <w:szCs w:val="24"/>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sz w:val="21"/>
            </w:rPr>
          </w:pPr>
          <w:r>
            <w:rPr>
              <w:rFonts w:ascii="宋体" w:hAnsi="宋体" w:eastAsia="宋体"/>
              <w:sz w:val="21"/>
            </w:rPr>
            <w:t>目录</w:t>
          </w:r>
        </w:p>
        <w:p>
          <w:pPr>
            <w:pStyle w:val="2"/>
            <w:jc w:val="center"/>
            <w:rPr>
              <w:rFonts w:hint="default" w:eastAsia="宋体"/>
              <w:sz w:val="18"/>
              <w:szCs w:val="18"/>
              <w:lang w:val="en-US" w:eastAsia="zh-CN"/>
            </w:rPr>
          </w:pPr>
          <w:r>
            <w:rPr>
              <w:rFonts w:hint="eastAsia" w:ascii="宋体" w:hAnsi="宋体" w:eastAsia="宋体"/>
              <w:sz w:val="18"/>
              <w:szCs w:val="18"/>
              <w:lang w:eastAsia="zh-CN"/>
            </w:rPr>
            <w:t>公开时间：</w:t>
          </w:r>
          <w:r>
            <w:rPr>
              <w:rFonts w:hint="eastAsia" w:ascii="宋体" w:hAnsi="宋体" w:eastAsia="宋体"/>
              <w:sz w:val="18"/>
              <w:szCs w:val="18"/>
              <w:lang w:val="en-US" w:eastAsia="zh-CN"/>
            </w:rPr>
            <w:t>2023年10月30日</w:t>
          </w:r>
        </w:p>
        <w:p>
          <w:pPr>
            <w:pStyle w:val="54"/>
            <w:tabs>
              <w:tab w:val="right" w:leader="dot" w:pos="8306"/>
            </w:tabs>
            <w:rPr>
              <w:b/>
            </w:rPr>
          </w:pPr>
          <w:r>
            <w:fldChar w:fldCharType="begin"/>
          </w:r>
          <w:r>
            <w:instrText xml:space="preserve">TOC \o "1-2" \h \u </w:instrText>
          </w:r>
          <w:r>
            <w:fldChar w:fldCharType="separate"/>
          </w:r>
        </w:p>
        <w:p>
          <w:pPr>
            <w:pStyle w:val="54"/>
            <w:tabs>
              <w:tab w:val="right" w:leader="dot" w:pos="8306"/>
            </w:tabs>
            <w:rPr>
              <w:b/>
            </w:rPr>
          </w:pPr>
          <w:r>
            <w:rPr>
              <w:b/>
            </w:rPr>
            <w:fldChar w:fldCharType="begin"/>
          </w:r>
          <w:r>
            <w:rPr>
              <w:b/>
            </w:rPr>
            <w:instrText xml:space="preserve"> HYPERLINK \l _Toc22326 </w:instrText>
          </w:r>
          <w:r>
            <w:rPr>
              <w:b/>
            </w:rPr>
            <w:fldChar w:fldCharType="separate"/>
          </w:r>
          <w:r>
            <w:rPr>
              <w:rFonts w:hint="eastAsia" w:ascii="黑体" w:hAnsi="黑体" w:eastAsia="黑体"/>
              <w:b/>
            </w:rPr>
            <w:t xml:space="preserve">第一部分 </w:t>
          </w:r>
          <w:r>
            <w:rPr>
              <w:rFonts w:hint="eastAsia" w:ascii="黑体" w:hAnsi="黑体" w:eastAsia="黑体"/>
              <w:b/>
              <w:bCs w:val="0"/>
            </w:rPr>
            <w:t>部门概况</w:t>
          </w:r>
          <w:r>
            <w:rPr>
              <w:b/>
            </w:rPr>
            <w:tab/>
          </w:r>
          <w:r>
            <w:rPr>
              <w:b/>
            </w:rPr>
            <w:fldChar w:fldCharType="begin"/>
          </w:r>
          <w:r>
            <w:rPr>
              <w:b/>
            </w:rPr>
            <w:instrText xml:space="preserve"> PAGEREF _Toc22326 \h </w:instrText>
          </w:r>
          <w:r>
            <w:rPr>
              <w:b/>
            </w:rPr>
            <w:fldChar w:fldCharType="separate"/>
          </w:r>
          <w:r>
            <w:rPr>
              <w:b/>
            </w:rPr>
            <w:t>4</w:t>
          </w:r>
          <w:r>
            <w:rPr>
              <w:b/>
            </w:rPr>
            <w:fldChar w:fldCharType="end"/>
          </w:r>
          <w:r>
            <w:rPr>
              <w:b/>
            </w:rPr>
            <w:fldChar w:fldCharType="end"/>
          </w:r>
        </w:p>
        <w:p>
          <w:pPr>
            <w:pStyle w:val="55"/>
            <w:tabs>
              <w:tab w:val="right" w:leader="dot" w:pos="8306"/>
            </w:tabs>
          </w:pPr>
          <w:r>
            <w:fldChar w:fldCharType="begin"/>
          </w:r>
          <w:r>
            <w:instrText xml:space="preserve"> HYPERLINK \l _Toc24494 </w:instrText>
          </w:r>
          <w:r>
            <w:fldChar w:fldCharType="separate"/>
          </w:r>
          <w:r>
            <w:rPr>
              <w:rFonts w:hint="default" w:ascii="黑体" w:hAnsi="黑体" w:eastAsia="黑体"/>
            </w:rPr>
            <w:t xml:space="preserve">一、 </w:t>
          </w:r>
          <w:r>
            <w:rPr>
              <w:rFonts w:hint="eastAsia" w:ascii="黑体" w:hAnsi="黑体" w:eastAsia="黑体"/>
            </w:rPr>
            <w:t>部门职责</w:t>
          </w:r>
          <w:r>
            <w:tab/>
          </w:r>
          <w:r>
            <w:fldChar w:fldCharType="begin"/>
          </w:r>
          <w:r>
            <w:instrText xml:space="preserve"> PAGEREF _Toc24494 \h </w:instrText>
          </w:r>
          <w:r>
            <w:fldChar w:fldCharType="separate"/>
          </w:r>
          <w:r>
            <w:t>5</w:t>
          </w:r>
          <w:r>
            <w:fldChar w:fldCharType="end"/>
          </w:r>
          <w:r>
            <w:fldChar w:fldCharType="end"/>
          </w:r>
        </w:p>
        <w:p>
          <w:pPr>
            <w:pStyle w:val="55"/>
            <w:tabs>
              <w:tab w:val="right" w:leader="dot" w:pos="8306"/>
            </w:tabs>
          </w:pPr>
          <w:r>
            <w:fldChar w:fldCharType="begin"/>
          </w:r>
          <w:r>
            <w:instrText xml:space="preserve"> HYPERLINK \l _Toc24720 </w:instrText>
          </w:r>
          <w:r>
            <w:fldChar w:fldCharType="separate"/>
          </w:r>
          <w:r>
            <w:rPr>
              <w:rFonts w:hint="eastAsia" w:ascii="黑体" w:eastAsia="黑体"/>
            </w:rPr>
            <w:t>二、</w:t>
          </w:r>
          <w:r>
            <w:rPr>
              <w:rFonts w:hint="eastAsia" w:ascii="黑体" w:hAnsi="黑体" w:eastAsia="黑体"/>
            </w:rPr>
            <w:t>机</w:t>
          </w:r>
          <w:r>
            <w:rPr>
              <w:rFonts w:hint="eastAsia" w:ascii="黑体" w:hAnsi="黑体" w:eastAsia="黑体"/>
              <w:bCs w:val="0"/>
            </w:rPr>
            <w:t>构设置</w:t>
          </w:r>
          <w:r>
            <w:tab/>
          </w:r>
          <w:r>
            <w:fldChar w:fldCharType="begin"/>
          </w:r>
          <w:r>
            <w:instrText xml:space="preserve"> PAGEREF _Toc24720 \h </w:instrText>
          </w:r>
          <w:r>
            <w:fldChar w:fldCharType="separate"/>
          </w:r>
          <w:r>
            <w:t>5</w:t>
          </w:r>
          <w:r>
            <w:fldChar w:fldCharType="end"/>
          </w:r>
          <w:r>
            <w:fldChar w:fldCharType="end"/>
          </w:r>
        </w:p>
        <w:p>
          <w:pPr>
            <w:pStyle w:val="54"/>
            <w:tabs>
              <w:tab w:val="right" w:leader="dot" w:pos="8306"/>
            </w:tabs>
            <w:rPr>
              <w:b/>
            </w:rPr>
          </w:pPr>
          <w:r>
            <w:rPr>
              <w:b/>
            </w:rPr>
            <w:fldChar w:fldCharType="begin"/>
          </w:r>
          <w:r>
            <w:rPr>
              <w:b/>
            </w:rPr>
            <w:instrText xml:space="preserve"> HYPERLINK \l _Toc14133 </w:instrText>
          </w:r>
          <w:r>
            <w:rPr>
              <w:b/>
            </w:rPr>
            <w:fldChar w:fldCharType="separate"/>
          </w:r>
          <w:r>
            <w:rPr>
              <w:rFonts w:hint="eastAsia" w:ascii="黑体" w:hAnsi="黑体" w:eastAsia="黑体"/>
              <w:b/>
            </w:rPr>
            <w:t>第二部分 2022年度</w:t>
          </w:r>
          <w:r>
            <w:rPr>
              <w:rFonts w:hint="eastAsia" w:ascii="黑体" w:hAnsi="黑体" w:eastAsia="黑体"/>
              <w:b/>
              <w:bCs/>
            </w:rPr>
            <w:t>部门决算情况说明</w:t>
          </w:r>
          <w:r>
            <w:rPr>
              <w:b/>
            </w:rPr>
            <w:tab/>
          </w:r>
          <w:r>
            <w:rPr>
              <w:b/>
            </w:rPr>
            <w:fldChar w:fldCharType="begin"/>
          </w:r>
          <w:r>
            <w:rPr>
              <w:b/>
            </w:rPr>
            <w:instrText xml:space="preserve"> PAGEREF _Toc14133 \h </w:instrText>
          </w:r>
          <w:r>
            <w:rPr>
              <w:b/>
            </w:rPr>
            <w:fldChar w:fldCharType="separate"/>
          </w:r>
          <w:r>
            <w:rPr>
              <w:b/>
            </w:rPr>
            <w:t>6</w:t>
          </w:r>
          <w:r>
            <w:rPr>
              <w:b/>
            </w:rPr>
            <w:fldChar w:fldCharType="end"/>
          </w:r>
          <w:r>
            <w:rPr>
              <w:b/>
            </w:rPr>
            <w:fldChar w:fldCharType="end"/>
          </w:r>
        </w:p>
        <w:p>
          <w:pPr>
            <w:pStyle w:val="55"/>
            <w:tabs>
              <w:tab w:val="right" w:leader="dot" w:pos="8306"/>
            </w:tabs>
          </w:pPr>
          <w:r>
            <w:fldChar w:fldCharType="begin"/>
          </w:r>
          <w:r>
            <w:instrText xml:space="preserve"> HYPERLINK \l _Toc28374 </w:instrText>
          </w:r>
          <w:r>
            <w:fldChar w:fldCharType="separate"/>
          </w:r>
          <w:r>
            <w:rPr>
              <w:rFonts w:hint="default"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_Toc28374 \h </w:instrText>
          </w:r>
          <w:r>
            <w:fldChar w:fldCharType="separate"/>
          </w:r>
          <w:r>
            <w:t>6</w:t>
          </w:r>
          <w:r>
            <w:fldChar w:fldCharType="end"/>
          </w:r>
          <w:r>
            <w:fldChar w:fldCharType="end"/>
          </w:r>
        </w:p>
        <w:p>
          <w:pPr>
            <w:pStyle w:val="55"/>
            <w:tabs>
              <w:tab w:val="right" w:leader="dot" w:pos="8306"/>
            </w:tabs>
          </w:pPr>
          <w:r>
            <w:fldChar w:fldCharType="begin"/>
          </w:r>
          <w:r>
            <w:instrText xml:space="preserve"> HYPERLINK \l _Toc32502 </w:instrText>
          </w:r>
          <w:r>
            <w:fldChar w:fldCharType="separate"/>
          </w:r>
          <w:r>
            <w:rPr>
              <w:rFonts w:hint="default"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_Toc32502 \h </w:instrText>
          </w:r>
          <w:r>
            <w:fldChar w:fldCharType="separate"/>
          </w:r>
          <w:r>
            <w:t>6</w:t>
          </w:r>
          <w:r>
            <w:fldChar w:fldCharType="end"/>
          </w:r>
          <w:r>
            <w:fldChar w:fldCharType="end"/>
          </w:r>
        </w:p>
        <w:p>
          <w:pPr>
            <w:pStyle w:val="55"/>
            <w:tabs>
              <w:tab w:val="right" w:leader="dot" w:pos="8306"/>
            </w:tabs>
          </w:pPr>
          <w:r>
            <w:fldChar w:fldCharType="begin"/>
          </w:r>
          <w:r>
            <w:instrText xml:space="preserve"> HYPERLINK \l _Toc11388 </w:instrText>
          </w:r>
          <w:r>
            <w:fldChar w:fldCharType="separate"/>
          </w:r>
          <w:r>
            <w:rPr>
              <w:rFonts w:hint="default"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_Toc11388 \h </w:instrText>
          </w:r>
          <w:r>
            <w:fldChar w:fldCharType="separate"/>
          </w:r>
          <w:r>
            <w:t>7</w:t>
          </w:r>
          <w:r>
            <w:fldChar w:fldCharType="end"/>
          </w:r>
          <w:r>
            <w:fldChar w:fldCharType="end"/>
          </w:r>
        </w:p>
        <w:p>
          <w:pPr>
            <w:pStyle w:val="55"/>
            <w:tabs>
              <w:tab w:val="right" w:leader="dot" w:pos="8306"/>
            </w:tabs>
          </w:pPr>
          <w:r>
            <w:fldChar w:fldCharType="begin"/>
          </w:r>
          <w:r>
            <w:instrText xml:space="preserve"> HYPERLINK \l _Toc17536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_Toc17536 \h </w:instrText>
          </w:r>
          <w:r>
            <w:fldChar w:fldCharType="separate"/>
          </w:r>
          <w:r>
            <w:t>7</w:t>
          </w:r>
          <w:r>
            <w:fldChar w:fldCharType="end"/>
          </w:r>
          <w:r>
            <w:fldChar w:fldCharType="end"/>
          </w:r>
        </w:p>
        <w:p>
          <w:pPr>
            <w:pStyle w:val="55"/>
            <w:tabs>
              <w:tab w:val="right" w:leader="dot" w:pos="8306"/>
            </w:tabs>
          </w:pPr>
          <w:r>
            <w:fldChar w:fldCharType="begin"/>
          </w:r>
          <w:r>
            <w:instrText xml:space="preserve"> HYPERLINK \l _Toc26185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_Toc26185 \h </w:instrText>
          </w:r>
          <w:r>
            <w:fldChar w:fldCharType="separate"/>
          </w:r>
          <w:r>
            <w:t>8</w:t>
          </w:r>
          <w:r>
            <w:fldChar w:fldCharType="end"/>
          </w:r>
          <w:r>
            <w:fldChar w:fldCharType="end"/>
          </w:r>
        </w:p>
        <w:p>
          <w:pPr>
            <w:pStyle w:val="55"/>
            <w:tabs>
              <w:tab w:val="right" w:leader="dot" w:pos="8306"/>
            </w:tabs>
          </w:pPr>
          <w:r>
            <w:fldChar w:fldCharType="begin"/>
          </w:r>
          <w:r>
            <w:instrText xml:space="preserve"> HYPERLINK \l _Toc28116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_Toc28116 \h </w:instrText>
          </w:r>
          <w:r>
            <w:fldChar w:fldCharType="separate"/>
          </w:r>
          <w:r>
            <w:t>11</w:t>
          </w:r>
          <w:r>
            <w:fldChar w:fldCharType="end"/>
          </w:r>
          <w:r>
            <w:fldChar w:fldCharType="end"/>
          </w:r>
        </w:p>
        <w:p>
          <w:pPr>
            <w:pStyle w:val="55"/>
            <w:tabs>
              <w:tab w:val="right" w:leader="dot" w:pos="8306"/>
            </w:tabs>
          </w:pPr>
          <w:r>
            <w:fldChar w:fldCharType="begin"/>
          </w:r>
          <w:r>
            <w:instrText xml:space="preserve"> HYPERLINK \l _Toc1708 </w:instrText>
          </w:r>
          <w:r>
            <w:fldChar w:fldCharType="separate"/>
          </w:r>
          <w:r>
            <w:rPr>
              <w:rFonts w:hint="eastAsia" w:ascii="黑体" w:eastAsia="黑体"/>
              <w:szCs w:val="32"/>
            </w:rPr>
            <w:t>七、</w:t>
          </w:r>
          <w:r>
            <w:rPr>
              <w:rFonts w:hint="eastAsia" w:ascii="黑体" w:hAnsi="黑体" w:eastAsia="黑体"/>
            </w:rPr>
            <w:t>财政拨款“三公”经费支出决算情况说明</w:t>
          </w:r>
          <w:r>
            <w:tab/>
          </w:r>
          <w:r>
            <w:fldChar w:fldCharType="begin"/>
          </w:r>
          <w:r>
            <w:instrText xml:space="preserve"> PAGEREF _Toc1708 \h </w:instrText>
          </w:r>
          <w:r>
            <w:fldChar w:fldCharType="separate"/>
          </w:r>
          <w:r>
            <w:t>11</w:t>
          </w:r>
          <w:r>
            <w:fldChar w:fldCharType="end"/>
          </w:r>
          <w:r>
            <w:fldChar w:fldCharType="end"/>
          </w:r>
        </w:p>
        <w:p>
          <w:pPr>
            <w:pStyle w:val="55"/>
            <w:tabs>
              <w:tab w:val="right" w:leader="dot" w:pos="8306"/>
            </w:tabs>
          </w:pPr>
          <w:r>
            <w:fldChar w:fldCharType="begin"/>
          </w:r>
          <w:r>
            <w:instrText xml:space="preserve"> HYPERLINK \l _Toc2859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_Toc2859 \h </w:instrText>
          </w:r>
          <w:r>
            <w:fldChar w:fldCharType="separate"/>
          </w:r>
          <w:r>
            <w:t>13</w:t>
          </w:r>
          <w:r>
            <w:fldChar w:fldCharType="end"/>
          </w:r>
          <w:r>
            <w:fldChar w:fldCharType="end"/>
          </w:r>
        </w:p>
        <w:p>
          <w:pPr>
            <w:pStyle w:val="55"/>
            <w:tabs>
              <w:tab w:val="right" w:leader="dot" w:pos="8306"/>
            </w:tabs>
          </w:pPr>
          <w:r>
            <w:fldChar w:fldCharType="begin"/>
          </w:r>
          <w:r>
            <w:instrText xml:space="preserve"> HYPERLINK \l _Toc14412 </w:instrText>
          </w:r>
          <w:r>
            <w:fldChar w:fldCharType="separate"/>
          </w:r>
          <w:r>
            <w:rPr>
              <w:rFonts w:hint="eastAsia" w:ascii="黑体" w:hAnsi="黑体" w:eastAsia="黑体"/>
            </w:rPr>
            <w:t>九、 国有资本经营预算支出决算情况说明</w:t>
          </w:r>
          <w:r>
            <w:tab/>
          </w:r>
          <w:r>
            <w:fldChar w:fldCharType="begin"/>
          </w:r>
          <w:r>
            <w:instrText xml:space="preserve"> PAGEREF _Toc14412 \h </w:instrText>
          </w:r>
          <w:r>
            <w:fldChar w:fldCharType="separate"/>
          </w:r>
          <w:r>
            <w:t>13</w:t>
          </w:r>
          <w:r>
            <w:fldChar w:fldCharType="end"/>
          </w:r>
          <w:r>
            <w:fldChar w:fldCharType="end"/>
          </w:r>
        </w:p>
        <w:p>
          <w:pPr>
            <w:pStyle w:val="55"/>
            <w:tabs>
              <w:tab w:val="right" w:leader="dot" w:pos="8306"/>
            </w:tabs>
          </w:pPr>
          <w:r>
            <w:fldChar w:fldCharType="begin"/>
          </w:r>
          <w:r>
            <w:instrText xml:space="preserve"> HYPERLINK \l _Toc18943 </w:instrText>
          </w:r>
          <w:r>
            <w:fldChar w:fldCharType="separate"/>
          </w:r>
          <w:r>
            <w:rPr>
              <w:rFonts w:hint="eastAsia" w:ascii="黑体" w:hAnsi="黑体" w:eastAsia="黑体"/>
            </w:rPr>
            <w:t>十、 其他重要事项的情况说明</w:t>
          </w:r>
          <w:r>
            <w:tab/>
          </w:r>
          <w:r>
            <w:fldChar w:fldCharType="begin"/>
          </w:r>
          <w:r>
            <w:instrText xml:space="preserve"> PAGEREF _Toc18943 \h </w:instrText>
          </w:r>
          <w:r>
            <w:fldChar w:fldCharType="separate"/>
          </w:r>
          <w:r>
            <w:t>13</w:t>
          </w:r>
          <w:r>
            <w:fldChar w:fldCharType="end"/>
          </w:r>
          <w:r>
            <w:fldChar w:fldCharType="end"/>
          </w:r>
        </w:p>
        <w:p>
          <w:pPr>
            <w:pStyle w:val="54"/>
            <w:tabs>
              <w:tab w:val="right" w:leader="dot" w:pos="8306"/>
            </w:tabs>
            <w:rPr>
              <w:b/>
            </w:rPr>
          </w:pPr>
          <w:r>
            <w:rPr>
              <w:b/>
            </w:rPr>
            <w:fldChar w:fldCharType="begin"/>
          </w:r>
          <w:r>
            <w:rPr>
              <w:b/>
            </w:rPr>
            <w:instrText xml:space="preserve"> HYPERLINK \l _Toc11983 </w:instrText>
          </w:r>
          <w:r>
            <w:rPr>
              <w:b/>
            </w:rPr>
            <w:fldChar w:fldCharType="separate"/>
          </w:r>
          <w:r>
            <w:rPr>
              <w:rFonts w:hint="eastAsia" w:ascii="黑体" w:hAnsi="黑体" w:eastAsia="黑体"/>
              <w:b/>
            </w:rPr>
            <w:t xml:space="preserve">第三部分 </w:t>
          </w:r>
          <w:r>
            <w:rPr>
              <w:rFonts w:hint="eastAsia" w:ascii="黑体" w:hAnsi="黑体" w:eastAsia="黑体"/>
              <w:b/>
              <w:szCs w:val="44"/>
            </w:rPr>
            <w:t>名</w:t>
          </w:r>
          <w:r>
            <w:rPr>
              <w:rFonts w:hint="eastAsia" w:ascii="黑体" w:hAnsi="黑体" w:eastAsia="黑体"/>
              <w:b/>
            </w:rPr>
            <w:t>词解释</w:t>
          </w:r>
          <w:r>
            <w:rPr>
              <w:b/>
            </w:rPr>
            <w:tab/>
          </w:r>
          <w:r>
            <w:rPr>
              <w:b/>
            </w:rPr>
            <w:fldChar w:fldCharType="begin"/>
          </w:r>
          <w:r>
            <w:rPr>
              <w:b/>
            </w:rPr>
            <w:instrText xml:space="preserve"> PAGEREF _Toc11983 \h </w:instrText>
          </w:r>
          <w:r>
            <w:rPr>
              <w:b/>
            </w:rPr>
            <w:fldChar w:fldCharType="separate"/>
          </w:r>
          <w:r>
            <w:rPr>
              <w:b/>
            </w:rPr>
            <w:t>15</w:t>
          </w:r>
          <w:r>
            <w:rPr>
              <w:b/>
            </w:rPr>
            <w:fldChar w:fldCharType="end"/>
          </w:r>
          <w:r>
            <w:rPr>
              <w:b/>
            </w:rPr>
            <w:fldChar w:fldCharType="end"/>
          </w:r>
        </w:p>
        <w:p>
          <w:pPr>
            <w:pStyle w:val="54"/>
            <w:tabs>
              <w:tab w:val="right" w:leader="dot" w:pos="8306"/>
            </w:tabs>
            <w:rPr>
              <w:b/>
            </w:rPr>
          </w:pPr>
          <w:r>
            <w:rPr>
              <w:b/>
            </w:rPr>
            <w:fldChar w:fldCharType="begin"/>
          </w:r>
          <w:r>
            <w:rPr>
              <w:b/>
            </w:rPr>
            <w:instrText xml:space="preserve"> HYPERLINK \l _Toc17173 </w:instrText>
          </w:r>
          <w:r>
            <w:rPr>
              <w:b/>
            </w:rPr>
            <w:fldChar w:fldCharType="separate"/>
          </w:r>
          <w:r>
            <w:rPr>
              <w:rFonts w:hint="eastAsia" w:ascii="黑体" w:hAnsi="黑体" w:eastAsia="黑体"/>
              <w:b/>
              <w:szCs w:val="44"/>
            </w:rPr>
            <w:t>第</w:t>
          </w:r>
          <w:r>
            <w:rPr>
              <w:rFonts w:hint="eastAsia" w:ascii="黑体" w:hAnsi="黑体" w:eastAsia="黑体"/>
              <w:b/>
            </w:rPr>
            <w:t>四部分 附件</w:t>
          </w:r>
          <w:r>
            <w:rPr>
              <w:b/>
            </w:rPr>
            <w:tab/>
          </w:r>
          <w:r>
            <w:rPr>
              <w:b/>
            </w:rPr>
            <w:fldChar w:fldCharType="begin"/>
          </w:r>
          <w:r>
            <w:rPr>
              <w:b/>
            </w:rPr>
            <w:instrText xml:space="preserve"> PAGEREF _Toc17173 \h </w:instrText>
          </w:r>
          <w:r>
            <w:rPr>
              <w:b/>
            </w:rPr>
            <w:fldChar w:fldCharType="separate"/>
          </w:r>
          <w:r>
            <w:rPr>
              <w:b/>
            </w:rPr>
            <w:t>18</w:t>
          </w:r>
          <w:r>
            <w:rPr>
              <w:b/>
            </w:rPr>
            <w:fldChar w:fldCharType="end"/>
          </w:r>
          <w:r>
            <w:rPr>
              <w:b/>
            </w:rPr>
            <w:fldChar w:fldCharType="end"/>
          </w:r>
        </w:p>
        <w:p>
          <w:pPr>
            <w:pStyle w:val="54"/>
            <w:tabs>
              <w:tab w:val="right" w:leader="dot" w:pos="8306"/>
            </w:tabs>
            <w:rPr>
              <w:b/>
            </w:rPr>
          </w:pPr>
          <w:r>
            <w:rPr>
              <w:b/>
            </w:rPr>
            <w:fldChar w:fldCharType="begin"/>
          </w:r>
          <w:r>
            <w:rPr>
              <w:b/>
            </w:rPr>
            <w:instrText xml:space="preserve"> HYPERLINK \l _Toc28610 </w:instrText>
          </w:r>
          <w:r>
            <w:rPr>
              <w:b/>
            </w:rPr>
            <w:fldChar w:fldCharType="separate"/>
          </w:r>
          <w:r>
            <w:rPr>
              <w:rFonts w:hint="eastAsia" w:ascii="黑体" w:hAnsi="黑体" w:eastAsia="黑体"/>
              <w:b/>
              <w:szCs w:val="44"/>
            </w:rPr>
            <w:t>第</w:t>
          </w:r>
          <w:r>
            <w:rPr>
              <w:rFonts w:hint="eastAsia" w:ascii="黑体" w:hAnsi="黑体" w:eastAsia="黑体"/>
              <w:b/>
            </w:rPr>
            <w:t>五部分 附表</w:t>
          </w:r>
          <w:r>
            <w:rPr>
              <w:b/>
            </w:rPr>
            <w:tab/>
          </w:r>
          <w:r>
            <w:rPr>
              <w:b/>
            </w:rPr>
            <w:fldChar w:fldCharType="begin"/>
          </w:r>
          <w:r>
            <w:rPr>
              <w:b/>
            </w:rPr>
            <w:instrText xml:space="preserve"> PAGEREF _Toc28610 \h </w:instrText>
          </w:r>
          <w:r>
            <w:rPr>
              <w:b/>
            </w:rPr>
            <w:fldChar w:fldCharType="separate"/>
          </w:r>
          <w:r>
            <w:rPr>
              <w:b/>
            </w:rPr>
            <w:t>55</w:t>
          </w:r>
          <w:r>
            <w:rPr>
              <w:b/>
            </w:rPr>
            <w:fldChar w:fldCharType="end"/>
          </w:r>
          <w:r>
            <w:rPr>
              <w:b/>
            </w:rPr>
            <w:fldChar w:fldCharType="end"/>
          </w:r>
        </w:p>
        <w:p>
          <w:pPr>
            <w:pStyle w:val="55"/>
            <w:tabs>
              <w:tab w:val="right" w:leader="dot" w:pos="8306"/>
            </w:tabs>
          </w:pPr>
          <w:r>
            <w:fldChar w:fldCharType="begin"/>
          </w:r>
          <w:r>
            <w:instrText xml:space="preserve"> HYPERLINK \l _Toc19097 </w:instrText>
          </w:r>
          <w:r>
            <w:fldChar w:fldCharType="separate"/>
          </w:r>
          <w:r>
            <w:rPr>
              <w:rFonts w:hint="eastAsia" w:ascii="仿宋" w:hAnsi="仿宋" w:eastAsia="仿宋"/>
            </w:rPr>
            <w:t>一、收</w:t>
          </w:r>
          <w:r>
            <w:rPr>
              <w:rFonts w:hint="eastAsia" w:ascii="仿宋" w:hAnsi="仿宋" w:eastAsia="仿宋"/>
              <w:bCs w:val="0"/>
            </w:rPr>
            <w:t>入支出决算总表</w:t>
          </w:r>
          <w:r>
            <w:tab/>
          </w:r>
          <w:r>
            <w:fldChar w:fldCharType="begin"/>
          </w:r>
          <w:r>
            <w:instrText xml:space="preserve"> PAGEREF _Toc19097 \h </w:instrText>
          </w:r>
          <w:r>
            <w:fldChar w:fldCharType="separate"/>
          </w:r>
          <w:r>
            <w:t>55</w:t>
          </w:r>
          <w:r>
            <w:fldChar w:fldCharType="end"/>
          </w:r>
          <w:r>
            <w:fldChar w:fldCharType="end"/>
          </w:r>
        </w:p>
        <w:p>
          <w:pPr>
            <w:pStyle w:val="55"/>
            <w:tabs>
              <w:tab w:val="right" w:leader="dot" w:pos="8306"/>
            </w:tabs>
          </w:pPr>
          <w:r>
            <w:fldChar w:fldCharType="begin"/>
          </w:r>
          <w:r>
            <w:instrText xml:space="preserve"> HYPERLINK \l _Toc8897 </w:instrText>
          </w:r>
          <w:r>
            <w:fldChar w:fldCharType="separate"/>
          </w:r>
          <w:r>
            <w:rPr>
              <w:rFonts w:hint="eastAsia" w:ascii="仿宋" w:hAnsi="仿宋" w:eastAsia="仿宋"/>
            </w:rPr>
            <w:t>二、收</w:t>
          </w:r>
          <w:r>
            <w:rPr>
              <w:rFonts w:hint="eastAsia" w:ascii="仿宋" w:hAnsi="仿宋" w:eastAsia="仿宋"/>
              <w:bCs w:val="0"/>
            </w:rPr>
            <w:t>入决算表</w:t>
          </w:r>
          <w:r>
            <w:tab/>
          </w:r>
          <w:r>
            <w:fldChar w:fldCharType="begin"/>
          </w:r>
          <w:r>
            <w:instrText xml:space="preserve"> PAGEREF _Toc8897 \h </w:instrText>
          </w:r>
          <w:r>
            <w:fldChar w:fldCharType="separate"/>
          </w:r>
          <w:r>
            <w:t>55</w:t>
          </w:r>
          <w:r>
            <w:fldChar w:fldCharType="end"/>
          </w:r>
          <w:r>
            <w:fldChar w:fldCharType="end"/>
          </w:r>
        </w:p>
        <w:p>
          <w:pPr>
            <w:pStyle w:val="55"/>
            <w:tabs>
              <w:tab w:val="right" w:leader="dot" w:pos="8306"/>
            </w:tabs>
          </w:pPr>
          <w:r>
            <w:fldChar w:fldCharType="begin"/>
          </w:r>
          <w:r>
            <w:instrText xml:space="preserve"> HYPERLINK \l _Toc1519 </w:instrText>
          </w:r>
          <w:r>
            <w:fldChar w:fldCharType="separate"/>
          </w:r>
          <w:r>
            <w:rPr>
              <w:rFonts w:hint="eastAsia" w:ascii="仿宋" w:hAnsi="仿宋" w:eastAsia="仿宋"/>
              <w:bCs w:val="0"/>
            </w:rPr>
            <w:t>三、</w:t>
          </w:r>
          <w:r>
            <w:rPr>
              <w:rFonts w:hint="eastAsia" w:ascii="仿宋" w:hAnsi="仿宋" w:eastAsia="仿宋"/>
            </w:rPr>
            <w:t>支</w:t>
          </w:r>
          <w:r>
            <w:rPr>
              <w:rFonts w:hint="eastAsia" w:ascii="仿宋" w:hAnsi="仿宋" w:eastAsia="仿宋"/>
              <w:bCs w:val="0"/>
            </w:rPr>
            <w:t>出决算表</w:t>
          </w:r>
          <w:r>
            <w:tab/>
          </w:r>
          <w:r>
            <w:fldChar w:fldCharType="begin"/>
          </w:r>
          <w:r>
            <w:instrText xml:space="preserve"> PAGEREF _Toc1519 \h </w:instrText>
          </w:r>
          <w:r>
            <w:fldChar w:fldCharType="separate"/>
          </w:r>
          <w:r>
            <w:t>55</w:t>
          </w:r>
          <w:r>
            <w:fldChar w:fldCharType="end"/>
          </w:r>
          <w:r>
            <w:fldChar w:fldCharType="end"/>
          </w:r>
        </w:p>
        <w:p>
          <w:pPr>
            <w:pStyle w:val="55"/>
            <w:tabs>
              <w:tab w:val="right" w:leader="dot" w:pos="8306"/>
            </w:tabs>
          </w:pPr>
          <w:r>
            <w:fldChar w:fldCharType="begin"/>
          </w:r>
          <w:r>
            <w:instrText xml:space="preserve"> HYPERLINK \l _Toc26721 </w:instrText>
          </w:r>
          <w:r>
            <w:fldChar w:fldCharType="separate"/>
          </w:r>
          <w:r>
            <w:rPr>
              <w:rFonts w:hint="eastAsia" w:ascii="仿宋" w:hAnsi="仿宋" w:eastAsia="仿宋"/>
              <w:bCs w:val="0"/>
            </w:rPr>
            <w:t>四、</w:t>
          </w:r>
          <w:r>
            <w:rPr>
              <w:rFonts w:hint="eastAsia" w:ascii="仿宋" w:hAnsi="仿宋" w:eastAsia="仿宋"/>
            </w:rPr>
            <w:t>财</w:t>
          </w:r>
          <w:r>
            <w:rPr>
              <w:rFonts w:hint="eastAsia" w:ascii="仿宋" w:hAnsi="仿宋" w:eastAsia="仿宋"/>
              <w:bCs w:val="0"/>
            </w:rPr>
            <w:t>政拨款收入支出决算总表</w:t>
          </w:r>
          <w:r>
            <w:tab/>
          </w:r>
          <w:r>
            <w:fldChar w:fldCharType="begin"/>
          </w:r>
          <w:r>
            <w:instrText xml:space="preserve"> PAGEREF _Toc26721 \h </w:instrText>
          </w:r>
          <w:r>
            <w:fldChar w:fldCharType="separate"/>
          </w:r>
          <w:r>
            <w:t>55</w:t>
          </w:r>
          <w:r>
            <w:fldChar w:fldCharType="end"/>
          </w:r>
          <w:r>
            <w:fldChar w:fldCharType="end"/>
          </w:r>
        </w:p>
        <w:p>
          <w:pPr>
            <w:pStyle w:val="55"/>
            <w:tabs>
              <w:tab w:val="right" w:leader="dot" w:pos="8306"/>
            </w:tabs>
          </w:pPr>
          <w:r>
            <w:fldChar w:fldCharType="begin"/>
          </w:r>
          <w:r>
            <w:instrText xml:space="preserve"> HYPERLINK \l _Toc28747 </w:instrText>
          </w:r>
          <w:r>
            <w:fldChar w:fldCharType="separate"/>
          </w:r>
          <w:r>
            <w:rPr>
              <w:rFonts w:hint="eastAsia" w:ascii="仿宋" w:hAnsi="仿宋" w:eastAsia="仿宋"/>
              <w:bCs w:val="0"/>
            </w:rPr>
            <w:t>五、</w:t>
          </w:r>
          <w:r>
            <w:rPr>
              <w:rFonts w:hint="eastAsia" w:ascii="仿宋" w:hAnsi="仿宋" w:eastAsia="仿宋"/>
            </w:rPr>
            <w:t>财</w:t>
          </w:r>
          <w:r>
            <w:rPr>
              <w:rFonts w:hint="eastAsia" w:ascii="仿宋" w:hAnsi="仿宋" w:eastAsia="仿宋"/>
              <w:bCs w:val="0"/>
            </w:rPr>
            <w:t>政拨款支出决算明细表</w:t>
          </w:r>
          <w:r>
            <w:tab/>
          </w:r>
          <w:r>
            <w:fldChar w:fldCharType="begin"/>
          </w:r>
          <w:r>
            <w:instrText xml:space="preserve"> PAGEREF _Toc28747 \h </w:instrText>
          </w:r>
          <w:r>
            <w:fldChar w:fldCharType="separate"/>
          </w:r>
          <w:r>
            <w:t>55</w:t>
          </w:r>
          <w:r>
            <w:fldChar w:fldCharType="end"/>
          </w:r>
          <w:r>
            <w:fldChar w:fldCharType="end"/>
          </w:r>
        </w:p>
        <w:p>
          <w:pPr>
            <w:pStyle w:val="55"/>
            <w:tabs>
              <w:tab w:val="right" w:leader="dot" w:pos="8306"/>
            </w:tabs>
          </w:pPr>
          <w:r>
            <w:fldChar w:fldCharType="begin"/>
          </w:r>
          <w:r>
            <w:instrText xml:space="preserve"> HYPERLINK \l _Toc4416 </w:instrText>
          </w:r>
          <w:r>
            <w:fldChar w:fldCharType="separate"/>
          </w:r>
          <w:r>
            <w:rPr>
              <w:rFonts w:hint="eastAsia" w:ascii="仿宋" w:hAnsi="仿宋" w:eastAsia="仿宋"/>
              <w:bCs w:val="0"/>
            </w:rPr>
            <w:t>六、</w:t>
          </w:r>
          <w:r>
            <w:rPr>
              <w:rFonts w:hint="eastAsia" w:ascii="仿宋" w:hAnsi="仿宋" w:eastAsia="仿宋"/>
            </w:rPr>
            <w:t>一</w:t>
          </w:r>
          <w:r>
            <w:rPr>
              <w:rFonts w:hint="eastAsia" w:ascii="仿宋" w:hAnsi="仿宋" w:eastAsia="仿宋"/>
              <w:bCs w:val="0"/>
            </w:rPr>
            <w:t>般公共预算财政拨款支出决算表</w:t>
          </w:r>
          <w:r>
            <w:tab/>
          </w:r>
          <w:r>
            <w:fldChar w:fldCharType="begin"/>
          </w:r>
          <w:r>
            <w:instrText xml:space="preserve"> PAGEREF _Toc4416 \h </w:instrText>
          </w:r>
          <w:r>
            <w:fldChar w:fldCharType="separate"/>
          </w:r>
          <w:r>
            <w:t>55</w:t>
          </w:r>
          <w:r>
            <w:fldChar w:fldCharType="end"/>
          </w:r>
          <w:r>
            <w:fldChar w:fldCharType="end"/>
          </w:r>
        </w:p>
        <w:p>
          <w:pPr>
            <w:pStyle w:val="55"/>
            <w:tabs>
              <w:tab w:val="right" w:leader="dot" w:pos="8306"/>
            </w:tabs>
          </w:pPr>
          <w:r>
            <w:fldChar w:fldCharType="begin"/>
          </w:r>
          <w:r>
            <w:instrText xml:space="preserve"> HYPERLINK \l _Toc28917 </w:instrText>
          </w:r>
          <w:r>
            <w:fldChar w:fldCharType="separate"/>
          </w:r>
          <w:r>
            <w:rPr>
              <w:rFonts w:hint="eastAsia" w:ascii="仿宋" w:hAnsi="仿宋" w:eastAsia="仿宋"/>
              <w:bCs w:val="0"/>
            </w:rPr>
            <w:t>七、</w:t>
          </w:r>
          <w:r>
            <w:rPr>
              <w:rFonts w:hint="eastAsia" w:ascii="仿宋" w:hAnsi="仿宋" w:eastAsia="仿宋"/>
            </w:rPr>
            <w:t>一</w:t>
          </w:r>
          <w:r>
            <w:rPr>
              <w:rFonts w:hint="eastAsia" w:ascii="仿宋" w:hAnsi="仿宋" w:eastAsia="仿宋"/>
              <w:bCs w:val="0"/>
            </w:rPr>
            <w:t>般公共预算财政拨款支出决算明细表</w:t>
          </w:r>
          <w:r>
            <w:tab/>
          </w:r>
          <w:r>
            <w:fldChar w:fldCharType="begin"/>
          </w:r>
          <w:r>
            <w:instrText xml:space="preserve"> PAGEREF _Toc28917 \h </w:instrText>
          </w:r>
          <w:r>
            <w:fldChar w:fldCharType="separate"/>
          </w:r>
          <w:r>
            <w:t>55</w:t>
          </w:r>
          <w:r>
            <w:fldChar w:fldCharType="end"/>
          </w:r>
          <w:r>
            <w:fldChar w:fldCharType="end"/>
          </w:r>
        </w:p>
        <w:p>
          <w:pPr>
            <w:pStyle w:val="55"/>
            <w:tabs>
              <w:tab w:val="right" w:leader="dot" w:pos="8306"/>
            </w:tabs>
          </w:pPr>
          <w:r>
            <w:fldChar w:fldCharType="begin"/>
          </w:r>
          <w:r>
            <w:instrText xml:space="preserve"> HYPERLINK \l _Toc1031 </w:instrText>
          </w:r>
          <w:r>
            <w:fldChar w:fldCharType="separate"/>
          </w:r>
          <w:r>
            <w:rPr>
              <w:rFonts w:hint="eastAsia" w:ascii="仿宋" w:hAnsi="仿宋" w:eastAsia="仿宋"/>
              <w:bCs w:val="0"/>
            </w:rPr>
            <w:t>八、</w:t>
          </w:r>
          <w:r>
            <w:rPr>
              <w:rFonts w:hint="eastAsia" w:ascii="仿宋" w:hAnsi="仿宋" w:eastAsia="仿宋"/>
            </w:rPr>
            <w:t>一</w:t>
          </w:r>
          <w:r>
            <w:rPr>
              <w:rFonts w:hint="eastAsia" w:ascii="仿宋" w:hAnsi="仿宋" w:eastAsia="仿宋"/>
              <w:bCs w:val="0"/>
            </w:rPr>
            <w:t>般公共预算财政拨款基本支出决算表</w:t>
          </w:r>
          <w:r>
            <w:tab/>
          </w:r>
          <w:r>
            <w:fldChar w:fldCharType="begin"/>
          </w:r>
          <w:r>
            <w:instrText xml:space="preserve"> PAGEREF _Toc1031 \h </w:instrText>
          </w:r>
          <w:r>
            <w:fldChar w:fldCharType="separate"/>
          </w:r>
          <w:r>
            <w:t>55</w:t>
          </w:r>
          <w:r>
            <w:fldChar w:fldCharType="end"/>
          </w:r>
          <w:r>
            <w:fldChar w:fldCharType="end"/>
          </w:r>
        </w:p>
        <w:p>
          <w:pPr>
            <w:pStyle w:val="55"/>
            <w:tabs>
              <w:tab w:val="right" w:leader="dot" w:pos="8306"/>
            </w:tabs>
          </w:pPr>
          <w:r>
            <w:fldChar w:fldCharType="begin"/>
          </w:r>
          <w:r>
            <w:instrText xml:space="preserve"> HYPERLINK \l _Toc1652 </w:instrText>
          </w:r>
          <w:r>
            <w:fldChar w:fldCharType="separate"/>
          </w:r>
          <w:r>
            <w:rPr>
              <w:rFonts w:hint="eastAsia" w:ascii="仿宋" w:hAnsi="仿宋" w:eastAsia="仿宋"/>
              <w:bCs w:val="0"/>
            </w:rPr>
            <w:t>九、</w:t>
          </w:r>
          <w:r>
            <w:rPr>
              <w:rFonts w:hint="eastAsia" w:ascii="仿宋" w:hAnsi="仿宋" w:eastAsia="仿宋"/>
            </w:rPr>
            <w:t>一</w:t>
          </w:r>
          <w:r>
            <w:rPr>
              <w:rFonts w:hint="eastAsia" w:ascii="仿宋" w:hAnsi="仿宋" w:eastAsia="仿宋"/>
              <w:bCs w:val="0"/>
            </w:rPr>
            <w:t>般公共预算财政拨款项目支出决算表</w:t>
          </w:r>
          <w:r>
            <w:tab/>
          </w:r>
          <w:r>
            <w:fldChar w:fldCharType="begin"/>
          </w:r>
          <w:r>
            <w:instrText xml:space="preserve"> PAGEREF _Toc1652 \h </w:instrText>
          </w:r>
          <w:r>
            <w:fldChar w:fldCharType="separate"/>
          </w:r>
          <w:r>
            <w:t>55</w:t>
          </w:r>
          <w:r>
            <w:fldChar w:fldCharType="end"/>
          </w:r>
          <w:r>
            <w:fldChar w:fldCharType="end"/>
          </w:r>
        </w:p>
        <w:p>
          <w:pPr>
            <w:pStyle w:val="55"/>
            <w:tabs>
              <w:tab w:val="right" w:leader="dot" w:pos="8306"/>
            </w:tabs>
          </w:pPr>
          <w:r>
            <w:fldChar w:fldCharType="begin"/>
          </w:r>
          <w:r>
            <w:instrText xml:space="preserve"> HYPERLINK \l _Toc5553 </w:instrText>
          </w:r>
          <w:r>
            <w:fldChar w:fldCharType="separate"/>
          </w:r>
          <w:r>
            <w:rPr>
              <w:rFonts w:hint="eastAsia" w:ascii="仿宋" w:hAnsi="仿宋" w:eastAsia="仿宋"/>
              <w:bCs w:val="0"/>
            </w:rPr>
            <w:t>十、</w:t>
          </w:r>
          <w:r>
            <w:rPr>
              <w:rFonts w:hint="eastAsia" w:ascii="仿宋" w:hAnsi="仿宋" w:eastAsia="仿宋"/>
            </w:rPr>
            <w:t>政</w:t>
          </w:r>
          <w:r>
            <w:rPr>
              <w:rFonts w:hint="eastAsia" w:ascii="仿宋" w:hAnsi="仿宋" w:eastAsia="仿宋"/>
              <w:bCs w:val="0"/>
            </w:rPr>
            <w:t>府性基金预算财政拨款收入支出决算表</w:t>
          </w:r>
          <w:r>
            <w:tab/>
          </w:r>
          <w:r>
            <w:fldChar w:fldCharType="begin"/>
          </w:r>
          <w:r>
            <w:instrText xml:space="preserve"> PAGEREF _Toc5553 \h </w:instrText>
          </w:r>
          <w:r>
            <w:fldChar w:fldCharType="separate"/>
          </w:r>
          <w:r>
            <w:t>55</w:t>
          </w:r>
          <w:r>
            <w:fldChar w:fldCharType="end"/>
          </w:r>
          <w:r>
            <w:fldChar w:fldCharType="end"/>
          </w:r>
        </w:p>
        <w:p>
          <w:pPr>
            <w:pStyle w:val="55"/>
            <w:tabs>
              <w:tab w:val="right" w:leader="dot" w:pos="8306"/>
            </w:tabs>
          </w:pPr>
          <w:r>
            <w:fldChar w:fldCharType="begin"/>
          </w:r>
          <w:r>
            <w:instrText xml:space="preserve"> HYPERLINK \l _Toc2076 </w:instrText>
          </w:r>
          <w:r>
            <w:fldChar w:fldCharType="separate"/>
          </w:r>
          <w:r>
            <w:rPr>
              <w:rFonts w:hint="eastAsia" w:ascii="仿宋" w:hAnsi="仿宋" w:eastAsia="仿宋"/>
              <w:bCs w:val="0"/>
            </w:rPr>
            <w:t>十一、</w:t>
          </w:r>
          <w:r>
            <w:rPr>
              <w:rFonts w:hint="eastAsia" w:ascii="仿宋" w:hAnsi="仿宋" w:eastAsia="仿宋"/>
            </w:rPr>
            <w:t>国</w:t>
          </w:r>
          <w:r>
            <w:rPr>
              <w:rFonts w:hint="eastAsia" w:ascii="仿宋" w:hAnsi="仿宋" w:eastAsia="仿宋"/>
              <w:bCs w:val="0"/>
            </w:rPr>
            <w:t>有资本经营预算财政拨款收入支出决算表</w:t>
          </w:r>
          <w:r>
            <w:tab/>
          </w:r>
          <w:r>
            <w:fldChar w:fldCharType="begin"/>
          </w:r>
          <w:r>
            <w:instrText xml:space="preserve"> PAGEREF _Toc2076 \h </w:instrText>
          </w:r>
          <w:r>
            <w:fldChar w:fldCharType="separate"/>
          </w:r>
          <w:r>
            <w:t>55</w:t>
          </w:r>
          <w:r>
            <w:fldChar w:fldCharType="end"/>
          </w:r>
          <w:r>
            <w:fldChar w:fldCharType="end"/>
          </w:r>
        </w:p>
        <w:p>
          <w:pPr>
            <w:pStyle w:val="55"/>
            <w:tabs>
              <w:tab w:val="right" w:leader="dot" w:pos="8306"/>
            </w:tabs>
          </w:pPr>
          <w:r>
            <w:fldChar w:fldCharType="begin"/>
          </w:r>
          <w:r>
            <w:instrText xml:space="preserve"> HYPERLINK \l _Toc25959 </w:instrText>
          </w:r>
          <w:r>
            <w:fldChar w:fldCharType="separate"/>
          </w:r>
          <w:r>
            <w:rPr>
              <w:rFonts w:hint="eastAsia" w:ascii="仿宋" w:hAnsi="仿宋" w:eastAsia="仿宋"/>
              <w:bCs w:val="0"/>
            </w:rPr>
            <w:t>十二、国有资本经营预算财政拨款支出决算表</w:t>
          </w:r>
          <w:r>
            <w:tab/>
          </w:r>
          <w:r>
            <w:fldChar w:fldCharType="begin"/>
          </w:r>
          <w:r>
            <w:instrText xml:space="preserve"> PAGEREF _Toc25959 \h </w:instrText>
          </w:r>
          <w:r>
            <w:fldChar w:fldCharType="separate"/>
          </w:r>
          <w:r>
            <w:t>55</w:t>
          </w:r>
          <w:r>
            <w:fldChar w:fldCharType="end"/>
          </w:r>
          <w:r>
            <w:fldChar w:fldCharType="end"/>
          </w:r>
        </w:p>
        <w:p>
          <w:pPr>
            <w:pStyle w:val="55"/>
            <w:tabs>
              <w:tab w:val="right" w:leader="dot" w:pos="8306"/>
            </w:tabs>
          </w:pPr>
          <w:r>
            <w:fldChar w:fldCharType="begin"/>
          </w:r>
          <w:r>
            <w:instrText xml:space="preserve"> HYPERLINK \l _Toc12555 </w:instrText>
          </w:r>
          <w:r>
            <w:fldChar w:fldCharType="separate"/>
          </w:r>
          <w:r>
            <w:rPr>
              <w:rFonts w:hint="eastAsia" w:ascii="仿宋" w:hAnsi="仿宋" w:eastAsia="仿宋"/>
              <w:bCs w:val="0"/>
            </w:rPr>
            <w:t>十三、财政拨款“三公”经费支出决算表</w:t>
          </w:r>
          <w:r>
            <w:tab/>
          </w:r>
          <w:r>
            <w:fldChar w:fldCharType="begin"/>
          </w:r>
          <w:r>
            <w:instrText xml:space="preserve"> PAGEREF _Toc12555 \h </w:instrText>
          </w:r>
          <w:r>
            <w:fldChar w:fldCharType="separate"/>
          </w:r>
          <w:r>
            <w:t>55</w:t>
          </w:r>
          <w:r>
            <w:fldChar w:fldCharType="end"/>
          </w:r>
          <w:r>
            <w:fldChar w:fldCharType="end"/>
          </w:r>
        </w:p>
        <w:p>
          <w:pPr>
            <w:pStyle w:val="2"/>
          </w:pPr>
          <w:r>
            <w:rPr>
              <w:b/>
            </w:rPr>
            <w:fldChar w:fldCharType="end"/>
          </w:r>
        </w:p>
      </w:sdtContent>
    </w:sdt>
    <w:p>
      <w:pPr>
        <w:pStyle w:val="3"/>
        <w:jc w:val="both"/>
        <w:rPr>
          <w:rFonts w:hint="eastAsia" w:ascii="黑体" w:hAnsi="黑体" w:eastAsia="黑体"/>
          <w:b w:val="0"/>
        </w:rPr>
      </w:pPr>
      <w:bookmarkStart w:id="16" w:name="_Toc22326"/>
    </w:p>
    <w:p>
      <w:pPr>
        <w:rPr>
          <w:rFonts w:hint="eastAsia"/>
        </w:rPr>
      </w:pPr>
    </w:p>
    <w:p>
      <w:pPr>
        <w:pStyle w:val="3"/>
        <w:ind w:firstLine="2640" w:firstLineChars="600"/>
        <w:jc w:val="both"/>
        <w:rPr>
          <w:rFonts w:ascii="黑体" w:eastAsia="黑体"/>
          <w:sz w:val="32"/>
          <w:szCs w:val="32"/>
        </w:rPr>
      </w:pPr>
      <w:r>
        <w:rPr>
          <w:rFonts w:hint="eastAsia" w:ascii="黑体" w:hAnsi="黑体" w:eastAsia="黑体"/>
          <w:b w:val="0"/>
        </w:rPr>
        <w:t xml:space="preserve">第一部分 </w:t>
      </w:r>
      <w:r>
        <w:rPr>
          <w:rStyle w:val="30"/>
          <w:rFonts w:hint="eastAsia" w:ascii="黑体" w:hAnsi="黑体" w:eastAsia="黑体"/>
          <w:b w:val="0"/>
          <w:bCs w:val="0"/>
        </w:rPr>
        <w:t>部门概况</w:t>
      </w:r>
      <w:bookmarkEnd w:id="14"/>
      <w:bookmarkEnd w:id="15"/>
      <w:bookmarkEnd w:id="16"/>
    </w:p>
    <w:p>
      <w:pPr>
        <w:pStyle w:val="4"/>
        <w:numPr>
          <w:ilvl w:val="0"/>
          <w:numId w:val="1"/>
        </w:numPr>
      </w:pPr>
      <w:bookmarkStart w:id="17" w:name="_Toc24494"/>
      <w:r>
        <w:rPr>
          <w:rFonts w:hint="eastAsia" w:ascii="黑体" w:hAnsi="黑体" w:eastAsia="黑体"/>
          <w:b w:val="0"/>
        </w:rPr>
        <w:t>部门职责</w:t>
      </w:r>
      <w:bookmarkEnd w:id="17"/>
    </w:p>
    <w:p>
      <w:pPr>
        <w:pStyle w:val="4"/>
        <w:keepNext/>
        <w:keepLines/>
        <w:pageBreakBefore w:val="0"/>
        <w:widowControl w:val="0"/>
        <w:numPr>
          <w:ilvl w:val="0"/>
          <w:numId w:val="0"/>
        </w:numPr>
        <w:kinsoku/>
        <w:wordWrap/>
        <w:overflowPunct/>
        <w:topLinePunct w:val="0"/>
        <w:autoSpaceDE/>
        <w:autoSpaceDN/>
        <w:bidi w:val="0"/>
        <w:adjustRightInd/>
        <w:snapToGrid/>
        <w:spacing w:line="41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承担全区机关后勤服务性、事务性工作。</w:t>
      </w:r>
    </w:p>
    <w:p>
      <w:pPr>
        <w:pStyle w:val="4"/>
        <w:rPr>
          <w:rStyle w:val="31"/>
          <w:b w:val="0"/>
          <w:bCs w:val="0"/>
        </w:rPr>
      </w:pPr>
      <w:bookmarkStart w:id="18" w:name="_Toc15396601"/>
      <w:bookmarkStart w:id="19" w:name="_Toc15377200"/>
      <w:bookmarkStart w:id="20" w:name="_Toc24720"/>
      <w:r>
        <w:rPr>
          <w:rFonts w:hint="eastAsia" w:ascii="黑体" w:eastAsia="黑体"/>
          <w:b w:val="0"/>
        </w:rPr>
        <w:t>二、</w:t>
      </w:r>
      <w:r>
        <w:rPr>
          <w:rFonts w:hint="eastAsia" w:ascii="黑体" w:hAnsi="黑体" w:eastAsia="黑体"/>
          <w:b w:val="0"/>
        </w:rPr>
        <w:t>机</w:t>
      </w:r>
      <w:r>
        <w:rPr>
          <w:rStyle w:val="31"/>
          <w:rFonts w:hint="eastAsia" w:ascii="黑体" w:hAnsi="黑体" w:eastAsia="黑体"/>
          <w:b w:val="0"/>
          <w:bCs w:val="0"/>
        </w:rPr>
        <w:t>构设置</w:t>
      </w:r>
      <w:bookmarkEnd w:id="18"/>
      <w:bookmarkEnd w:id="19"/>
      <w:bookmarkEnd w:id="20"/>
    </w:p>
    <w:p>
      <w:pPr>
        <w:ind w:firstLine="800" w:firstLineChars="250"/>
        <w:rPr>
          <w:rFonts w:ascii="仿宋" w:hAnsi="仿宋" w:eastAsia="仿宋"/>
          <w:sz w:val="32"/>
          <w:szCs w:val="32"/>
        </w:rPr>
      </w:pPr>
      <w:r>
        <w:rPr>
          <w:rFonts w:hint="eastAsia" w:ascii="仿宋_GB2312" w:hAnsi="仿宋_GB2312" w:eastAsia="仿宋_GB2312" w:cs="仿宋_GB2312"/>
          <w:sz w:val="32"/>
          <w:szCs w:val="32"/>
        </w:rPr>
        <w:t>攀枝花市西区机关事务服务中心下属二级预算单位0个，其中行政单位0个，参照公务员法管理的事业单位</w:t>
      </w:r>
      <w:r>
        <w:rPr>
          <w:rFonts w:hint="eastAsia" w:ascii="仿宋_GB2312" w:hAnsi="仿宋_GB2312" w:eastAsia="仿宋_GB2312" w:cs="仿宋_GB2312"/>
          <w:bCs/>
          <w:sz w:val="32"/>
          <w:szCs w:val="32"/>
        </w:rPr>
        <w:t>0</w:t>
      </w:r>
      <w:r>
        <w:rPr>
          <w:rFonts w:hint="eastAsia" w:ascii="仿宋_GB2312" w:hAnsi="仿宋_GB2312" w:eastAsia="仿宋_GB2312" w:cs="仿宋_GB2312"/>
          <w:sz w:val="32"/>
          <w:szCs w:val="32"/>
        </w:rPr>
        <w:t>个，其他事业单位0个。</w:t>
      </w:r>
    </w:p>
    <w:p>
      <w:pPr>
        <w:pStyle w:val="2"/>
        <w:adjustRightInd w:val="0"/>
        <w:snapToGrid w:val="0"/>
        <w:spacing w:before="93" w:line="600" w:lineRule="exact"/>
        <w:ind w:firstLine="672" w:firstLineChars="21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无纳入攀枝花市西区机关事务服务中心2022年度部门决算编制范围的二级预算单位。</w:t>
      </w:r>
    </w:p>
    <w:p>
      <w:pPr>
        <w:pStyle w:val="2"/>
        <w:adjustRightInd w:val="0"/>
        <w:snapToGrid w:val="0"/>
        <w:spacing w:before="93" w:line="600" w:lineRule="exact"/>
        <w:rPr>
          <w:rFonts w:ascii="仿宋" w:hAnsi="仿宋" w:eastAsia="仿宋"/>
          <w:sz w:val="32"/>
          <w:szCs w:val="32"/>
        </w:rPr>
      </w:pP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30"/>
          <w:rFonts w:ascii="黑体" w:hAnsi="黑体" w:eastAsia="黑体"/>
          <w:b w:val="0"/>
          <w:bCs/>
        </w:rPr>
      </w:pPr>
      <w:bookmarkStart w:id="21" w:name="_Toc15377204"/>
      <w:bookmarkStart w:id="22" w:name="_Toc14133"/>
      <w:bookmarkStart w:id="23" w:name="_Toc15396602"/>
      <w:r>
        <w:rPr>
          <w:rFonts w:hint="eastAsia" w:ascii="黑体" w:hAnsi="黑体" w:eastAsia="黑体"/>
          <w:b w:val="0"/>
        </w:rPr>
        <w:t>第二部分 2022年度</w:t>
      </w:r>
      <w:r>
        <w:rPr>
          <w:rStyle w:val="30"/>
          <w:rFonts w:hint="eastAsia" w:ascii="黑体" w:hAnsi="黑体" w:eastAsia="黑体"/>
          <w:b w:val="0"/>
          <w:bCs/>
        </w:rPr>
        <w:t>部门决算情况说明</w:t>
      </w:r>
      <w:bookmarkEnd w:id="21"/>
      <w:bookmarkEnd w:id="22"/>
      <w:bookmarkEnd w:id="23"/>
    </w:p>
    <w:p/>
    <w:p>
      <w:pPr>
        <w:pStyle w:val="29"/>
        <w:numPr>
          <w:ilvl w:val="0"/>
          <w:numId w:val="2"/>
        </w:numPr>
        <w:spacing w:line="600" w:lineRule="exact"/>
        <w:ind w:firstLineChars="0"/>
        <w:outlineLvl w:val="1"/>
        <w:rPr>
          <w:rStyle w:val="31"/>
          <w:rFonts w:ascii="黑体" w:hAnsi="黑体" w:eastAsia="黑体"/>
          <w:b w:val="0"/>
        </w:rPr>
      </w:pPr>
      <w:bookmarkStart w:id="24" w:name="_Toc28374"/>
      <w:bookmarkStart w:id="25" w:name="_Toc15396603"/>
      <w:bookmarkStart w:id="26" w:name="_Toc15377205"/>
      <w:r>
        <w:rPr>
          <w:rFonts w:hint="eastAsia" w:ascii="黑体" w:hAnsi="黑体" w:eastAsia="黑体"/>
          <w:sz w:val="32"/>
          <w:szCs w:val="32"/>
        </w:rPr>
        <w:t>收</w:t>
      </w:r>
      <w:r>
        <w:rPr>
          <w:rStyle w:val="31"/>
          <w:rFonts w:hint="eastAsia" w:ascii="黑体" w:hAnsi="黑体" w:eastAsia="黑体"/>
          <w:b w:val="0"/>
        </w:rPr>
        <w:t>入支出决算总体情况说明</w:t>
      </w:r>
      <w:bookmarkEnd w:id="24"/>
      <w:bookmarkEnd w:id="25"/>
      <w:bookmarkEnd w:id="26"/>
    </w:p>
    <w:p>
      <w:pPr>
        <w:ind w:firstLine="800" w:firstLineChars="250"/>
        <w:rPr>
          <w:rFonts w:hint="eastAsia" w:ascii="仿宋" w:hAnsi="仿宋" w:eastAsia="仿宋"/>
          <w:sz w:val="32"/>
          <w:szCs w:val="32"/>
        </w:rPr>
      </w:pPr>
      <w:r>
        <w:rPr>
          <w:rFonts w:hint="eastAsia" w:ascii="仿宋_GB2312" w:hAnsi="仿宋_GB2312" w:eastAsia="仿宋_GB2312" w:cs="仿宋_GB2312"/>
          <w:sz w:val="32"/>
          <w:szCs w:val="32"/>
        </w:rPr>
        <w:t>2022年度收、支总计1650.89万元。与2021年相比，收、支总计各增加382.56万元，增长30.16%。主要变动原因是一般公共服务支出和城乡社区支出增加。</w:t>
      </w:r>
    </w:p>
    <w:p>
      <w:pPr>
        <w:pStyle w:val="2"/>
        <w:spacing w:before="93"/>
        <w:rPr>
          <w:rFonts w:ascii="仿宋_GB2312" w:eastAsia="仿宋_GB2312"/>
          <w:sz w:val="32"/>
          <w:szCs w:val="32"/>
        </w:rPr>
      </w:pPr>
      <w:r>
        <w:rPr>
          <w:rFonts w:hint="eastAsia"/>
        </w:rPr>
        <w:drawing>
          <wp:inline distT="0" distB="0" distL="0" distR="0">
            <wp:extent cx="5274310" cy="3076575"/>
            <wp:effectExtent l="0" t="0" r="2540"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9"/>
        <w:numPr>
          <w:ilvl w:val="0"/>
          <w:numId w:val="2"/>
        </w:numPr>
        <w:spacing w:line="600" w:lineRule="exact"/>
        <w:ind w:firstLineChars="0"/>
        <w:outlineLvl w:val="1"/>
        <w:rPr>
          <w:rStyle w:val="31"/>
          <w:rFonts w:ascii="黑体" w:hAnsi="黑体" w:eastAsia="黑体"/>
          <w:b w:val="0"/>
        </w:rPr>
      </w:pPr>
      <w:bookmarkStart w:id="27" w:name="_Toc15377206"/>
      <w:bookmarkStart w:id="28" w:name="_Toc32502"/>
      <w:bookmarkStart w:id="29" w:name="_Toc15396604"/>
      <w:r>
        <w:rPr>
          <w:rFonts w:hint="eastAsia" w:ascii="黑体" w:hAnsi="黑体" w:eastAsia="黑体"/>
          <w:sz w:val="32"/>
          <w:szCs w:val="32"/>
        </w:rPr>
        <w:t>收</w:t>
      </w:r>
      <w:r>
        <w:rPr>
          <w:rStyle w:val="31"/>
          <w:rFonts w:hint="eastAsia" w:ascii="黑体" w:hAnsi="黑体" w:eastAsia="黑体"/>
          <w:b w:val="0"/>
        </w:rPr>
        <w:t>入决算情况说明</w:t>
      </w:r>
      <w:bookmarkEnd w:id="27"/>
      <w:bookmarkEnd w:id="28"/>
      <w:bookmarkEnd w:id="29"/>
    </w:p>
    <w:p>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本年收入合计1650.89万元，其中：一般公共预算财政拨款收入728.86万元，占44.15%；政府性基金预算财政拨款收入610.54万元，占36.98%；上年结转311.49万元，占18.87%；国有资本经营预算财政拨款收入0万元，占0%；上级补助收入0万元，占0%；事业收入0万元，占0%；经营收入0万元，占0%；附属单位上缴收入0万元，占0%；其他收入0万元，占0%。</w:t>
      </w:r>
    </w:p>
    <w:p>
      <w:pPr>
        <w:pStyle w:val="2"/>
        <w:spacing w:before="93"/>
        <w:rPr>
          <w:rFonts w:ascii="仿宋_GB2312" w:eastAsia="仿宋_GB2312"/>
          <w:sz w:val="32"/>
          <w:szCs w:val="32"/>
        </w:rPr>
      </w:pPr>
      <w:r>
        <w:rPr>
          <w:rFonts w:hint="eastAsia"/>
        </w:rPr>
        <w:drawing>
          <wp:inline distT="0" distB="0" distL="0" distR="0">
            <wp:extent cx="5274310" cy="3076575"/>
            <wp:effectExtent l="0" t="0" r="2540"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9"/>
        <w:numPr>
          <w:ilvl w:val="0"/>
          <w:numId w:val="2"/>
        </w:numPr>
        <w:spacing w:line="600" w:lineRule="exact"/>
        <w:ind w:firstLineChars="0"/>
        <w:outlineLvl w:val="1"/>
        <w:rPr>
          <w:rStyle w:val="31"/>
          <w:rFonts w:ascii="黑体" w:hAnsi="黑体" w:eastAsia="黑体"/>
          <w:b w:val="0"/>
        </w:rPr>
      </w:pPr>
      <w:bookmarkStart w:id="30" w:name="_Toc15377207"/>
      <w:bookmarkStart w:id="31" w:name="_Toc15396605"/>
      <w:bookmarkStart w:id="32" w:name="_Toc11388"/>
      <w:r>
        <w:rPr>
          <w:rFonts w:hint="eastAsia" w:ascii="黑体" w:hAnsi="黑体" w:eastAsia="黑体"/>
          <w:sz w:val="32"/>
          <w:szCs w:val="32"/>
        </w:rPr>
        <w:t>支</w:t>
      </w:r>
      <w:r>
        <w:rPr>
          <w:rStyle w:val="31"/>
          <w:rFonts w:hint="eastAsia" w:ascii="黑体" w:hAnsi="黑体" w:eastAsia="黑体"/>
          <w:b w:val="0"/>
        </w:rPr>
        <w:t>出决算情况说明</w:t>
      </w:r>
      <w:bookmarkEnd w:id="30"/>
      <w:bookmarkEnd w:id="31"/>
      <w:bookmarkEnd w:id="32"/>
    </w:p>
    <w:p>
      <w:pPr>
        <w:spacing w:line="600" w:lineRule="exact"/>
        <w:ind w:firstLine="640" w:firstLineChars="200"/>
        <w:outlineLvl w:val="1"/>
        <w:rPr>
          <w:rFonts w:hint="eastAsia" w:ascii="仿宋" w:hAnsi="仿宋" w:eastAsia="仿宋"/>
          <w:sz w:val="32"/>
          <w:szCs w:val="32"/>
        </w:rPr>
      </w:pPr>
      <w:bookmarkStart w:id="33" w:name="_Toc16749"/>
      <w:r>
        <w:rPr>
          <w:rFonts w:hint="eastAsia" w:ascii="仿宋_GB2312" w:hAnsi="仿宋_GB2312" w:eastAsia="仿宋_GB2312" w:cs="仿宋_GB2312"/>
          <w:sz w:val="32"/>
          <w:szCs w:val="32"/>
        </w:rPr>
        <w:t>2022年本年支出合计1650.89万元，其中：基本支出</w:t>
      </w:r>
      <w:r>
        <w:rPr>
          <w:rFonts w:hint="eastAsia" w:ascii="仿宋_GB2312" w:hAnsi="仿宋_GB2312" w:eastAsia="仿宋_GB2312" w:cs="仿宋_GB2312"/>
          <w:sz w:val="32"/>
          <w:szCs w:val="32"/>
          <w:lang w:val="en-US" w:eastAsia="zh-CN"/>
        </w:rPr>
        <w:t>721.07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43.67</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929.81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56.32</w:t>
      </w:r>
      <w:r>
        <w:rPr>
          <w:rFonts w:hint="eastAsia" w:ascii="仿宋_GB2312" w:hAnsi="仿宋_GB2312" w:eastAsia="仿宋_GB2312" w:cs="仿宋_GB2312"/>
          <w:sz w:val="32"/>
          <w:szCs w:val="32"/>
        </w:rPr>
        <w:t>%；上缴上级支出0万元，占0%；经营支出0万元，占0%；对对附属单位补助支出0万元，占0%。</w:t>
      </w:r>
      <w:bookmarkEnd w:id="33"/>
    </w:p>
    <w:p>
      <w:pPr>
        <w:pStyle w:val="2"/>
        <w:rPr>
          <w:rFonts w:hint="eastAsia" w:ascii="仿宋" w:hAnsi="仿宋" w:eastAsia="仿宋"/>
          <w:sz w:val="32"/>
          <w:szCs w:val="32"/>
        </w:rPr>
      </w:pPr>
      <w:r>
        <w:rPr>
          <w:rFonts w:ascii="仿宋" w:hAnsi="仿宋" w:eastAsia="仿宋"/>
          <w:sz w:val="32"/>
          <w:szCs w:val="32"/>
          <w:shd w:val="pct10" w:color="auto" w:fill="FFFFFF"/>
        </w:rPr>
        <w:drawing>
          <wp:inline distT="0" distB="0" distL="114300" distR="114300">
            <wp:extent cx="5415915" cy="2574290"/>
            <wp:effectExtent l="4445" t="4445" r="8890" b="1206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31"/>
          <w:rFonts w:ascii="黑体" w:hAnsi="黑体" w:eastAsia="黑体"/>
          <w:b w:val="0"/>
        </w:rPr>
      </w:pPr>
      <w:bookmarkStart w:id="34" w:name="_Toc17536"/>
      <w:bookmarkStart w:id="35" w:name="_Toc15396606"/>
      <w:bookmarkStart w:id="36" w:name="_Toc15377208"/>
      <w:r>
        <w:rPr>
          <w:rFonts w:hint="eastAsia" w:ascii="黑体" w:hAnsi="黑体" w:eastAsia="黑体"/>
          <w:sz w:val="32"/>
          <w:szCs w:val="32"/>
        </w:rPr>
        <w:t>四、财</w:t>
      </w:r>
      <w:r>
        <w:rPr>
          <w:rStyle w:val="31"/>
          <w:rFonts w:hint="eastAsia" w:ascii="黑体" w:hAnsi="黑体" w:eastAsia="黑体"/>
          <w:b w:val="0"/>
        </w:rPr>
        <w:t>政拨款收入支出决算总体情况说明</w:t>
      </w:r>
      <w:bookmarkEnd w:id="34"/>
      <w:bookmarkEnd w:id="35"/>
      <w:bookmarkEnd w:id="36"/>
    </w:p>
    <w:p>
      <w:pPr>
        <w:spacing w:line="600" w:lineRule="exact"/>
        <w:ind w:firstLine="640"/>
        <w:rPr>
          <w:rFonts w:ascii="仿宋" w:hAnsi="仿宋" w:eastAsia="仿宋"/>
          <w:sz w:val="32"/>
          <w:szCs w:val="32"/>
        </w:rPr>
      </w:pP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259715</wp:posOffset>
            </wp:positionH>
            <wp:positionV relativeFrom="paragraph">
              <wp:posOffset>1798955</wp:posOffset>
            </wp:positionV>
            <wp:extent cx="4739005" cy="1899920"/>
            <wp:effectExtent l="0" t="0" r="4445" b="571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_GB2312" w:hAnsi="仿宋_GB2312" w:eastAsia="仿宋_GB2312" w:cs="仿宋_GB2312"/>
          <w:sz w:val="32"/>
          <w:szCs w:val="32"/>
        </w:rPr>
        <w:t>2022年财政拨款收、支总计1650.89万元。与2021年相比，财政拨款收、支总计各增加382.56万元，增长30.16%。主要变动原因是一般公共服务支出和城乡社区支出增加，上年部分项目未支付完结转到本年</w:t>
      </w:r>
      <w:r>
        <w:rPr>
          <w:rFonts w:hint="eastAsia" w:ascii="仿宋" w:hAnsi="仿宋" w:eastAsia="仿宋"/>
          <w:sz w:val="32"/>
          <w:szCs w:val="32"/>
        </w:rPr>
        <w:t>。</w:t>
      </w:r>
    </w:p>
    <w:p>
      <w:pPr>
        <w:spacing w:line="600" w:lineRule="exact"/>
        <w:ind w:firstLine="640" w:firstLineChars="200"/>
        <w:outlineLvl w:val="1"/>
        <w:rPr>
          <w:rStyle w:val="31"/>
          <w:rFonts w:ascii="黑体" w:hAnsi="黑体" w:eastAsia="黑体"/>
          <w:b w:val="0"/>
        </w:rPr>
      </w:pPr>
      <w:bookmarkStart w:id="37" w:name="_Toc15377209"/>
      <w:bookmarkStart w:id="38" w:name="_Toc15396607"/>
      <w:bookmarkStart w:id="39" w:name="_Toc26185"/>
      <w:r>
        <w:rPr>
          <w:rFonts w:hint="eastAsia" w:ascii="黑体" w:hAnsi="黑体" w:eastAsia="黑体"/>
          <w:sz w:val="32"/>
          <w:szCs w:val="32"/>
        </w:rPr>
        <w:t>五、</w:t>
      </w:r>
      <w:r>
        <w:rPr>
          <w:rFonts w:hint="eastAsia" w:ascii="黑体" w:hAnsi="黑体" w:eastAsia="黑体"/>
          <w:b/>
          <w:sz w:val="32"/>
          <w:szCs w:val="32"/>
        </w:rPr>
        <w:t>一</w:t>
      </w:r>
      <w:r>
        <w:rPr>
          <w:rStyle w:val="31"/>
          <w:rFonts w:hint="eastAsia" w:ascii="黑体" w:hAnsi="黑体" w:eastAsia="黑体"/>
          <w:b w:val="0"/>
        </w:rPr>
        <w:t>般公共预算财政拨款支出决算情况说明</w:t>
      </w:r>
      <w:bookmarkEnd w:id="37"/>
      <w:bookmarkEnd w:id="38"/>
      <w:bookmarkEnd w:id="39"/>
    </w:p>
    <w:p>
      <w:pPr>
        <w:spacing w:line="600" w:lineRule="exact"/>
        <w:ind w:firstLine="643" w:firstLineChars="200"/>
        <w:outlineLvl w:val="2"/>
        <w:rPr>
          <w:rFonts w:ascii="仿宋" w:hAnsi="仿宋" w:eastAsia="仿宋"/>
          <w:b/>
          <w:sz w:val="32"/>
          <w:szCs w:val="32"/>
        </w:rPr>
      </w:pPr>
      <w:bookmarkStart w:id="40" w:name="_Toc15377210"/>
      <w:r>
        <w:rPr>
          <w:rFonts w:hint="eastAsia" w:ascii="仿宋" w:hAnsi="仿宋" w:eastAsia="仿宋"/>
          <w:b/>
          <w:sz w:val="32"/>
          <w:szCs w:val="32"/>
        </w:rPr>
        <w:t>（一）一般公共预算财政拨款支出决算总体情况</w:t>
      </w:r>
      <w:bookmarkEnd w:id="40"/>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2022年一般公共预算财政拨款支出871.61万元，占本年支出合计的52.80%。与2021年相比，一般公共预算财政拨款支出增加82.34万元，增长10.43%。主要变动原因是其他工资福利支出增加。</w:t>
      </w:r>
    </w:p>
    <w:p>
      <w:pPr>
        <w:pStyle w:val="2"/>
        <w:spacing w:before="93"/>
      </w:pPr>
      <w:r>
        <w:rPr>
          <w:rFonts w:hint="eastAsia"/>
        </w:rPr>
        <w:drawing>
          <wp:inline distT="0" distB="0" distL="0" distR="0">
            <wp:extent cx="4779010" cy="2726055"/>
            <wp:effectExtent l="4445" t="4445" r="17145" b="1270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3" w:firstLineChars="200"/>
        <w:outlineLvl w:val="2"/>
        <w:rPr>
          <w:rFonts w:ascii="仿宋" w:hAnsi="仿宋" w:eastAsia="仿宋"/>
          <w:b/>
          <w:sz w:val="32"/>
          <w:szCs w:val="32"/>
        </w:rPr>
      </w:pPr>
      <w:bookmarkStart w:id="41" w:name="_Toc15377211"/>
      <w:r>
        <w:rPr>
          <w:rFonts w:hint="eastAsia" w:ascii="仿宋" w:hAnsi="仿宋" w:eastAsia="仿宋"/>
          <w:b/>
          <w:sz w:val="32"/>
          <w:szCs w:val="32"/>
        </w:rPr>
        <w:t>（二）一般公共预算财政拨款支出决算结构情况</w:t>
      </w:r>
      <w:bookmarkEnd w:id="41"/>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2022年一般公共预算财政拨款支出871.61万元，主要用于以下方面:</w:t>
      </w:r>
      <w:r>
        <w:rPr>
          <w:rFonts w:hint="eastAsia" w:ascii="仿宋_GB2312" w:hAnsi="仿宋_GB2312" w:eastAsia="仿宋_GB2312" w:cs="仿宋_GB2312"/>
          <w:b/>
          <w:sz w:val="32"/>
          <w:szCs w:val="32"/>
        </w:rPr>
        <w:t>一般公共服务</w:t>
      </w:r>
      <w:r>
        <w:rPr>
          <w:rFonts w:hint="eastAsia" w:ascii="仿宋_GB2312" w:hAnsi="仿宋_GB2312" w:eastAsia="仿宋_GB2312" w:cs="仿宋_GB2312"/>
          <w:b/>
          <w:bCs/>
          <w:sz w:val="32"/>
          <w:szCs w:val="32"/>
        </w:rPr>
        <w:t>支出</w:t>
      </w:r>
      <w:r>
        <w:rPr>
          <w:rFonts w:hint="eastAsia" w:ascii="仿宋_GB2312" w:hAnsi="仿宋_GB2312" w:eastAsia="仿宋_GB2312" w:cs="仿宋_GB2312"/>
          <w:sz w:val="32"/>
          <w:szCs w:val="32"/>
        </w:rPr>
        <w:t>809.39万元，占92.86%；</w:t>
      </w:r>
      <w:r>
        <w:rPr>
          <w:rFonts w:hint="eastAsia" w:ascii="仿宋_GB2312" w:hAnsi="仿宋_GB2312" w:eastAsia="仿宋_GB2312" w:cs="仿宋_GB2312"/>
          <w:b/>
          <w:sz w:val="32"/>
          <w:szCs w:val="32"/>
        </w:rPr>
        <w:t>教育支出</w:t>
      </w:r>
      <w:r>
        <w:rPr>
          <w:rFonts w:hint="eastAsia" w:ascii="仿宋_GB2312" w:hAnsi="仿宋_GB2312" w:eastAsia="仿宋_GB2312" w:cs="仿宋_GB2312"/>
          <w:sz w:val="32"/>
          <w:szCs w:val="32"/>
        </w:rPr>
        <w:t>0万元，占0%；</w:t>
      </w:r>
      <w:r>
        <w:rPr>
          <w:rFonts w:hint="eastAsia" w:ascii="仿宋_GB2312" w:hAnsi="仿宋_GB2312" w:eastAsia="仿宋_GB2312" w:cs="仿宋_GB2312"/>
          <w:b/>
          <w:sz w:val="32"/>
          <w:szCs w:val="32"/>
        </w:rPr>
        <w:t>科学技术</w:t>
      </w:r>
      <w:r>
        <w:rPr>
          <w:rFonts w:hint="eastAsia" w:ascii="仿宋_GB2312" w:hAnsi="仿宋_GB2312" w:eastAsia="仿宋_GB2312" w:cs="仿宋_GB2312"/>
          <w:b/>
          <w:bCs/>
          <w:sz w:val="32"/>
          <w:szCs w:val="32"/>
        </w:rPr>
        <w:t>支出</w:t>
      </w:r>
      <w:r>
        <w:rPr>
          <w:rFonts w:hint="eastAsia" w:ascii="仿宋_GB2312" w:hAnsi="仿宋_GB2312" w:eastAsia="仿宋_GB2312" w:cs="仿宋_GB2312"/>
          <w:sz w:val="32"/>
          <w:szCs w:val="32"/>
        </w:rPr>
        <w:t>0万元，占0%；</w:t>
      </w:r>
      <w:r>
        <w:rPr>
          <w:rFonts w:hint="eastAsia" w:ascii="仿宋_GB2312" w:hAnsi="仿宋_GB2312" w:eastAsia="仿宋_GB2312" w:cs="仿宋_GB2312"/>
          <w:b/>
          <w:bCs/>
          <w:sz w:val="32"/>
          <w:szCs w:val="32"/>
        </w:rPr>
        <w:t>文化旅游体育与传媒支出0万元，占0%</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社会保障和就业</w:t>
      </w:r>
      <w:r>
        <w:rPr>
          <w:rFonts w:hint="eastAsia" w:ascii="仿宋_GB2312" w:hAnsi="仿宋_GB2312" w:eastAsia="仿宋_GB2312" w:cs="仿宋_GB2312"/>
          <w:b/>
          <w:bCs/>
          <w:sz w:val="32"/>
          <w:szCs w:val="32"/>
        </w:rPr>
        <w:t>支出</w:t>
      </w:r>
      <w:r>
        <w:rPr>
          <w:rFonts w:hint="eastAsia" w:ascii="仿宋_GB2312" w:hAnsi="仿宋_GB2312" w:eastAsia="仿宋_GB2312" w:cs="仿宋_GB2312"/>
          <w:sz w:val="32"/>
          <w:szCs w:val="32"/>
        </w:rPr>
        <w:t>29.52万元，占3.38%；</w:t>
      </w:r>
      <w:r>
        <w:rPr>
          <w:rFonts w:hint="eastAsia" w:ascii="仿宋_GB2312" w:hAnsi="仿宋_GB2312" w:eastAsia="仿宋_GB2312" w:cs="仿宋_GB2312"/>
          <w:b/>
          <w:bCs/>
          <w:sz w:val="32"/>
          <w:szCs w:val="32"/>
        </w:rPr>
        <w:t>卫生健康支出</w:t>
      </w:r>
      <w:r>
        <w:rPr>
          <w:rFonts w:hint="eastAsia" w:ascii="仿宋_GB2312" w:hAnsi="仿宋_GB2312" w:eastAsia="仿宋_GB2312" w:cs="仿宋_GB2312"/>
          <w:sz w:val="32"/>
          <w:szCs w:val="32"/>
        </w:rPr>
        <w:t>13.61万元，占1.56%；</w:t>
      </w:r>
      <w:r>
        <w:rPr>
          <w:rFonts w:hint="eastAsia" w:ascii="仿宋_GB2312" w:hAnsi="仿宋_GB2312" w:eastAsia="仿宋_GB2312" w:cs="仿宋_GB2312"/>
          <w:b/>
          <w:bCs/>
          <w:sz w:val="32"/>
          <w:szCs w:val="32"/>
        </w:rPr>
        <w:t>住房保障支出</w:t>
      </w:r>
      <w:r>
        <w:rPr>
          <w:rFonts w:hint="eastAsia" w:ascii="仿宋_GB2312" w:hAnsi="仿宋_GB2312" w:eastAsia="仿宋_GB2312" w:cs="仿宋_GB2312"/>
          <w:sz w:val="32"/>
          <w:szCs w:val="32"/>
        </w:rPr>
        <w:t>19.25万元，占2.21%；农林水支出0.3万元，占0.03%。</w:t>
      </w:r>
    </w:p>
    <w:p>
      <w:pPr>
        <w:pStyle w:val="2"/>
        <w:spacing w:before="93"/>
        <w:rPr>
          <w:rFonts w:ascii="仿宋" w:hAnsi="仿宋" w:eastAsia="仿宋"/>
          <w:sz w:val="32"/>
          <w:szCs w:val="32"/>
        </w:rPr>
      </w:pPr>
      <w:r>
        <w:drawing>
          <wp:inline distT="0" distB="0" distL="0" distR="0">
            <wp:extent cx="5351780" cy="3219450"/>
            <wp:effectExtent l="4445" t="4445" r="15875" b="1460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3" w:firstLineChars="200"/>
        <w:outlineLvl w:val="2"/>
        <w:rPr>
          <w:rFonts w:ascii="仿宋" w:hAnsi="仿宋" w:eastAsia="仿宋"/>
          <w:b/>
          <w:sz w:val="32"/>
          <w:szCs w:val="32"/>
        </w:rPr>
      </w:pPr>
      <w:bookmarkStart w:id="42" w:name="_Toc15377212"/>
      <w:r>
        <w:rPr>
          <w:rFonts w:hint="eastAsia" w:ascii="仿宋" w:hAnsi="仿宋" w:eastAsia="仿宋"/>
          <w:b/>
          <w:sz w:val="32"/>
          <w:szCs w:val="32"/>
        </w:rPr>
        <w:t>（三）一般公共预算财政拨款支出决算具体情况</w:t>
      </w:r>
      <w:bookmarkEnd w:id="42"/>
    </w:p>
    <w:p>
      <w:pPr>
        <w:spacing w:line="600" w:lineRule="exact"/>
        <w:ind w:firstLine="640" w:firstLineChars="200"/>
        <w:outlineLvl w:val="2"/>
        <w:rPr>
          <w:rFonts w:hint="eastAsia" w:ascii="仿宋_GB2312" w:hAnsi="仿宋_GB2312" w:eastAsia="仿宋_GB2312" w:cs="仿宋_GB2312"/>
          <w:b w:val="0"/>
          <w:bCs/>
          <w:sz w:val="32"/>
          <w:szCs w:val="32"/>
        </w:rPr>
      </w:pPr>
      <w:bookmarkStart w:id="43" w:name="_Toc15377444"/>
      <w:bookmarkStart w:id="44" w:name="_Toc15377213"/>
      <w:bookmarkStart w:id="45" w:name="_Toc15378460"/>
      <w:r>
        <w:rPr>
          <w:rFonts w:hint="eastAsia" w:ascii="仿宋_GB2312" w:hAnsi="仿宋_GB2312" w:eastAsia="仿宋_GB2312" w:cs="仿宋_GB2312"/>
          <w:b w:val="0"/>
          <w:bCs/>
          <w:sz w:val="32"/>
          <w:szCs w:val="32"/>
        </w:rPr>
        <w:t>2022年一般公共预算支出决算数为871.67，</w:t>
      </w:r>
      <w:r>
        <w:rPr>
          <w:rStyle w:val="18"/>
          <w:rFonts w:hint="eastAsia" w:ascii="仿宋_GB2312" w:hAnsi="仿宋_GB2312" w:eastAsia="仿宋_GB2312" w:cs="仿宋_GB2312"/>
          <w:b w:val="0"/>
          <w:bCs/>
          <w:sz w:val="32"/>
          <w:szCs w:val="32"/>
        </w:rPr>
        <w:t>完成预算52.80%。其中：</w:t>
      </w:r>
      <w:bookmarkEnd w:id="43"/>
      <w:bookmarkEnd w:id="44"/>
      <w:bookmarkEnd w:id="45"/>
    </w:p>
    <w:p>
      <w:pPr>
        <w:spacing w:line="600" w:lineRule="exact"/>
        <w:ind w:firstLine="643" w:firstLineChars="200"/>
        <w:rPr>
          <w:rFonts w:hint="eastAsia" w:ascii="仿宋_GB2312" w:hAnsi="仿宋_GB2312" w:eastAsia="仿宋_GB2312" w:cs="仿宋_GB2312"/>
          <w:b w:val="0"/>
          <w:bCs w:val="0"/>
          <w:sz w:val="32"/>
          <w:szCs w:val="32"/>
        </w:rPr>
      </w:pPr>
      <w:r>
        <w:rPr>
          <w:rStyle w:val="18"/>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rPr>
        <w:t xml:space="preserve"> </w:t>
      </w:r>
      <w:r>
        <w:rPr>
          <w:rStyle w:val="18"/>
          <w:rFonts w:hint="eastAsia" w:ascii="仿宋_GB2312" w:hAnsi="仿宋_GB2312" w:eastAsia="仿宋_GB2312" w:cs="仿宋_GB2312"/>
          <w:b/>
          <w:bCs/>
          <w:sz w:val="32"/>
          <w:szCs w:val="32"/>
        </w:rPr>
        <w:t xml:space="preserve">一般公共服务（类）政府办公厅（室）及相关机构事务（款）行政运行（项）： </w:t>
      </w:r>
      <w:r>
        <w:rPr>
          <w:rStyle w:val="18"/>
          <w:rFonts w:hint="eastAsia" w:ascii="仿宋_GB2312" w:hAnsi="仿宋_GB2312" w:eastAsia="仿宋_GB2312" w:cs="仿宋_GB2312"/>
          <w:b w:val="0"/>
          <w:bCs w:val="0"/>
          <w:sz w:val="32"/>
          <w:szCs w:val="32"/>
        </w:rPr>
        <w:t>支出决算为658.85万元，完成预算100%，决算数等于预算数。</w:t>
      </w:r>
    </w:p>
    <w:p>
      <w:pPr>
        <w:spacing w:line="600" w:lineRule="exact"/>
        <w:ind w:firstLine="643" w:firstLineChars="200"/>
        <w:rPr>
          <w:rFonts w:ascii="仿宋" w:hAnsi="仿宋" w:eastAsia="仿宋"/>
          <w:b w:val="0"/>
          <w:bCs w:val="0"/>
          <w:sz w:val="32"/>
          <w:szCs w:val="32"/>
        </w:rPr>
      </w:pPr>
      <w:r>
        <w:rPr>
          <w:rStyle w:val="18"/>
          <w:rFonts w:ascii="仿宋" w:hAnsi="仿宋" w:eastAsia="仿宋"/>
          <w:b/>
          <w:bCs/>
          <w:sz w:val="32"/>
          <w:szCs w:val="32"/>
        </w:rPr>
        <w:t>2.</w:t>
      </w:r>
      <w:r>
        <w:rPr>
          <w:rFonts w:hint="eastAsia" w:ascii="仿宋" w:hAnsi="仿宋" w:eastAsia="仿宋"/>
          <w:b/>
          <w:bCs/>
          <w:sz w:val="32"/>
          <w:szCs w:val="32"/>
        </w:rPr>
        <w:t xml:space="preserve"> </w:t>
      </w:r>
      <w:r>
        <w:rPr>
          <w:rStyle w:val="18"/>
          <w:rFonts w:hint="eastAsia" w:ascii="仿宋" w:hAnsi="仿宋" w:eastAsia="仿宋"/>
          <w:b/>
          <w:bCs/>
          <w:sz w:val="32"/>
          <w:szCs w:val="32"/>
        </w:rPr>
        <w:t>一般公共服务（类）政府办公厅（室）及相关机构事务（款）机关服务（项）</w:t>
      </w:r>
      <w:r>
        <w:rPr>
          <w:rStyle w:val="18"/>
          <w:rFonts w:ascii="仿宋" w:hAnsi="仿宋" w:eastAsia="仿宋"/>
          <w:b/>
          <w:bCs/>
          <w:sz w:val="32"/>
          <w:szCs w:val="32"/>
        </w:rPr>
        <w:t xml:space="preserve">: </w:t>
      </w:r>
      <w:r>
        <w:rPr>
          <w:rStyle w:val="18"/>
          <w:rFonts w:hint="eastAsia" w:ascii="仿宋" w:hAnsi="仿宋" w:eastAsia="仿宋"/>
          <w:b w:val="0"/>
          <w:bCs w:val="0"/>
          <w:sz w:val="32"/>
          <w:szCs w:val="32"/>
        </w:rPr>
        <w:t>支出决算为</w:t>
      </w:r>
      <w:r>
        <w:rPr>
          <w:rStyle w:val="18"/>
          <w:rFonts w:ascii="仿宋" w:hAnsi="仿宋" w:eastAsia="仿宋"/>
          <w:b w:val="0"/>
          <w:bCs w:val="0"/>
          <w:sz w:val="32"/>
          <w:szCs w:val="32"/>
        </w:rPr>
        <w:t>116.28</w:t>
      </w:r>
      <w:r>
        <w:rPr>
          <w:rStyle w:val="18"/>
          <w:rFonts w:hint="eastAsia" w:ascii="仿宋" w:hAnsi="仿宋" w:eastAsia="仿宋"/>
          <w:b w:val="0"/>
          <w:bCs w:val="0"/>
          <w:sz w:val="32"/>
          <w:szCs w:val="32"/>
        </w:rPr>
        <w:t>万元，完成预算</w:t>
      </w:r>
      <w:r>
        <w:rPr>
          <w:rStyle w:val="18"/>
          <w:rFonts w:ascii="仿宋" w:hAnsi="仿宋" w:eastAsia="仿宋"/>
          <w:b w:val="0"/>
          <w:bCs w:val="0"/>
          <w:sz w:val="32"/>
          <w:szCs w:val="32"/>
        </w:rPr>
        <w:t>100%</w:t>
      </w:r>
      <w:r>
        <w:rPr>
          <w:rStyle w:val="18"/>
          <w:rFonts w:hint="eastAsia" w:ascii="仿宋" w:hAnsi="仿宋" w:eastAsia="仿宋"/>
          <w:b w:val="0"/>
          <w:bCs w:val="0"/>
          <w:sz w:val="32"/>
          <w:szCs w:val="32"/>
        </w:rPr>
        <w:t>，决算数等于预算数。</w:t>
      </w:r>
    </w:p>
    <w:p>
      <w:pPr>
        <w:spacing w:line="600" w:lineRule="exact"/>
        <w:ind w:firstLine="643" w:firstLineChars="200"/>
        <w:rPr>
          <w:rFonts w:ascii="仿宋" w:hAnsi="仿宋" w:eastAsia="仿宋"/>
          <w:b w:val="0"/>
          <w:bCs w:val="0"/>
          <w:sz w:val="32"/>
          <w:szCs w:val="32"/>
        </w:rPr>
      </w:pPr>
      <w:r>
        <w:rPr>
          <w:rStyle w:val="18"/>
          <w:rFonts w:ascii="仿宋" w:hAnsi="仿宋" w:eastAsia="仿宋"/>
          <w:b/>
          <w:bCs/>
          <w:sz w:val="32"/>
          <w:szCs w:val="32"/>
        </w:rPr>
        <w:t>3.</w:t>
      </w:r>
      <w:r>
        <w:rPr>
          <w:rFonts w:hint="eastAsia" w:ascii="仿宋" w:hAnsi="仿宋" w:eastAsia="仿宋"/>
          <w:b/>
          <w:bCs/>
          <w:sz w:val="32"/>
          <w:szCs w:val="32"/>
        </w:rPr>
        <w:t xml:space="preserve"> </w:t>
      </w:r>
      <w:r>
        <w:rPr>
          <w:rStyle w:val="18"/>
          <w:rFonts w:hint="eastAsia" w:ascii="仿宋" w:hAnsi="仿宋" w:eastAsia="仿宋"/>
          <w:b/>
          <w:bCs/>
          <w:sz w:val="32"/>
          <w:szCs w:val="32"/>
        </w:rPr>
        <w:t>一般公共服务（类）政府办公厅（室）及相关机构事务（款）其他政府办公厅（室）及相关机构事务支出（项）</w:t>
      </w:r>
      <w:r>
        <w:rPr>
          <w:rStyle w:val="18"/>
          <w:rFonts w:ascii="仿宋" w:hAnsi="仿宋" w:eastAsia="仿宋"/>
          <w:b/>
          <w:bCs/>
          <w:sz w:val="32"/>
          <w:szCs w:val="32"/>
        </w:rPr>
        <w:t>:</w:t>
      </w:r>
      <w:r>
        <w:rPr>
          <w:rStyle w:val="18"/>
          <w:rFonts w:hint="eastAsia" w:ascii="仿宋" w:hAnsi="仿宋" w:eastAsia="仿宋"/>
          <w:b w:val="0"/>
          <w:bCs w:val="0"/>
          <w:sz w:val="32"/>
          <w:szCs w:val="32"/>
        </w:rPr>
        <w:t>支出决算为</w:t>
      </w:r>
      <w:r>
        <w:rPr>
          <w:rStyle w:val="18"/>
          <w:rFonts w:ascii="仿宋" w:hAnsi="仿宋" w:eastAsia="仿宋"/>
          <w:b w:val="0"/>
          <w:bCs w:val="0"/>
          <w:sz w:val="32"/>
          <w:szCs w:val="32"/>
        </w:rPr>
        <w:t>34.26</w:t>
      </w:r>
      <w:r>
        <w:rPr>
          <w:rStyle w:val="18"/>
          <w:rFonts w:hint="eastAsia" w:ascii="仿宋" w:hAnsi="仿宋" w:eastAsia="仿宋"/>
          <w:b w:val="0"/>
          <w:bCs w:val="0"/>
          <w:sz w:val="32"/>
          <w:szCs w:val="32"/>
        </w:rPr>
        <w:t>万元，完成预算</w:t>
      </w:r>
      <w:r>
        <w:rPr>
          <w:rStyle w:val="18"/>
          <w:rFonts w:ascii="仿宋" w:hAnsi="仿宋" w:eastAsia="仿宋"/>
          <w:b w:val="0"/>
          <w:bCs w:val="0"/>
          <w:sz w:val="32"/>
          <w:szCs w:val="32"/>
        </w:rPr>
        <w:t>100%</w:t>
      </w:r>
      <w:r>
        <w:rPr>
          <w:rStyle w:val="18"/>
          <w:rFonts w:hint="eastAsia" w:ascii="仿宋" w:hAnsi="仿宋" w:eastAsia="仿宋"/>
          <w:b w:val="0"/>
          <w:bCs w:val="0"/>
          <w:sz w:val="32"/>
          <w:szCs w:val="32"/>
        </w:rPr>
        <w:t>，决算数等于预算数。</w:t>
      </w:r>
    </w:p>
    <w:p>
      <w:pPr>
        <w:spacing w:line="600" w:lineRule="exact"/>
        <w:ind w:firstLine="643" w:firstLineChars="200"/>
        <w:rPr>
          <w:rFonts w:ascii="仿宋" w:hAnsi="仿宋" w:eastAsia="仿宋"/>
          <w:b w:val="0"/>
          <w:bCs w:val="0"/>
          <w:sz w:val="32"/>
          <w:szCs w:val="32"/>
        </w:rPr>
      </w:pPr>
      <w:r>
        <w:rPr>
          <w:rStyle w:val="18"/>
          <w:rFonts w:ascii="仿宋" w:hAnsi="仿宋" w:eastAsia="仿宋"/>
          <w:b/>
          <w:bCs/>
          <w:sz w:val="32"/>
          <w:szCs w:val="32"/>
        </w:rPr>
        <w:t>4.</w:t>
      </w:r>
      <w:r>
        <w:rPr>
          <w:rFonts w:hint="eastAsia" w:ascii="仿宋" w:hAnsi="仿宋" w:eastAsia="仿宋"/>
          <w:b/>
          <w:bCs/>
          <w:color w:val="000000"/>
          <w:sz w:val="32"/>
          <w:szCs w:val="32"/>
        </w:rPr>
        <w:t xml:space="preserve"> </w:t>
      </w:r>
      <w:r>
        <w:rPr>
          <w:rStyle w:val="18"/>
          <w:rFonts w:hint="eastAsia" w:ascii="仿宋" w:hAnsi="仿宋" w:eastAsia="仿宋"/>
          <w:b/>
          <w:bCs/>
          <w:color w:val="000000"/>
          <w:sz w:val="32"/>
          <w:szCs w:val="32"/>
        </w:rPr>
        <w:t>社会保障和就业支出（类）行政单事业单位养老支出（款）行政单位离退休（项）</w:t>
      </w:r>
      <w:r>
        <w:rPr>
          <w:rStyle w:val="18"/>
          <w:rFonts w:ascii="仿宋" w:hAnsi="仿宋" w:eastAsia="仿宋"/>
          <w:b/>
          <w:bCs/>
          <w:sz w:val="32"/>
          <w:szCs w:val="32"/>
        </w:rPr>
        <w:t xml:space="preserve">: </w:t>
      </w:r>
      <w:r>
        <w:rPr>
          <w:rStyle w:val="18"/>
          <w:rFonts w:hint="eastAsia" w:ascii="仿宋" w:hAnsi="仿宋" w:eastAsia="仿宋"/>
          <w:b w:val="0"/>
          <w:bCs w:val="0"/>
          <w:sz w:val="32"/>
          <w:szCs w:val="32"/>
        </w:rPr>
        <w:t>支出决算为</w:t>
      </w:r>
      <w:r>
        <w:rPr>
          <w:rStyle w:val="18"/>
          <w:rFonts w:ascii="仿宋" w:hAnsi="仿宋" w:eastAsia="仿宋"/>
          <w:b w:val="0"/>
          <w:bCs w:val="0"/>
          <w:sz w:val="32"/>
          <w:szCs w:val="32"/>
        </w:rPr>
        <w:t>16.38</w:t>
      </w:r>
      <w:r>
        <w:rPr>
          <w:rStyle w:val="18"/>
          <w:rFonts w:hint="eastAsia" w:ascii="仿宋" w:hAnsi="仿宋" w:eastAsia="仿宋"/>
          <w:b w:val="0"/>
          <w:bCs w:val="0"/>
          <w:sz w:val="32"/>
          <w:szCs w:val="32"/>
        </w:rPr>
        <w:t>万元，完成预算</w:t>
      </w:r>
      <w:r>
        <w:rPr>
          <w:rStyle w:val="18"/>
          <w:rFonts w:ascii="仿宋" w:hAnsi="仿宋" w:eastAsia="仿宋"/>
          <w:b w:val="0"/>
          <w:bCs w:val="0"/>
          <w:sz w:val="32"/>
          <w:szCs w:val="32"/>
        </w:rPr>
        <w:t>100%</w:t>
      </w:r>
      <w:r>
        <w:rPr>
          <w:rStyle w:val="18"/>
          <w:rFonts w:hint="eastAsia" w:ascii="仿宋" w:hAnsi="仿宋" w:eastAsia="仿宋"/>
          <w:b w:val="0"/>
          <w:bCs w:val="0"/>
          <w:sz w:val="32"/>
          <w:szCs w:val="32"/>
        </w:rPr>
        <w:t>，决算等于预算数。</w:t>
      </w:r>
    </w:p>
    <w:p>
      <w:pPr>
        <w:spacing w:line="600" w:lineRule="exact"/>
        <w:ind w:firstLine="643" w:firstLineChars="200"/>
        <w:rPr>
          <w:rFonts w:ascii="仿宋" w:hAnsi="仿宋" w:eastAsia="仿宋"/>
          <w:b w:val="0"/>
          <w:bCs w:val="0"/>
          <w:sz w:val="32"/>
          <w:szCs w:val="32"/>
        </w:rPr>
      </w:pPr>
      <w:r>
        <w:rPr>
          <w:rStyle w:val="18"/>
          <w:rFonts w:ascii="仿宋" w:hAnsi="仿宋" w:eastAsia="仿宋"/>
          <w:b/>
          <w:bCs/>
          <w:sz w:val="32"/>
          <w:szCs w:val="32"/>
        </w:rPr>
        <w:t>5.</w:t>
      </w:r>
      <w:r>
        <w:rPr>
          <w:rFonts w:hint="eastAsia" w:ascii="仿宋" w:hAnsi="仿宋" w:eastAsia="仿宋"/>
          <w:b/>
          <w:bCs/>
          <w:color w:val="000000"/>
          <w:sz w:val="32"/>
          <w:szCs w:val="32"/>
        </w:rPr>
        <w:t xml:space="preserve"> </w:t>
      </w:r>
      <w:r>
        <w:rPr>
          <w:rStyle w:val="18"/>
          <w:rFonts w:hint="eastAsia" w:ascii="仿宋" w:hAnsi="仿宋" w:eastAsia="仿宋"/>
          <w:b/>
          <w:bCs/>
          <w:color w:val="000000"/>
          <w:sz w:val="32"/>
          <w:szCs w:val="32"/>
        </w:rPr>
        <w:t>社会保障和就业支出（类）行政事业单位养老支出（款）机关事业单位基本养老保险缴费支出（项）</w:t>
      </w:r>
      <w:r>
        <w:rPr>
          <w:rStyle w:val="18"/>
          <w:rFonts w:ascii="仿宋" w:hAnsi="仿宋" w:eastAsia="仿宋"/>
          <w:b/>
          <w:bCs/>
          <w:sz w:val="32"/>
          <w:szCs w:val="32"/>
        </w:rPr>
        <w:t>:</w:t>
      </w:r>
      <w:r>
        <w:rPr>
          <w:rStyle w:val="18"/>
          <w:rFonts w:ascii="仿宋" w:hAnsi="仿宋" w:eastAsia="仿宋"/>
          <w:b w:val="0"/>
          <w:bCs w:val="0"/>
          <w:sz w:val="32"/>
          <w:szCs w:val="32"/>
        </w:rPr>
        <w:t xml:space="preserve"> </w:t>
      </w:r>
      <w:r>
        <w:rPr>
          <w:rStyle w:val="18"/>
          <w:rFonts w:hint="eastAsia" w:ascii="仿宋" w:hAnsi="仿宋" w:eastAsia="仿宋"/>
          <w:b w:val="0"/>
          <w:bCs w:val="0"/>
          <w:sz w:val="32"/>
          <w:szCs w:val="32"/>
        </w:rPr>
        <w:t>支出决算为</w:t>
      </w:r>
      <w:r>
        <w:rPr>
          <w:rStyle w:val="18"/>
          <w:rFonts w:ascii="仿宋" w:hAnsi="仿宋" w:eastAsia="仿宋"/>
          <w:b w:val="0"/>
          <w:bCs w:val="0"/>
          <w:sz w:val="32"/>
          <w:szCs w:val="32"/>
        </w:rPr>
        <w:t>13.14</w:t>
      </w:r>
      <w:r>
        <w:rPr>
          <w:rStyle w:val="18"/>
          <w:rFonts w:hint="eastAsia" w:ascii="仿宋" w:hAnsi="仿宋" w:eastAsia="仿宋"/>
          <w:b w:val="0"/>
          <w:bCs w:val="0"/>
          <w:sz w:val="32"/>
          <w:szCs w:val="32"/>
        </w:rPr>
        <w:t>万元，完成预算</w:t>
      </w:r>
      <w:r>
        <w:rPr>
          <w:rStyle w:val="18"/>
          <w:rFonts w:ascii="仿宋" w:hAnsi="仿宋" w:eastAsia="仿宋"/>
          <w:b w:val="0"/>
          <w:bCs w:val="0"/>
          <w:sz w:val="32"/>
          <w:szCs w:val="32"/>
        </w:rPr>
        <w:t>100%</w:t>
      </w:r>
      <w:r>
        <w:rPr>
          <w:rStyle w:val="18"/>
          <w:rFonts w:hint="eastAsia" w:ascii="仿宋" w:hAnsi="仿宋" w:eastAsia="仿宋"/>
          <w:b w:val="0"/>
          <w:bCs w:val="0"/>
          <w:sz w:val="32"/>
          <w:szCs w:val="32"/>
        </w:rPr>
        <w:t>，决算数等于预算数。</w:t>
      </w:r>
    </w:p>
    <w:p>
      <w:pPr>
        <w:spacing w:line="600" w:lineRule="exact"/>
        <w:ind w:firstLine="643" w:firstLineChars="200"/>
        <w:rPr>
          <w:rFonts w:ascii="仿宋" w:hAnsi="仿宋" w:eastAsia="仿宋"/>
          <w:b w:val="0"/>
          <w:bCs w:val="0"/>
          <w:sz w:val="32"/>
          <w:szCs w:val="32"/>
        </w:rPr>
      </w:pPr>
      <w:r>
        <w:rPr>
          <w:rStyle w:val="18"/>
          <w:rFonts w:ascii="仿宋" w:hAnsi="仿宋" w:eastAsia="仿宋"/>
          <w:b/>
          <w:bCs/>
          <w:sz w:val="32"/>
          <w:szCs w:val="32"/>
        </w:rPr>
        <w:t>6.</w:t>
      </w:r>
      <w:r>
        <w:rPr>
          <w:rFonts w:hint="eastAsia" w:ascii="仿宋" w:hAnsi="仿宋" w:eastAsia="仿宋"/>
          <w:b/>
          <w:bCs/>
          <w:sz w:val="32"/>
          <w:szCs w:val="32"/>
        </w:rPr>
        <w:t>卫生健康</w:t>
      </w:r>
      <w:r>
        <w:rPr>
          <w:rStyle w:val="18"/>
          <w:rFonts w:hint="eastAsia" w:ascii="仿宋" w:hAnsi="仿宋" w:eastAsia="仿宋"/>
          <w:b/>
          <w:bCs/>
          <w:sz w:val="32"/>
          <w:szCs w:val="32"/>
        </w:rPr>
        <w:t>（类）行政事业单位医疗（款）行政单位医疗（项）</w:t>
      </w:r>
      <w:r>
        <w:rPr>
          <w:rStyle w:val="18"/>
          <w:rFonts w:ascii="仿宋" w:hAnsi="仿宋" w:eastAsia="仿宋"/>
          <w:b/>
          <w:bCs/>
          <w:sz w:val="32"/>
          <w:szCs w:val="32"/>
        </w:rPr>
        <w:t>:</w:t>
      </w:r>
      <w:r>
        <w:rPr>
          <w:rStyle w:val="18"/>
          <w:rFonts w:hint="eastAsia" w:ascii="仿宋" w:hAnsi="仿宋" w:eastAsia="仿宋"/>
          <w:b w:val="0"/>
          <w:bCs w:val="0"/>
          <w:sz w:val="32"/>
          <w:szCs w:val="32"/>
        </w:rPr>
        <w:t>支出决算为</w:t>
      </w:r>
      <w:r>
        <w:rPr>
          <w:rStyle w:val="18"/>
          <w:rFonts w:ascii="仿宋" w:hAnsi="仿宋" w:eastAsia="仿宋"/>
          <w:b w:val="0"/>
          <w:bCs w:val="0"/>
          <w:sz w:val="32"/>
          <w:szCs w:val="32"/>
        </w:rPr>
        <w:t>11.47</w:t>
      </w:r>
      <w:r>
        <w:rPr>
          <w:rStyle w:val="18"/>
          <w:rFonts w:hint="eastAsia" w:ascii="仿宋" w:hAnsi="仿宋" w:eastAsia="仿宋"/>
          <w:b w:val="0"/>
          <w:bCs w:val="0"/>
          <w:sz w:val="32"/>
          <w:szCs w:val="32"/>
        </w:rPr>
        <w:t>万元，完成预算</w:t>
      </w:r>
      <w:r>
        <w:rPr>
          <w:rStyle w:val="18"/>
          <w:rFonts w:ascii="仿宋" w:hAnsi="仿宋" w:eastAsia="仿宋"/>
          <w:b w:val="0"/>
          <w:bCs w:val="0"/>
          <w:sz w:val="32"/>
          <w:szCs w:val="32"/>
        </w:rPr>
        <w:t>100%</w:t>
      </w:r>
      <w:r>
        <w:rPr>
          <w:rStyle w:val="18"/>
          <w:rFonts w:hint="eastAsia" w:ascii="仿宋" w:hAnsi="仿宋" w:eastAsia="仿宋"/>
          <w:b w:val="0"/>
          <w:bCs w:val="0"/>
          <w:sz w:val="32"/>
          <w:szCs w:val="32"/>
        </w:rPr>
        <w:t>，决算数等于预算数。</w:t>
      </w:r>
    </w:p>
    <w:p>
      <w:pPr>
        <w:spacing w:line="600" w:lineRule="exact"/>
        <w:ind w:firstLine="643" w:firstLineChars="200"/>
        <w:rPr>
          <w:rStyle w:val="18"/>
          <w:rFonts w:ascii="仿宋" w:hAnsi="仿宋" w:eastAsia="仿宋"/>
          <w:b w:val="0"/>
          <w:bCs w:val="0"/>
          <w:sz w:val="32"/>
          <w:szCs w:val="32"/>
        </w:rPr>
      </w:pPr>
      <w:r>
        <w:rPr>
          <w:rFonts w:hint="eastAsia" w:ascii="仿宋" w:hAnsi="仿宋" w:eastAsia="仿宋"/>
          <w:b/>
          <w:bCs/>
          <w:sz w:val="32"/>
          <w:szCs w:val="32"/>
        </w:rPr>
        <w:t>7</w:t>
      </w:r>
      <w:r>
        <w:rPr>
          <w:rFonts w:ascii="仿宋" w:hAnsi="仿宋" w:eastAsia="仿宋"/>
          <w:b/>
          <w:bCs/>
          <w:sz w:val="32"/>
          <w:szCs w:val="32"/>
        </w:rPr>
        <w:t>.</w:t>
      </w:r>
      <w:r>
        <w:rPr>
          <w:rFonts w:hint="eastAsia" w:ascii="仿宋" w:hAnsi="仿宋" w:eastAsia="仿宋"/>
          <w:b/>
          <w:bCs/>
          <w:sz w:val="32"/>
          <w:szCs w:val="32"/>
        </w:rPr>
        <w:t>卫生健康</w:t>
      </w:r>
      <w:r>
        <w:rPr>
          <w:rStyle w:val="18"/>
          <w:rFonts w:hint="eastAsia" w:ascii="仿宋" w:hAnsi="仿宋" w:eastAsia="仿宋"/>
          <w:b/>
          <w:bCs/>
          <w:sz w:val="32"/>
          <w:szCs w:val="32"/>
        </w:rPr>
        <w:t>（类）行政事业单位医疗（款）公务员医疗补助（项）</w:t>
      </w:r>
      <w:r>
        <w:rPr>
          <w:rStyle w:val="18"/>
          <w:rFonts w:ascii="仿宋" w:hAnsi="仿宋" w:eastAsia="仿宋"/>
          <w:b/>
          <w:bCs/>
          <w:sz w:val="32"/>
          <w:szCs w:val="32"/>
        </w:rPr>
        <w:t>:</w:t>
      </w:r>
      <w:r>
        <w:rPr>
          <w:rStyle w:val="18"/>
          <w:rFonts w:hint="eastAsia" w:ascii="仿宋" w:hAnsi="仿宋" w:eastAsia="仿宋"/>
          <w:b w:val="0"/>
          <w:bCs w:val="0"/>
          <w:sz w:val="32"/>
          <w:szCs w:val="32"/>
        </w:rPr>
        <w:t>支出决算为</w:t>
      </w:r>
      <w:r>
        <w:rPr>
          <w:rStyle w:val="18"/>
          <w:rFonts w:ascii="仿宋" w:hAnsi="仿宋" w:eastAsia="仿宋"/>
          <w:b w:val="0"/>
          <w:bCs w:val="0"/>
          <w:sz w:val="32"/>
          <w:szCs w:val="32"/>
        </w:rPr>
        <w:t>1.69</w:t>
      </w:r>
      <w:r>
        <w:rPr>
          <w:rStyle w:val="18"/>
          <w:rFonts w:hint="eastAsia" w:ascii="仿宋" w:hAnsi="仿宋" w:eastAsia="仿宋"/>
          <w:b w:val="0"/>
          <w:bCs w:val="0"/>
          <w:sz w:val="32"/>
          <w:szCs w:val="32"/>
        </w:rPr>
        <w:t>万元，完成预算</w:t>
      </w:r>
      <w:r>
        <w:rPr>
          <w:rStyle w:val="18"/>
          <w:rFonts w:ascii="仿宋" w:hAnsi="仿宋" w:eastAsia="仿宋"/>
          <w:b w:val="0"/>
          <w:bCs w:val="0"/>
          <w:sz w:val="32"/>
          <w:szCs w:val="32"/>
        </w:rPr>
        <w:t>100%</w:t>
      </w:r>
      <w:r>
        <w:rPr>
          <w:rStyle w:val="18"/>
          <w:rFonts w:hint="eastAsia" w:ascii="仿宋" w:hAnsi="仿宋" w:eastAsia="仿宋"/>
          <w:b w:val="0"/>
          <w:bCs w:val="0"/>
          <w:sz w:val="32"/>
          <w:szCs w:val="32"/>
        </w:rPr>
        <w:t>，决算数等于预算数。</w:t>
      </w:r>
    </w:p>
    <w:p>
      <w:pPr>
        <w:pStyle w:val="2"/>
        <w:spacing w:before="93"/>
        <w:ind w:firstLine="643" w:firstLineChars="200"/>
        <w:rPr>
          <w:b w:val="0"/>
          <w:bCs w:val="0"/>
          <w:sz w:val="32"/>
          <w:szCs w:val="32"/>
        </w:rPr>
      </w:pPr>
      <w:r>
        <w:rPr>
          <w:rFonts w:hint="eastAsia" w:ascii="仿宋" w:hAnsi="仿宋" w:eastAsia="仿宋"/>
          <w:b/>
          <w:bCs/>
          <w:sz w:val="32"/>
          <w:szCs w:val="32"/>
        </w:rPr>
        <w:t>8</w:t>
      </w:r>
      <w:r>
        <w:rPr>
          <w:rFonts w:ascii="仿宋" w:hAnsi="仿宋" w:eastAsia="仿宋"/>
          <w:b/>
          <w:bCs/>
          <w:sz w:val="32"/>
          <w:szCs w:val="32"/>
        </w:rPr>
        <w:t>.</w:t>
      </w:r>
      <w:r>
        <w:rPr>
          <w:rFonts w:hint="eastAsia" w:ascii="仿宋" w:hAnsi="仿宋" w:eastAsia="仿宋"/>
          <w:b/>
          <w:bCs/>
          <w:sz w:val="32"/>
          <w:szCs w:val="32"/>
        </w:rPr>
        <w:t>农林水</w:t>
      </w:r>
      <w:r>
        <w:rPr>
          <w:rStyle w:val="18"/>
          <w:rFonts w:hint="eastAsia" w:ascii="仿宋" w:hAnsi="仿宋" w:eastAsia="仿宋"/>
          <w:b/>
          <w:bCs/>
          <w:sz w:val="32"/>
          <w:szCs w:val="32"/>
        </w:rPr>
        <w:t>（类）水利（款）行政运行（项）</w:t>
      </w:r>
      <w:r>
        <w:rPr>
          <w:rStyle w:val="18"/>
          <w:rFonts w:ascii="仿宋" w:hAnsi="仿宋" w:eastAsia="仿宋"/>
          <w:b/>
          <w:bCs/>
          <w:sz w:val="32"/>
          <w:szCs w:val="32"/>
        </w:rPr>
        <w:t>:</w:t>
      </w:r>
      <w:r>
        <w:rPr>
          <w:rStyle w:val="18"/>
          <w:rFonts w:hint="eastAsia" w:ascii="仿宋" w:hAnsi="仿宋" w:eastAsia="仿宋"/>
          <w:b w:val="0"/>
          <w:bCs w:val="0"/>
          <w:sz w:val="32"/>
          <w:szCs w:val="32"/>
        </w:rPr>
        <w:t>支出决算为</w:t>
      </w:r>
      <w:r>
        <w:rPr>
          <w:rStyle w:val="18"/>
          <w:rFonts w:ascii="仿宋" w:hAnsi="仿宋" w:eastAsia="仿宋"/>
          <w:b w:val="0"/>
          <w:bCs w:val="0"/>
          <w:sz w:val="32"/>
          <w:szCs w:val="32"/>
        </w:rPr>
        <w:t>0.3</w:t>
      </w:r>
      <w:r>
        <w:rPr>
          <w:rStyle w:val="18"/>
          <w:rFonts w:hint="eastAsia" w:ascii="仿宋" w:hAnsi="仿宋" w:eastAsia="仿宋"/>
          <w:b w:val="0"/>
          <w:bCs w:val="0"/>
          <w:sz w:val="32"/>
          <w:szCs w:val="32"/>
        </w:rPr>
        <w:t>万元，完成预算</w:t>
      </w:r>
      <w:r>
        <w:rPr>
          <w:rStyle w:val="18"/>
          <w:rFonts w:ascii="仿宋" w:hAnsi="仿宋" w:eastAsia="仿宋"/>
          <w:b w:val="0"/>
          <w:bCs w:val="0"/>
          <w:sz w:val="32"/>
          <w:szCs w:val="32"/>
        </w:rPr>
        <w:t>100%</w:t>
      </w:r>
      <w:r>
        <w:rPr>
          <w:rStyle w:val="18"/>
          <w:rFonts w:hint="eastAsia" w:ascii="仿宋" w:hAnsi="仿宋" w:eastAsia="仿宋"/>
          <w:b w:val="0"/>
          <w:bCs w:val="0"/>
          <w:sz w:val="32"/>
          <w:szCs w:val="32"/>
        </w:rPr>
        <w:t>，决算数等于预算数。</w:t>
      </w:r>
    </w:p>
    <w:p>
      <w:pPr>
        <w:tabs>
          <w:tab w:val="left" w:leader="dot" w:pos="6720"/>
        </w:tabs>
        <w:spacing w:line="600" w:lineRule="exact"/>
        <w:ind w:firstLine="643" w:firstLineChars="200"/>
        <w:rPr>
          <w:rFonts w:ascii="仿宋" w:hAnsi="仿宋" w:eastAsia="仿宋"/>
          <w:b/>
          <w:sz w:val="32"/>
          <w:szCs w:val="32"/>
        </w:rPr>
      </w:pPr>
      <w:r>
        <w:rPr>
          <w:rStyle w:val="18"/>
          <w:rFonts w:ascii="仿宋" w:hAnsi="仿宋" w:eastAsia="仿宋"/>
          <w:b/>
          <w:bCs/>
          <w:color w:val="000000"/>
          <w:sz w:val="32"/>
          <w:szCs w:val="32"/>
        </w:rPr>
        <w:t>9</w:t>
      </w:r>
      <w:r>
        <w:rPr>
          <w:rStyle w:val="18"/>
          <w:rFonts w:hint="eastAsia" w:ascii="仿宋" w:hAnsi="仿宋" w:eastAsia="仿宋"/>
          <w:b/>
          <w:bCs/>
          <w:color w:val="000000"/>
          <w:sz w:val="32"/>
          <w:szCs w:val="32"/>
        </w:rPr>
        <w:t xml:space="preserve">.住房保障支出（类）住房改革支出（款）住房公积金（项）: </w:t>
      </w:r>
      <w:r>
        <w:rPr>
          <w:rStyle w:val="18"/>
          <w:rFonts w:hint="eastAsia" w:ascii="仿宋" w:hAnsi="仿宋" w:eastAsia="仿宋"/>
          <w:b w:val="0"/>
          <w:bCs w:val="0"/>
          <w:color w:val="000000"/>
          <w:sz w:val="32"/>
          <w:szCs w:val="32"/>
        </w:rPr>
        <w:t>支出决算为</w:t>
      </w:r>
      <w:r>
        <w:rPr>
          <w:rStyle w:val="18"/>
          <w:rFonts w:ascii="仿宋" w:hAnsi="仿宋" w:eastAsia="仿宋"/>
          <w:b w:val="0"/>
          <w:bCs w:val="0"/>
          <w:color w:val="000000"/>
          <w:sz w:val="32"/>
          <w:szCs w:val="32"/>
        </w:rPr>
        <w:t>19.25</w:t>
      </w:r>
      <w:r>
        <w:rPr>
          <w:rStyle w:val="18"/>
          <w:rFonts w:hint="eastAsia" w:ascii="仿宋" w:hAnsi="仿宋" w:eastAsia="仿宋"/>
          <w:b w:val="0"/>
          <w:bCs w:val="0"/>
          <w:color w:val="000000"/>
          <w:sz w:val="32"/>
          <w:szCs w:val="32"/>
        </w:rPr>
        <w:t>万元，</w:t>
      </w:r>
      <w:r>
        <w:rPr>
          <w:rStyle w:val="18"/>
          <w:rFonts w:hint="eastAsia" w:ascii="仿宋" w:hAnsi="仿宋" w:eastAsia="仿宋"/>
          <w:b w:val="0"/>
          <w:bCs w:val="0"/>
          <w:sz w:val="32"/>
          <w:szCs w:val="32"/>
        </w:rPr>
        <w:t>完成预算</w:t>
      </w:r>
      <w:r>
        <w:rPr>
          <w:rStyle w:val="18"/>
          <w:rFonts w:ascii="仿宋" w:hAnsi="仿宋" w:eastAsia="仿宋"/>
          <w:b w:val="0"/>
          <w:bCs w:val="0"/>
          <w:sz w:val="32"/>
          <w:szCs w:val="32"/>
        </w:rPr>
        <w:t>100%</w:t>
      </w:r>
      <w:r>
        <w:rPr>
          <w:rStyle w:val="18"/>
          <w:rFonts w:hint="eastAsia" w:ascii="仿宋" w:hAnsi="仿宋" w:eastAsia="仿宋"/>
          <w:b w:val="0"/>
          <w:bCs w:val="0"/>
          <w:sz w:val="32"/>
          <w:szCs w:val="32"/>
        </w:rPr>
        <w:t>，</w:t>
      </w:r>
      <w:r>
        <w:rPr>
          <w:rStyle w:val="18"/>
          <w:rFonts w:hint="eastAsia" w:ascii="仿宋" w:hAnsi="仿宋" w:eastAsia="仿宋"/>
          <w:b w:val="0"/>
          <w:bCs w:val="0"/>
          <w:color w:val="000000"/>
          <w:sz w:val="32"/>
          <w:szCs w:val="32"/>
        </w:rPr>
        <w:t>决算数等于预算数。</w:t>
      </w:r>
    </w:p>
    <w:p>
      <w:pPr>
        <w:tabs>
          <w:tab w:val="right" w:pos="8306"/>
        </w:tabs>
        <w:spacing w:line="600" w:lineRule="exact"/>
        <w:ind w:firstLine="640"/>
        <w:outlineLvl w:val="1"/>
        <w:rPr>
          <w:rStyle w:val="31"/>
        </w:rPr>
      </w:pPr>
      <w:bookmarkStart w:id="46" w:name="_Toc15396608"/>
      <w:bookmarkStart w:id="47" w:name="_Toc15377214"/>
      <w:bookmarkStart w:id="48" w:name="_Toc28116"/>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1"/>
          <w:rFonts w:hint="eastAsia" w:ascii="黑体" w:hAnsi="黑体" w:eastAsia="黑体"/>
          <w:b w:val="0"/>
        </w:rPr>
        <w:t>般公共预算财政拨款基本支出决算情况说明</w:t>
      </w:r>
      <w:bookmarkEnd w:id="46"/>
      <w:bookmarkEnd w:id="47"/>
      <w:bookmarkEnd w:id="48"/>
      <w:r>
        <w:rPr>
          <w:rStyle w:val="31"/>
          <w:rFonts w:ascii="黑体" w:hAnsi="黑体" w:eastAsia="黑体"/>
          <w:b w:val="0"/>
        </w:rPr>
        <w:tab/>
      </w:r>
    </w:p>
    <w:p>
      <w:pPr>
        <w:spacing w:line="60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2022年一般公共预算财政拨款基本支出721.07万元，其中：</w:t>
      </w:r>
    </w:p>
    <w:p>
      <w:pPr>
        <w:spacing w:line="600" w:lineRule="exact"/>
        <w:ind w:firstLine="645"/>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人员经费530.55万元，主要包括：基本工资、津贴补贴、奖金、伙食补助费、绩效工资、机关事业单位基本养老保险缴费、职业年金缴费、其他社会保障缴费、其他工资福利支出、退休费、生活补助、医疗费补助、奖励金、住房公积金、其他对个人和家庭的补助支出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公用经费190.52万元，主要包括：办公费、印刷费、咨询费、手续费、水费、电费、邮电费、物业管理费、差旅费、维修（护）费、租赁费、会议费、培训费、劳务费、委托业务费、工会经费、福利费、公务用车运行维护费、其他交通费、税金及附加费用、其他商品和服务支出、办公设备购置等。</w:t>
      </w:r>
    </w:p>
    <w:p>
      <w:pPr>
        <w:spacing w:line="600" w:lineRule="exact"/>
        <w:ind w:firstLine="640"/>
        <w:outlineLvl w:val="1"/>
        <w:rPr>
          <w:rStyle w:val="31"/>
          <w:rFonts w:ascii="黑体" w:hAnsi="黑体" w:eastAsia="黑体"/>
          <w:b w:val="0"/>
        </w:rPr>
      </w:pPr>
      <w:bookmarkStart w:id="49" w:name="_Toc15396609"/>
      <w:bookmarkStart w:id="50" w:name="_Toc1708"/>
      <w:bookmarkStart w:id="51" w:name="_Toc15377215"/>
      <w:r>
        <w:rPr>
          <w:rFonts w:hint="eastAsia" w:ascii="黑体" w:eastAsia="黑体"/>
          <w:sz w:val="32"/>
          <w:szCs w:val="32"/>
        </w:rPr>
        <w:t>七、</w:t>
      </w:r>
      <w:r>
        <w:rPr>
          <w:rStyle w:val="31"/>
          <w:rFonts w:hint="eastAsia" w:ascii="黑体" w:hAnsi="黑体" w:eastAsia="黑体"/>
          <w:b w:val="0"/>
        </w:rPr>
        <w:t>财政拨款</w:t>
      </w:r>
      <w:r>
        <w:rPr>
          <w:rStyle w:val="31"/>
          <w:rFonts w:hint="eastAsia" w:ascii="黑体" w:hAnsi="黑体" w:eastAsia="黑体"/>
        </w:rPr>
        <w:t>“</w:t>
      </w:r>
      <w:r>
        <w:rPr>
          <w:rStyle w:val="31"/>
          <w:rFonts w:hint="eastAsia" w:ascii="黑体" w:hAnsi="黑体" w:eastAsia="黑体"/>
          <w:b w:val="0"/>
        </w:rPr>
        <w:t>三公”经费支出决算情况说明</w:t>
      </w:r>
      <w:bookmarkEnd w:id="49"/>
      <w:bookmarkEnd w:id="50"/>
      <w:bookmarkEnd w:id="51"/>
    </w:p>
    <w:p>
      <w:pPr>
        <w:spacing w:line="600" w:lineRule="exact"/>
        <w:ind w:firstLine="640"/>
        <w:outlineLvl w:val="2"/>
        <w:rPr>
          <w:rFonts w:ascii="仿宋" w:hAnsi="仿宋" w:eastAsia="仿宋"/>
          <w:b/>
          <w:sz w:val="32"/>
          <w:szCs w:val="32"/>
        </w:rPr>
      </w:pPr>
      <w:bookmarkStart w:id="52" w:name="_Toc15377216"/>
      <w:r>
        <w:rPr>
          <w:rFonts w:hint="eastAsia" w:ascii="仿宋" w:hAnsi="仿宋" w:eastAsia="仿宋"/>
          <w:b/>
          <w:sz w:val="32"/>
          <w:szCs w:val="32"/>
        </w:rPr>
        <w:t>（一）“三公”经费财政拨款支出决算总体情况说明</w:t>
      </w:r>
      <w:bookmarkEnd w:id="52"/>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2022年“三公”经费财政拨款支出决算为134.53万元，完成预算100%，较上年减少25.11万元，下降15.73%，决算数与预算数持平。</w:t>
      </w:r>
    </w:p>
    <w:p>
      <w:pPr>
        <w:spacing w:line="600" w:lineRule="exact"/>
        <w:ind w:firstLine="640"/>
        <w:outlineLvl w:val="2"/>
        <w:rPr>
          <w:rFonts w:ascii="仿宋" w:hAnsi="仿宋" w:eastAsia="仿宋"/>
          <w:b/>
          <w:sz w:val="32"/>
          <w:szCs w:val="32"/>
        </w:rPr>
      </w:pPr>
      <w:bookmarkStart w:id="53" w:name="_Toc15377217"/>
      <w:r>
        <w:rPr>
          <w:rFonts w:hint="eastAsia" w:ascii="仿宋" w:hAnsi="仿宋" w:eastAsia="仿宋"/>
          <w:b/>
          <w:sz w:val="32"/>
          <w:szCs w:val="32"/>
        </w:rPr>
        <w:t>（二）“三公”经费财政拨款支出决算具体情况说明</w:t>
      </w:r>
      <w:bookmarkEnd w:id="53"/>
    </w:p>
    <w:p>
      <w:pPr>
        <w:spacing w:line="600" w:lineRule="exact"/>
        <w:ind w:firstLine="640"/>
      </w:pPr>
      <w:r>
        <w:rPr>
          <w:rFonts w:hint="eastAsia" w:ascii="仿宋_GB2312" w:hAnsi="仿宋_GB2312" w:eastAsia="仿宋_GB2312" w:cs="仿宋_GB2312"/>
          <w:sz w:val="32"/>
          <w:szCs w:val="32"/>
        </w:rPr>
        <w:t>2022年“三公”经费财政拨款支出决算中，因公出国（境）费支出决算0万元，占0%；公务用车购置及运行维护费支出决算134.53万元，占100%；公务接待费支出决算0万元，占0%。具体情况如下：</w:t>
      </w:r>
    </w:p>
    <w:p>
      <w:pPr>
        <w:pStyle w:val="2"/>
        <w:spacing w:before="93"/>
      </w:pPr>
      <w:r>
        <w:rPr>
          <w:rFonts w:hint="eastAsia" w:eastAsia="仿宋_GB2312"/>
          <w:lang w:eastAsia="zh-CN"/>
        </w:rPr>
        <w:drawing>
          <wp:inline distT="0" distB="0" distL="114300" distR="114300">
            <wp:extent cx="4918710" cy="2287905"/>
            <wp:effectExtent l="4445" t="4445" r="10795" b="1270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1.因公出国（境）经费支出</w:t>
      </w:r>
      <w:r>
        <w:rPr>
          <w:rFonts w:hint="eastAsia" w:ascii="仿宋_GB2312" w:hAnsi="仿宋_GB2312" w:eastAsia="仿宋_GB2312" w:cs="仿宋_GB2312"/>
          <w:sz w:val="32"/>
          <w:szCs w:val="32"/>
        </w:rPr>
        <w:t>0万元，</w:t>
      </w:r>
      <w:r>
        <w:rPr>
          <w:rStyle w:val="18"/>
          <w:rFonts w:hint="eastAsia" w:ascii="仿宋_GB2312" w:hAnsi="仿宋_GB2312" w:eastAsia="仿宋_GB2312" w:cs="仿宋_GB2312"/>
          <w:b w:val="0"/>
          <w:bCs/>
          <w:sz w:val="32"/>
          <w:szCs w:val="32"/>
        </w:rPr>
        <w:t>完成预算0%。</w:t>
      </w:r>
      <w:r>
        <w:rPr>
          <w:rFonts w:hint="eastAsia" w:ascii="仿宋_GB2312" w:hAnsi="仿宋_GB2312" w:eastAsia="仿宋_GB2312" w:cs="仿宋_GB2312"/>
          <w:sz w:val="32"/>
          <w:szCs w:val="32"/>
        </w:rPr>
        <w:t>全年安排因公出国（境）团组0次，出国（境）0人。因公出国（境）支出决算与2021年持平。。</w:t>
      </w:r>
    </w:p>
    <w:p>
      <w:pPr>
        <w:spacing w:line="600" w:lineRule="exact"/>
        <w:ind w:firstLine="64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2.公务用车购置及运行维护费支出</w:t>
      </w:r>
      <w:r>
        <w:rPr>
          <w:rFonts w:hint="eastAsia" w:ascii="仿宋_GB2312" w:hAnsi="仿宋_GB2312" w:eastAsia="仿宋_GB2312" w:cs="仿宋_GB2312"/>
          <w:sz w:val="32"/>
          <w:szCs w:val="32"/>
        </w:rPr>
        <w:t>134.53万元,</w:t>
      </w:r>
      <w:r>
        <w:rPr>
          <w:rStyle w:val="18"/>
          <w:rFonts w:hint="eastAsia" w:ascii="仿宋_GB2312" w:hAnsi="仿宋_GB2312" w:eastAsia="仿宋_GB2312" w:cs="仿宋_GB2312"/>
          <w:b w:val="0"/>
          <w:bCs/>
          <w:sz w:val="32"/>
          <w:szCs w:val="32"/>
        </w:rPr>
        <w:t>完成预算100%。</w:t>
      </w:r>
      <w:r>
        <w:rPr>
          <w:rFonts w:hint="eastAsia" w:ascii="仿宋_GB2312" w:hAnsi="仿宋_GB2312" w:eastAsia="仿宋_GB2312" w:cs="仿宋_GB2312"/>
          <w:sz w:val="32"/>
          <w:szCs w:val="32"/>
        </w:rPr>
        <w:t>公务用车购置及运行维护费支出决算比2021年减少25.11万元，下降15.73%。主要原因是未支付2022年部分车辆维修费用。</w:t>
      </w:r>
    </w:p>
    <w:p>
      <w:pPr>
        <w:spacing w:line="600" w:lineRule="exact"/>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其中：</w:t>
      </w:r>
      <w:r>
        <w:rPr>
          <w:rFonts w:hint="eastAsia" w:ascii="仿宋_GB2312" w:hAnsi="仿宋_GB2312" w:eastAsia="仿宋_GB2312" w:cs="仿宋_GB2312"/>
          <w:b/>
          <w:sz w:val="32"/>
          <w:szCs w:val="32"/>
        </w:rPr>
        <w:t>公务用车购置支出</w:t>
      </w:r>
      <w:r>
        <w:rPr>
          <w:rFonts w:hint="eastAsia" w:ascii="仿宋_GB2312" w:hAnsi="仿宋_GB2312" w:eastAsia="仿宋_GB2312" w:cs="仿宋_GB2312"/>
          <w:sz w:val="32"/>
          <w:szCs w:val="32"/>
        </w:rPr>
        <w:t>0万元。全年按规定更新购置公务用车0辆，其中：轿车0辆、金额0万元，越野车0辆、金额0万元，载客汽车0辆、金额0万元。截至2022年12月底，单位共有公务用车0辆，其中：轿车0辆、越野车0辆、载客汽车0辆。</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公务用车运行维护费支出</w:t>
      </w:r>
      <w:r>
        <w:rPr>
          <w:rFonts w:hint="eastAsia" w:ascii="仿宋_GB2312" w:hAnsi="仿宋_GB2312" w:eastAsia="仿宋_GB2312" w:cs="仿宋_GB2312"/>
          <w:sz w:val="32"/>
          <w:szCs w:val="32"/>
        </w:rPr>
        <w:t>134.53万元。主要用于保障全区公务出行所需的公务用车燃料费、维修费、过路过桥费、保险费等支出。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_GB2312" w:eastAsia="仿宋_GB2312"/>
          <w:sz w:val="32"/>
          <w:szCs w:val="32"/>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 w:val="0"/>
          <w:bCs/>
          <w:sz w:val="32"/>
          <w:szCs w:val="32"/>
        </w:rPr>
        <w:t>0%</w:t>
      </w:r>
      <w:r>
        <w:rPr>
          <w:rStyle w:val="18"/>
          <w:rFonts w:hint="eastAsia" w:ascii="仿宋" w:hAnsi="仿宋" w:eastAsia="仿宋"/>
          <w:b w:val="0"/>
          <w:bCs/>
          <w:sz w:val="32"/>
          <w:szCs w:val="32"/>
        </w:rPr>
        <w:t>。</w:t>
      </w:r>
      <w:r>
        <w:rPr>
          <w:rFonts w:hint="eastAsia" w:ascii="仿宋_GB2312" w:eastAsia="仿宋_GB2312"/>
          <w:sz w:val="32"/>
          <w:szCs w:val="32"/>
        </w:rPr>
        <w:t>公务接待费支出决算与</w:t>
      </w:r>
      <w:r>
        <w:rPr>
          <w:rFonts w:ascii="仿宋_GB2312" w:eastAsia="仿宋_GB2312"/>
          <w:sz w:val="32"/>
          <w:szCs w:val="32"/>
        </w:rPr>
        <w:t>20</w:t>
      </w:r>
      <w:r>
        <w:rPr>
          <w:rFonts w:hint="eastAsia" w:ascii="仿宋_GB2312" w:eastAsia="仿宋_GB2312"/>
          <w:sz w:val="32"/>
          <w:szCs w:val="32"/>
        </w:rPr>
        <w:t>21年持平。</w:t>
      </w:r>
    </w:p>
    <w:p>
      <w:pPr>
        <w:spacing w:line="600" w:lineRule="exact"/>
        <w:ind w:firstLine="640"/>
        <w:rPr>
          <w:rFonts w:ascii="仿宋_GB2312" w:eastAsia="仿宋_GB2312"/>
          <w:sz w:val="32"/>
          <w:szCs w:val="32"/>
        </w:rPr>
      </w:pPr>
      <w:r>
        <w:rPr>
          <w:rFonts w:hint="eastAsia" w:ascii="仿宋_GB2312" w:eastAsia="仿宋_GB2312"/>
          <w:sz w:val="32"/>
          <w:szCs w:val="32"/>
        </w:rPr>
        <w:t>其中：</w:t>
      </w:r>
      <w:r>
        <w:rPr>
          <w:rFonts w:hint="eastAsia" w:ascii="仿宋" w:hAnsi="仿宋" w:eastAsia="仿宋"/>
          <w:b/>
          <w:sz w:val="32"/>
          <w:szCs w:val="32"/>
        </w:rPr>
        <w:t>国内公务接待支出</w:t>
      </w:r>
      <w:r>
        <w:rPr>
          <w:rFonts w:ascii="仿宋" w:hAnsi="仿宋" w:eastAsia="仿宋"/>
          <w:sz w:val="32"/>
          <w:szCs w:val="32"/>
        </w:rPr>
        <w:t>0</w:t>
      </w:r>
      <w:r>
        <w:rPr>
          <w:rFonts w:hint="eastAsia" w:ascii="仿宋_GB2312" w:eastAsia="仿宋_GB2312"/>
          <w:sz w:val="32"/>
          <w:szCs w:val="32"/>
        </w:rPr>
        <w:t>万元，国内公务接待</w:t>
      </w:r>
      <w:r>
        <w:rPr>
          <w:rFonts w:ascii="仿宋_GB2312" w:eastAsia="仿宋_GB2312"/>
          <w:sz w:val="32"/>
          <w:szCs w:val="32"/>
        </w:rPr>
        <w:t>0</w:t>
      </w:r>
      <w:r>
        <w:rPr>
          <w:rFonts w:hint="eastAsia" w:ascii="仿宋_GB2312" w:eastAsia="仿宋_GB2312"/>
          <w:sz w:val="32"/>
          <w:szCs w:val="32"/>
        </w:rPr>
        <w:t>批次，</w:t>
      </w:r>
      <w:r>
        <w:rPr>
          <w:rFonts w:ascii="仿宋_GB2312" w:eastAsia="仿宋_GB2312"/>
          <w:sz w:val="32"/>
          <w:szCs w:val="32"/>
        </w:rPr>
        <w:t>0</w:t>
      </w:r>
      <w:r>
        <w:rPr>
          <w:rFonts w:hint="eastAsia" w:ascii="仿宋_GB2312" w:eastAsia="仿宋_GB2312"/>
          <w:sz w:val="32"/>
          <w:szCs w:val="32"/>
        </w:rPr>
        <w:t>人次（不包括陪同人员），共计支出</w:t>
      </w:r>
      <w:r>
        <w:rPr>
          <w:rFonts w:ascii="仿宋_GB2312" w:eastAsia="仿宋_GB2312"/>
          <w:sz w:val="32"/>
          <w:szCs w:val="32"/>
        </w:rPr>
        <w:t>0</w:t>
      </w:r>
      <w:r>
        <w:rPr>
          <w:rFonts w:hint="eastAsia" w:ascii="仿宋_GB2312" w:eastAsia="仿宋_GB2312"/>
          <w:sz w:val="32"/>
          <w:szCs w:val="32"/>
        </w:rPr>
        <w:t>万元。</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ascii="仿宋" w:hAnsi="仿宋" w:eastAsia="仿宋"/>
          <w:sz w:val="32"/>
          <w:szCs w:val="32"/>
        </w:rPr>
        <w:t>0</w:t>
      </w:r>
      <w:r>
        <w:rPr>
          <w:rFonts w:hint="eastAsia" w:ascii="仿宋_GB2312" w:eastAsia="仿宋_GB2312"/>
          <w:sz w:val="32"/>
          <w:szCs w:val="32"/>
        </w:rPr>
        <w:t>万元，外事接待</w:t>
      </w:r>
      <w:r>
        <w:rPr>
          <w:rFonts w:ascii="仿宋_GB2312" w:eastAsia="仿宋_GB2312"/>
          <w:sz w:val="32"/>
          <w:szCs w:val="32"/>
        </w:rPr>
        <w:t>0</w:t>
      </w:r>
      <w:r>
        <w:rPr>
          <w:rFonts w:hint="eastAsia" w:ascii="仿宋_GB2312" w:eastAsia="仿宋_GB2312"/>
          <w:sz w:val="32"/>
          <w:szCs w:val="32"/>
        </w:rPr>
        <w:t>批次，</w:t>
      </w:r>
      <w:r>
        <w:rPr>
          <w:rFonts w:ascii="仿宋_GB2312" w:eastAsia="仿宋_GB2312"/>
          <w:sz w:val="32"/>
          <w:szCs w:val="32"/>
        </w:rPr>
        <w:t>0</w:t>
      </w:r>
      <w:r>
        <w:rPr>
          <w:rFonts w:hint="eastAsia" w:ascii="仿宋_GB2312" w:eastAsia="仿宋_GB2312"/>
          <w:sz w:val="32"/>
          <w:szCs w:val="32"/>
        </w:rPr>
        <w:t>人次（不包括陪同人员），共计支出</w:t>
      </w:r>
      <w:r>
        <w:rPr>
          <w:rFonts w:ascii="仿宋_GB2312" w:eastAsia="仿宋_GB2312"/>
          <w:sz w:val="32"/>
          <w:szCs w:val="32"/>
        </w:rPr>
        <w:t>0</w:t>
      </w:r>
      <w:r>
        <w:rPr>
          <w:rFonts w:hint="eastAsia" w:ascii="仿宋_GB2312" w:eastAsia="仿宋_GB2312"/>
          <w:sz w:val="32"/>
          <w:szCs w:val="32"/>
        </w:rPr>
        <w:t>万元。</w:t>
      </w:r>
      <w:bookmarkStart w:id="54" w:name="_Toc15396610"/>
      <w:bookmarkStart w:id="55" w:name="_Toc15377218"/>
    </w:p>
    <w:p>
      <w:pPr>
        <w:spacing w:line="600" w:lineRule="exact"/>
        <w:ind w:firstLine="640"/>
        <w:outlineLvl w:val="1"/>
        <w:rPr>
          <w:rStyle w:val="31"/>
          <w:rFonts w:ascii="黑体" w:hAnsi="黑体" w:eastAsia="黑体"/>
        </w:rPr>
      </w:pPr>
      <w:bookmarkStart w:id="56" w:name="_Toc2859"/>
      <w:r>
        <w:rPr>
          <w:rFonts w:hint="eastAsia" w:ascii="黑体" w:eastAsia="黑体"/>
          <w:sz w:val="32"/>
          <w:szCs w:val="32"/>
        </w:rPr>
        <w:t>八、</w:t>
      </w:r>
      <w:r>
        <w:rPr>
          <w:rStyle w:val="31"/>
          <w:rFonts w:hint="eastAsia" w:ascii="黑体" w:hAnsi="黑体" w:eastAsia="黑体"/>
          <w:b w:val="0"/>
        </w:rPr>
        <w:t>政府性基金预算支出决算情况说明</w:t>
      </w:r>
      <w:bookmarkEnd w:id="54"/>
      <w:bookmarkEnd w:id="55"/>
      <w:bookmarkEnd w:id="56"/>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w:t>
      </w:r>
      <w:r>
        <w:rPr>
          <w:rFonts w:ascii="仿宋_GB2312" w:eastAsia="仿宋_GB2312"/>
          <w:sz w:val="32"/>
          <w:szCs w:val="32"/>
        </w:rPr>
        <w:t>779.28</w:t>
      </w:r>
      <w:r>
        <w:rPr>
          <w:rFonts w:hint="eastAsia" w:ascii="仿宋_GB2312" w:eastAsia="仿宋_GB2312"/>
          <w:sz w:val="32"/>
          <w:szCs w:val="32"/>
        </w:rPr>
        <w:t>万元。</w:t>
      </w:r>
    </w:p>
    <w:p>
      <w:pPr>
        <w:spacing w:line="600" w:lineRule="exact"/>
        <w:ind w:firstLine="640"/>
        <w:rPr>
          <w:rFonts w:ascii="仿宋_GB2312" w:eastAsia="仿宋_GB2312"/>
          <w:sz w:val="32"/>
          <w:szCs w:val="32"/>
        </w:rPr>
      </w:pPr>
      <w:r>
        <w:rPr>
          <w:rFonts w:hint="eastAsia" w:ascii="仿宋_GB2312" w:eastAsia="仿宋_GB2312"/>
          <w:sz w:val="32"/>
          <w:szCs w:val="32"/>
        </w:rPr>
        <w:t>主要用于保障机关食堂和公务用车平台运行、政府办公楼保安执勤费用、政府办公楼水电费用和运行维护费用。</w:t>
      </w:r>
    </w:p>
    <w:p>
      <w:pPr>
        <w:numPr>
          <w:ilvl w:val="0"/>
          <w:numId w:val="3"/>
        </w:numPr>
        <w:spacing w:line="600" w:lineRule="exact"/>
        <w:ind w:firstLine="640"/>
        <w:outlineLvl w:val="1"/>
        <w:rPr>
          <w:rStyle w:val="31"/>
          <w:rFonts w:ascii="黑体" w:hAnsi="黑体" w:eastAsia="黑体"/>
          <w:b w:val="0"/>
        </w:rPr>
      </w:pPr>
      <w:bookmarkStart w:id="57" w:name="_Toc14412"/>
      <w:bookmarkStart w:id="58" w:name="_Toc15377219"/>
      <w:bookmarkStart w:id="59" w:name="_Toc15396611"/>
      <w:r>
        <w:rPr>
          <w:rStyle w:val="31"/>
          <w:rFonts w:hint="eastAsia" w:ascii="黑体" w:hAnsi="黑体" w:eastAsia="黑体"/>
          <w:b w:val="0"/>
        </w:rPr>
        <w:t>国有资本经营预算支出决算情况说明</w:t>
      </w:r>
      <w:bookmarkEnd w:id="57"/>
      <w:bookmarkEnd w:id="58"/>
      <w:bookmarkEnd w:id="59"/>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22年国有资本经营预算财政拨款支出</w:t>
      </w:r>
      <w:r>
        <w:rPr>
          <w:rFonts w:ascii="仿宋_GB2312" w:eastAsia="仿宋_GB2312"/>
          <w:sz w:val="32"/>
          <w:szCs w:val="32"/>
        </w:rPr>
        <w:t>0</w:t>
      </w:r>
      <w:r>
        <w:rPr>
          <w:rFonts w:hint="eastAsia" w:ascii="仿宋_GB2312" w:eastAsia="仿宋_GB2312"/>
          <w:sz w:val="32"/>
          <w:szCs w:val="32"/>
        </w:rPr>
        <w:t>万元。</w:t>
      </w:r>
    </w:p>
    <w:p>
      <w:pPr>
        <w:numPr>
          <w:ilvl w:val="0"/>
          <w:numId w:val="3"/>
        </w:numPr>
        <w:spacing w:line="600" w:lineRule="exact"/>
        <w:ind w:firstLine="640"/>
        <w:outlineLvl w:val="1"/>
        <w:rPr>
          <w:rStyle w:val="31"/>
          <w:rFonts w:ascii="黑体" w:hAnsi="黑体" w:eastAsia="黑体"/>
          <w:b w:val="0"/>
        </w:rPr>
      </w:pPr>
      <w:bookmarkStart w:id="60" w:name="_Toc15396612"/>
      <w:bookmarkStart w:id="61" w:name="_Toc18943"/>
      <w:bookmarkStart w:id="62" w:name="_Toc15377221"/>
      <w:r>
        <w:rPr>
          <w:rStyle w:val="31"/>
          <w:rFonts w:hint="eastAsia" w:ascii="黑体" w:hAnsi="黑体" w:eastAsia="黑体"/>
          <w:b w:val="0"/>
        </w:rPr>
        <w:t>其他重要事项的情况说明</w:t>
      </w:r>
      <w:bookmarkEnd w:id="60"/>
      <w:bookmarkEnd w:id="61"/>
      <w:bookmarkEnd w:id="62"/>
    </w:p>
    <w:p>
      <w:pPr>
        <w:spacing w:line="600" w:lineRule="exact"/>
        <w:ind w:firstLine="643" w:firstLineChars="200"/>
        <w:outlineLvl w:val="2"/>
        <w:rPr>
          <w:rFonts w:ascii="仿宋" w:hAnsi="仿宋" w:eastAsia="仿宋"/>
          <w:sz w:val="32"/>
          <w:szCs w:val="32"/>
        </w:rPr>
      </w:pPr>
      <w:bookmarkStart w:id="63" w:name="_Toc15377222"/>
      <w:r>
        <w:rPr>
          <w:rFonts w:hint="eastAsia" w:ascii="仿宋" w:hAnsi="仿宋" w:eastAsia="仿宋"/>
          <w:b/>
          <w:sz w:val="32"/>
          <w:szCs w:val="32"/>
        </w:rPr>
        <w:t>（一）机关运行经费支出情况</w:t>
      </w:r>
      <w:bookmarkEnd w:id="63"/>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22年，攀枝花市西区机关事务服务中心机关运行经费支出</w:t>
      </w:r>
      <w:r>
        <w:rPr>
          <w:rFonts w:ascii="仿宋_GB2312" w:eastAsia="仿宋_GB2312"/>
          <w:sz w:val="32"/>
          <w:szCs w:val="32"/>
        </w:rPr>
        <w:t>190.52</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21年增加</w:t>
      </w:r>
      <w:r>
        <w:rPr>
          <w:rFonts w:ascii="仿宋_GB2312" w:eastAsia="仿宋_GB2312"/>
          <w:sz w:val="32"/>
          <w:szCs w:val="32"/>
        </w:rPr>
        <w:t>12</w:t>
      </w:r>
      <w:r>
        <w:rPr>
          <w:rFonts w:hint="eastAsia" w:ascii="仿宋_GB2312" w:eastAsia="仿宋_GB2312"/>
          <w:sz w:val="32"/>
          <w:szCs w:val="32"/>
        </w:rPr>
        <w:t>万元，增长</w:t>
      </w:r>
      <w:r>
        <w:rPr>
          <w:rFonts w:ascii="仿宋_GB2312" w:eastAsia="仿宋_GB2312"/>
          <w:sz w:val="32"/>
          <w:szCs w:val="32"/>
        </w:rPr>
        <w:t>6.72%</w:t>
      </w:r>
      <w:r>
        <w:rPr>
          <w:rFonts w:hint="eastAsia" w:ascii="仿宋_GB2312" w:eastAsia="仿宋_GB2312"/>
          <w:sz w:val="32"/>
          <w:szCs w:val="32"/>
        </w:rPr>
        <w:t>。主要原因是水电费支出增加。</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4" w:name="_Toc15377223"/>
      <w:r>
        <w:rPr>
          <w:rFonts w:hint="eastAsia" w:ascii="仿宋" w:hAnsi="仿宋" w:eastAsia="仿宋"/>
          <w:b/>
          <w:sz w:val="32"/>
          <w:szCs w:val="32"/>
        </w:rPr>
        <w:t>（二）政府采购支出情况</w:t>
      </w:r>
      <w:bookmarkEnd w:id="64"/>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22年，攀枝花市西区机关事务服务中心政府采购支出总额</w:t>
      </w:r>
      <w:r>
        <w:rPr>
          <w:rFonts w:ascii="仿宋_GB2312" w:eastAsia="仿宋_GB2312"/>
          <w:sz w:val="32"/>
          <w:szCs w:val="32"/>
        </w:rPr>
        <w:t>0</w:t>
      </w:r>
      <w:r>
        <w:rPr>
          <w:rFonts w:hint="eastAsia" w:ascii="仿宋_GB2312" w:eastAsia="仿宋_GB2312"/>
          <w:sz w:val="32"/>
          <w:szCs w:val="32"/>
        </w:rPr>
        <w:t>万元，其中：政府采购货物支出</w:t>
      </w:r>
      <w:r>
        <w:rPr>
          <w:rFonts w:ascii="仿宋_GB2312" w:eastAsia="仿宋_GB2312"/>
          <w:sz w:val="32"/>
          <w:szCs w:val="32"/>
        </w:rPr>
        <w:t>0</w:t>
      </w:r>
      <w:r>
        <w:rPr>
          <w:rFonts w:hint="eastAsia" w:ascii="仿宋_GB2312" w:eastAsia="仿宋_GB2312"/>
          <w:sz w:val="32"/>
          <w:szCs w:val="32"/>
        </w:rPr>
        <w:t>万元、政府采购工程支出</w:t>
      </w:r>
      <w:r>
        <w:rPr>
          <w:rFonts w:ascii="仿宋_GB2312" w:eastAsia="仿宋_GB2312"/>
          <w:sz w:val="32"/>
          <w:szCs w:val="32"/>
        </w:rPr>
        <w:t>0</w:t>
      </w:r>
      <w:r>
        <w:rPr>
          <w:rFonts w:hint="eastAsia" w:ascii="仿宋_GB2312" w:eastAsia="仿宋_GB2312"/>
          <w:sz w:val="32"/>
          <w:szCs w:val="32"/>
        </w:rPr>
        <w:t>万元、政府采购服务支出</w:t>
      </w:r>
      <w:r>
        <w:rPr>
          <w:rFonts w:ascii="仿宋_GB2312" w:eastAsia="仿宋_GB2312"/>
          <w:sz w:val="32"/>
          <w:szCs w:val="32"/>
        </w:rPr>
        <w:t>0</w:t>
      </w:r>
      <w:r>
        <w:rPr>
          <w:rFonts w:hint="eastAsia" w:ascii="仿宋_GB2312" w:eastAsia="仿宋_GB2312"/>
          <w:sz w:val="32"/>
          <w:szCs w:val="32"/>
        </w:rPr>
        <w:t>万元。授予中小企业合同金额</w:t>
      </w:r>
      <w:r>
        <w:rPr>
          <w:rFonts w:ascii="仿宋_GB2312" w:eastAsia="仿宋_GB2312"/>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_GB2312" w:eastAsia="仿宋_GB2312"/>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5" w:name="_Toc15377224"/>
      <w:r>
        <w:rPr>
          <w:rFonts w:hint="eastAsia" w:ascii="仿宋" w:hAnsi="仿宋" w:eastAsia="仿宋"/>
          <w:b/>
          <w:sz w:val="32"/>
          <w:szCs w:val="32"/>
        </w:rPr>
        <w:t>（三）国有资产占有使用情况</w:t>
      </w:r>
      <w:bookmarkEnd w:id="65"/>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日，攀枝花市西区机关事务服务中心共有车辆</w:t>
      </w:r>
      <w:r>
        <w:rPr>
          <w:rFonts w:ascii="仿宋_GB2312" w:eastAsia="仿宋_GB2312"/>
          <w:sz w:val="32"/>
          <w:szCs w:val="32"/>
        </w:rPr>
        <w:t>68</w:t>
      </w:r>
      <w:r>
        <w:rPr>
          <w:rFonts w:hint="eastAsia" w:ascii="仿宋_GB2312" w:eastAsia="仿宋_GB2312"/>
          <w:sz w:val="32"/>
          <w:szCs w:val="32"/>
        </w:rPr>
        <w:t>辆，其中：主要领导干部用车</w:t>
      </w:r>
      <w:r>
        <w:rPr>
          <w:rFonts w:ascii="仿宋_GB2312" w:eastAsia="仿宋_GB2312"/>
          <w:sz w:val="32"/>
          <w:szCs w:val="32"/>
        </w:rPr>
        <w:t>0</w:t>
      </w:r>
      <w:r>
        <w:rPr>
          <w:rFonts w:hint="eastAsia" w:ascii="仿宋_GB2312" w:eastAsia="仿宋_GB2312"/>
          <w:sz w:val="32"/>
          <w:szCs w:val="32"/>
        </w:rPr>
        <w:t>辆、机要通信用车</w:t>
      </w:r>
      <w:r>
        <w:rPr>
          <w:rFonts w:ascii="仿宋_GB2312" w:eastAsia="仿宋_GB2312"/>
          <w:sz w:val="32"/>
          <w:szCs w:val="32"/>
        </w:rPr>
        <w:t>0</w:t>
      </w:r>
      <w:r>
        <w:rPr>
          <w:rFonts w:hint="eastAsia" w:ascii="仿宋_GB2312" w:eastAsia="仿宋_GB2312"/>
          <w:sz w:val="32"/>
          <w:szCs w:val="32"/>
        </w:rPr>
        <w:t>辆、应急保障用车</w:t>
      </w:r>
      <w:r>
        <w:rPr>
          <w:rFonts w:ascii="仿宋_GB2312" w:eastAsia="仿宋_GB2312"/>
          <w:sz w:val="32"/>
          <w:szCs w:val="32"/>
        </w:rPr>
        <w:t>68</w:t>
      </w:r>
      <w:r>
        <w:rPr>
          <w:rFonts w:hint="eastAsia" w:ascii="仿宋_GB2312" w:eastAsia="仿宋_GB2312"/>
          <w:sz w:val="32"/>
          <w:szCs w:val="32"/>
        </w:rPr>
        <w:t>辆、其他用车</w:t>
      </w:r>
      <w:r>
        <w:rPr>
          <w:rFonts w:ascii="仿宋_GB2312" w:eastAsia="仿宋_GB2312"/>
          <w:sz w:val="32"/>
          <w:szCs w:val="32"/>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万元以上专用设备</w:t>
      </w:r>
      <w:r>
        <w:rPr>
          <w:rFonts w:ascii="仿宋_GB2312" w:eastAsia="仿宋_GB2312"/>
          <w:sz w:val="32"/>
          <w:szCs w:val="32"/>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根据预算绩效管理要求，本部门在2022年度预算编制阶段，组织对公务用车运行维护经费项目、机关食堂运行经费、政府办公楼水电费、集中办公楼运行维护费用、保安执勤经费等</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个项目开展了预算事前绩效评估，对</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个项目开展绩效监控。</w:t>
      </w:r>
    </w:p>
    <w:p>
      <w:pPr>
        <w:widowControl/>
        <w:ind w:firstLine="640" w:firstLineChars="200"/>
        <w:jc w:val="left"/>
        <w:rPr>
          <w:rFonts w:ascii="仿宋_GB2312" w:eastAsia="仿宋_GB2312"/>
          <w:b/>
          <w:sz w:val="32"/>
          <w:szCs w:val="32"/>
        </w:rPr>
      </w:pPr>
      <w:r>
        <w:rPr>
          <w:rFonts w:hint="eastAsia" w:ascii="仿宋_GB2312" w:hAnsi="仿宋_GB2312" w:eastAsia="仿宋_GB2312" w:cs="仿宋_GB2312"/>
          <w:sz w:val="32"/>
          <w:szCs w:val="32"/>
        </w:rPr>
        <w:t>组织对2022年度一般公共预算、政府性基金预算、等全面开展绩效自评，形成攀枝花市西区机关事务服务中心部门整体（含部门预算项目）绩效自评报告、公务用车运行维护经费项目、机关食堂运行经费等专项预算项目绩效自评报告，其中，攀枝花市西区机关事务服务中心部门整体（含部门预算项目）绩效自评得分为</w:t>
      </w:r>
      <w:r>
        <w:rPr>
          <w:rFonts w:ascii="仿宋_GB2312" w:hAnsi="仿宋_GB2312" w:eastAsia="仿宋_GB2312" w:cs="仿宋_GB2312"/>
          <w:sz w:val="32"/>
          <w:szCs w:val="32"/>
        </w:rPr>
        <w:t>85</w:t>
      </w:r>
      <w:r>
        <w:rPr>
          <w:rFonts w:hint="eastAsia" w:ascii="仿宋_GB2312" w:hAnsi="仿宋_GB2312" w:eastAsia="仿宋_GB2312" w:cs="仿宋_GB2312"/>
          <w:sz w:val="32"/>
          <w:szCs w:val="32"/>
        </w:rPr>
        <w:t>分，《2022年</w:t>
      </w:r>
      <w:r>
        <w:rPr>
          <w:rFonts w:ascii="仿宋_GB2312" w:hAnsi="仿宋_GB2312" w:eastAsia="仿宋_GB2312" w:cs="仿宋_GB2312"/>
          <w:sz w:val="32"/>
          <w:szCs w:val="32"/>
        </w:rPr>
        <w:t>攀枝花市</w:t>
      </w:r>
      <w:r>
        <w:rPr>
          <w:rFonts w:hint="eastAsia" w:ascii="仿宋_GB2312" w:hAnsi="仿宋_GB2312" w:eastAsia="仿宋_GB2312" w:cs="仿宋_GB2312"/>
          <w:sz w:val="32"/>
          <w:szCs w:val="32"/>
        </w:rPr>
        <w:t>西区机关事务服务中心</w:t>
      </w:r>
      <w:r>
        <w:rPr>
          <w:rFonts w:ascii="仿宋_GB2312" w:hAnsi="仿宋_GB2312" w:eastAsia="仿宋_GB2312" w:cs="仿宋_GB2312"/>
          <w:sz w:val="32"/>
          <w:szCs w:val="32"/>
        </w:rPr>
        <w:t>部门整体绩效评价报告》</w:t>
      </w:r>
      <w:r>
        <w:rPr>
          <w:rFonts w:hint="eastAsia" w:ascii="仿宋_GB2312" w:hAnsi="仿宋_GB2312" w:eastAsia="仿宋_GB2312" w:cs="仿宋_GB2312"/>
          <w:sz w:val="32"/>
          <w:szCs w:val="32"/>
        </w:rPr>
        <w:t>详见附件。</w:t>
      </w: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30"/>
          <w:rFonts w:ascii="黑体" w:hAnsi="黑体" w:eastAsia="黑体"/>
          <w:b w:val="0"/>
        </w:rPr>
      </w:pPr>
      <w:bookmarkStart w:id="66" w:name="_Toc11983"/>
      <w:bookmarkStart w:id="67" w:name="_Toc15377225"/>
      <w:bookmarkStart w:id="68" w:name="_Toc15396613"/>
      <w:r>
        <w:rPr>
          <w:rFonts w:hint="eastAsia" w:ascii="黑体" w:hAnsi="黑体" w:eastAsia="黑体"/>
          <w:sz w:val="44"/>
          <w:szCs w:val="44"/>
        </w:rPr>
        <w:t>名</w:t>
      </w:r>
      <w:r>
        <w:rPr>
          <w:rStyle w:val="30"/>
          <w:rFonts w:hint="eastAsia" w:ascii="黑体" w:hAnsi="黑体" w:eastAsia="黑体"/>
          <w:b w:val="0"/>
        </w:rPr>
        <w:t>词解释</w:t>
      </w:r>
      <w:bookmarkEnd w:id="66"/>
      <w:bookmarkEnd w:id="67"/>
      <w:bookmarkEnd w:id="68"/>
    </w:p>
    <w:p>
      <w:pPr>
        <w:spacing w:line="600" w:lineRule="exact"/>
        <w:jc w:val="left"/>
        <w:rPr>
          <w:rFonts w:ascii="宋体"/>
          <w:b/>
          <w:sz w:val="44"/>
          <w:szCs w:val="44"/>
        </w:rPr>
      </w:pPr>
    </w:p>
    <w:p>
      <w:pPr>
        <w:pStyle w:val="28"/>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1.财政拨款收入：指单位从同级财政部门取得的财政预算资金。</w:t>
      </w:r>
    </w:p>
    <w:p>
      <w:pPr>
        <w:pStyle w:val="28"/>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2.年初结转和结余：指以前年度尚未完成、结转到本年按有关规定继续使用的资金。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3.一般公共服务支出（类）政府办公厅（室）及相关机构事务（款）行政运行（项）:指单位机关日常支出。</w:t>
      </w:r>
    </w:p>
    <w:p>
      <w:pPr>
        <w:pStyle w:val="28"/>
        <w:tabs>
          <w:tab w:val="left" w:leader="dot" w:pos="6720"/>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4.一般公共服务支出（类）政府办公厅（室）及相关机构事务（款）机关服务（项）:指机关事务服务中心保安执勤经费支出。</w:t>
      </w:r>
    </w:p>
    <w:p>
      <w:pPr>
        <w:pStyle w:val="2"/>
        <w:spacing w:before="93"/>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5.一般公共服务支出（类）政府办公厅（室）及相关机构事务（款）其他政府办公厅（室）及相关机构事务支出（项）：指无纸化办公系统经费、党政高清视频会议系统建设费用支出</w:t>
      </w:r>
    </w:p>
    <w:p>
      <w:pPr>
        <w:pStyle w:val="2"/>
        <w:spacing w:before="93"/>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6.社会保障和就业支出（类）行政事业单位养老支出（款）行政单位离退休（项）：指单位按规定为行政单位退休人员支出的各项经费。</w:t>
      </w:r>
    </w:p>
    <w:p>
      <w:pPr>
        <w:pStyle w:val="2"/>
        <w:spacing w:before="93"/>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7.社会保障和就业支出（类）行政事业单位养老支出（款）机关事业单位基本养老保险缴费支出（项）：指单位按规定缴纳的各项社保支出。</w:t>
      </w:r>
    </w:p>
    <w:p>
      <w:pPr>
        <w:pStyle w:val="2"/>
        <w:spacing w:before="93"/>
        <w:ind w:firstLine="640" w:firstLineChars="200"/>
        <w:rPr>
          <w:rFonts w:hint="eastAsia" w:ascii="仿宋_GB2312" w:hAnsi="仿宋_GB2312" w:eastAsia="仿宋_GB2312" w:cs="仿宋_GB2312"/>
          <w:sz w:val="32"/>
          <w:szCs w:val="32"/>
        </w:rPr>
      </w:pPr>
    </w:p>
    <w:p>
      <w:pPr>
        <w:pStyle w:val="28"/>
        <w:tabs>
          <w:tab w:val="left" w:leader="dot" w:pos="6720"/>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8.住房保障支出（类）住房改革支出（款）住房公积金（项）：指单位为职工缴纳的公积金。</w:t>
      </w:r>
    </w:p>
    <w:p>
      <w:pPr>
        <w:pStyle w:val="28"/>
        <w:tabs>
          <w:tab w:val="left" w:leader="dot" w:pos="6720"/>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9.城乡社区支出（类）国有土地使用权出让收入安排的支出（款）土地开发支出（项）：指公务用车运行维护经费项目、机关食堂运行经费、政府办公楼水电费、集中办公楼运行维护费用、保安执勤经费等。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10.卫生健康（类）行政事业单位（款）行政单位医疗（项）：指单位按规定缴纳的在职人员医疗保险支出。</w:t>
      </w:r>
    </w:p>
    <w:p>
      <w:pPr>
        <w:pStyle w:val="2"/>
        <w:spacing w:before="93"/>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11.卫生健康（类）行政事业单位（款）公务员医疗补助（项）：指单位按规定缴纳的在职和退休人员公务员医疗补助支出。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12.农林水（类）水利（款）行政运行（项）：指</w:t>
      </w:r>
      <w:r>
        <w:rPr>
          <w:rFonts w:hint="eastAsia" w:ascii="仿宋_GB2312" w:hAnsi="仿宋_GB2312" w:eastAsia="仿宋_GB2312" w:cs="仿宋_GB2312"/>
          <w:sz w:val="32"/>
          <w:szCs w:val="32"/>
          <w:lang w:val="en-US" w:eastAsia="zh-CN"/>
        </w:rPr>
        <w:t>用于机关水费支出</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13.基本支出：指为保障机构正常运转、完成日常工作任务而发生的人员支出和公用支出。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14.项目支出：指在基本支出之外为完成特定行政任务和事业发展目标所发生的支出。 </w:t>
      </w:r>
    </w:p>
    <w:p>
      <w:pPr>
        <w:pStyle w:val="28"/>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三公”经费：指部门用财政拨款安排的公务用车购置及运行费和公务接待费。其中公务用车购置及运行费反映单位公务用车车辆购置支出（含车辆购置税）及租用费、燃料费、维修费、过路过桥费、保险费等支出。</w:t>
      </w:r>
    </w:p>
    <w:p>
      <w:pPr>
        <w:pStyle w:val="28"/>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机关运行经费：为保障行政单位（含参照公务员法管理的事业单位）运行用于购买货物和服务的各项资金，包括办公及印刷费、邮电费、差旅费、会议费、福利费、日常维修费、专用材料及一般设备购置费、办公用房水电费、公务用车运行维护费以及其他费用。</w:t>
      </w:r>
    </w:p>
    <w:p>
      <w:pPr>
        <w:spacing w:line="600" w:lineRule="exact"/>
        <w:jc w:val="center"/>
        <w:outlineLvl w:val="0"/>
        <w:rPr>
          <w:rStyle w:val="30"/>
          <w:rFonts w:ascii="黑体" w:hAnsi="黑体" w:eastAsia="黑体"/>
          <w:b w:val="0"/>
        </w:rPr>
      </w:pPr>
      <w:bookmarkStart w:id="69" w:name="_Toc15377226"/>
      <w:r>
        <w:rPr>
          <w:rFonts w:hint="eastAsia" w:ascii="仿宋_GB2312" w:hAnsi="仿宋_GB2312" w:eastAsia="仿宋_GB2312" w:cs="仿宋_GB2312"/>
          <w:b/>
          <w:sz w:val="32"/>
          <w:szCs w:val="32"/>
        </w:rPr>
        <w:br w:type="page"/>
      </w:r>
      <w:bookmarkStart w:id="70" w:name="_Toc17173"/>
      <w:bookmarkStart w:id="71" w:name="_Toc15396614"/>
      <w:r>
        <w:rPr>
          <w:rFonts w:hint="eastAsia" w:ascii="黑体" w:hAnsi="黑体" w:eastAsia="黑体"/>
          <w:sz w:val="44"/>
          <w:szCs w:val="44"/>
        </w:rPr>
        <w:t>第</w:t>
      </w:r>
      <w:r>
        <w:rPr>
          <w:rStyle w:val="30"/>
          <w:rFonts w:hint="eastAsia" w:ascii="黑体" w:hAnsi="黑体" w:eastAsia="黑体"/>
          <w:b w:val="0"/>
        </w:rPr>
        <w:t>四部分 附件</w:t>
      </w:r>
      <w:bookmarkEnd w:id="70"/>
      <w:bookmarkEnd w:id="71"/>
    </w:p>
    <w:p>
      <w:pPr>
        <w:spacing w:line="572" w:lineRule="exact"/>
        <w:jc w:val="left"/>
        <w:outlineLvl w:val="0"/>
        <w:rPr>
          <w:rFonts w:hint="eastAsia" w:ascii="方正小标宋简体" w:hAnsi="方正小标宋简体" w:eastAsia="黑体" w:cs="方正小标宋简体"/>
          <w:sz w:val="44"/>
          <w:szCs w:val="44"/>
          <w:lang w:val="en-US" w:eastAsia="zh-CN"/>
        </w:rPr>
      </w:pPr>
      <w:bookmarkStart w:id="72" w:name="_Toc19671"/>
      <w:r>
        <w:rPr>
          <w:rFonts w:hint="eastAsia" w:ascii="黑体" w:hAnsi="黑体" w:eastAsia="黑体" w:cs="黑体"/>
          <w:sz w:val="32"/>
          <w:szCs w:val="32"/>
        </w:rPr>
        <w:t>附件</w:t>
      </w:r>
      <w:r>
        <w:rPr>
          <w:rFonts w:hint="eastAsia" w:ascii="黑体" w:hAnsi="黑体" w:eastAsia="黑体" w:cs="黑体"/>
          <w:sz w:val="32"/>
          <w:szCs w:val="32"/>
          <w:lang w:val="en-US" w:eastAsia="zh-CN"/>
        </w:rPr>
        <w:t>1</w:t>
      </w:r>
      <w:bookmarkEnd w:id="72"/>
    </w:p>
    <w:p>
      <w:pPr>
        <w:widowControl/>
        <w:spacing w:line="560" w:lineRule="exact"/>
        <w:contextualSpacing/>
        <w:jc w:val="center"/>
        <w:rPr>
          <w:rFonts w:ascii="宋体" w:hAnsi="宋体"/>
          <w:b/>
          <w:sz w:val="32"/>
          <w:szCs w:val="32"/>
          <w:shd w:val="clear" w:color="auto" w:fill="FFFFFF"/>
        </w:rPr>
      </w:pPr>
      <w:r>
        <w:rPr>
          <w:rFonts w:hint="eastAsia" w:ascii="宋体" w:hAnsi="宋体"/>
          <w:b/>
          <w:sz w:val="32"/>
          <w:szCs w:val="32"/>
          <w:shd w:val="clear" w:color="auto" w:fill="FFFFFF"/>
        </w:rPr>
        <w:t>202</w:t>
      </w:r>
      <w:r>
        <w:rPr>
          <w:rFonts w:hint="eastAsia" w:ascii="宋体" w:hAnsi="宋体"/>
          <w:b/>
          <w:sz w:val="32"/>
          <w:szCs w:val="32"/>
          <w:shd w:val="clear" w:color="auto" w:fill="FFFFFF"/>
          <w:lang w:val="en-US" w:eastAsia="zh-CN"/>
        </w:rPr>
        <w:t>2</w:t>
      </w:r>
      <w:r>
        <w:rPr>
          <w:rFonts w:hint="eastAsia" w:ascii="宋体" w:hAnsi="宋体"/>
          <w:b/>
          <w:sz w:val="32"/>
          <w:szCs w:val="32"/>
          <w:shd w:val="clear" w:color="auto" w:fill="FFFFFF"/>
        </w:rPr>
        <w:t>年区级部门整体绩效评价报告</w:t>
      </w:r>
    </w:p>
    <w:p>
      <w:pPr>
        <w:widowControl/>
        <w:spacing w:line="560" w:lineRule="exact"/>
        <w:contextualSpacing/>
        <w:jc w:val="center"/>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w:t>
      </w:r>
      <w:r>
        <w:rPr>
          <w:sz w:val="24"/>
          <w:szCs w:val="24"/>
          <w:shd w:val="clear" w:color="auto" w:fill="FFFFFF"/>
        </w:rPr>
        <w:t>攀枝花市西区机关事务服务中心</w:t>
      </w:r>
      <w:r>
        <w:rPr>
          <w:rFonts w:hint="eastAsia" w:ascii="仿宋_GB2312" w:hAnsi="仿宋_GB2312" w:eastAsia="仿宋_GB2312" w:cs="仿宋_GB2312"/>
          <w:sz w:val="32"/>
          <w:szCs w:val="32"/>
          <w:shd w:val="clear" w:color="auto" w:fill="FFFFFF"/>
        </w:rPr>
        <w:t>）</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p>
    <w:p>
      <w:pPr>
        <w:widowControl/>
        <w:numPr>
          <w:ilvl w:val="0"/>
          <w:numId w:val="5"/>
        </w:numPr>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lang w:val="zh-CN"/>
        </w:rPr>
        <w:t>部门（单位）基本情况</w:t>
      </w:r>
    </w:p>
    <w:p>
      <w:pPr>
        <w:pStyle w:val="29"/>
        <w:widowControl/>
        <w:numPr>
          <w:ilvl w:val="0"/>
          <w:numId w:val="6"/>
        </w:numPr>
        <w:adjustRightInd w:val="0"/>
        <w:snapToGrid w:val="0"/>
        <w:spacing w:line="560" w:lineRule="exact"/>
        <w:ind w:firstLineChars="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机构组成。</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sz w:val="32"/>
          <w:szCs w:val="32"/>
        </w:rPr>
        <w:t>攀枝花市西区机关事务服务中心内设办公室、总务股、资产管理中心3个股室。</w:t>
      </w:r>
    </w:p>
    <w:p>
      <w:pPr>
        <w:pStyle w:val="29"/>
        <w:widowControl/>
        <w:numPr>
          <w:ilvl w:val="0"/>
          <w:numId w:val="6"/>
        </w:numPr>
        <w:adjustRightInd w:val="0"/>
        <w:snapToGrid w:val="0"/>
        <w:spacing w:line="560" w:lineRule="exact"/>
        <w:ind w:firstLineChars="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机构职能和人员概况。</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ascii="仿宋_GB2312" w:eastAsia="仿宋_GB2312"/>
          <w:sz w:val="32"/>
          <w:szCs w:val="32"/>
        </w:rPr>
      </w:pPr>
      <w:r>
        <w:rPr>
          <w:rFonts w:hint="eastAsia" w:ascii="楷体_GB2312" w:hAnsi="楷体_GB2312" w:eastAsia="楷体_GB2312" w:cs="楷体_GB2312"/>
          <w:bCs/>
          <w:kern w:val="0"/>
          <w:sz w:val="32"/>
          <w:szCs w:val="32"/>
          <w:shd w:val="clear" w:color="auto" w:fill="FFFFFF"/>
          <w:lang w:val="zh-CN"/>
        </w:rPr>
        <w:t>1</w:t>
      </w:r>
      <w:r>
        <w:rPr>
          <w:rFonts w:ascii="楷体_GB2312" w:hAnsi="楷体_GB2312" w:eastAsia="楷体_GB2312" w:cs="楷体_GB2312"/>
          <w:b/>
          <w:bCs/>
          <w:kern w:val="0"/>
          <w:sz w:val="32"/>
          <w:szCs w:val="32"/>
          <w:shd w:val="clear" w:color="auto" w:fill="FFFFFF"/>
          <w:lang w:val="zh-CN"/>
        </w:rPr>
        <w:t>.</w:t>
      </w:r>
      <w:r>
        <w:rPr>
          <w:rFonts w:hint="eastAsia" w:ascii="楷体_GB2312" w:hAnsi="楷体_GB2312" w:eastAsia="楷体_GB2312" w:cs="楷体_GB2312"/>
          <w:b/>
          <w:bCs/>
          <w:kern w:val="0"/>
          <w:sz w:val="32"/>
          <w:szCs w:val="32"/>
          <w:shd w:val="clear" w:color="auto" w:fill="FFFFFF"/>
          <w:lang w:val="zh-CN"/>
        </w:rPr>
        <w:t xml:space="preserve"> 机构职能：</w:t>
      </w:r>
      <w:r>
        <w:rPr>
          <w:rFonts w:hint="eastAsia" w:ascii="仿宋_GB2312" w:eastAsia="仿宋_GB2312"/>
          <w:sz w:val="32"/>
          <w:szCs w:val="32"/>
        </w:rPr>
        <w:t>承担全区机关后勤服务性、事务性工作。</w:t>
      </w:r>
    </w:p>
    <w:p>
      <w:pPr>
        <w:keepNext w:val="0"/>
        <w:keepLines w:val="0"/>
        <w:pageBreakBefore w:val="0"/>
        <w:kinsoku/>
        <w:wordWrap/>
        <w:overflowPunct/>
        <w:topLinePunct w:val="0"/>
        <w:autoSpaceDE/>
        <w:autoSpaceDN/>
        <w:bidi w:val="0"/>
        <w:spacing w:line="353" w:lineRule="auto"/>
        <w:ind w:firstLine="640" w:firstLineChars="200"/>
        <w:jc w:val="left"/>
        <w:textAlignment w:val="auto"/>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楷体_GB2312" w:hAnsi="楷体_GB2312" w:eastAsia="楷体_GB2312" w:cs="楷体_GB2312"/>
          <w:b/>
          <w:bCs/>
          <w:kern w:val="0"/>
          <w:sz w:val="32"/>
          <w:szCs w:val="32"/>
          <w:shd w:val="clear" w:color="auto" w:fill="FFFFFF"/>
          <w:lang w:val="zh-CN"/>
        </w:rPr>
        <w:t xml:space="preserve"> 人员概况：</w:t>
      </w:r>
      <w:r>
        <w:rPr>
          <w:rFonts w:hint="eastAsia" w:ascii="仿宋_GB2312" w:eastAsia="仿宋_GB2312"/>
          <w:sz w:val="32"/>
          <w:szCs w:val="32"/>
        </w:rPr>
        <w:t>在职参公编制数9人，实有人数12人；驾驶员临聘编制数70人，实有人数54人；临聘人员编制数17人，实有人数17人。</w:t>
      </w:r>
    </w:p>
    <w:p>
      <w:pPr>
        <w:pStyle w:val="29"/>
        <w:widowControl/>
        <w:numPr>
          <w:ilvl w:val="0"/>
          <w:numId w:val="6"/>
        </w:numPr>
        <w:adjustRightInd w:val="0"/>
        <w:snapToGrid w:val="0"/>
        <w:spacing w:line="560" w:lineRule="exact"/>
        <w:ind w:firstLineChars="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年度主要工作任务。</w:t>
      </w:r>
    </w:p>
    <w:p>
      <w:pPr>
        <w:pStyle w:val="28"/>
        <w:tabs>
          <w:tab w:val="left" w:leader="dot" w:pos="6720"/>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坚持勤俭办一切事业，抓好公共机构节能、办公用房、公务车辆、机关食堂等工作，为党政机关规范高效运行提供坚强有力的服务保障。</w:t>
      </w:r>
    </w:p>
    <w:p>
      <w:pPr>
        <w:pStyle w:val="29"/>
        <w:widowControl/>
        <w:numPr>
          <w:ilvl w:val="0"/>
          <w:numId w:val="6"/>
        </w:numPr>
        <w:adjustRightInd w:val="0"/>
        <w:snapToGrid w:val="0"/>
        <w:spacing w:line="560" w:lineRule="exact"/>
        <w:ind w:firstLineChars="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部门整体支出绩效目标。</w:t>
      </w:r>
    </w:p>
    <w:p>
      <w:pPr>
        <w:pStyle w:val="2"/>
        <w:numPr>
          <w:ilvl w:val="0"/>
          <w:numId w:val="7"/>
        </w:numPr>
        <w:spacing w:before="93"/>
        <w:rPr>
          <w:rFonts w:ascii="Times New Roman" w:eastAsia="楷体_GB2312"/>
          <w:sz w:val="32"/>
          <w:szCs w:val="32"/>
          <w:lang w:val="zh-CN"/>
        </w:rPr>
      </w:pPr>
      <w:r>
        <w:rPr>
          <w:rFonts w:ascii="Times New Roman" w:eastAsia="楷体_GB2312"/>
          <w:sz w:val="32"/>
          <w:szCs w:val="32"/>
          <w:lang w:val="zh-CN"/>
        </w:rPr>
        <w:t>尽职尽责，全力保障后勤服务。</w:t>
      </w:r>
    </w:p>
    <w:p>
      <w:pPr>
        <w:pStyle w:val="2"/>
        <w:keepNext w:val="0"/>
        <w:keepLines w:val="0"/>
        <w:pageBreakBefore w:val="0"/>
        <w:widowControl w:val="0"/>
        <w:kinsoku/>
        <w:wordWrap/>
        <w:overflowPunct/>
        <w:topLinePunct w:val="0"/>
        <w:autoSpaceDE/>
        <w:autoSpaceDN/>
        <w:bidi w:val="0"/>
        <w:adjustRightInd/>
        <w:snapToGrid/>
        <w:spacing w:before="93"/>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2022年新冠肺炎疫情防控期间，按照全区疫情防控总体部署，区机关事务服务中心作以高效的工作机制和强有力的举措，为打赢疫情防控人民战争提供了坚强的后勤服务保障。全力保障公务用车派遣、协调，公务用车管理平台充分发挥保障作用，进一步优化车辆调度，强化平台服务，增强公务出行保障能力，重点保障防疫工作用车需求。</w:t>
      </w:r>
    </w:p>
    <w:p>
      <w:pPr>
        <w:pStyle w:val="2"/>
        <w:spacing w:before="93"/>
        <w:ind w:left="643"/>
        <w:rPr>
          <w:rFonts w:ascii="Times New Roman"/>
          <w:sz w:val="32"/>
          <w:szCs w:val="32"/>
          <w:lang w:val="zh-CN"/>
        </w:rPr>
      </w:pPr>
      <w:r>
        <w:rPr>
          <w:rFonts w:ascii="Times New Roman" w:eastAsia="楷体_GB2312"/>
          <w:sz w:val="32"/>
          <w:szCs w:val="32"/>
        </w:rPr>
        <w:t>（二）真抓实干，全面改善服务环境。</w:t>
      </w:r>
    </w:p>
    <w:p>
      <w:pPr>
        <w:pStyle w:val="2"/>
        <w:keepNext w:val="0"/>
        <w:keepLines w:val="0"/>
        <w:pageBreakBefore w:val="0"/>
        <w:widowControl w:val="0"/>
        <w:kinsoku/>
        <w:wordWrap/>
        <w:overflowPunct/>
        <w:topLinePunct w:val="0"/>
        <w:autoSpaceDE/>
        <w:autoSpaceDN/>
        <w:bidi w:val="0"/>
        <w:adjustRightInd/>
        <w:snapToGrid/>
        <w:spacing w:before="93"/>
        <w:ind w:firstLine="640" w:firstLineChars="200"/>
        <w:textAlignment w:val="auto"/>
        <w:rPr>
          <w:rFonts w:ascii="Times New Roman"/>
          <w:sz w:val="32"/>
          <w:szCs w:val="32"/>
        </w:rPr>
      </w:pPr>
      <w:r>
        <w:rPr>
          <w:rFonts w:ascii="Times New Roman"/>
          <w:sz w:val="32"/>
          <w:szCs w:val="32"/>
        </w:rPr>
        <w:t>一是西区机关食堂经过多年运行，出现容纳就餐人数不足，硬件设施设备老化的情况。为解决上述问题，同时进一步改善就餐环境，提升服务保障质量，区机关事务服务中心通过充分调研、科学规划、精心部署，调整西区现有办公用房，将原区信访局办公楼作为食堂扩建地址，扩建食堂面积。二是为促进西区人才引进，解决西区机关事业单位职工居住问题，完善西区人才引进工作的配套措施，区机关事务服务中心全力推进单身公寓搬迁，积极改善职工宿舍居住环境。对百叶巷4号楼、6号楼以及苏铁中路102号装修改造，用于清乌复线B、C栋职工搬离后的临时周转房。三是为满足新形势下全区视频会议需求、确保视频会议正常调度，更好服务保障全区工作，区机关事务服务中心认真开展前期摸底调研，并邀请市委保密局、市政府办有关负责视频会议系统技术同志进行专业指导。</w:t>
      </w:r>
    </w:p>
    <w:p>
      <w:pPr>
        <w:spacing w:line="353" w:lineRule="auto"/>
        <w:ind w:firstLine="640" w:firstLineChars="200"/>
        <w:rPr>
          <w:rFonts w:eastAsia="楷体_GB2312"/>
          <w:sz w:val="32"/>
          <w:szCs w:val="32"/>
          <w:lang w:val="zh-CN"/>
        </w:rPr>
      </w:pPr>
      <w:r>
        <w:rPr>
          <w:rFonts w:eastAsia="楷体_GB2312"/>
          <w:sz w:val="32"/>
          <w:szCs w:val="32"/>
          <w:lang w:val="zh-CN"/>
        </w:rPr>
        <w:t>（三）</w:t>
      </w:r>
      <w:r>
        <w:rPr>
          <w:rFonts w:eastAsia="楷体_GB2312"/>
          <w:sz w:val="32"/>
          <w:szCs w:val="32"/>
        </w:rPr>
        <w:t>狠抓安全，全面完善公车管理</w:t>
      </w:r>
      <w:r>
        <w:rPr>
          <w:rFonts w:eastAsia="楷体_GB2312"/>
          <w:sz w:val="32"/>
          <w:szCs w:val="32"/>
          <w:lang w:val="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是为进一步规范公务用车管理平台工作，强化工作人员的规矩意识、纪律意识、服务意识，提高整体工作质效，打造“服务型”工作机构，更好地为全区机关事业单位提供公务出行保障服务，制定《公务用车管理平台调度员和驾驶员管理考核办法》，明确调度员和驾驶员工作职责，细化考核内容，考核分为组织管理、车辆调派、车辆出行、车辆维护、服务质量五部分。二是为满足公务用车驾驶员尤其是个人家庭住房不在西区的驾驶员的休息需求，确保公务出行的驾驶和服务状态。区机关事务服务中心向西鼎公司租用苏铁中路314号1号楼附2号门面房用以扩大平台办公区，并分别设置男性驾驶员休息室和女性驾驶员休息室，实现男女驾驶员分开休息、充分休息。三是为全区防汛、防火、信访维稳、环保、应急安全检查、疫情防控等公务出行提供用车保障，得到相关单位的一致好评。截止2022年10月底共保障应急用车1790台次。</w:t>
      </w:r>
    </w:p>
    <w:p>
      <w:pPr>
        <w:spacing w:line="353" w:lineRule="auto"/>
        <w:ind w:firstLine="640" w:firstLineChars="200"/>
        <w:rPr>
          <w:rFonts w:eastAsia="楷体_GB2312"/>
          <w:sz w:val="32"/>
          <w:szCs w:val="32"/>
          <w:lang w:val="zh-CN"/>
        </w:rPr>
      </w:pPr>
      <w:r>
        <w:rPr>
          <w:rFonts w:eastAsia="楷体_GB2312"/>
          <w:sz w:val="32"/>
          <w:szCs w:val="32"/>
          <w:lang w:val="zh-CN"/>
        </w:rPr>
        <w:t>（四）聚焦降耗，多措并举强化节能。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一是为更好的完成公共机构节能工作，区机关事务服务中心完善细化工作细则，印发了《2022年度公共机构节能工作考评细则》《创建省级节约型公共机构示范单位实施方案》《关于推进公共机构生活垃圾分类工作的通知》量化细化工作任务，明确工作要求，明确各部门需结合职能职责和工作实际具体安排部署公共机构节能工作，扎实推进我区公共机构节能各项工作顺利开展。二是重视宣传，积极营造节能氛围，积极开展“中国水周”、“厉行节约制止餐饮浪费”等活动，通过设置宣传展板、张贴宣传画、发放宣传册和环保帆布袋等形式，向干部群众宣传绿色低碳发展理念，引导他们践行绿色低碳生活方式。</w:t>
      </w:r>
    </w:p>
    <w:p>
      <w:pPr>
        <w:spacing w:line="353" w:lineRule="auto"/>
        <w:ind w:firstLine="640" w:firstLineChars="200"/>
        <w:rPr>
          <w:rFonts w:eastAsia="楷体_GB2312"/>
          <w:sz w:val="32"/>
          <w:szCs w:val="32"/>
          <w:lang w:val="zh-CN"/>
        </w:rPr>
      </w:pPr>
      <w:r>
        <w:rPr>
          <w:rFonts w:eastAsia="楷体_GB2312"/>
          <w:sz w:val="32"/>
          <w:szCs w:val="32"/>
          <w:lang w:val="zh-CN"/>
        </w:rPr>
        <w:t>（五）高效高质，持续抓好国有资产管理。</w:t>
      </w:r>
    </w:p>
    <w:p>
      <w:pPr>
        <w:spacing w:line="353" w:lineRule="auto"/>
        <w:ind w:firstLine="640" w:firstLineChars="200"/>
        <w:rPr>
          <w:rFonts w:ascii="Times New Roman" w:eastAsia="楷体_GB2312"/>
          <w:sz w:val="32"/>
          <w:szCs w:val="32"/>
        </w:rPr>
      </w:pPr>
      <w:r>
        <w:rPr>
          <w:rFonts w:eastAsia="仿宋_GB2312"/>
          <w:sz w:val="32"/>
          <w:szCs w:val="32"/>
        </w:rPr>
        <w:t>一是为提高公务车辆编制利用率，实现对财政资金的高效利用，确保国有资产的保值增值，2022年我区委托拍卖的11辆车全部成交，评估总价16.45万元，成交总金额为29.24万元，增值12.79万元，溢价率77.75%，报废车辆2辆，残值总金额为0.36万；为夯实公务用车安全使用基础，保障公务用车需求，经区机关事务管理局批准同意购买公务车共3辆，以确保各单位工作正常开展。二是为推进我区党政机关办公用房规范化管理，充分利用区内现有办公用房资源，积极推进移交部分闲置资产及经营性资产，根据《机关事务管理条例》和《党政机关办公用房管理办法》的规定，经请示区政府批准后，将攀枝花市第三十一中小学校教学楼、厕所、教育用房、小学教学楼、操场共12180m2调拨给大宝鼎街办。</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二、部门资金收支情况</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（一）部门总体收支情况。</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1.部门总体收入情况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2022年全年预算数1650.89万元，基本支出2022年全年预算数721.07万元，项目支出2022年全年预算数929.81万元。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2.部门总体支出情况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2022年1-12月财政拨款支出总计1650.89万元，其中：基本支出721.07万元，占全年预算数的43.68%；项目支出929.81万元，占全年预算数的56.32%。</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3.部门总体结转结余情况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（二）部门财政拨款收支情况。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1.部门财政拨款收入情况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2022年全年预算数1650.89万元，基本支出2022年全年预算数721.07万元，项目支出2022年全年预算数929.81万元。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2.部门财政拨款支出情况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2022年1-12月财政拨款支出总计1650.89万元，其中：基本支出721.07万元，占全年预算数的43.68%；项目支出929.81万元，占全年预算数的56.32%。</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3.部门财政拨款结转结余情况</w:t>
      </w:r>
    </w:p>
    <w:p>
      <w:pPr>
        <w:pStyle w:val="2"/>
        <w:keepNext w:val="0"/>
        <w:keepLines w:val="0"/>
        <w:pageBreakBefore w:val="0"/>
        <w:widowControl w:val="0"/>
        <w:kinsoku/>
        <w:wordWrap/>
        <w:overflowPunct/>
        <w:topLinePunct w:val="0"/>
        <w:autoSpaceDE/>
        <w:autoSpaceDN/>
        <w:bidi w:val="0"/>
        <w:adjustRightInd/>
        <w:snapToGrid/>
        <w:spacing w:before="93"/>
        <w:ind w:firstLine="600" w:firstLineChars="200"/>
        <w:textAlignment w:val="auto"/>
      </w:pPr>
      <w:r>
        <w:rPr>
          <w:rFonts w:hint="eastAsia"/>
        </w:rPr>
        <w:t>无</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三、部门整体绩效分析</w:t>
      </w:r>
    </w:p>
    <w:p>
      <w:pPr>
        <w:widowControl/>
        <w:adjustRightInd w:val="0"/>
        <w:snapToGrid w:val="0"/>
        <w:spacing w:line="560" w:lineRule="exact"/>
        <w:ind w:firstLine="643"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（一）部门预算项目绩效分析。</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1.人员类项目绩效分析</w:t>
      </w:r>
    </w:p>
    <w:p>
      <w:pPr>
        <w:widowControl/>
        <w:adjustRightInd w:val="0"/>
        <w:snapToGrid w:val="0"/>
        <w:spacing w:line="580" w:lineRule="exact"/>
        <w:ind w:firstLine="640" w:firstLineChars="200"/>
        <w:contextualSpacing/>
        <w:jc w:val="left"/>
        <w:rPr>
          <w:rFonts w:eastAsia="仿宋_GB2312"/>
          <w:sz w:val="32"/>
          <w:szCs w:val="32"/>
        </w:rPr>
      </w:pPr>
      <w:r>
        <w:rPr>
          <w:rFonts w:hint="eastAsia" w:eastAsia="仿宋_GB2312"/>
          <w:sz w:val="32"/>
          <w:szCs w:val="32"/>
        </w:rPr>
        <w:t>年初根据实际在职人员数量和退休人数编制人员经费预算数，按月发放工资和退休补贴、国家出台津补贴、基础绩效、住房公积金及各项社会保险费；保障了职工的工资、社保、公积金等经费，提升了职工的幸福感和更好的履职能力。年初人员类预算经费5</w:t>
      </w:r>
      <w:r>
        <w:rPr>
          <w:rFonts w:eastAsia="仿宋_GB2312"/>
          <w:sz w:val="32"/>
          <w:szCs w:val="32"/>
        </w:rPr>
        <w:t>10.18</w:t>
      </w:r>
      <w:r>
        <w:rPr>
          <w:rFonts w:hint="eastAsia" w:eastAsia="仿宋_GB2312"/>
          <w:sz w:val="32"/>
          <w:szCs w:val="32"/>
        </w:rPr>
        <w:t>万元，实际执行5</w:t>
      </w:r>
      <w:r>
        <w:rPr>
          <w:rFonts w:eastAsia="仿宋_GB2312"/>
          <w:sz w:val="32"/>
          <w:szCs w:val="32"/>
        </w:rPr>
        <w:t>30.55</w:t>
      </w:r>
      <w:r>
        <w:rPr>
          <w:rFonts w:hint="eastAsia" w:eastAsia="仿宋_GB2312"/>
          <w:sz w:val="32"/>
          <w:szCs w:val="32"/>
        </w:rPr>
        <w:t>万元，年中追加人员经费2</w:t>
      </w:r>
      <w:r>
        <w:rPr>
          <w:rFonts w:eastAsia="仿宋_GB2312"/>
          <w:sz w:val="32"/>
          <w:szCs w:val="32"/>
        </w:rPr>
        <w:t>0.37</w:t>
      </w:r>
      <w:r>
        <w:rPr>
          <w:rFonts w:hint="eastAsia" w:eastAsia="仿宋_GB2312"/>
          <w:sz w:val="32"/>
          <w:szCs w:val="32"/>
        </w:rPr>
        <w:t>万元，追加经费的原因是由于社保以及公积金等经费产生变动。</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2.运转类项目绩效分析</w:t>
      </w:r>
    </w:p>
    <w:p>
      <w:pPr>
        <w:pStyle w:val="8"/>
        <w:spacing w:before="93"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该项经费包括办公费、电费、邮电费、差旅费、公务用车运行维护费等日常公用经费，做好机关事务服务中心日常保障工作，保质保量完成了区委区政府交办的各项事务性、服务性工作，维护了政府办公秩序。公用类经费年初预算经费为1</w:t>
      </w:r>
      <w:r>
        <w:rPr>
          <w:rFonts w:ascii="Times New Roman" w:hAnsi="Times New Roman" w:eastAsia="仿宋_GB2312"/>
          <w:sz w:val="32"/>
          <w:szCs w:val="32"/>
        </w:rPr>
        <w:t>98.62</w:t>
      </w:r>
      <w:r>
        <w:rPr>
          <w:rFonts w:hint="eastAsia" w:ascii="Times New Roman" w:hAnsi="Times New Roman" w:eastAsia="仿宋_GB2312"/>
          <w:sz w:val="32"/>
          <w:szCs w:val="32"/>
        </w:rPr>
        <w:t>万元，实际执行1</w:t>
      </w:r>
      <w:r>
        <w:rPr>
          <w:rFonts w:ascii="Times New Roman" w:hAnsi="Times New Roman" w:eastAsia="仿宋_GB2312"/>
          <w:sz w:val="32"/>
          <w:szCs w:val="32"/>
        </w:rPr>
        <w:t>90.52</w:t>
      </w:r>
      <w:r>
        <w:rPr>
          <w:rFonts w:hint="eastAsia" w:ascii="Times New Roman" w:hAnsi="Times New Roman" w:eastAsia="仿宋_GB2312"/>
          <w:sz w:val="32"/>
          <w:szCs w:val="32"/>
        </w:rPr>
        <w:t>万元，收回8</w:t>
      </w:r>
      <w:r>
        <w:rPr>
          <w:rFonts w:ascii="Times New Roman" w:hAnsi="Times New Roman" w:eastAsia="仿宋_GB2312"/>
          <w:sz w:val="32"/>
          <w:szCs w:val="32"/>
        </w:rPr>
        <w:t>.1</w:t>
      </w:r>
      <w:r>
        <w:rPr>
          <w:rFonts w:hint="eastAsia" w:ascii="Times New Roman" w:hAnsi="Times New Roman" w:eastAsia="仿宋_GB2312"/>
          <w:sz w:val="32"/>
          <w:szCs w:val="32"/>
        </w:rPr>
        <w:t>万元指标。</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3.特定目标类项目绩效分析</w:t>
      </w:r>
    </w:p>
    <w:p>
      <w:pPr>
        <w:pStyle w:val="8"/>
        <w:spacing w:before="93"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（1）办公楼运行维护费项目：保障了202</w:t>
      </w:r>
      <w:r>
        <w:rPr>
          <w:rFonts w:ascii="Times New Roman" w:hAnsi="Times New Roman" w:eastAsia="仿宋_GB2312"/>
          <w:sz w:val="32"/>
          <w:szCs w:val="32"/>
        </w:rPr>
        <w:t>2</w:t>
      </w:r>
      <w:r>
        <w:rPr>
          <w:rFonts w:hint="eastAsia" w:ascii="Times New Roman" w:hAnsi="Times New Roman" w:eastAsia="仿宋_GB2312"/>
          <w:sz w:val="32"/>
          <w:szCs w:val="32"/>
        </w:rPr>
        <w:t>年1-12月份办公主楼、副楼以及归属政府部门的其他办公场所的日常维护和保养等；完成了办公楼电梯正常运行的检测、保养以及维护电梯人员的安全培训；完成全年的正常维护、检验等工作；年初安排预算6</w:t>
      </w:r>
      <w:r>
        <w:rPr>
          <w:rFonts w:ascii="Times New Roman" w:hAnsi="Times New Roman" w:eastAsia="仿宋_GB2312"/>
          <w:sz w:val="32"/>
          <w:szCs w:val="32"/>
        </w:rPr>
        <w:t>0</w:t>
      </w:r>
      <w:r>
        <w:rPr>
          <w:rFonts w:hint="eastAsia" w:ascii="Times New Roman" w:hAnsi="Times New Roman" w:eastAsia="仿宋_GB2312"/>
          <w:sz w:val="32"/>
          <w:szCs w:val="32"/>
        </w:rPr>
        <w:t>万元，结转上年维修尾款经费6万元，追加创文维修费1</w:t>
      </w:r>
      <w:r>
        <w:rPr>
          <w:rFonts w:ascii="Times New Roman" w:hAnsi="Times New Roman" w:eastAsia="仿宋_GB2312"/>
          <w:sz w:val="32"/>
          <w:szCs w:val="32"/>
        </w:rPr>
        <w:t>0</w:t>
      </w:r>
      <w:r>
        <w:rPr>
          <w:rFonts w:hint="eastAsia" w:ascii="Times New Roman" w:hAnsi="Times New Roman" w:eastAsia="仿宋_GB2312"/>
          <w:sz w:val="32"/>
          <w:szCs w:val="32"/>
        </w:rPr>
        <w:t>万元；支出相关工作经费</w:t>
      </w:r>
      <w:r>
        <w:rPr>
          <w:rFonts w:ascii="Times New Roman" w:hAnsi="Times New Roman" w:eastAsia="仿宋_GB2312"/>
          <w:sz w:val="32"/>
          <w:szCs w:val="32"/>
        </w:rPr>
        <w:t>69.88</w:t>
      </w:r>
      <w:r>
        <w:rPr>
          <w:rFonts w:hint="eastAsia" w:ascii="Times New Roman" w:hAnsi="Times New Roman" w:eastAsia="仿宋_GB2312"/>
          <w:sz w:val="32"/>
          <w:szCs w:val="32"/>
        </w:rPr>
        <w:t>万元，结余资金6</w:t>
      </w:r>
      <w:r>
        <w:rPr>
          <w:rFonts w:ascii="Times New Roman" w:hAnsi="Times New Roman" w:eastAsia="仿宋_GB2312"/>
          <w:sz w:val="32"/>
          <w:szCs w:val="32"/>
        </w:rPr>
        <w:t>.12</w:t>
      </w:r>
      <w:r>
        <w:rPr>
          <w:rFonts w:hint="eastAsia" w:ascii="Times New Roman" w:hAnsi="Times New Roman" w:eastAsia="仿宋_GB2312"/>
          <w:sz w:val="32"/>
          <w:szCs w:val="32"/>
        </w:rPr>
        <w:t>万元，其原因是未支付完部分创文维修经费。</w:t>
      </w:r>
    </w:p>
    <w:p>
      <w:pPr>
        <w:pStyle w:val="8"/>
        <w:spacing w:before="93"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（2）保安执勤费项目：保障了202</w:t>
      </w:r>
      <w:r>
        <w:rPr>
          <w:rFonts w:ascii="Times New Roman" w:hAnsi="Times New Roman" w:eastAsia="仿宋_GB2312"/>
          <w:sz w:val="32"/>
          <w:szCs w:val="32"/>
        </w:rPr>
        <w:t>2</w:t>
      </w:r>
      <w:r>
        <w:rPr>
          <w:rFonts w:hint="eastAsia" w:ascii="Times New Roman" w:hAnsi="Times New Roman" w:eastAsia="仿宋_GB2312"/>
          <w:sz w:val="32"/>
          <w:szCs w:val="32"/>
        </w:rPr>
        <w:t>年1-12月份政府办公场所及区档案馆正常、有序运行；确保了办公场所及档案馆等场所的安全。年初预算数为4</w:t>
      </w:r>
      <w:r>
        <w:rPr>
          <w:rFonts w:ascii="Times New Roman" w:hAnsi="Times New Roman" w:eastAsia="仿宋_GB2312"/>
          <w:sz w:val="32"/>
          <w:szCs w:val="32"/>
        </w:rPr>
        <w:t>0</w:t>
      </w:r>
      <w:r>
        <w:rPr>
          <w:rFonts w:hint="eastAsia" w:ascii="Times New Roman" w:hAnsi="Times New Roman" w:eastAsia="仿宋_GB2312"/>
          <w:sz w:val="32"/>
          <w:szCs w:val="32"/>
        </w:rPr>
        <w:t>万元，拨付2</w:t>
      </w:r>
      <w:r>
        <w:rPr>
          <w:rFonts w:ascii="Times New Roman" w:hAnsi="Times New Roman" w:eastAsia="仿宋_GB2312"/>
          <w:sz w:val="32"/>
          <w:szCs w:val="32"/>
        </w:rPr>
        <w:t>021</w:t>
      </w:r>
      <w:r>
        <w:rPr>
          <w:rFonts w:hint="eastAsia" w:ascii="Times New Roman" w:hAnsi="Times New Roman" w:eastAsia="仿宋_GB2312"/>
          <w:sz w:val="32"/>
          <w:szCs w:val="32"/>
        </w:rPr>
        <w:t>年保安执勤经费7</w:t>
      </w:r>
      <w:r>
        <w:rPr>
          <w:rFonts w:ascii="Times New Roman" w:hAnsi="Times New Roman" w:eastAsia="仿宋_GB2312"/>
          <w:sz w:val="32"/>
          <w:szCs w:val="32"/>
        </w:rPr>
        <w:t>6.28</w:t>
      </w:r>
      <w:r>
        <w:rPr>
          <w:rFonts w:hint="eastAsia" w:ascii="Times New Roman" w:hAnsi="Times New Roman" w:eastAsia="仿宋_GB2312"/>
          <w:sz w:val="32"/>
          <w:szCs w:val="32"/>
        </w:rPr>
        <w:t>万元，实际支付经费</w:t>
      </w:r>
      <w:r>
        <w:rPr>
          <w:rFonts w:ascii="Times New Roman" w:hAnsi="Times New Roman" w:eastAsia="仿宋_GB2312"/>
          <w:sz w:val="32"/>
          <w:szCs w:val="32"/>
        </w:rPr>
        <w:t>116.28</w:t>
      </w:r>
      <w:r>
        <w:rPr>
          <w:rFonts w:hint="eastAsia" w:ascii="Times New Roman" w:hAnsi="Times New Roman" w:eastAsia="仿宋_GB2312"/>
          <w:sz w:val="32"/>
          <w:szCs w:val="32"/>
        </w:rPr>
        <w:t>万元，资金结余3</w:t>
      </w:r>
      <w:r>
        <w:rPr>
          <w:rFonts w:ascii="Times New Roman" w:hAnsi="Times New Roman" w:eastAsia="仿宋_GB2312"/>
          <w:sz w:val="32"/>
          <w:szCs w:val="32"/>
        </w:rPr>
        <w:t>.72</w:t>
      </w:r>
      <w:r>
        <w:rPr>
          <w:rFonts w:hint="eastAsia" w:ascii="Times New Roman" w:hAnsi="Times New Roman" w:eastAsia="仿宋_GB2312"/>
          <w:sz w:val="32"/>
          <w:szCs w:val="32"/>
        </w:rPr>
        <w:t>万元，其原因为未支付完部分经费。</w:t>
      </w:r>
    </w:p>
    <w:p>
      <w:pPr>
        <w:pStyle w:val="8"/>
        <w:spacing w:before="93"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（3）政府办公楼水电运维费项目：保障了202</w:t>
      </w:r>
      <w:r>
        <w:rPr>
          <w:rFonts w:ascii="Times New Roman" w:hAnsi="Times New Roman" w:eastAsia="仿宋_GB2312"/>
          <w:sz w:val="32"/>
          <w:szCs w:val="32"/>
        </w:rPr>
        <w:t>2</w:t>
      </w:r>
      <w:r>
        <w:rPr>
          <w:rFonts w:hint="eastAsia" w:ascii="Times New Roman" w:hAnsi="Times New Roman" w:eastAsia="仿宋_GB2312"/>
          <w:sz w:val="32"/>
          <w:szCs w:val="32"/>
        </w:rPr>
        <w:t>年1-12月份归属西区机关事务服务中心缴纳水电费的机关、事业单位以及家属楼、单身公寓的及时支付，保障正常办公秩序；年初预算经费1</w:t>
      </w:r>
      <w:r>
        <w:rPr>
          <w:rFonts w:ascii="Times New Roman" w:hAnsi="Times New Roman" w:eastAsia="仿宋_GB2312"/>
          <w:sz w:val="32"/>
          <w:szCs w:val="32"/>
        </w:rPr>
        <w:t>55</w:t>
      </w:r>
      <w:r>
        <w:rPr>
          <w:rFonts w:hint="eastAsia" w:ascii="Times New Roman" w:hAnsi="Times New Roman" w:eastAsia="仿宋_GB2312"/>
          <w:sz w:val="32"/>
          <w:szCs w:val="32"/>
        </w:rPr>
        <w:t>万元，支出相关工作经费</w:t>
      </w:r>
      <w:r>
        <w:rPr>
          <w:rFonts w:ascii="Times New Roman" w:hAnsi="Times New Roman" w:eastAsia="仿宋_GB2312"/>
          <w:sz w:val="32"/>
          <w:szCs w:val="32"/>
        </w:rPr>
        <w:t>137.19</w:t>
      </w:r>
      <w:r>
        <w:rPr>
          <w:rFonts w:hint="eastAsia" w:ascii="Times New Roman" w:hAnsi="Times New Roman" w:eastAsia="仿宋_GB2312"/>
          <w:sz w:val="32"/>
          <w:szCs w:val="32"/>
        </w:rPr>
        <w:t>万元，资金结余1</w:t>
      </w:r>
      <w:r>
        <w:rPr>
          <w:rFonts w:ascii="Times New Roman" w:hAnsi="Times New Roman" w:eastAsia="仿宋_GB2312"/>
          <w:sz w:val="32"/>
          <w:szCs w:val="32"/>
        </w:rPr>
        <w:t>7.81</w:t>
      </w:r>
      <w:r>
        <w:rPr>
          <w:rFonts w:hint="eastAsia" w:ascii="Times New Roman" w:hAnsi="Times New Roman" w:eastAsia="仿宋_GB2312"/>
          <w:sz w:val="32"/>
          <w:szCs w:val="32"/>
        </w:rPr>
        <w:t>万元，其原因为一是由我中心代收代缴水电费的居民住户减少；二是我中心与电网公司签订批量购电优惠协议。</w:t>
      </w:r>
    </w:p>
    <w:p>
      <w:pPr>
        <w:pStyle w:val="8"/>
        <w:spacing w:before="93"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（4）公务用车平台运行经费项目：202</w:t>
      </w:r>
      <w:r>
        <w:rPr>
          <w:rFonts w:ascii="Times New Roman" w:hAnsi="Times New Roman" w:eastAsia="仿宋_GB2312"/>
          <w:sz w:val="32"/>
          <w:szCs w:val="32"/>
        </w:rPr>
        <w:t>2</w:t>
      </w:r>
      <w:r>
        <w:rPr>
          <w:rFonts w:hint="eastAsia" w:ascii="Times New Roman" w:hAnsi="Times New Roman" w:eastAsia="仿宋_GB2312"/>
          <w:sz w:val="32"/>
          <w:szCs w:val="32"/>
        </w:rPr>
        <w:t>年1-12月份共计15650条派车短信的发送，确保了15644次的出车台次，行驶了1907472公里；完成了3453次的加班值班，保障了公务用车平台的正常运行；保障机关事业单位公车正常运行；平台总共支出相关工作经费</w:t>
      </w:r>
      <w:r>
        <w:rPr>
          <w:rFonts w:ascii="Times New Roman" w:hAnsi="Times New Roman" w:eastAsia="仿宋_GB2312"/>
          <w:sz w:val="32"/>
          <w:szCs w:val="32"/>
        </w:rPr>
        <w:t>121.92</w:t>
      </w:r>
      <w:r>
        <w:rPr>
          <w:rFonts w:hint="eastAsia" w:ascii="Times New Roman" w:hAnsi="Times New Roman" w:eastAsia="仿宋_GB2312"/>
          <w:sz w:val="32"/>
          <w:szCs w:val="32"/>
        </w:rPr>
        <w:t>万元。资金结余2</w:t>
      </w:r>
      <w:r>
        <w:rPr>
          <w:rFonts w:ascii="Times New Roman" w:hAnsi="Times New Roman" w:eastAsia="仿宋_GB2312"/>
          <w:sz w:val="32"/>
          <w:szCs w:val="32"/>
        </w:rPr>
        <w:t>0.48</w:t>
      </w:r>
      <w:r>
        <w:rPr>
          <w:rFonts w:hint="eastAsia" w:ascii="Times New Roman" w:hAnsi="Times New Roman" w:eastAsia="仿宋_GB2312"/>
          <w:sz w:val="32"/>
          <w:szCs w:val="32"/>
        </w:rPr>
        <w:t>万元，其中未支付2</w:t>
      </w:r>
      <w:r>
        <w:rPr>
          <w:rFonts w:ascii="Times New Roman" w:hAnsi="Times New Roman" w:eastAsia="仿宋_GB2312"/>
          <w:sz w:val="32"/>
          <w:szCs w:val="32"/>
        </w:rPr>
        <w:t>022</w:t>
      </w:r>
      <w:r>
        <w:rPr>
          <w:rFonts w:hint="eastAsia" w:ascii="Times New Roman" w:hAnsi="Times New Roman" w:eastAsia="仿宋_GB2312"/>
          <w:sz w:val="32"/>
          <w:szCs w:val="32"/>
        </w:rPr>
        <w:t>年公车平台停车场租赁费和2</w:t>
      </w:r>
      <w:r>
        <w:rPr>
          <w:rFonts w:ascii="Times New Roman" w:hAnsi="Times New Roman" w:eastAsia="仿宋_GB2312"/>
          <w:sz w:val="32"/>
          <w:szCs w:val="32"/>
        </w:rPr>
        <w:t>022</w:t>
      </w:r>
      <w:r>
        <w:rPr>
          <w:rFonts w:hint="eastAsia" w:ascii="Times New Roman" w:hAnsi="Times New Roman" w:eastAsia="仿宋_GB2312"/>
          <w:sz w:val="32"/>
          <w:szCs w:val="32"/>
        </w:rPr>
        <w:t>年部分月份车辆维修经费。</w:t>
      </w:r>
    </w:p>
    <w:p>
      <w:pPr>
        <w:pStyle w:val="8"/>
        <w:spacing w:before="93"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（5）食堂运行经费项目：保障了202</w:t>
      </w:r>
      <w:r>
        <w:rPr>
          <w:rFonts w:ascii="Times New Roman" w:hAnsi="Times New Roman" w:eastAsia="仿宋_GB2312"/>
          <w:sz w:val="32"/>
          <w:szCs w:val="32"/>
        </w:rPr>
        <w:t>2</w:t>
      </w:r>
      <w:r>
        <w:rPr>
          <w:rFonts w:hint="eastAsia" w:ascii="Times New Roman" w:hAnsi="Times New Roman" w:eastAsia="仿宋_GB2312"/>
          <w:sz w:val="32"/>
          <w:szCs w:val="32"/>
        </w:rPr>
        <w:t>年1-12月份共计120969人次就餐，解决了职工的就餐困难，确保了职工的正常工作开展。保障全区机关、事业单位职工就餐。年初预算经费</w:t>
      </w:r>
      <w:r>
        <w:rPr>
          <w:rFonts w:ascii="Times New Roman" w:hAnsi="Times New Roman" w:eastAsia="仿宋_GB2312"/>
          <w:sz w:val="32"/>
          <w:szCs w:val="32"/>
        </w:rPr>
        <w:t>290</w:t>
      </w:r>
      <w:r>
        <w:rPr>
          <w:rFonts w:hint="eastAsia" w:ascii="Times New Roman" w:hAnsi="Times New Roman" w:eastAsia="仿宋_GB2312"/>
          <w:sz w:val="32"/>
          <w:szCs w:val="32"/>
        </w:rPr>
        <w:t>万元，结转2</w:t>
      </w:r>
      <w:r>
        <w:rPr>
          <w:rFonts w:ascii="Times New Roman" w:hAnsi="Times New Roman" w:eastAsia="仿宋_GB2312"/>
          <w:sz w:val="32"/>
          <w:szCs w:val="32"/>
        </w:rPr>
        <w:t>021</w:t>
      </w:r>
      <w:r>
        <w:rPr>
          <w:rFonts w:hint="eastAsia" w:ascii="Times New Roman" w:hAnsi="Times New Roman" w:eastAsia="仿宋_GB2312"/>
          <w:sz w:val="32"/>
          <w:szCs w:val="32"/>
        </w:rPr>
        <w:t>年食堂服务费2</w:t>
      </w:r>
      <w:r>
        <w:rPr>
          <w:rFonts w:ascii="Times New Roman" w:hAnsi="Times New Roman" w:eastAsia="仿宋_GB2312"/>
          <w:sz w:val="32"/>
          <w:szCs w:val="32"/>
        </w:rPr>
        <w:t>0</w:t>
      </w:r>
      <w:r>
        <w:rPr>
          <w:rFonts w:hint="eastAsia" w:ascii="Times New Roman" w:hAnsi="Times New Roman" w:eastAsia="仿宋_GB2312"/>
          <w:sz w:val="32"/>
          <w:szCs w:val="32"/>
        </w:rPr>
        <w:t>万元，全年支出相关工作经费</w:t>
      </w:r>
      <w:r>
        <w:rPr>
          <w:rFonts w:ascii="Times New Roman" w:hAnsi="Times New Roman" w:eastAsia="仿宋_GB2312"/>
          <w:sz w:val="32"/>
          <w:szCs w:val="32"/>
        </w:rPr>
        <w:t>294.16</w:t>
      </w:r>
      <w:r>
        <w:rPr>
          <w:rFonts w:hint="eastAsia" w:ascii="Times New Roman" w:hAnsi="Times New Roman" w:eastAsia="仿宋_GB2312"/>
          <w:sz w:val="32"/>
          <w:szCs w:val="32"/>
        </w:rPr>
        <w:t>万元，结余资金1</w:t>
      </w:r>
      <w:r>
        <w:rPr>
          <w:rFonts w:ascii="Times New Roman" w:hAnsi="Times New Roman" w:eastAsia="仿宋_GB2312"/>
          <w:sz w:val="32"/>
          <w:szCs w:val="32"/>
        </w:rPr>
        <w:t>5.84</w:t>
      </w:r>
      <w:r>
        <w:rPr>
          <w:rFonts w:hint="eastAsia" w:ascii="Times New Roman" w:hAnsi="Times New Roman" w:eastAsia="仿宋_GB2312"/>
          <w:sz w:val="32"/>
          <w:szCs w:val="32"/>
        </w:rPr>
        <w:t>万元，未支付完部分月份食材费用。</w:t>
      </w:r>
    </w:p>
    <w:p>
      <w:pPr>
        <w:pStyle w:val="8"/>
        <w:spacing w:before="93"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（6）改扩建机关食堂费用项目：目的在于解决职工的就餐困难，实现增加就餐人员容纳率的目标；改扩建完成后解决了职工的就餐困难，营造了良好的就餐环境，切实提高职工就餐体验；项目预算经费为2</w:t>
      </w:r>
      <w:r>
        <w:rPr>
          <w:rFonts w:ascii="Times New Roman" w:hAnsi="Times New Roman" w:eastAsia="仿宋_GB2312"/>
          <w:sz w:val="32"/>
          <w:szCs w:val="32"/>
        </w:rPr>
        <w:t>9.28</w:t>
      </w:r>
      <w:r>
        <w:rPr>
          <w:rFonts w:hint="eastAsia" w:ascii="Times New Roman" w:hAnsi="Times New Roman" w:eastAsia="仿宋_GB2312"/>
          <w:sz w:val="32"/>
          <w:szCs w:val="32"/>
        </w:rPr>
        <w:t>万元，实际支出2</w:t>
      </w:r>
      <w:r>
        <w:rPr>
          <w:rFonts w:ascii="Times New Roman" w:hAnsi="Times New Roman" w:eastAsia="仿宋_GB2312"/>
          <w:sz w:val="32"/>
          <w:szCs w:val="32"/>
        </w:rPr>
        <w:t>9.58</w:t>
      </w:r>
      <w:r>
        <w:rPr>
          <w:rFonts w:hint="eastAsia" w:ascii="Times New Roman" w:hAnsi="Times New Roman" w:eastAsia="仿宋_GB2312"/>
          <w:sz w:val="32"/>
          <w:szCs w:val="32"/>
        </w:rPr>
        <w:t>万元，无资金结余。</w:t>
      </w:r>
    </w:p>
    <w:p>
      <w:pPr>
        <w:pStyle w:val="8"/>
        <w:spacing w:before="93"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7）2021年无纸化办公系统经费、党政高清视频会议系统建设及综合服务经费：保障好全年电视电话会议，做好设备检查维修改造；无纸化办公系统方便快捷、减少纸张浪费，实现了节约资源和提高会议效率双重效果，适应现代化会议的需要，倡导低碳、环保、绿色的理念。区财政拨付2021年无纸化办公系统经费2</w:t>
      </w:r>
      <w:r>
        <w:rPr>
          <w:rFonts w:ascii="Times New Roman" w:hAnsi="Times New Roman" w:eastAsia="仿宋_GB2312"/>
          <w:sz w:val="32"/>
          <w:szCs w:val="32"/>
        </w:rPr>
        <w:t>9.89</w:t>
      </w:r>
      <w:r>
        <w:rPr>
          <w:rFonts w:hint="eastAsia" w:ascii="Times New Roman" w:hAnsi="Times New Roman" w:eastAsia="仿宋_GB2312"/>
          <w:sz w:val="32"/>
          <w:szCs w:val="32"/>
        </w:rPr>
        <w:t>万元，党政高清视频会议系统建设及综合服务经费4</w:t>
      </w:r>
      <w:r>
        <w:rPr>
          <w:rFonts w:ascii="Times New Roman" w:hAnsi="Times New Roman" w:eastAsia="仿宋_GB2312"/>
          <w:sz w:val="32"/>
          <w:szCs w:val="32"/>
        </w:rPr>
        <w:t>.37</w:t>
      </w:r>
      <w:r>
        <w:rPr>
          <w:rFonts w:hint="eastAsia" w:ascii="Times New Roman" w:hAnsi="Times New Roman" w:eastAsia="仿宋_GB2312"/>
          <w:sz w:val="32"/>
          <w:szCs w:val="32"/>
        </w:rPr>
        <w:t>万元；实际支付相关费用3</w:t>
      </w:r>
      <w:r>
        <w:rPr>
          <w:rFonts w:ascii="Times New Roman" w:hAnsi="Times New Roman" w:eastAsia="仿宋_GB2312"/>
          <w:sz w:val="32"/>
          <w:szCs w:val="32"/>
        </w:rPr>
        <w:t>4.26</w:t>
      </w:r>
      <w:r>
        <w:rPr>
          <w:rFonts w:hint="eastAsia" w:ascii="Times New Roman" w:hAnsi="Times New Roman" w:eastAsia="仿宋_GB2312"/>
          <w:sz w:val="32"/>
          <w:szCs w:val="32"/>
        </w:rPr>
        <w:t>万元。</w:t>
      </w:r>
    </w:p>
    <w:p>
      <w:pPr>
        <w:pStyle w:val="8"/>
        <w:spacing w:before="93"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（8）2</w:t>
      </w:r>
      <w:r>
        <w:rPr>
          <w:rFonts w:ascii="Times New Roman" w:hAnsi="Times New Roman" w:eastAsia="仿宋_GB2312"/>
          <w:sz w:val="32"/>
          <w:szCs w:val="32"/>
        </w:rPr>
        <w:t>021</w:t>
      </w:r>
      <w:r>
        <w:rPr>
          <w:rFonts w:hint="eastAsia" w:ascii="Times New Roman" w:hAnsi="Times New Roman" w:eastAsia="仿宋_GB2312"/>
          <w:sz w:val="32"/>
          <w:szCs w:val="32"/>
        </w:rPr>
        <w:t>年公务用车购置费：保障公务用车安全、有序运行，更好服务全区公务出行，率先在公共机构大力推进消费绿色转型，树立简约适度、绿色低碳的绿色消费理念，降低运行成本，积极践行绿色消费理念；该项目经费来源为结转2</w:t>
      </w:r>
      <w:r>
        <w:rPr>
          <w:rFonts w:ascii="Times New Roman" w:hAnsi="Times New Roman" w:eastAsia="仿宋_GB2312"/>
          <w:sz w:val="32"/>
          <w:szCs w:val="32"/>
        </w:rPr>
        <w:t>021</w:t>
      </w:r>
      <w:r>
        <w:rPr>
          <w:rFonts w:hint="eastAsia" w:ascii="Times New Roman" w:hAnsi="Times New Roman" w:eastAsia="仿宋_GB2312"/>
          <w:sz w:val="32"/>
          <w:szCs w:val="32"/>
        </w:rPr>
        <w:t>年公务用车购置费3</w:t>
      </w:r>
      <w:r>
        <w:rPr>
          <w:rFonts w:ascii="Times New Roman" w:hAnsi="Times New Roman" w:eastAsia="仿宋_GB2312"/>
          <w:sz w:val="32"/>
          <w:szCs w:val="32"/>
        </w:rPr>
        <w:t>9.96</w:t>
      </w:r>
      <w:r>
        <w:rPr>
          <w:rFonts w:hint="eastAsia" w:ascii="Times New Roman" w:hAnsi="Times New Roman" w:eastAsia="仿宋_GB2312"/>
          <w:sz w:val="32"/>
          <w:szCs w:val="32"/>
        </w:rPr>
        <w:t>万元，实际支付3</w:t>
      </w:r>
      <w:r>
        <w:rPr>
          <w:rFonts w:ascii="Times New Roman" w:hAnsi="Times New Roman" w:eastAsia="仿宋_GB2312"/>
          <w:sz w:val="32"/>
          <w:szCs w:val="32"/>
        </w:rPr>
        <w:t>9.96</w:t>
      </w:r>
      <w:r>
        <w:rPr>
          <w:rFonts w:hint="eastAsia" w:ascii="Times New Roman" w:hAnsi="Times New Roman" w:eastAsia="仿宋_GB2312"/>
          <w:sz w:val="32"/>
          <w:szCs w:val="32"/>
        </w:rPr>
        <w:t>万元，无资金结余。</w:t>
      </w:r>
    </w:p>
    <w:p>
      <w:pPr>
        <w:pStyle w:val="8"/>
        <w:spacing w:before="93"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9）新冠疫情防控隔离点返攀人员盒饭保障、西区新冠疫情防疫下沉工作人员后勤保障经费：一、我中心为隔离点提供盒饭2169盒，金额为46227元；二、保障新庄、陶家渡、庄上三个高速路口以及西区三合宾馆防疫工作人员后勤服务工作，期间我中心提供盒饭3650盒，金额为82315元；三、公务用车保障费用16188元，合计144730元。区财政根据工作需求下拨经费1</w:t>
      </w:r>
      <w:r>
        <w:rPr>
          <w:rFonts w:ascii="Times New Roman" w:hAnsi="Times New Roman" w:eastAsia="仿宋_GB2312"/>
          <w:sz w:val="32"/>
          <w:szCs w:val="32"/>
        </w:rPr>
        <w:t>4.47</w:t>
      </w:r>
      <w:r>
        <w:rPr>
          <w:rFonts w:hint="eastAsia" w:ascii="Times New Roman" w:hAnsi="Times New Roman" w:eastAsia="仿宋_GB2312"/>
          <w:sz w:val="32"/>
          <w:szCs w:val="32"/>
        </w:rPr>
        <w:t>万元，实际支付1</w:t>
      </w:r>
      <w:r>
        <w:rPr>
          <w:rFonts w:ascii="Times New Roman" w:hAnsi="Times New Roman" w:eastAsia="仿宋_GB2312"/>
          <w:sz w:val="32"/>
          <w:szCs w:val="32"/>
        </w:rPr>
        <w:t>4.47</w:t>
      </w:r>
      <w:r>
        <w:rPr>
          <w:rFonts w:hint="eastAsia" w:ascii="Times New Roman" w:hAnsi="Times New Roman" w:eastAsia="仿宋_GB2312"/>
          <w:sz w:val="32"/>
          <w:szCs w:val="32"/>
        </w:rPr>
        <w:t>万元，无结余资金。</w:t>
      </w:r>
    </w:p>
    <w:p>
      <w:pPr>
        <w:widowControl/>
        <w:adjustRightInd w:val="0"/>
        <w:snapToGrid w:val="0"/>
        <w:spacing w:line="560" w:lineRule="exact"/>
        <w:ind w:firstLine="640" w:firstLineChars="200"/>
        <w:contextualSpacing/>
        <w:jc w:val="left"/>
        <w:rPr>
          <w:rFonts w:eastAsia="仿宋_GB2312"/>
          <w:sz w:val="32"/>
          <w:szCs w:val="32"/>
        </w:rPr>
      </w:pPr>
      <w:r>
        <w:rPr>
          <w:rFonts w:hint="eastAsia" w:eastAsia="仿宋_GB2312"/>
          <w:sz w:val="32"/>
          <w:szCs w:val="32"/>
        </w:rPr>
        <w:t>（1</w:t>
      </w:r>
      <w:r>
        <w:rPr>
          <w:rFonts w:eastAsia="仿宋_GB2312"/>
          <w:sz w:val="32"/>
          <w:szCs w:val="32"/>
        </w:rPr>
        <w:t>0</w:t>
      </w:r>
      <w:r>
        <w:rPr>
          <w:rFonts w:hint="eastAsia" w:eastAsia="仿宋_GB2312"/>
          <w:sz w:val="32"/>
          <w:szCs w:val="32"/>
        </w:rPr>
        <w:t>）交通事故住院医疗费用：2022年7月8日9时，西区公车平台驾驶员成涛驾驶川D93A51公务车与驾驶川DD3619摩托车的驾驶员关孔法在西区苏铁中路河石坝东侧路口路段相撞，造成关孔法受伤。避免伤者家属无理上访、闹访，我中心承担了关孔法保险外的部分住院治疗费用，区级财政区财政根据实际情况下拨医疗费用</w:t>
      </w:r>
      <w:r>
        <w:rPr>
          <w:rFonts w:eastAsia="仿宋_GB2312"/>
          <w:sz w:val="32"/>
          <w:szCs w:val="32"/>
        </w:rPr>
        <w:t>4</w:t>
      </w:r>
      <w:r>
        <w:rPr>
          <w:rFonts w:hint="eastAsia" w:eastAsia="仿宋_GB2312"/>
          <w:sz w:val="32"/>
          <w:szCs w:val="32"/>
        </w:rPr>
        <w:t>0000元，已支付完无结余资金。</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（二）部门整体履职绩效分析。</w:t>
      </w:r>
    </w:p>
    <w:p>
      <w:pPr>
        <w:widowControl/>
        <w:adjustRightInd w:val="0"/>
        <w:snapToGrid w:val="0"/>
        <w:spacing w:line="560" w:lineRule="exact"/>
        <w:ind w:firstLine="640" w:firstLineChars="200"/>
        <w:contextualSpacing/>
        <w:jc w:val="left"/>
        <w:rPr>
          <w:rFonts w:ascii="仿宋" w:hAnsi="仿宋" w:eastAsia="仿宋"/>
          <w:snapToGrid w:val="0"/>
          <w:color w:val="000000"/>
          <w:sz w:val="32"/>
          <w:szCs w:val="32"/>
        </w:rPr>
      </w:pPr>
      <w:r>
        <w:rPr>
          <w:rFonts w:hint="eastAsia" w:ascii="仿宋" w:hAnsi="仿宋" w:eastAsia="仿宋"/>
          <w:snapToGrid w:val="0"/>
          <w:color w:val="000000"/>
          <w:sz w:val="32"/>
          <w:szCs w:val="32"/>
        </w:rPr>
        <w:t>2022 年度，攀枝花市西区机关事务服务中心所设立的</w:t>
      </w:r>
      <w:r>
        <w:rPr>
          <w:rFonts w:hint="eastAsia" w:ascii="仿宋" w:hAnsi="仿宋" w:eastAsia="仿宋" w:cs="仿宋_GB2312"/>
          <w:sz w:val="32"/>
          <w:szCs w:val="32"/>
          <w:shd w:val="clear" w:color="auto" w:fill="FFFFFF"/>
        </w:rPr>
        <w:t>部门预算项目</w:t>
      </w:r>
      <w:r>
        <w:rPr>
          <w:rFonts w:hint="eastAsia" w:ascii="仿宋" w:hAnsi="仿宋" w:eastAsia="仿宋"/>
          <w:snapToGrid w:val="0"/>
          <w:color w:val="000000"/>
          <w:sz w:val="32"/>
          <w:szCs w:val="32"/>
        </w:rPr>
        <w:t>，依据充分，符合客观实际，用以反映和考核部门整体绩效目标与部门履职、年度工作任务情况相符。制定的目标符合国家法律法规、国民经济和社会发展总体规划，符合我中心的职能职责。依据整体绩效目标所设定的绩效</w:t>
      </w:r>
      <w:r>
        <w:rPr>
          <w:rFonts w:hint="eastAsia" w:ascii="仿宋" w:hAnsi="仿宋" w:eastAsia="仿宋"/>
          <w:color w:val="000000"/>
          <w:sz w:val="32"/>
          <w:szCs w:val="32"/>
        </w:rPr>
        <w:t>指标清晰、细化、可衡量</w:t>
      </w:r>
      <w:r>
        <w:rPr>
          <w:rFonts w:hint="eastAsia" w:ascii="仿宋" w:hAnsi="仿宋" w:eastAsia="仿宋"/>
          <w:snapToGrid w:val="0"/>
          <w:color w:val="000000"/>
          <w:sz w:val="32"/>
          <w:szCs w:val="32"/>
        </w:rPr>
        <w:t>。本年度财政拨款收入</w:t>
      </w:r>
      <w:r>
        <w:rPr>
          <w:rFonts w:ascii="仿宋" w:hAnsi="仿宋" w:eastAsia="仿宋"/>
          <w:snapToGrid w:val="0"/>
          <w:color w:val="000000"/>
          <w:sz w:val="32"/>
          <w:szCs w:val="32"/>
        </w:rPr>
        <w:t>1650.89</w:t>
      </w:r>
      <w:r>
        <w:rPr>
          <w:rFonts w:hint="eastAsia" w:ascii="仿宋" w:hAnsi="仿宋" w:eastAsia="仿宋"/>
          <w:snapToGrid w:val="0"/>
          <w:color w:val="000000"/>
          <w:sz w:val="32"/>
          <w:szCs w:val="32"/>
        </w:rPr>
        <w:t>万元，支出</w:t>
      </w:r>
      <w:r>
        <w:rPr>
          <w:rFonts w:ascii="仿宋" w:hAnsi="仿宋" w:eastAsia="仿宋"/>
          <w:snapToGrid w:val="0"/>
          <w:color w:val="000000"/>
          <w:sz w:val="32"/>
          <w:szCs w:val="32"/>
        </w:rPr>
        <w:t>1650.89</w:t>
      </w:r>
      <w:r>
        <w:rPr>
          <w:rFonts w:hint="eastAsia" w:ascii="仿宋" w:hAnsi="仿宋" w:eastAsia="仿宋"/>
          <w:snapToGrid w:val="0"/>
          <w:color w:val="000000"/>
          <w:sz w:val="32"/>
          <w:szCs w:val="32"/>
        </w:rPr>
        <w:t>万元，预算支出完成率100%，预算执行完成率与去年同期持平。</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（三）结果应用情况。</w:t>
      </w:r>
    </w:p>
    <w:p>
      <w:pPr>
        <w:widowControl/>
        <w:adjustRightInd w:val="0"/>
        <w:snapToGrid w:val="0"/>
        <w:spacing w:line="560" w:lineRule="exact"/>
        <w:ind w:firstLine="640" w:firstLineChars="200"/>
        <w:contextualSpacing/>
        <w:jc w:val="left"/>
        <w:rPr>
          <w:rFonts w:eastAsia="仿宋_GB2312"/>
          <w:sz w:val="32"/>
          <w:szCs w:val="32"/>
        </w:rPr>
      </w:pPr>
      <w:r>
        <w:rPr>
          <w:rFonts w:hint="eastAsia" w:eastAsia="仿宋_GB2312"/>
          <w:sz w:val="32"/>
          <w:szCs w:val="32"/>
        </w:rPr>
        <w:t>202</w:t>
      </w:r>
      <w:r>
        <w:rPr>
          <w:rFonts w:eastAsia="仿宋_GB2312"/>
          <w:sz w:val="32"/>
          <w:szCs w:val="32"/>
        </w:rPr>
        <w:t>2</w:t>
      </w:r>
      <w:r>
        <w:rPr>
          <w:rFonts w:hint="eastAsia" w:eastAsia="仿宋_GB2312"/>
          <w:sz w:val="32"/>
          <w:szCs w:val="32"/>
        </w:rPr>
        <w:t>年我中心按照区财政局相关文件要求认真执行部门预算绩效管理内容，及时、有效的在财政局网站公开预决算和绩效评价，公开内容详细，文表结合，便于理解。绩效自评工作完成后将结果放在西区人民政府网站政务公开栏目中公开公示。</w:t>
      </w:r>
    </w:p>
    <w:p>
      <w:pPr>
        <w:widowControl/>
        <w:numPr>
          <w:ilvl w:val="0"/>
          <w:numId w:val="8"/>
        </w:numPr>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自评质量。</w:t>
      </w:r>
    </w:p>
    <w:p>
      <w:pPr>
        <w:widowControl/>
        <w:adjustRightInd w:val="0"/>
        <w:snapToGrid w:val="0"/>
        <w:spacing w:line="560" w:lineRule="exact"/>
        <w:ind w:firstLine="640" w:firstLineChars="200"/>
        <w:contextualSpacing/>
        <w:jc w:val="left"/>
        <w:rPr>
          <w:rFonts w:eastAsia="仿宋_GB2312"/>
          <w:sz w:val="32"/>
          <w:szCs w:val="32"/>
        </w:rPr>
      </w:pPr>
      <w:r>
        <w:rPr>
          <w:rFonts w:hint="eastAsia" w:eastAsia="仿宋_GB2312"/>
          <w:sz w:val="32"/>
          <w:szCs w:val="32"/>
        </w:rPr>
        <w:t>2022年区机关事务服务中心</w:t>
      </w:r>
      <w:r>
        <w:rPr>
          <w:rFonts w:eastAsia="仿宋_GB2312"/>
          <w:sz w:val="32"/>
          <w:szCs w:val="32"/>
        </w:rPr>
        <w:t>部门预算整体支出</w:t>
      </w:r>
      <w:r>
        <w:rPr>
          <w:rFonts w:hint="eastAsia" w:eastAsia="仿宋_GB2312"/>
          <w:sz w:val="32"/>
          <w:szCs w:val="32"/>
        </w:rPr>
        <w:t>、</w:t>
      </w:r>
      <w:r>
        <w:rPr>
          <w:rFonts w:eastAsia="仿宋_GB2312"/>
          <w:sz w:val="32"/>
          <w:szCs w:val="32"/>
        </w:rPr>
        <w:t>部门项目预算支出</w:t>
      </w:r>
      <w:r>
        <w:rPr>
          <w:rFonts w:hint="eastAsia" w:eastAsia="仿宋_GB2312"/>
          <w:sz w:val="32"/>
          <w:szCs w:val="32"/>
        </w:rPr>
        <w:t>按要求编制了预算绩效目标，实行了绩效目标管理，从项目完成、项目效益、满意度指标等方面设置了绩效指标，并</w:t>
      </w:r>
      <w:r>
        <w:rPr>
          <w:rFonts w:eastAsia="仿宋_GB2312"/>
          <w:sz w:val="32"/>
          <w:szCs w:val="32"/>
        </w:rPr>
        <w:t>按照财政预算绩效管理要求</w:t>
      </w:r>
      <w:r>
        <w:rPr>
          <w:rFonts w:hint="eastAsia" w:eastAsia="仿宋_GB2312"/>
          <w:sz w:val="32"/>
          <w:szCs w:val="32"/>
        </w:rPr>
        <w:t>实完成了项目的实施</w:t>
      </w:r>
      <w:r>
        <w:rPr>
          <w:rFonts w:eastAsia="仿宋_GB2312"/>
          <w:sz w:val="32"/>
          <w:szCs w:val="32"/>
        </w:rPr>
        <w:t>，并及时反馈预算执行中的问题和建议和整改情况，按要求适时在门户网站公开自评情况。</w:t>
      </w:r>
      <w:r>
        <w:rPr>
          <w:rFonts w:hint="eastAsia" w:eastAsia="仿宋_GB2312"/>
          <w:sz w:val="32"/>
          <w:szCs w:val="32"/>
        </w:rPr>
        <w:t>自评工作</w:t>
      </w:r>
      <w:r>
        <w:rPr>
          <w:rFonts w:eastAsia="仿宋_GB2312"/>
          <w:sz w:val="32"/>
          <w:szCs w:val="32"/>
        </w:rPr>
        <w:t>完成质量</w:t>
      </w:r>
      <w:r>
        <w:rPr>
          <w:rFonts w:hint="eastAsia" w:eastAsia="仿宋_GB2312"/>
          <w:sz w:val="32"/>
          <w:szCs w:val="32"/>
        </w:rPr>
        <w:t>较</w:t>
      </w:r>
      <w:r>
        <w:rPr>
          <w:rFonts w:eastAsia="仿宋_GB2312"/>
          <w:sz w:val="32"/>
          <w:szCs w:val="32"/>
        </w:rPr>
        <w:t>高</w:t>
      </w:r>
      <w:r>
        <w:rPr>
          <w:rFonts w:hint="eastAsia" w:eastAsia="仿宋_GB2312"/>
          <w:sz w:val="32"/>
          <w:szCs w:val="32"/>
        </w:rPr>
        <w:t>，完成进度较好。</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四、评价结论及建议</w:t>
      </w:r>
    </w:p>
    <w:p>
      <w:pPr>
        <w:widowControl/>
        <w:adjustRightInd w:val="0"/>
        <w:snapToGrid w:val="0"/>
        <w:spacing w:line="560" w:lineRule="exact"/>
        <w:ind w:firstLine="640" w:firstLineChars="200"/>
        <w:contextualSpacing/>
        <w:jc w:val="left"/>
        <w:rPr>
          <w:rFonts w:eastAsia="仿宋_GB2312"/>
          <w:sz w:val="32"/>
          <w:szCs w:val="32"/>
        </w:rPr>
      </w:pPr>
      <w:r>
        <w:rPr>
          <w:rFonts w:hint="eastAsia" w:eastAsia="仿宋_GB2312"/>
          <w:sz w:val="32"/>
          <w:szCs w:val="32"/>
        </w:rPr>
        <w:t>在202</w:t>
      </w:r>
      <w:r>
        <w:rPr>
          <w:rFonts w:eastAsia="仿宋_GB2312"/>
          <w:sz w:val="32"/>
          <w:szCs w:val="32"/>
        </w:rPr>
        <w:t>2</w:t>
      </w:r>
      <w:r>
        <w:rPr>
          <w:rFonts w:hint="eastAsia" w:eastAsia="仿宋_GB2312"/>
          <w:sz w:val="32"/>
          <w:szCs w:val="32"/>
        </w:rPr>
        <w:t>年工作中，我中心履行了部门职能，但在内控制度和财务监管方面仍存在问题。在以后的工作中我中心一是建立健全内部控制制度，加强项目资金往来的核算和管理，严格资金往来审批和控制，确保资金的安全。二是加强资金使用管理，严格执行现金相关管理规定，规范现金支出，提高公务卡使用率。三是加强财务人员业务知识培训，履职尽责，保证会计资料齐全。</w:t>
      </w:r>
    </w:p>
    <w:p>
      <w:pPr>
        <w:widowControl/>
        <w:adjustRightInd w:val="0"/>
        <w:snapToGrid w:val="0"/>
        <w:spacing w:line="560" w:lineRule="exact"/>
        <w:ind w:firstLine="640" w:firstLineChars="200"/>
        <w:contextualSpacing/>
        <w:jc w:val="left"/>
        <w:rPr>
          <w:rFonts w:eastAsia="仿宋_GB2312"/>
          <w:sz w:val="32"/>
          <w:szCs w:val="32"/>
        </w:rPr>
      </w:pPr>
    </w:p>
    <w:p>
      <w:pPr>
        <w:pStyle w:val="15"/>
        <w:spacing w:line="560" w:lineRule="exact"/>
        <w:ind w:left="0" w:leftChars="0" w:firstLine="640"/>
        <w:rPr>
          <w:rFonts w:hint="eastAsia" w:hAnsi="仿宋_GB2312" w:eastAsia="仿宋_GB2312" w:cs="仿宋_GB2312"/>
          <w:sz w:val="32"/>
          <w:lang w:val="en-US" w:eastAsia="zh-CN"/>
        </w:rPr>
      </w:pPr>
      <w:r>
        <w:rPr>
          <w:rFonts w:hint="eastAsia" w:hAnsi="仿宋_GB2312" w:eastAsia="仿宋_GB2312" w:cs="仿宋_GB2312"/>
          <w:sz w:val="32"/>
          <w:lang w:val="zh-CN"/>
        </w:rPr>
        <w:t>附表：</w:t>
      </w:r>
      <w:r>
        <w:rPr>
          <w:rFonts w:hint="eastAsia" w:hAnsi="仿宋_GB2312" w:eastAsia="仿宋_GB2312" w:cs="仿宋_GB2312"/>
          <w:sz w:val="32"/>
        </w:rPr>
        <w:t>部门预算项目支出绩效自评表（2022年度）见附件</w:t>
      </w:r>
      <w:r>
        <w:rPr>
          <w:rFonts w:hint="eastAsia" w:hAnsi="仿宋_GB2312" w:eastAsia="仿宋_GB2312" w:cs="仿宋_GB2312"/>
          <w:sz w:val="32"/>
          <w:lang w:val="en-US" w:eastAsia="zh-CN"/>
        </w:rPr>
        <w:t>2-6.</w:t>
      </w:r>
    </w:p>
    <w:p>
      <w:pPr>
        <w:pStyle w:val="15"/>
        <w:spacing w:line="560" w:lineRule="exact"/>
        <w:ind w:left="0" w:leftChars="0" w:firstLine="640"/>
        <w:rPr>
          <w:rFonts w:hint="eastAsia" w:hAnsi="仿宋_GB2312" w:eastAsia="仿宋_GB2312" w:cs="仿宋_GB2312"/>
          <w:sz w:val="32"/>
          <w:lang w:val="en-US" w:eastAsia="zh-CN"/>
        </w:rPr>
      </w:pPr>
    </w:p>
    <w:p>
      <w:pPr>
        <w:pStyle w:val="15"/>
        <w:spacing w:line="560" w:lineRule="exact"/>
        <w:ind w:left="0" w:leftChars="0" w:firstLine="640"/>
        <w:rPr>
          <w:rFonts w:hint="eastAsia" w:hAnsi="仿宋_GB2312" w:eastAsia="仿宋_GB2312" w:cs="仿宋_GB2312"/>
          <w:sz w:val="32"/>
          <w:lang w:val="en-US" w:eastAsia="zh-CN"/>
        </w:rPr>
      </w:pPr>
    </w:p>
    <w:p>
      <w:pPr>
        <w:pStyle w:val="15"/>
        <w:spacing w:line="560" w:lineRule="exact"/>
        <w:ind w:left="0" w:leftChars="0" w:firstLine="640"/>
        <w:rPr>
          <w:rFonts w:hint="default" w:hAnsi="仿宋_GB2312" w:eastAsia="仿宋_GB2312" w:cs="仿宋_GB2312"/>
          <w:sz w:val="32"/>
          <w:lang w:val="en-US" w:eastAsia="zh-CN"/>
        </w:rPr>
      </w:pPr>
    </w:p>
    <w:p>
      <w:pPr>
        <w:pStyle w:val="2"/>
        <w:spacing w:before="93"/>
        <w:rPr>
          <w:sz w:val="32"/>
          <w:szCs w:val="32"/>
        </w:rPr>
      </w:pPr>
      <w:r>
        <w:rPr>
          <w:rFonts w:hint="eastAsia" w:hAnsi="宋体" w:cs="宋体"/>
          <w:sz w:val="32"/>
          <w:szCs w:val="32"/>
          <w:shd w:val="clear" w:color="auto" w:fill="FFFFFF"/>
          <w:lang w:val="zh-CN"/>
        </w:rPr>
        <w:t>附件</w:t>
      </w:r>
      <w:r>
        <w:rPr>
          <w:rFonts w:hint="eastAsia" w:hAnsi="宋体" w:cs="宋体"/>
          <w:sz w:val="32"/>
          <w:szCs w:val="32"/>
          <w:shd w:val="clear" w:color="auto" w:fill="FFFFFF"/>
        </w:rPr>
        <w:t>2</w:t>
      </w:r>
    </w:p>
    <w:p>
      <w:pPr>
        <w:pStyle w:val="36"/>
        <w:spacing w:line="578" w:lineRule="exact"/>
        <w:jc w:val="center"/>
        <w:rPr>
          <w:rFonts w:ascii="方正小标宋简体" w:hAnsi="方正小标宋简体" w:eastAsia="方正小标宋简体" w:cs="方正小标宋简体"/>
          <w:color w:val="auto"/>
          <w:kern w:val="2"/>
          <w:sz w:val="32"/>
          <w:szCs w:val="32"/>
          <w:highlight w:val="none"/>
          <w:lang w:val="en-US"/>
        </w:rPr>
      </w:pPr>
      <w:r>
        <w:rPr>
          <w:rFonts w:hint="eastAsia" w:ascii="方正小标宋简体" w:hAnsi="方正小标宋简体" w:eastAsia="方正小标宋简体" w:cs="方正小标宋简体"/>
          <w:color w:val="auto"/>
          <w:kern w:val="2"/>
          <w:sz w:val="32"/>
          <w:szCs w:val="32"/>
          <w:highlight w:val="none"/>
          <w:lang w:val="en-US"/>
        </w:rPr>
        <w:t>202</w:t>
      </w:r>
      <w:r>
        <w:rPr>
          <w:rFonts w:hint="eastAsia" w:ascii="方正小标宋简体" w:hAnsi="方正小标宋简体" w:eastAsia="方正小标宋简体" w:cs="方正小标宋简体"/>
          <w:color w:val="auto"/>
          <w:kern w:val="2"/>
          <w:sz w:val="32"/>
          <w:szCs w:val="32"/>
          <w:highlight w:val="none"/>
          <w:lang w:val="en-US" w:eastAsia="zh-CN"/>
        </w:rPr>
        <w:t>2</w:t>
      </w:r>
      <w:r>
        <w:rPr>
          <w:rFonts w:hint="eastAsia" w:ascii="方正小标宋简体" w:hAnsi="方正小标宋简体" w:eastAsia="方正小标宋简体" w:cs="方正小标宋简体"/>
          <w:color w:val="auto"/>
          <w:kern w:val="2"/>
          <w:sz w:val="32"/>
          <w:szCs w:val="32"/>
          <w:highlight w:val="none"/>
          <w:lang w:val="en-US"/>
        </w:rPr>
        <w:t>年区级专项资金预算项目绩效自评报告</w:t>
      </w:r>
    </w:p>
    <w:p>
      <w:pPr>
        <w:pStyle w:val="36"/>
        <w:spacing w:line="578" w:lineRule="exact"/>
        <w:ind w:firstLine="640"/>
        <w:jc w:val="center"/>
        <w:rPr>
          <w:rFonts w:ascii="宋体" w:hAnsi="宋体"/>
          <w:color w:val="auto"/>
          <w:kern w:val="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机关食堂运行经费</w:t>
      </w:r>
      <w:r>
        <w:rPr>
          <w:rFonts w:ascii="Times New Roman" w:hAnsi="Times New Roman" w:eastAsia="仿宋_GB2312"/>
          <w:sz w:val="32"/>
          <w:szCs w:val="32"/>
        </w:rPr>
        <w:t>）</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eastAsia="仿宋_GB2312"/>
          <w:sz w:val="32"/>
          <w:szCs w:val="32"/>
          <w:lang w:val="zh-CN"/>
        </w:rPr>
      </w:pPr>
      <w:r>
        <w:rPr>
          <w:rFonts w:hint="eastAsia" w:ascii="仿宋_GB2312" w:eastAsia="仿宋_GB2312"/>
          <w:sz w:val="32"/>
          <w:szCs w:val="32"/>
          <w:lang w:val="zh-CN"/>
        </w:rPr>
        <w:t>1．项目管理中的职能。</w:t>
      </w:r>
      <w:r>
        <w:rPr>
          <w:rFonts w:hint="eastAsia" w:ascii="仿宋_GB2312" w:eastAsia="仿宋_GB2312"/>
          <w:sz w:val="32"/>
          <w:szCs w:val="32"/>
        </w:rPr>
        <w:t>我中心负责机关食堂建设管理工作。通过使用财政下拨的机关食堂运行经费，为职工提供一个干净、舒适的就餐环境，对干部职工的后勤保障起到了一定作用。</w:t>
      </w:r>
    </w:p>
    <w:p>
      <w:pPr>
        <w:adjustRightInd w:val="0"/>
        <w:snapToGrid w:val="0"/>
        <w:spacing w:line="600" w:lineRule="exact"/>
        <w:ind w:firstLine="720"/>
        <w:rPr>
          <w:rFonts w:ascii="仿宋_GB2312" w:eastAsia="仿宋_GB2312"/>
          <w:sz w:val="32"/>
          <w:szCs w:val="32"/>
          <w:lang w:val="zh-CN"/>
        </w:rPr>
      </w:pPr>
      <w:r>
        <w:rPr>
          <w:rFonts w:hint="eastAsia" w:ascii="仿宋_GB2312" w:eastAsia="仿宋_GB2312"/>
          <w:sz w:val="32"/>
          <w:szCs w:val="32"/>
          <w:lang w:val="zh-CN"/>
        </w:rPr>
        <w:t>2.</w:t>
      </w:r>
      <w:r>
        <w:rPr>
          <w:rFonts w:hint="eastAsia" w:ascii="仿宋_GB2312" w:eastAsia="仿宋_GB2312"/>
          <w:sz w:val="32"/>
          <w:szCs w:val="32"/>
        </w:rPr>
        <w:t>项目立项依据是为了满足职工需求，保障全区机关单位工作正常开展，履行我中心后勤服务工作的职责；资金申报依据是根据公开招标的购买服务价格、食材供应价格、2020年实际支付食堂运行经费和2021年预决算数据以及2022年当年实际物价水平，综合考虑后申报该项资金。</w:t>
      </w:r>
    </w:p>
    <w:p>
      <w:pPr>
        <w:adjustRightInd w:val="0"/>
        <w:snapToGrid w:val="0"/>
        <w:spacing w:line="600" w:lineRule="exact"/>
        <w:ind w:firstLine="720"/>
        <w:rPr>
          <w:rFonts w:ascii="仿宋_GB2312" w:eastAsia="仿宋_GB2312"/>
          <w:sz w:val="32"/>
          <w:szCs w:val="32"/>
          <w:lang w:val="zh-CN"/>
        </w:rPr>
      </w:pPr>
      <w:r>
        <w:rPr>
          <w:rFonts w:hint="eastAsia" w:ascii="仿宋_GB2312" w:eastAsia="仿宋_GB2312"/>
          <w:sz w:val="32"/>
          <w:szCs w:val="32"/>
          <w:lang w:val="zh-CN"/>
        </w:rPr>
        <w:t>3．</w:t>
      </w:r>
      <w:r>
        <w:rPr>
          <w:rFonts w:hint="eastAsia" w:ascii="仿宋_GB2312" w:eastAsia="仿宋_GB2312"/>
          <w:sz w:val="32"/>
          <w:szCs w:val="32"/>
        </w:rPr>
        <w:t>我中心根据有关规定，严格制定自己的资金管理办法，依法合规管好、用好资金，加强资金日常监管，杜绝挤占、截留和挪用。2022年机关食堂运行经费由区级财政全额拨款支持，支持的资金用于支付食堂服务团队的劳务费用、购买食材费用和零星的食堂维修及采购办公用品。</w:t>
      </w:r>
    </w:p>
    <w:p>
      <w:pPr>
        <w:adjustRightInd w:val="0"/>
        <w:snapToGrid w:val="0"/>
        <w:spacing w:line="600" w:lineRule="exact"/>
        <w:ind w:firstLine="720"/>
        <w:rPr>
          <w:rFonts w:ascii="仿宋_GB2312" w:eastAsia="仿宋_GB2312"/>
          <w:sz w:val="32"/>
          <w:szCs w:val="32"/>
          <w:lang w:val="zh-CN"/>
        </w:rPr>
      </w:pPr>
      <w:r>
        <w:rPr>
          <w:rFonts w:hint="eastAsia" w:ascii="仿宋_GB2312" w:eastAsia="仿宋_GB2312"/>
          <w:sz w:val="32"/>
          <w:szCs w:val="32"/>
          <w:lang w:val="zh-CN"/>
        </w:rPr>
        <w:t xml:space="preserve">4. </w:t>
      </w:r>
      <w:r>
        <w:rPr>
          <w:rFonts w:hint="eastAsia" w:ascii="仿宋_GB2312" w:eastAsia="仿宋_GB2312"/>
          <w:sz w:val="32"/>
          <w:szCs w:val="32"/>
        </w:rPr>
        <w:t>资金分配严格按照实买实付，所有款项按时支付原则。实际全年支付食堂服务费全年62.44万、采购食材费180.24万、购买米线1.74万元、机关食堂扩建后购置桌椅、厨具以及零星维修费用13.64万元、购买疫情防控一次性餐盒和部分食物2.6万元、其他零星采购费用（包含：抽纸、一次性筷子、手套、清洗服务费等其他食堂食品安全、卫生相关的费用）13.5万元。</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eastAsia="仿宋_GB2312"/>
          <w:sz w:val="32"/>
          <w:szCs w:val="32"/>
        </w:rPr>
      </w:pPr>
      <w:r>
        <w:rPr>
          <w:rFonts w:ascii="仿宋_GB2312" w:eastAsia="仿宋_GB2312"/>
          <w:sz w:val="32"/>
          <w:szCs w:val="32"/>
        </w:rPr>
        <w:t>1. 项目主要内</w:t>
      </w:r>
      <w:r>
        <w:rPr>
          <w:rFonts w:hint="eastAsia" w:ascii="仿宋_GB2312" w:eastAsia="仿宋_GB2312"/>
          <w:sz w:val="32"/>
          <w:szCs w:val="32"/>
        </w:rPr>
        <w:t>容</w:t>
      </w:r>
    </w:p>
    <w:p>
      <w:pPr>
        <w:adjustRightInd w:val="0"/>
        <w:snapToGrid w:val="0"/>
        <w:spacing w:line="600" w:lineRule="exact"/>
        <w:ind w:firstLine="720"/>
        <w:rPr>
          <w:rFonts w:ascii="仿宋_GB2312" w:eastAsia="仿宋_GB2312"/>
          <w:sz w:val="32"/>
          <w:szCs w:val="32"/>
        </w:rPr>
      </w:pPr>
      <w:r>
        <w:rPr>
          <w:rFonts w:ascii="仿宋_GB2312" w:eastAsia="仿宋_GB2312"/>
          <w:sz w:val="32"/>
          <w:szCs w:val="32"/>
        </w:rPr>
        <w:t>食堂运行经费包括</w:t>
      </w:r>
      <w:r>
        <w:rPr>
          <w:rFonts w:hint="eastAsia" w:ascii="仿宋_GB2312" w:eastAsia="仿宋_GB2312"/>
          <w:sz w:val="32"/>
          <w:szCs w:val="32"/>
        </w:rPr>
        <w:t>确保食堂正常支付工作人员服务费、食堂支付食材费以及和食堂食品安全、卫生相关的各项费用。</w:t>
      </w:r>
    </w:p>
    <w:p>
      <w:pPr>
        <w:adjustRightInd w:val="0"/>
        <w:snapToGrid w:val="0"/>
        <w:spacing w:line="600" w:lineRule="exact"/>
        <w:ind w:firstLine="720"/>
        <w:rPr>
          <w:rFonts w:ascii="仿宋_GB2312" w:eastAsia="仿宋_GB2312"/>
          <w:sz w:val="32"/>
          <w:szCs w:val="32"/>
        </w:rPr>
      </w:pPr>
      <w:r>
        <w:rPr>
          <w:rFonts w:ascii="仿宋_GB2312" w:eastAsia="仿宋_GB2312"/>
          <w:sz w:val="32"/>
          <w:szCs w:val="32"/>
        </w:rPr>
        <w:t>2. 项目应实现的具体绩效目标</w:t>
      </w:r>
    </w:p>
    <w:p>
      <w:pPr>
        <w:spacing w:line="353" w:lineRule="auto"/>
        <w:ind w:firstLine="640" w:firstLineChars="200"/>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2</w:t>
      </w:r>
      <w:r>
        <w:rPr>
          <w:rFonts w:hint="eastAsia" w:ascii="仿宋_GB2312" w:eastAsia="仿宋_GB2312"/>
          <w:sz w:val="32"/>
          <w:szCs w:val="32"/>
        </w:rPr>
        <w:t>年保质保量完成了食堂的各项服务、解决了职工的全天就餐问题，并足额发放各项经费，保障了食堂全年正常运行。</w:t>
      </w:r>
    </w:p>
    <w:p>
      <w:pPr>
        <w:adjustRightInd w:val="0"/>
        <w:snapToGrid w:val="0"/>
        <w:spacing w:line="600" w:lineRule="exact"/>
        <w:ind w:firstLine="720"/>
        <w:rPr>
          <w:rFonts w:ascii="仿宋_GB2312" w:eastAsia="仿宋_GB2312"/>
          <w:sz w:val="32"/>
          <w:szCs w:val="32"/>
        </w:rPr>
      </w:pPr>
      <w:r>
        <w:rPr>
          <w:rFonts w:ascii="仿宋_GB2312" w:eastAsia="仿宋_GB2312"/>
          <w:sz w:val="32"/>
          <w:szCs w:val="32"/>
        </w:rPr>
        <w:t>3. 分析评价申报内容与实际相符，申报目标合理可行。</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eastAsia="仿宋_GB2312"/>
          <w:sz w:val="32"/>
          <w:szCs w:val="32"/>
        </w:rPr>
      </w:pPr>
      <w:r>
        <w:rPr>
          <w:rFonts w:ascii="仿宋_GB2312" w:eastAsia="仿宋_GB2312"/>
          <w:sz w:val="32"/>
          <w:szCs w:val="32"/>
        </w:rPr>
        <w:t>机关事务服务中心根据财政支出绩效评价指标体系及项目的实际情况设计指标体系进行评价，组织相关</w:t>
      </w:r>
      <w:r>
        <w:rPr>
          <w:rFonts w:hint="eastAsia" w:ascii="仿宋_GB2312" w:eastAsia="仿宋_GB2312"/>
          <w:sz w:val="32"/>
          <w:szCs w:val="32"/>
        </w:rPr>
        <w:t>股</w:t>
      </w:r>
      <w:r>
        <w:rPr>
          <w:rFonts w:ascii="仿宋_GB2312" w:eastAsia="仿宋_GB2312"/>
          <w:sz w:val="32"/>
          <w:szCs w:val="32"/>
        </w:rPr>
        <w:t>室人员对本项目进行自评检查。</w:t>
      </w:r>
    </w:p>
    <w:p>
      <w:pPr>
        <w:adjustRightInd w:val="0"/>
        <w:snapToGrid w:val="0"/>
        <w:spacing w:line="600" w:lineRule="exact"/>
        <w:ind w:firstLine="720"/>
        <w:rPr>
          <w:rFonts w:ascii="仿宋_GB2312" w:eastAsia="仿宋_GB2312"/>
          <w:sz w:val="32"/>
          <w:szCs w:val="32"/>
        </w:rPr>
      </w:pPr>
      <w:r>
        <w:rPr>
          <w:rFonts w:ascii="仿宋_GB2312" w:eastAsia="仿宋_GB2312"/>
          <w:sz w:val="32"/>
          <w:szCs w:val="32"/>
        </w:rPr>
        <w:t>1. 资料收集。梳理项目资料，核实项目情况，统计项目数据。</w:t>
      </w:r>
    </w:p>
    <w:p>
      <w:pPr>
        <w:adjustRightInd w:val="0"/>
        <w:snapToGrid w:val="0"/>
        <w:spacing w:line="600" w:lineRule="exact"/>
        <w:ind w:firstLine="720"/>
        <w:rPr>
          <w:rFonts w:ascii="仿宋_GB2312" w:eastAsia="仿宋_GB2312"/>
          <w:sz w:val="32"/>
          <w:szCs w:val="32"/>
        </w:rPr>
      </w:pPr>
      <w:r>
        <w:rPr>
          <w:rFonts w:ascii="仿宋_GB2312" w:eastAsia="仿宋_GB2312"/>
          <w:sz w:val="32"/>
          <w:szCs w:val="32"/>
        </w:rPr>
        <w:t>2 绩效自评。根据资料收集的情况，按照区财政支出绩效评价指标体系，以定量与定性相结合的方式，对项目绩效情况进行判断，对项目存在的问题进行分析，对各项考评指标进行自评。</w:t>
      </w:r>
    </w:p>
    <w:p>
      <w:pPr>
        <w:adjustRightInd w:val="0"/>
        <w:snapToGrid w:val="0"/>
        <w:spacing w:line="600" w:lineRule="exact"/>
        <w:ind w:firstLine="720"/>
        <w:rPr>
          <w:rFonts w:ascii="仿宋_GB2312" w:eastAsia="仿宋_GB2312"/>
          <w:sz w:val="32"/>
          <w:szCs w:val="32"/>
        </w:rPr>
      </w:pPr>
      <w:r>
        <w:rPr>
          <w:rFonts w:ascii="仿宋_GB2312" w:eastAsia="仿宋_GB2312"/>
          <w:sz w:val="32"/>
          <w:szCs w:val="32"/>
        </w:rPr>
        <w:t>3. 撰写报告。结合项目定性与定量评价分析，得出自评结论，并撰写自评报告。</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（一）项目资金申报及批复情况</w:t>
      </w:r>
    </w:p>
    <w:p>
      <w:pPr>
        <w:spacing w:line="353" w:lineRule="auto"/>
        <w:ind w:firstLine="640" w:firstLineChars="200"/>
        <w:rPr>
          <w:rFonts w:eastAsia="仿宋_GB2312"/>
          <w:sz w:val="32"/>
          <w:szCs w:val="32"/>
        </w:rPr>
      </w:pPr>
      <w:r>
        <w:rPr>
          <w:rFonts w:eastAsia="仿宋_GB2312"/>
          <w:sz w:val="32"/>
          <w:szCs w:val="32"/>
        </w:rPr>
        <w:t>纳入本次评价的食堂运行经费项目由区机关事务服务中心根据相关规定年初纳入部门预算，上报区财政局，由区财政局审核后出具正式预算批复（</w:t>
      </w:r>
      <w:r>
        <w:rPr>
          <w:rFonts w:eastAsia="仿宋_GB2312"/>
          <w:color w:val="000000"/>
          <w:sz w:val="32"/>
          <w:szCs w:val="32"/>
        </w:rPr>
        <w:t>攀西财〔2022〕</w:t>
      </w:r>
      <w:r>
        <w:rPr>
          <w:rFonts w:hint="eastAsia" w:eastAsia="仿宋_GB2312"/>
          <w:color w:val="000000"/>
          <w:sz w:val="32"/>
          <w:szCs w:val="32"/>
        </w:rPr>
        <w:t>101</w:t>
      </w:r>
      <w:r>
        <w:rPr>
          <w:rFonts w:eastAsia="仿宋_GB2312"/>
          <w:color w:val="000000"/>
          <w:sz w:val="32"/>
          <w:szCs w:val="32"/>
        </w:rPr>
        <w:t>号</w:t>
      </w:r>
      <w:r>
        <w:rPr>
          <w:rFonts w:eastAsia="仿宋_GB2312"/>
          <w:sz w:val="32"/>
          <w:szCs w:val="32"/>
        </w:rPr>
        <w:t>）。项目批复预算资金</w:t>
      </w:r>
      <w:r>
        <w:rPr>
          <w:rFonts w:hint="eastAsia" w:eastAsia="仿宋_GB2312"/>
          <w:sz w:val="32"/>
          <w:szCs w:val="32"/>
        </w:rPr>
        <w:t>2</w:t>
      </w:r>
      <w:r>
        <w:rPr>
          <w:rFonts w:eastAsia="仿宋_GB2312"/>
          <w:sz w:val="32"/>
          <w:szCs w:val="32"/>
        </w:rPr>
        <w:t>90万元，年底据实结算。</w:t>
      </w:r>
    </w:p>
    <w:p>
      <w:pPr>
        <w:adjustRightInd w:val="0"/>
        <w:snapToGrid w:val="0"/>
        <w:spacing w:line="600" w:lineRule="exact"/>
        <w:ind w:firstLine="720"/>
        <w:rPr>
          <w:rFonts w:eastAsia="仿宋_GB2312"/>
          <w:sz w:val="32"/>
          <w:szCs w:val="32"/>
          <w:lang w:val="zh-CN"/>
        </w:rPr>
      </w:pPr>
      <w:r>
        <w:rPr>
          <w:rFonts w:eastAsia="楷体_GB2312"/>
          <w:b/>
          <w:sz w:val="32"/>
          <w:szCs w:val="32"/>
          <w:lang w:val="zh-CN"/>
        </w:rPr>
        <w:t>（二）资金计划、到位及使用情况</w:t>
      </w:r>
    </w:p>
    <w:p>
      <w:pPr>
        <w:adjustRightInd w:val="0"/>
        <w:snapToGrid w:val="0"/>
        <w:spacing w:line="600" w:lineRule="exact"/>
        <w:ind w:firstLine="720"/>
        <w:rPr>
          <w:rFonts w:eastAsia="楷体_GB2312"/>
          <w:sz w:val="32"/>
          <w:szCs w:val="32"/>
          <w:lang w:val="zh-CN"/>
        </w:rPr>
      </w:pPr>
      <w:r>
        <w:rPr>
          <w:rFonts w:eastAsia="楷体_GB2312"/>
          <w:sz w:val="32"/>
          <w:szCs w:val="32"/>
          <w:lang w:val="zh-CN"/>
        </w:rPr>
        <w:t>1．资金计划</w:t>
      </w:r>
    </w:p>
    <w:p>
      <w:pPr>
        <w:adjustRightInd w:val="0"/>
        <w:snapToGrid w:val="0"/>
        <w:spacing w:line="600" w:lineRule="exact"/>
        <w:ind w:firstLine="720"/>
        <w:rPr>
          <w:rFonts w:eastAsia="仿宋_GB2312"/>
          <w:sz w:val="32"/>
          <w:szCs w:val="32"/>
          <w:lang w:val="zh-CN"/>
        </w:rPr>
      </w:pPr>
      <w:r>
        <w:rPr>
          <w:rFonts w:hint="eastAsia" w:eastAsia="仿宋_GB2312"/>
          <w:sz w:val="32"/>
          <w:szCs w:val="32"/>
        </w:rPr>
        <w:t>202</w:t>
      </w:r>
      <w:r>
        <w:rPr>
          <w:rFonts w:eastAsia="仿宋_GB2312"/>
          <w:sz w:val="32"/>
          <w:szCs w:val="32"/>
        </w:rPr>
        <w:t>2</w:t>
      </w:r>
      <w:r>
        <w:rPr>
          <w:rFonts w:hint="eastAsia" w:eastAsia="仿宋_GB2312"/>
          <w:sz w:val="32"/>
          <w:szCs w:val="32"/>
        </w:rPr>
        <w:t>年年初计划食堂服务费全年</w:t>
      </w:r>
      <w:r>
        <w:rPr>
          <w:rFonts w:eastAsia="仿宋_GB2312"/>
          <w:sz w:val="32"/>
          <w:szCs w:val="32"/>
        </w:rPr>
        <w:t>80</w:t>
      </w:r>
      <w:r>
        <w:rPr>
          <w:rFonts w:hint="eastAsia" w:eastAsia="仿宋_GB2312"/>
          <w:sz w:val="32"/>
          <w:szCs w:val="32"/>
        </w:rPr>
        <w:t>万元、采购食材费</w:t>
      </w:r>
      <w:r>
        <w:rPr>
          <w:rFonts w:eastAsia="仿宋_GB2312"/>
          <w:sz w:val="32"/>
          <w:szCs w:val="32"/>
        </w:rPr>
        <w:t>200</w:t>
      </w:r>
      <w:r>
        <w:rPr>
          <w:rFonts w:hint="eastAsia" w:eastAsia="仿宋_GB2312"/>
          <w:sz w:val="32"/>
          <w:szCs w:val="32"/>
        </w:rPr>
        <w:t>万元、其他开支</w:t>
      </w:r>
      <w:r>
        <w:rPr>
          <w:rFonts w:eastAsia="仿宋_GB2312"/>
          <w:sz w:val="32"/>
          <w:szCs w:val="32"/>
        </w:rPr>
        <w:t>10</w:t>
      </w:r>
      <w:r>
        <w:rPr>
          <w:rFonts w:hint="eastAsia" w:eastAsia="仿宋_GB2312"/>
          <w:sz w:val="32"/>
          <w:szCs w:val="32"/>
        </w:rPr>
        <w:t>万元。</w:t>
      </w:r>
    </w:p>
    <w:p>
      <w:pPr>
        <w:adjustRightInd w:val="0"/>
        <w:snapToGrid w:val="0"/>
        <w:spacing w:line="600" w:lineRule="exact"/>
        <w:ind w:firstLine="720"/>
        <w:rPr>
          <w:rFonts w:eastAsia="楷体_GB2312"/>
          <w:sz w:val="32"/>
          <w:szCs w:val="32"/>
          <w:lang w:val="zh-CN"/>
        </w:rPr>
      </w:pPr>
      <w:r>
        <w:rPr>
          <w:rFonts w:eastAsia="楷体_GB2312"/>
          <w:sz w:val="32"/>
          <w:szCs w:val="32"/>
          <w:lang w:val="zh-CN"/>
        </w:rPr>
        <w:t>2．资金到位</w:t>
      </w:r>
    </w:p>
    <w:p>
      <w:pPr>
        <w:adjustRightInd w:val="0"/>
        <w:snapToGrid w:val="0"/>
        <w:spacing w:line="600" w:lineRule="exact"/>
        <w:ind w:firstLine="720"/>
        <w:rPr>
          <w:rFonts w:eastAsia="仿宋_GB2312"/>
          <w:sz w:val="32"/>
          <w:szCs w:val="32"/>
          <w:lang w:val="zh-CN"/>
        </w:rPr>
      </w:pPr>
      <w:r>
        <w:rPr>
          <w:rFonts w:hint="eastAsia" w:eastAsia="楷体_GB2312"/>
          <w:sz w:val="32"/>
          <w:szCs w:val="32"/>
          <w:lang w:val="zh-CN"/>
        </w:rPr>
        <w:t>2</w:t>
      </w:r>
      <w:r>
        <w:rPr>
          <w:rFonts w:eastAsia="楷体_GB2312"/>
          <w:sz w:val="32"/>
          <w:szCs w:val="32"/>
          <w:lang w:val="zh-CN"/>
        </w:rPr>
        <w:t>022</w:t>
      </w:r>
      <w:r>
        <w:rPr>
          <w:rFonts w:hint="eastAsia" w:eastAsia="楷体_GB2312"/>
          <w:sz w:val="32"/>
          <w:szCs w:val="32"/>
          <w:lang w:val="zh-CN"/>
        </w:rPr>
        <w:t>年年初区财政</w:t>
      </w:r>
      <w:r>
        <w:rPr>
          <w:rFonts w:eastAsia="仿宋_GB2312"/>
          <w:sz w:val="32"/>
          <w:szCs w:val="32"/>
        </w:rPr>
        <w:t>批复</w:t>
      </w:r>
      <w:r>
        <w:rPr>
          <w:rFonts w:hint="eastAsia" w:eastAsia="仿宋_GB2312"/>
          <w:sz w:val="32"/>
          <w:szCs w:val="32"/>
        </w:rPr>
        <w:t>该项目</w:t>
      </w:r>
      <w:r>
        <w:rPr>
          <w:rFonts w:eastAsia="仿宋_GB2312"/>
          <w:sz w:val="32"/>
          <w:szCs w:val="32"/>
        </w:rPr>
        <w:t>预算资金</w:t>
      </w:r>
      <w:r>
        <w:rPr>
          <w:rFonts w:hint="eastAsia" w:eastAsia="仿宋_GB2312"/>
          <w:sz w:val="32"/>
          <w:szCs w:val="32"/>
        </w:rPr>
        <w:t>2</w:t>
      </w:r>
      <w:r>
        <w:rPr>
          <w:rFonts w:eastAsia="仿宋_GB2312"/>
          <w:sz w:val="32"/>
          <w:szCs w:val="32"/>
        </w:rPr>
        <w:t>90万元</w:t>
      </w:r>
      <w:r>
        <w:rPr>
          <w:rFonts w:hint="eastAsia" w:eastAsia="仿宋_GB2312"/>
          <w:sz w:val="32"/>
          <w:szCs w:val="32"/>
        </w:rPr>
        <w:t>。</w:t>
      </w:r>
      <w:r>
        <w:rPr>
          <w:rFonts w:hint="eastAsia" w:eastAsia="仿宋_GB2312"/>
          <w:sz w:val="32"/>
          <w:szCs w:val="32"/>
          <w:lang w:val="zh-CN"/>
        </w:rPr>
        <w:t xml:space="preserve"> </w:t>
      </w:r>
    </w:p>
    <w:p>
      <w:pPr>
        <w:adjustRightInd w:val="0"/>
        <w:snapToGrid w:val="0"/>
        <w:spacing w:line="600" w:lineRule="exact"/>
        <w:ind w:firstLine="720"/>
        <w:rPr>
          <w:rFonts w:eastAsia="仿宋_GB2312"/>
          <w:sz w:val="32"/>
          <w:szCs w:val="32"/>
          <w:lang w:val="zh-CN"/>
        </w:rPr>
      </w:pPr>
      <w:r>
        <w:rPr>
          <w:rFonts w:eastAsia="楷体_GB2312"/>
          <w:sz w:val="32"/>
          <w:szCs w:val="32"/>
          <w:lang w:val="zh-CN"/>
        </w:rPr>
        <w:t>3．资金使用</w:t>
      </w:r>
    </w:p>
    <w:p>
      <w:pPr>
        <w:spacing w:line="353" w:lineRule="auto"/>
        <w:ind w:firstLine="640" w:firstLineChars="200"/>
        <w:rPr>
          <w:rFonts w:eastAsia="仿宋_GB2312"/>
          <w:sz w:val="32"/>
          <w:szCs w:val="32"/>
        </w:rPr>
      </w:pPr>
      <w:r>
        <w:rPr>
          <w:rFonts w:hint="eastAsia" w:eastAsia="仿宋_GB2312"/>
          <w:sz w:val="32"/>
          <w:szCs w:val="32"/>
        </w:rPr>
        <w:t>202</w:t>
      </w:r>
      <w:r>
        <w:rPr>
          <w:rFonts w:eastAsia="仿宋_GB2312"/>
          <w:sz w:val="32"/>
          <w:szCs w:val="32"/>
        </w:rPr>
        <w:t>2</w:t>
      </w:r>
      <w:r>
        <w:rPr>
          <w:rFonts w:hint="eastAsia" w:eastAsia="仿宋_GB2312"/>
          <w:sz w:val="32"/>
          <w:szCs w:val="32"/>
        </w:rPr>
        <w:t> 年食堂运行经费项目总支出</w:t>
      </w:r>
      <w:r>
        <w:rPr>
          <w:rFonts w:eastAsia="仿宋_GB2312"/>
          <w:sz w:val="32"/>
          <w:szCs w:val="32"/>
        </w:rPr>
        <w:t>274.16</w:t>
      </w:r>
      <w:r>
        <w:rPr>
          <w:rFonts w:hint="eastAsia" w:eastAsia="仿宋_GB2312"/>
          <w:sz w:val="32"/>
          <w:szCs w:val="32"/>
        </w:rPr>
        <w:t>万元，资金结余</w:t>
      </w:r>
      <w:r>
        <w:rPr>
          <w:rFonts w:eastAsia="仿宋_GB2312"/>
          <w:sz w:val="32"/>
          <w:szCs w:val="32"/>
        </w:rPr>
        <w:t>15.84</w:t>
      </w:r>
      <w:r>
        <w:rPr>
          <w:rFonts w:hint="eastAsia" w:eastAsia="仿宋_GB2312"/>
          <w:sz w:val="32"/>
          <w:szCs w:val="32"/>
        </w:rPr>
        <w:t>万元，其原因为2</w:t>
      </w:r>
      <w:r>
        <w:rPr>
          <w:rFonts w:eastAsia="仿宋_GB2312"/>
          <w:sz w:val="32"/>
          <w:szCs w:val="32"/>
        </w:rPr>
        <w:t>022</w:t>
      </w:r>
      <w:r>
        <w:rPr>
          <w:rFonts w:hint="eastAsia" w:eastAsia="仿宋_GB2312"/>
          <w:sz w:val="32"/>
          <w:szCs w:val="32"/>
        </w:rPr>
        <w:t>年部分食材费用还未支付。</w:t>
      </w:r>
    </w:p>
    <w:p>
      <w:pPr>
        <w:adjustRightInd w:val="0"/>
        <w:snapToGrid w:val="0"/>
        <w:spacing w:line="578" w:lineRule="exact"/>
        <w:ind w:firstLine="720"/>
        <w:rPr>
          <w:rFonts w:eastAsia="仿宋_GB2312"/>
          <w:sz w:val="32"/>
          <w:szCs w:val="32"/>
          <w:lang w:val="zh-CN"/>
        </w:rPr>
      </w:pPr>
      <w:r>
        <w:rPr>
          <w:rFonts w:eastAsia="仿宋_GB2312"/>
          <w:sz w:val="32"/>
          <w:szCs w:val="32"/>
          <w:lang w:val="zh-CN"/>
        </w:rPr>
        <w:t>资金支付范围、支付标准、支付进度、支付依据等</w:t>
      </w:r>
      <w:r>
        <w:rPr>
          <w:rFonts w:hint="eastAsia" w:eastAsia="仿宋_GB2312"/>
          <w:sz w:val="32"/>
          <w:szCs w:val="32"/>
          <w:lang w:val="zh-CN"/>
        </w:rPr>
        <w:t>都</w:t>
      </w:r>
      <w:r>
        <w:rPr>
          <w:rFonts w:eastAsia="仿宋_GB2312"/>
          <w:sz w:val="32"/>
          <w:szCs w:val="32"/>
          <w:lang w:val="zh-CN"/>
        </w:rPr>
        <w:t>合规合法、与预算相符</w:t>
      </w:r>
      <w:r>
        <w:rPr>
          <w:rFonts w:hint="eastAsia" w:eastAsia="仿宋_GB2312"/>
          <w:sz w:val="32"/>
          <w:szCs w:val="32"/>
          <w:lang w:val="zh-CN"/>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pPr>
      <w:r>
        <w:rPr>
          <w:rFonts w:hint="eastAsia" w:eastAsia="仿宋_GB2312"/>
          <w:sz w:val="32"/>
          <w:szCs w:val="32"/>
        </w:rPr>
        <w:t>我中心严格按照《预算法》、《会计法》、《财政违法行为处罚处分条例》、《会计基础工作规范》、《行政单位会计制度》等有关文件要求对专项财政资金进行管理，并严格依据《行政单位会计制度》进行会计核算，资金管理制度健全，会计核算规范。</w:t>
      </w:r>
    </w:p>
    <w:p>
      <w:pPr>
        <w:adjustRightInd w:val="0"/>
        <w:snapToGrid w:val="0"/>
        <w:spacing w:line="600" w:lineRule="exact"/>
        <w:ind w:firstLine="720"/>
        <w:rPr>
          <w:rFonts w:eastAsia="黑体"/>
          <w:sz w:val="32"/>
          <w:szCs w:val="32"/>
        </w:rPr>
      </w:pPr>
      <w:r>
        <w:rPr>
          <w:rFonts w:eastAsia="黑体"/>
          <w:sz w:val="32"/>
          <w:szCs w:val="32"/>
        </w:rPr>
        <w:t>三、项目实施及管理情况</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（一）项目组织架构及实施流程</w:t>
      </w:r>
    </w:p>
    <w:p>
      <w:pPr>
        <w:spacing w:line="353" w:lineRule="auto"/>
        <w:ind w:firstLine="640" w:firstLineChars="200"/>
        <w:rPr>
          <w:rFonts w:ascii="仿宋_GB2312" w:eastAsia="仿宋_GB2312"/>
          <w:sz w:val="32"/>
          <w:szCs w:val="32"/>
        </w:rPr>
      </w:pPr>
      <w:r>
        <w:rPr>
          <w:rFonts w:hint="eastAsia" w:ascii="仿宋_GB2312" w:eastAsia="仿宋_GB2312"/>
          <w:sz w:val="32"/>
          <w:szCs w:val="32"/>
        </w:rPr>
        <w:t>为做好食堂的管理工作，我中心采用购买服务的形式，有专门的食堂服务团队和管理人员，人员各有分工，各有岗位工作职责。为了确保食堂日常序运转，机关食堂制定了食堂管理制度，卫生工作制度和消防管理制度，以制度管人，以制度管事，达到了运转有序，保障高效的良好运营局面。</w:t>
      </w:r>
    </w:p>
    <w:p>
      <w:pPr>
        <w:adjustRightInd w:val="0"/>
        <w:snapToGrid w:val="0"/>
        <w:spacing w:line="600" w:lineRule="exact"/>
        <w:ind w:firstLine="720"/>
        <w:rPr>
          <w:rFonts w:eastAsia="仿宋_GB2312"/>
          <w:sz w:val="32"/>
          <w:szCs w:val="32"/>
          <w:lang w:val="zh-CN"/>
        </w:rPr>
      </w:pPr>
      <w:r>
        <w:rPr>
          <w:rFonts w:eastAsia="楷体_GB2312"/>
          <w:b/>
          <w:sz w:val="32"/>
          <w:szCs w:val="32"/>
          <w:lang w:val="zh-CN"/>
        </w:rPr>
        <w:t>（二）项目管理情况</w:t>
      </w:r>
    </w:p>
    <w:p>
      <w:pPr>
        <w:spacing w:line="353" w:lineRule="auto"/>
        <w:ind w:firstLine="640" w:firstLineChars="200"/>
        <w:rPr>
          <w:rFonts w:ascii="仿宋_GB2312" w:eastAsia="仿宋_GB2312"/>
          <w:sz w:val="32"/>
          <w:szCs w:val="32"/>
        </w:rPr>
      </w:pPr>
      <w:r>
        <w:rPr>
          <w:rFonts w:hint="eastAsia" w:ascii="仿宋_GB2312" w:eastAsia="仿宋_GB2312"/>
          <w:sz w:val="32"/>
          <w:szCs w:val="32"/>
        </w:rPr>
        <w:t>我中心严格执行相关管理制度及办法，</w:t>
      </w:r>
      <w:r>
        <w:rPr>
          <w:rFonts w:eastAsia="仿宋_GB2312"/>
          <w:sz w:val="32"/>
          <w:szCs w:val="32"/>
        </w:rPr>
        <w:t>通过公开招投标的形式向中标单位粮星米业采购机关食堂食材，预算金额为180万元，实际采购金额以具体采购时间的市场价格为准，无法明确的统计节约金额。</w:t>
      </w:r>
    </w:p>
    <w:p>
      <w:pPr>
        <w:spacing w:line="353" w:lineRule="auto"/>
        <w:ind w:firstLine="643" w:firstLineChars="200"/>
        <w:rPr>
          <w:rFonts w:eastAsia="仿宋_GB2312"/>
          <w:sz w:val="32"/>
          <w:szCs w:val="32"/>
        </w:rPr>
      </w:pPr>
      <w:r>
        <w:rPr>
          <w:rFonts w:eastAsia="楷体_GB2312"/>
          <w:b/>
          <w:sz w:val="32"/>
          <w:szCs w:val="32"/>
          <w:lang w:val="zh-CN"/>
        </w:rPr>
        <w:t>（三）项目监管情况</w:t>
      </w:r>
      <w:r>
        <w:rPr>
          <w:rFonts w:eastAsia="仿宋_GB2312"/>
          <w:sz w:val="32"/>
          <w:szCs w:val="32"/>
        </w:rPr>
        <w:t> </w:t>
      </w:r>
    </w:p>
    <w:p>
      <w:pPr>
        <w:spacing w:line="353" w:lineRule="auto"/>
        <w:ind w:firstLine="640" w:firstLineChars="200"/>
        <w:rPr>
          <w:rFonts w:ascii="仿宋_GB2312" w:eastAsia="仿宋_GB2312"/>
          <w:sz w:val="32"/>
          <w:szCs w:val="32"/>
        </w:rPr>
      </w:pPr>
      <w:r>
        <w:rPr>
          <w:rFonts w:hint="eastAsia" w:ascii="仿宋_GB2312" w:eastAsia="仿宋_GB2312"/>
          <w:sz w:val="32"/>
          <w:szCs w:val="32"/>
        </w:rPr>
        <w:t>1.把好食物的采购关。食物的采购有专人负责，日常食物的采购是根据厨师的菜单进行采购，做到有验收人签名验收。货物进出入库做到有专人管理登记把关，严把监督关。</w:t>
      </w:r>
    </w:p>
    <w:p>
      <w:pPr>
        <w:spacing w:line="353" w:lineRule="auto"/>
        <w:ind w:firstLine="640" w:firstLineChars="200"/>
        <w:rPr>
          <w:rFonts w:ascii="仿宋_GB2312" w:eastAsia="仿宋_GB2312"/>
          <w:sz w:val="32"/>
          <w:szCs w:val="32"/>
        </w:rPr>
      </w:pPr>
      <w:r>
        <w:rPr>
          <w:rFonts w:hint="eastAsia" w:ascii="仿宋_GB2312" w:eastAsia="仿宋_GB2312"/>
          <w:sz w:val="32"/>
          <w:szCs w:val="32"/>
        </w:rPr>
        <w:t>2.把好账目关。机关食堂正常顺利运营，严格按规定的管理制度执行。如果不能严格管理，按制度办，就难于确保用餐人员正常的用餐保障。监督工作比较完善，保障经费用在刀刃上，经费及时到位，运营效率较高。</w:t>
      </w:r>
    </w:p>
    <w:p>
      <w:pPr>
        <w:adjustRightInd w:val="0"/>
        <w:snapToGrid w:val="0"/>
        <w:spacing w:line="600" w:lineRule="exact"/>
        <w:ind w:firstLine="720"/>
        <w:rPr>
          <w:rFonts w:eastAsia="仿宋_GB2312"/>
          <w:sz w:val="32"/>
          <w:szCs w:val="32"/>
          <w:lang w:val="zh-CN"/>
        </w:rPr>
      </w:pPr>
      <w:r>
        <w:rPr>
          <w:rFonts w:eastAsia="黑体"/>
          <w:sz w:val="32"/>
          <w:szCs w:val="32"/>
        </w:rPr>
        <w:t>四、项目绩效情况</w:t>
      </w:r>
      <w:r>
        <w:rPr>
          <w:rFonts w:eastAsia="仿宋_GB2312"/>
          <w:sz w:val="32"/>
          <w:szCs w:val="32"/>
          <w:lang w:val="zh-CN"/>
        </w:rPr>
        <w:tab/>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（一）项目完成情况</w:t>
      </w:r>
    </w:p>
    <w:p>
      <w:pPr>
        <w:adjustRightInd w:val="0"/>
        <w:snapToGrid w:val="0"/>
        <w:spacing w:line="600" w:lineRule="exact"/>
        <w:ind w:firstLine="720"/>
        <w:rPr>
          <w:rFonts w:eastAsia="楷体_GB2312"/>
          <w:b/>
          <w:sz w:val="32"/>
          <w:szCs w:val="32"/>
          <w:lang w:val="zh-CN"/>
        </w:rPr>
      </w:pPr>
      <w:r>
        <w:rPr>
          <w:rFonts w:hint="eastAsia" w:eastAsia="仿宋_GB2312"/>
          <w:sz w:val="32"/>
          <w:szCs w:val="32"/>
        </w:rPr>
        <w:t>202</w:t>
      </w:r>
      <w:r>
        <w:rPr>
          <w:rFonts w:eastAsia="仿宋_GB2312"/>
          <w:sz w:val="32"/>
          <w:szCs w:val="32"/>
        </w:rPr>
        <w:t>2</w:t>
      </w:r>
      <w:r>
        <w:rPr>
          <w:rFonts w:hint="eastAsia" w:eastAsia="仿宋_GB2312"/>
          <w:sz w:val="32"/>
          <w:szCs w:val="32"/>
        </w:rPr>
        <w:t>年机关食堂共计</w:t>
      </w:r>
      <w:r>
        <w:rPr>
          <w:rFonts w:eastAsia="仿宋_GB2312"/>
          <w:sz w:val="32"/>
          <w:szCs w:val="32"/>
        </w:rPr>
        <w:t>2186899</w:t>
      </w:r>
      <w:r>
        <w:rPr>
          <w:rFonts w:hint="eastAsia" w:eastAsia="仿宋_GB2312"/>
          <w:sz w:val="32"/>
          <w:szCs w:val="32"/>
        </w:rPr>
        <w:t>人次就餐，改扩建机关食堂，实现增加就餐人员容纳率，提升职工就餐环境，确保了全区机关事业单位职工安全、卫生就餐</w:t>
      </w:r>
      <w:r>
        <w:rPr>
          <w:rFonts w:eastAsia="仿宋_GB2312"/>
          <w:sz w:val="32"/>
          <w:szCs w:val="32"/>
          <w:lang w:val="zh-CN"/>
        </w:rPr>
        <w:t>。</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（二）项目效益情况</w:t>
      </w:r>
    </w:p>
    <w:p>
      <w:pPr>
        <w:spacing w:line="353" w:lineRule="auto"/>
        <w:ind w:firstLine="640" w:firstLineChars="200"/>
        <w:rPr>
          <w:rFonts w:eastAsia="仿宋_GB2312"/>
          <w:sz w:val="32"/>
          <w:szCs w:val="32"/>
        </w:rPr>
      </w:pPr>
      <w:r>
        <w:rPr>
          <w:rFonts w:hint="eastAsia" w:eastAsia="仿宋_GB2312"/>
          <w:sz w:val="32"/>
          <w:szCs w:val="32"/>
        </w:rPr>
        <w:t>202</w:t>
      </w:r>
      <w:r>
        <w:rPr>
          <w:rFonts w:eastAsia="仿宋_GB2312"/>
          <w:sz w:val="32"/>
          <w:szCs w:val="32"/>
        </w:rPr>
        <w:t>2</w:t>
      </w:r>
      <w:r>
        <w:rPr>
          <w:rFonts w:hint="eastAsia" w:eastAsia="仿宋_GB2312"/>
          <w:sz w:val="32"/>
          <w:szCs w:val="32"/>
        </w:rPr>
        <w:t>年机关食堂运行项目效果明显：就餐服务和就餐环境较好；职工满意度良好。</w:t>
      </w:r>
    </w:p>
    <w:p>
      <w:pPr>
        <w:adjustRightInd w:val="0"/>
        <w:snapToGrid w:val="0"/>
        <w:spacing w:line="600" w:lineRule="exact"/>
        <w:ind w:firstLine="720"/>
        <w:rPr>
          <w:rFonts w:eastAsia="黑体"/>
          <w:sz w:val="32"/>
          <w:szCs w:val="32"/>
        </w:rPr>
      </w:pPr>
      <w:r>
        <w:rPr>
          <w:rFonts w:eastAsia="黑体"/>
          <w:sz w:val="32"/>
          <w:szCs w:val="32"/>
        </w:rPr>
        <w:t>五、评价结论及建议</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（一）评价结论</w:t>
      </w:r>
    </w:p>
    <w:p>
      <w:pPr>
        <w:spacing w:line="353" w:lineRule="auto"/>
        <w:ind w:firstLine="640" w:firstLineChars="200"/>
        <w:rPr>
          <w:rFonts w:eastAsia="仿宋_GB2312"/>
          <w:sz w:val="32"/>
          <w:szCs w:val="32"/>
        </w:rPr>
      </w:pPr>
      <w:r>
        <w:rPr>
          <w:rFonts w:eastAsia="仿宋_GB2312"/>
          <w:sz w:val="32"/>
          <w:szCs w:val="32"/>
        </w:rPr>
        <w:t>机关食堂的运营是为民办实事的一项惠民工程。解决了工作人员用餐的后顾之忧。机关食堂高效运营离不开领导和职工的辛勤付出，机关食堂效率高，管理规范，保障了工作人员的用餐需求，发挥了较好的后勤保障职能。</w:t>
      </w:r>
    </w:p>
    <w:p>
      <w:pPr>
        <w:adjustRightInd w:val="0"/>
        <w:snapToGrid w:val="0"/>
        <w:spacing w:line="600" w:lineRule="exact"/>
        <w:ind w:firstLine="321" w:firstLineChars="100"/>
        <w:rPr>
          <w:rFonts w:eastAsia="楷体_GB2312"/>
          <w:b/>
          <w:sz w:val="32"/>
          <w:szCs w:val="32"/>
          <w:lang w:val="zh-CN"/>
        </w:rPr>
      </w:pPr>
      <w:r>
        <w:rPr>
          <w:rFonts w:eastAsia="楷体_GB2312"/>
          <w:b/>
          <w:sz w:val="32"/>
          <w:szCs w:val="32"/>
          <w:lang w:val="zh-CN"/>
        </w:rPr>
        <w:t>（二）存在的问题</w:t>
      </w:r>
    </w:p>
    <w:p>
      <w:pPr>
        <w:adjustRightInd w:val="0"/>
        <w:snapToGrid w:val="0"/>
        <w:spacing w:line="600" w:lineRule="exact"/>
        <w:ind w:firstLine="640" w:firstLineChars="200"/>
        <w:rPr>
          <w:rFonts w:eastAsia="仿宋_GB2312"/>
          <w:sz w:val="32"/>
          <w:szCs w:val="32"/>
          <w:lang w:val="zh-CN"/>
        </w:rPr>
      </w:pPr>
      <w:r>
        <w:rPr>
          <w:rFonts w:hint="eastAsia" w:eastAsia="仿宋_GB2312"/>
          <w:sz w:val="32"/>
          <w:szCs w:val="32"/>
        </w:rPr>
        <w:t>202</w:t>
      </w:r>
      <w:r>
        <w:rPr>
          <w:rFonts w:eastAsia="仿宋_GB2312"/>
          <w:sz w:val="32"/>
          <w:szCs w:val="32"/>
        </w:rPr>
        <w:t>2</w:t>
      </w:r>
      <w:r>
        <w:rPr>
          <w:rFonts w:hint="eastAsia" w:eastAsia="仿宋_GB2312"/>
          <w:sz w:val="32"/>
          <w:szCs w:val="32"/>
        </w:rPr>
        <w:t>年</w:t>
      </w:r>
      <w:r>
        <w:rPr>
          <w:rFonts w:eastAsia="仿宋_GB2312"/>
          <w:sz w:val="32"/>
          <w:szCs w:val="32"/>
        </w:rPr>
        <w:t>食堂运行工作本着严谨、高效、及财政资金效益最大化的目标有序展开，工作虽取得了一定成效，但与上级的要求相比，与部门和群众的期望相比，还有一定差距，我们将在以后的工作中努力加以解决和改进，推动</w:t>
      </w:r>
      <w:r>
        <w:rPr>
          <w:rFonts w:hint="eastAsia" w:eastAsia="仿宋_GB2312"/>
          <w:sz w:val="32"/>
          <w:szCs w:val="32"/>
        </w:rPr>
        <w:t>我中心</w:t>
      </w:r>
      <w:r>
        <w:rPr>
          <w:rFonts w:eastAsia="仿宋_GB2312"/>
          <w:sz w:val="32"/>
          <w:szCs w:val="32"/>
        </w:rPr>
        <w:t>机关食堂运行更上一层楼</w:t>
      </w:r>
      <w:r>
        <w:rPr>
          <w:rFonts w:hint="eastAsia" w:eastAsia="仿宋_GB2312"/>
          <w:sz w:val="32"/>
          <w:szCs w:val="32"/>
        </w:rPr>
        <w:t>。</w:t>
      </w:r>
      <w:r>
        <w:rPr>
          <w:rFonts w:eastAsia="仿宋_GB2312"/>
          <w:sz w:val="32"/>
          <w:szCs w:val="32"/>
          <w:lang w:val="zh-CN"/>
        </w:rPr>
        <w:tab/>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（三）相关建议</w:t>
      </w:r>
    </w:p>
    <w:p>
      <w:pPr>
        <w:spacing w:line="353" w:lineRule="auto"/>
        <w:ind w:firstLine="640" w:firstLineChars="200"/>
        <w:rPr>
          <w:rFonts w:eastAsia="仿宋_GB2312"/>
          <w:sz w:val="32"/>
          <w:szCs w:val="32"/>
        </w:rPr>
      </w:pPr>
      <w:r>
        <w:rPr>
          <w:rFonts w:hint="eastAsia" w:eastAsia="仿宋_GB2312"/>
          <w:sz w:val="32"/>
          <w:szCs w:val="32"/>
        </w:rPr>
        <w:t>今后我中心将统筹项目预算编制、项目预算管理、项目预算执行和项目绩效评价工作，建立“项目预算编制有目标、项目预算执行有监控、项目预算完成有评价、项目评价结果有反馈、项目反馈结果有应用”的全过程项目预算绩效管理机制，真正做到“用钱要问效，无效必问责”。</w:t>
      </w:r>
    </w:p>
    <w:p>
      <w:pPr>
        <w:widowControl/>
        <w:jc w:val="left"/>
        <w:rPr>
          <w:rStyle w:val="30"/>
          <w:rFonts w:ascii="黑体" w:hAnsi="黑体" w:eastAsia="黑体"/>
          <w:b w:val="0"/>
        </w:rPr>
      </w:pPr>
      <w:r>
        <w:rPr>
          <w:rStyle w:val="30"/>
          <w:rFonts w:ascii="黑体" w:hAnsi="黑体" w:eastAsia="黑体"/>
          <w:b w:val="0"/>
        </w:rPr>
        <w:br w:type="page"/>
      </w:r>
    </w:p>
    <w:p>
      <w:pPr>
        <w:spacing w:line="600" w:lineRule="exact"/>
        <w:jc w:val="left"/>
        <w:rPr>
          <w:rFonts w:hint="eastAsia" w:hAnsi="宋体" w:eastAsia="宋体" w:cs="宋体"/>
          <w:sz w:val="32"/>
          <w:szCs w:val="32"/>
          <w:shd w:val="clear" w:color="auto" w:fill="FFFFFF"/>
          <w:lang w:eastAsia="zh-CN"/>
        </w:rPr>
      </w:pPr>
      <w:r>
        <w:rPr>
          <w:rFonts w:hint="eastAsia" w:hAnsi="宋体" w:cs="宋体"/>
          <w:sz w:val="32"/>
          <w:szCs w:val="32"/>
          <w:shd w:val="clear" w:color="auto" w:fill="FFFFFF"/>
          <w:lang w:val="zh-CN"/>
        </w:rPr>
        <w:t>附件</w:t>
      </w:r>
      <w:r>
        <w:rPr>
          <w:rFonts w:hint="eastAsia" w:hAnsi="宋体" w:cs="宋体"/>
          <w:sz w:val="32"/>
          <w:szCs w:val="32"/>
          <w:shd w:val="clear" w:color="auto" w:fill="FFFFFF"/>
          <w:lang w:val="en-US" w:eastAsia="zh-CN"/>
        </w:rPr>
        <w:t>3</w:t>
      </w:r>
    </w:p>
    <w:p>
      <w:pPr>
        <w:spacing w:line="600" w:lineRule="exact"/>
        <w:jc w:val="center"/>
        <w:rPr>
          <w:rFonts w:eastAsia="方正小标宋简体"/>
          <w:sz w:val="40"/>
          <w:szCs w:val="40"/>
          <w:lang w:val="zh-CN"/>
        </w:rPr>
      </w:pPr>
      <w:r>
        <w:rPr>
          <w:rFonts w:eastAsia="方正小标宋简体"/>
          <w:sz w:val="40"/>
          <w:szCs w:val="40"/>
        </w:rPr>
        <w:t>202</w:t>
      </w:r>
      <w:r>
        <w:rPr>
          <w:rFonts w:hint="eastAsia" w:eastAsia="方正小标宋简体"/>
          <w:sz w:val="40"/>
          <w:szCs w:val="40"/>
          <w:lang w:val="en-US" w:eastAsia="zh-CN"/>
        </w:rPr>
        <w:t>2</w:t>
      </w:r>
      <w:r>
        <w:rPr>
          <w:rFonts w:eastAsia="方正小标宋简体"/>
          <w:sz w:val="40"/>
          <w:szCs w:val="40"/>
        </w:rPr>
        <w:t>年</w:t>
      </w:r>
      <w:r>
        <w:rPr>
          <w:rFonts w:hint="eastAsia" w:eastAsia="方正小标宋简体"/>
          <w:sz w:val="40"/>
          <w:szCs w:val="40"/>
        </w:rPr>
        <w:t>区级</w:t>
      </w:r>
      <w:r>
        <w:rPr>
          <w:rFonts w:eastAsia="方正小标宋简体"/>
          <w:sz w:val="40"/>
          <w:szCs w:val="40"/>
          <w:lang w:val="zh-CN"/>
        </w:rPr>
        <w:t>专项预算项目支出绩效自评报告</w:t>
      </w:r>
    </w:p>
    <w:p>
      <w:pPr>
        <w:spacing w:line="600" w:lineRule="exact"/>
        <w:ind w:firstLine="883"/>
        <w:jc w:val="center"/>
        <w:rPr>
          <w:rFonts w:eastAsia="仿宋_GB2312"/>
          <w:sz w:val="32"/>
          <w:szCs w:val="32"/>
          <w:lang w:val="zh-CN"/>
        </w:rPr>
      </w:pPr>
      <w:r>
        <w:rPr>
          <w:rFonts w:eastAsia="仿宋_GB2312"/>
          <w:sz w:val="32"/>
          <w:szCs w:val="32"/>
          <w:lang w:val="zh-CN"/>
        </w:rPr>
        <w:t>（</w:t>
      </w:r>
      <w:r>
        <w:rPr>
          <w:rFonts w:hint="eastAsia" w:eastAsia="仿宋_GB2312"/>
          <w:sz w:val="32"/>
          <w:szCs w:val="32"/>
          <w:lang w:val="zh-CN"/>
        </w:rPr>
        <w:t>政府办公楼水电运行经费</w:t>
      </w:r>
      <w:r>
        <w:rPr>
          <w:rFonts w:eastAsia="仿宋_GB2312"/>
          <w:sz w:val="32"/>
          <w:szCs w:val="32"/>
          <w:lang w:val="zh-CN"/>
        </w:rPr>
        <w:t>）</w:t>
      </w:r>
    </w:p>
    <w:p>
      <w:pPr>
        <w:spacing w:line="600" w:lineRule="exact"/>
        <w:ind w:firstLine="640"/>
        <w:jc w:val="center"/>
        <w:rPr>
          <w:sz w:val="32"/>
          <w:szCs w:val="32"/>
          <w:lang w:val="zh-CN"/>
        </w:rPr>
      </w:pPr>
    </w:p>
    <w:p>
      <w:pPr>
        <w:adjustRightInd w:val="0"/>
        <w:snapToGrid w:val="0"/>
        <w:spacing w:line="600" w:lineRule="exact"/>
        <w:ind w:firstLine="720"/>
        <w:rPr>
          <w:rFonts w:eastAsia="黑体"/>
          <w:sz w:val="32"/>
          <w:szCs w:val="32"/>
          <w:lang w:val="zh-CN"/>
        </w:rPr>
      </w:pPr>
      <w:r>
        <w:rPr>
          <w:rFonts w:eastAsia="黑体"/>
          <w:sz w:val="32"/>
          <w:szCs w:val="32"/>
        </w:rPr>
        <w:t>一、</w:t>
      </w:r>
      <w:r>
        <w:rPr>
          <w:rFonts w:eastAsia="黑体"/>
          <w:sz w:val="32"/>
          <w:szCs w:val="32"/>
          <w:lang w:val="zh-CN"/>
        </w:rPr>
        <w:t>项目概况</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（一）项目基本情况</w:t>
      </w:r>
    </w:p>
    <w:p>
      <w:pPr>
        <w:adjustRightInd w:val="0"/>
        <w:snapToGrid w:val="0"/>
        <w:spacing w:line="600" w:lineRule="exact"/>
        <w:ind w:firstLine="720"/>
        <w:rPr>
          <w:rFonts w:eastAsia="仿宋_GB2312"/>
          <w:sz w:val="32"/>
          <w:szCs w:val="32"/>
          <w:lang w:val="zh-CN"/>
        </w:rPr>
      </w:pPr>
      <w:r>
        <w:rPr>
          <w:rFonts w:eastAsia="仿宋_GB2312"/>
          <w:sz w:val="32"/>
          <w:szCs w:val="32"/>
          <w:lang w:val="zh-CN"/>
        </w:rPr>
        <w:t>1．项目管理中的职能</w:t>
      </w:r>
      <w:r>
        <w:rPr>
          <w:rFonts w:hint="eastAsia" w:eastAsia="仿宋_GB2312"/>
          <w:sz w:val="32"/>
          <w:szCs w:val="32"/>
          <w:lang w:val="zh-CN"/>
        </w:rPr>
        <w:t>。</w:t>
      </w:r>
      <w:r>
        <w:rPr>
          <w:rFonts w:hint="eastAsia" w:eastAsia="仿宋_GB2312"/>
          <w:sz w:val="32"/>
          <w:szCs w:val="32"/>
        </w:rPr>
        <w:t>我中心承担全区机关后勤服务性、事务性工作。为了保障攀枝花市西区政府的正常运行，需保障相关的政府楼栋水电运行维护经费。</w:t>
      </w:r>
    </w:p>
    <w:p>
      <w:pPr>
        <w:adjustRightInd w:val="0"/>
        <w:snapToGrid w:val="0"/>
        <w:spacing w:line="600" w:lineRule="exact"/>
        <w:ind w:firstLine="720"/>
        <w:rPr>
          <w:rFonts w:eastAsia="仿宋_GB2312"/>
          <w:sz w:val="32"/>
          <w:szCs w:val="32"/>
          <w:lang w:val="zh-CN"/>
        </w:rPr>
      </w:pPr>
      <w:r>
        <w:rPr>
          <w:rFonts w:eastAsia="仿宋_GB2312"/>
          <w:sz w:val="32"/>
          <w:szCs w:val="32"/>
          <w:lang w:val="zh-CN"/>
        </w:rPr>
        <w:t>2. 项目立项、资金申报的依据。</w:t>
      </w:r>
      <w:r>
        <w:rPr>
          <w:rFonts w:eastAsia="仿宋_GB2312"/>
          <w:sz w:val="32"/>
          <w:szCs w:val="32"/>
        </w:rPr>
        <w:t>项目立项依据是为了保障全区机关单位工作正常</w:t>
      </w:r>
      <w:r>
        <w:rPr>
          <w:rFonts w:hint="eastAsia" w:eastAsia="仿宋_GB2312"/>
          <w:sz w:val="32"/>
          <w:szCs w:val="32"/>
        </w:rPr>
        <w:t>开展，履行我中心后勤服务工作的职责；资金申报依据是根据</w:t>
      </w:r>
      <w:r>
        <w:rPr>
          <w:rFonts w:eastAsia="仿宋_GB2312"/>
          <w:sz w:val="32"/>
          <w:szCs w:val="32"/>
        </w:rPr>
        <w:t>2020</w:t>
      </w:r>
      <w:r>
        <w:rPr>
          <w:rFonts w:hint="eastAsia" w:eastAsia="仿宋_GB2312"/>
          <w:sz w:val="32"/>
          <w:szCs w:val="32"/>
        </w:rPr>
        <w:t>年实际产生的运行经费和</w:t>
      </w:r>
      <w:r>
        <w:rPr>
          <w:rFonts w:eastAsia="仿宋_GB2312"/>
          <w:sz w:val="32"/>
          <w:szCs w:val="32"/>
        </w:rPr>
        <w:t>2021</w:t>
      </w:r>
      <w:r>
        <w:rPr>
          <w:rFonts w:hint="eastAsia" w:eastAsia="仿宋_GB2312"/>
          <w:sz w:val="32"/>
          <w:szCs w:val="32"/>
        </w:rPr>
        <w:t>年预决算数据，综合考虑后申报该项资金。</w:t>
      </w:r>
    </w:p>
    <w:p>
      <w:pPr>
        <w:adjustRightInd w:val="0"/>
        <w:snapToGrid w:val="0"/>
        <w:spacing w:line="600" w:lineRule="exact"/>
        <w:ind w:firstLine="720"/>
        <w:rPr>
          <w:rFonts w:eastAsia="仿宋_GB2312"/>
          <w:sz w:val="32"/>
          <w:szCs w:val="32"/>
          <w:lang w:val="zh-CN"/>
        </w:rPr>
      </w:pPr>
      <w:r>
        <w:rPr>
          <w:rFonts w:eastAsia="仿宋_GB2312"/>
          <w:sz w:val="32"/>
          <w:szCs w:val="32"/>
          <w:lang w:val="zh-CN"/>
        </w:rPr>
        <w:t>3</w:t>
      </w:r>
      <w:r>
        <w:rPr>
          <w:rFonts w:hint="eastAsia" w:eastAsia="仿宋_GB2312"/>
          <w:sz w:val="32"/>
          <w:szCs w:val="32"/>
          <w:lang w:val="zh-CN"/>
        </w:rPr>
        <w:t>.</w:t>
      </w:r>
      <w:r>
        <w:rPr>
          <w:rFonts w:hint="eastAsia" w:eastAsia="仿宋_GB2312"/>
          <w:sz w:val="32"/>
          <w:szCs w:val="32"/>
        </w:rPr>
        <w:t>我中心</w:t>
      </w:r>
      <w:r>
        <w:rPr>
          <w:rFonts w:eastAsia="仿宋_GB2312"/>
          <w:sz w:val="32"/>
          <w:szCs w:val="32"/>
        </w:rPr>
        <w:t>项目资金，管理规范、项目管理到位、政策执行有力、有效发挥了财政资金的使用效率，完成了资金管理和使用规范工作。一定程度确保各单位各项工作的正常运转。</w:t>
      </w:r>
    </w:p>
    <w:p>
      <w:pPr>
        <w:adjustRightInd w:val="0"/>
        <w:snapToGrid w:val="0"/>
        <w:spacing w:line="600" w:lineRule="exact"/>
        <w:ind w:firstLine="720"/>
        <w:rPr>
          <w:rFonts w:eastAsia="仿宋_GB2312"/>
          <w:sz w:val="32"/>
          <w:szCs w:val="32"/>
          <w:lang w:val="zh-CN"/>
        </w:rPr>
      </w:pPr>
      <w:r>
        <w:rPr>
          <w:rFonts w:eastAsia="仿宋_GB2312"/>
          <w:sz w:val="32"/>
          <w:szCs w:val="32"/>
          <w:lang w:val="zh-CN"/>
        </w:rPr>
        <w:t>4. 资金分配的原则及考虑因素。</w:t>
      </w:r>
      <w:r>
        <w:rPr>
          <w:rFonts w:hint="eastAsia" w:eastAsia="仿宋_GB2312"/>
          <w:sz w:val="32"/>
          <w:szCs w:val="32"/>
          <w:lang w:val="zh-CN"/>
        </w:rPr>
        <w:t>我中心每月按时支付当月实际产生的水电费。2</w:t>
      </w:r>
      <w:r>
        <w:rPr>
          <w:rFonts w:eastAsia="仿宋_GB2312"/>
          <w:sz w:val="32"/>
          <w:szCs w:val="32"/>
          <w:lang w:val="zh-CN"/>
        </w:rPr>
        <w:t>022</w:t>
      </w:r>
      <w:r>
        <w:rPr>
          <w:rFonts w:hint="eastAsia" w:eastAsia="仿宋_GB2312"/>
          <w:sz w:val="32"/>
          <w:szCs w:val="32"/>
          <w:lang w:val="zh-CN"/>
        </w:rPr>
        <w:t>年支付电费1</w:t>
      </w:r>
      <w:r>
        <w:rPr>
          <w:rFonts w:eastAsia="仿宋_GB2312"/>
          <w:sz w:val="32"/>
          <w:szCs w:val="32"/>
          <w:lang w:val="zh-CN"/>
        </w:rPr>
        <w:t>10</w:t>
      </w:r>
      <w:r>
        <w:rPr>
          <w:rFonts w:hint="eastAsia" w:eastAsia="仿宋_GB2312"/>
          <w:sz w:val="32"/>
          <w:szCs w:val="32"/>
          <w:lang w:val="zh-CN"/>
        </w:rPr>
        <w:t>万元、支付水费2</w:t>
      </w:r>
      <w:r>
        <w:rPr>
          <w:rFonts w:eastAsia="仿宋_GB2312"/>
          <w:sz w:val="32"/>
          <w:szCs w:val="32"/>
          <w:lang w:val="zh-CN"/>
        </w:rPr>
        <w:t>7.19</w:t>
      </w:r>
      <w:r>
        <w:rPr>
          <w:rFonts w:hint="eastAsia" w:eastAsia="仿宋_GB2312"/>
          <w:sz w:val="32"/>
          <w:szCs w:val="32"/>
          <w:lang w:val="zh-CN"/>
        </w:rPr>
        <w:t>万元，共支付1</w:t>
      </w:r>
      <w:r>
        <w:rPr>
          <w:rFonts w:eastAsia="仿宋_GB2312"/>
          <w:sz w:val="32"/>
          <w:szCs w:val="32"/>
          <w:lang w:val="zh-CN"/>
        </w:rPr>
        <w:t>37.19</w:t>
      </w:r>
      <w:r>
        <w:rPr>
          <w:rFonts w:hint="eastAsia" w:eastAsia="仿宋_GB2312"/>
          <w:sz w:val="32"/>
          <w:szCs w:val="32"/>
          <w:lang w:val="zh-CN"/>
        </w:rPr>
        <w:t>万元。</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（二）项目绩效目标</w:t>
      </w:r>
    </w:p>
    <w:p>
      <w:pPr>
        <w:adjustRightInd w:val="0"/>
        <w:snapToGrid w:val="0"/>
        <w:spacing w:line="600" w:lineRule="exact"/>
        <w:ind w:firstLine="720"/>
        <w:rPr>
          <w:rFonts w:eastAsia="仿宋_GB2312"/>
          <w:sz w:val="32"/>
          <w:szCs w:val="32"/>
          <w:lang w:val="zh-CN"/>
        </w:rPr>
      </w:pPr>
      <w:r>
        <w:rPr>
          <w:rFonts w:eastAsia="仿宋_GB2312"/>
          <w:sz w:val="32"/>
          <w:szCs w:val="32"/>
          <w:lang w:val="zh-CN"/>
        </w:rPr>
        <w:t>1. 项目主要内容</w:t>
      </w:r>
    </w:p>
    <w:p>
      <w:pPr>
        <w:adjustRightInd w:val="0"/>
        <w:snapToGrid w:val="0"/>
        <w:spacing w:line="600" w:lineRule="exact"/>
        <w:ind w:firstLine="720"/>
        <w:rPr>
          <w:rFonts w:eastAsia="仿宋_GB2312"/>
          <w:sz w:val="32"/>
          <w:szCs w:val="32"/>
          <w:lang w:val="zh-CN"/>
        </w:rPr>
      </w:pPr>
      <w:r>
        <w:rPr>
          <w:rFonts w:hint="eastAsia" w:eastAsia="仿宋_GB2312"/>
          <w:sz w:val="32"/>
          <w:szCs w:val="32"/>
          <w:lang w:val="zh-CN"/>
        </w:rPr>
        <w:t>水电费覆盖办公区域：政府主附楼、人社局办公楼、政务中心、1</w:t>
      </w:r>
      <w:r>
        <w:rPr>
          <w:rFonts w:eastAsia="仿宋_GB2312"/>
          <w:sz w:val="32"/>
          <w:szCs w:val="32"/>
          <w:lang w:val="zh-CN"/>
        </w:rPr>
        <w:t>1</w:t>
      </w:r>
      <w:r>
        <w:rPr>
          <w:rFonts w:hint="eastAsia" w:eastAsia="仿宋_GB2312"/>
          <w:sz w:val="32"/>
          <w:szCs w:val="32"/>
          <w:lang w:val="zh-CN"/>
        </w:rPr>
        <w:t>号商住楼（财政局、统计局等）、档案馆、纪委办公楼、公务用车平台、机关食堂、文化馆会议室；居民楼：百家大院、国土地矿楼、农经局家属楼、大水井综合楼、安置出租房、4、6号公寓、税务局后楼公寓；</w:t>
      </w:r>
    </w:p>
    <w:p>
      <w:pPr>
        <w:adjustRightInd w:val="0"/>
        <w:snapToGrid w:val="0"/>
        <w:spacing w:line="600" w:lineRule="exact"/>
        <w:ind w:firstLine="720"/>
        <w:rPr>
          <w:rFonts w:eastAsia="仿宋_GB2312"/>
          <w:sz w:val="32"/>
          <w:szCs w:val="32"/>
          <w:lang w:val="zh-CN"/>
        </w:rPr>
      </w:pPr>
      <w:r>
        <w:rPr>
          <w:rFonts w:eastAsia="仿宋_GB2312"/>
          <w:sz w:val="32"/>
          <w:szCs w:val="32"/>
          <w:lang w:val="zh-CN"/>
        </w:rPr>
        <w:t>2. 项目应实现的具体绩效目标</w:t>
      </w:r>
    </w:p>
    <w:p>
      <w:pPr>
        <w:adjustRightInd w:val="0"/>
        <w:snapToGrid w:val="0"/>
        <w:spacing w:line="600" w:lineRule="exact"/>
        <w:ind w:firstLine="720"/>
        <w:rPr>
          <w:rFonts w:ascii="仿宋_GB2312" w:hAnsi="Calibri" w:eastAsia="仿宋_GB2312"/>
          <w:sz w:val="32"/>
          <w:szCs w:val="32"/>
        </w:rPr>
      </w:pPr>
      <w:r>
        <w:rPr>
          <w:rFonts w:hint="eastAsia" w:eastAsia="仿宋_GB2312"/>
          <w:sz w:val="32"/>
          <w:szCs w:val="32"/>
        </w:rPr>
        <w:t>我中心安排</w:t>
      </w:r>
      <w:r>
        <w:rPr>
          <w:rFonts w:eastAsia="仿宋_GB2312"/>
          <w:sz w:val="32"/>
          <w:szCs w:val="32"/>
        </w:rPr>
        <w:t>2</w:t>
      </w:r>
      <w:r>
        <w:rPr>
          <w:rFonts w:hint="eastAsia" w:eastAsia="仿宋_GB2312"/>
          <w:sz w:val="32"/>
          <w:szCs w:val="32"/>
        </w:rPr>
        <w:t>名水电维护人员，</w:t>
      </w:r>
      <w:r>
        <w:rPr>
          <w:rFonts w:hint="eastAsia" w:ascii="仿宋_GB2312" w:hAnsi="Calibri" w:eastAsia="仿宋_GB2312"/>
          <w:sz w:val="32"/>
          <w:szCs w:val="32"/>
        </w:rPr>
        <w:t>保障2</w:t>
      </w:r>
      <w:r>
        <w:rPr>
          <w:rFonts w:ascii="仿宋_GB2312" w:hAnsi="Calibri" w:eastAsia="仿宋_GB2312"/>
          <w:sz w:val="32"/>
          <w:szCs w:val="32"/>
        </w:rPr>
        <w:t>02</w:t>
      </w:r>
      <w:r>
        <w:rPr>
          <w:rFonts w:hint="eastAsia" w:ascii="仿宋_GB2312" w:hAnsi="Calibri" w:eastAsia="仿宋_GB2312"/>
          <w:sz w:val="32"/>
          <w:szCs w:val="32"/>
        </w:rPr>
        <w:t>2年1</w:t>
      </w:r>
      <w:r>
        <w:rPr>
          <w:rFonts w:ascii="仿宋_GB2312" w:hAnsi="Calibri" w:eastAsia="仿宋_GB2312"/>
          <w:sz w:val="32"/>
          <w:szCs w:val="32"/>
        </w:rPr>
        <w:t>-12</w:t>
      </w:r>
      <w:r>
        <w:rPr>
          <w:rFonts w:hint="eastAsia" w:ascii="仿宋_GB2312" w:hAnsi="Calibri" w:eastAsia="仿宋_GB2312"/>
          <w:sz w:val="32"/>
          <w:szCs w:val="32"/>
        </w:rPr>
        <w:t>月份政府办公场所、机关食堂、文化馆会议室、公车平台、公寓正常有序运行。</w:t>
      </w:r>
    </w:p>
    <w:p>
      <w:pPr>
        <w:adjustRightInd w:val="0"/>
        <w:snapToGrid w:val="0"/>
        <w:spacing w:line="600" w:lineRule="exact"/>
        <w:ind w:firstLine="720"/>
        <w:rPr>
          <w:rFonts w:eastAsia="仿宋_GB2312"/>
          <w:sz w:val="32"/>
          <w:szCs w:val="32"/>
          <w:lang w:val="zh-CN"/>
        </w:rPr>
      </w:pPr>
      <w:r>
        <w:rPr>
          <w:rFonts w:eastAsia="仿宋_GB2312"/>
          <w:sz w:val="32"/>
          <w:szCs w:val="32"/>
          <w:lang w:val="zh-CN"/>
        </w:rPr>
        <w:t>3. 分析评价申报内容与实际相符，申报目标合理可行。</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（三）项目自评步骤及方法</w:t>
      </w:r>
    </w:p>
    <w:p>
      <w:pPr>
        <w:spacing w:line="353" w:lineRule="auto"/>
        <w:ind w:firstLine="640" w:firstLineChars="200"/>
        <w:rPr>
          <w:rFonts w:eastAsia="仿宋_GB2312"/>
          <w:sz w:val="32"/>
          <w:szCs w:val="32"/>
        </w:rPr>
      </w:pPr>
      <w:r>
        <w:rPr>
          <w:rFonts w:eastAsia="仿宋_GB2312"/>
          <w:sz w:val="32"/>
          <w:szCs w:val="32"/>
        </w:rPr>
        <w:t>1. 资料收集。梳理项目资料，核实项目情况，统计项目数据。</w:t>
      </w:r>
    </w:p>
    <w:p>
      <w:pPr>
        <w:spacing w:line="353" w:lineRule="auto"/>
        <w:ind w:firstLine="640" w:firstLineChars="200"/>
        <w:rPr>
          <w:rFonts w:eastAsia="仿宋_GB2312"/>
          <w:sz w:val="32"/>
          <w:szCs w:val="32"/>
        </w:rPr>
      </w:pPr>
      <w:r>
        <w:rPr>
          <w:rFonts w:eastAsia="仿宋_GB2312"/>
          <w:sz w:val="32"/>
          <w:szCs w:val="32"/>
        </w:rPr>
        <w:t>2 绩效自评。根据资料收集的情况，按照区财政支出绩效评价指标体系，以定量与定性相结合的方式，对项目绩效情况进行判断，对项目存在的问题进行分析，对各项考评指标进行自评。</w:t>
      </w:r>
    </w:p>
    <w:p>
      <w:pPr>
        <w:spacing w:line="353" w:lineRule="auto"/>
        <w:ind w:firstLine="640" w:firstLineChars="200"/>
        <w:rPr>
          <w:rFonts w:eastAsia="仿宋_GB2312"/>
          <w:sz w:val="32"/>
          <w:szCs w:val="32"/>
        </w:rPr>
      </w:pPr>
      <w:r>
        <w:rPr>
          <w:rFonts w:eastAsia="仿宋_GB2312"/>
          <w:sz w:val="32"/>
          <w:szCs w:val="32"/>
        </w:rPr>
        <w:t>3. 撰写报告。结合项目定性与定量评价分析，得出自评结论，并撰写自评报告。</w:t>
      </w:r>
    </w:p>
    <w:p>
      <w:pPr>
        <w:adjustRightInd w:val="0"/>
        <w:snapToGrid w:val="0"/>
        <w:spacing w:line="600" w:lineRule="exact"/>
        <w:ind w:firstLine="720"/>
        <w:rPr>
          <w:rFonts w:eastAsia="黑体"/>
          <w:sz w:val="32"/>
          <w:szCs w:val="32"/>
        </w:rPr>
      </w:pPr>
      <w:r>
        <w:rPr>
          <w:rFonts w:eastAsia="黑体"/>
          <w:sz w:val="32"/>
          <w:szCs w:val="32"/>
        </w:rPr>
        <w:t>二、项目资金申报及使用情况</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（一）项目资金申报及批复情况</w:t>
      </w:r>
    </w:p>
    <w:p>
      <w:pPr>
        <w:adjustRightInd w:val="0"/>
        <w:snapToGrid w:val="0"/>
        <w:spacing w:line="600" w:lineRule="exact"/>
        <w:ind w:firstLine="720"/>
        <w:rPr>
          <w:rFonts w:eastAsia="仿宋_GB2312"/>
          <w:sz w:val="32"/>
          <w:szCs w:val="32"/>
          <w:lang w:val="zh-CN"/>
        </w:rPr>
      </w:pPr>
      <w:r>
        <w:rPr>
          <w:rFonts w:eastAsia="仿宋_GB2312"/>
          <w:sz w:val="32"/>
          <w:szCs w:val="32"/>
        </w:rPr>
        <w:t>纳入本次评价的</w:t>
      </w:r>
      <w:r>
        <w:rPr>
          <w:rFonts w:hint="eastAsia" w:eastAsia="仿宋_GB2312"/>
          <w:sz w:val="32"/>
          <w:szCs w:val="32"/>
        </w:rPr>
        <w:t>政府办公楼水电</w:t>
      </w:r>
      <w:r>
        <w:rPr>
          <w:rFonts w:eastAsia="仿宋_GB2312"/>
          <w:sz w:val="32"/>
          <w:szCs w:val="32"/>
        </w:rPr>
        <w:t>运行经费项目由区机关事务服务中心根据相关规定年初纳入部门预算，上报区财政局，由区财政局审核后出具正式预算批复（</w:t>
      </w:r>
      <w:r>
        <w:rPr>
          <w:rFonts w:eastAsia="仿宋_GB2312"/>
          <w:color w:val="000000"/>
          <w:sz w:val="32"/>
          <w:szCs w:val="32"/>
        </w:rPr>
        <w:t>攀西财〔2022〕</w:t>
      </w:r>
      <w:r>
        <w:rPr>
          <w:rFonts w:hint="eastAsia" w:eastAsia="仿宋_GB2312"/>
          <w:color w:val="000000"/>
          <w:sz w:val="32"/>
          <w:szCs w:val="32"/>
        </w:rPr>
        <w:t>101</w:t>
      </w:r>
      <w:r>
        <w:rPr>
          <w:rFonts w:eastAsia="仿宋_GB2312"/>
          <w:color w:val="000000"/>
          <w:sz w:val="32"/>
          <w:szCs w:val="32"/>
        </w:rPr>
        <w:t>号</w:t>
      </w:r>
      <w:r>
        <w:rPr>
          <w:rFonts w:eastAsia="仿宋_GB2312"/>
          <w:sz w:val="32"/>
          <w:szCs w:val="32"/>
        </w:rPr>
        <w:t>）。项目批复预算资金155万元，年底据实结算。</w:t>
      </w:r>
    </w:p>
    <w:p>
      <w:pPr>
        <w:adjustRightInd w:val="0"/>
        <w:snapToGrid w:val="0"/>
        <w:spacing w:line="600" w:lineRule="exact"/>
        <w:ind w:firstLine="720"/>
        <w:rPr>
          <w:rFonts w:eastAsia="仿宋_GB2312"/>
          <w:sz w:val="32"/>
          <w:szCs w:val="32"/>
          <w:lang w:val="zh-CN"/>
        </w:rPr>
      </w:pPr>
      <w:r>
        <w:rPr>
          <w:rFonts w:eastAsia="楷体_GB2312"/>
          <w:b/>
          <w:sz w:val="32"/>
          <w:szCs w:val="32"/>
          <w:lang w:val="zh-CN"/>
        </w:rPr>
        <w:t>（二）资金计划、到位及使用情况</w:t>
      </w:r>
    </w:p>
    <w:p>
      <w:pPr>
        <w:adjustRightInd w:val="0"/>
        <w:snapToGrid w:val="0"/>
        <w:spacing w:line="600" w:lineRule="exact"/>
        <w:ind w:firstLine="720"/>
        <w:rPr>
          <w:rFonts w:eastAsia="仿宋_GB2312"/>
          <w:sz w:val="32"/>
          <w:szCs w:val="32"/>
          <w:lang w:val="zh-CN"/>
        </w:rPr>
      </w:pPr>
      <w:r>
        <w:rPr>
          <w:rFonts w:eastAsia="楷体_GB2312"/>
          <w:sz w:val="32"/>
          <w:szCs w:val="32"/>
          <w:lang w:val="zh-CN"/>
        </w:rPr>
        <w:t>1．资金计划</w:t>
      </w:r>
    </w:p>
    <w:p>
      <w:pPr>
        <w:adjustRightInd w:val="0"/>
        <w:snapToGrid w:val="0"/>
        <w:spacing w:line="600" w:lineRule="exact"/>
        <w:ind w:firstLine="720"/>
        <w:rPr>
          <w:rFonts w:eastAsia="仿宋_GB2312"/>
          <w:sz w:val="32"/>
          <w:szCs w:val="32"/>
          <w:lang w:val="zh-CN"/>
        </w:rPr>
      </w:pPr>
      <w:r>
        <w:rPr>
          <w:rFonts w:hint="eastAsia" w:eastAsia="仿宋_GB2312"/>
          <w:sz w:val="32"/>
          <w:szCs w:val="32"/>
          <w:lang w:val="zh-CN"/>
        </w:rPr>
        <w:t>2</w:t>
      </w:r>
      <w:r>
        <w:rPr>
          <w:rFonts w:eastAsia="仿宋_GB2312"/>
          <w:sz w:val="32"/>
          <w:szCs w:val="32"/>
          <w:lang w:val="zh-CN"/>
        </w:rPr>
        <w:t>022</w:t>
      </w:r>
      <w:r>
        <w:rPr>
          <w:rFonts w:hint="eastAsia" w:eastAsia="仿宋_GB2312"/>
          <w:sz w:val="32"/>
          <w:szCs w:val="32"/>
          <w:lang w:val="zh-CN"/>
        </w:rPr>
        <w:t>年年初计划支付水费</w:t>
      </w:r>
      <w:r>
        <w:rPr>
          <w:rFonts w:eastAsia="仿宋_GB2312"/>
          <w:sz w:val="32"/>
          <w:szCs w:val="32"/>
          <w:lang w:val="zh-CN"/>
        </w:rPr>
        <w:t>55</w:t>
      </w:r>
      <w:r>
        <w:rPr>
          <w:rFonts w:hint="eastAsia" w:eastAsia="仿宋_GB2312"/>
          <w:sz w:val="32"/>
          <w:szCs w:val="32"/>
          <w:lang w:val="zh-CN"/>
        </w:rPr>
        <w:t>万元，支付电费1</w:t>
      </w:r>
      <w:r>
        <w:rPr>
          <w:rFonts w:eastAsia="仿宋_GB2312"/>
          <w:sz w:val="32"/>
          <w:szCs w:val="32"/>
          <w:lang w:val="zh-CN"/>
        </w:rPr>
        <w:t>00</w:t>
      </w:r>
      <w:r>
        <w:rPr>
          <w:rFonts w:hint="eastAsia" w:eastAsia="仿宋_GB2312"/>
          <w:sz w:val="32"/>
          <w:szCs w:val="32"/>
          <w:lang w:val="zh-CN"/>
        </w:rPr>
        <w:t>万元。</w:t>
      </w:r>
    </w:p>
    <w:p>
      <w:pPr>
        <w:adjustRightInd w:val="0"/>
        <w:snapToGrid w:val="0"/>
        <w:spacing w:line="600" w:lineRule="exact"/>
        <w:ind w:firstLine="720"/>
        <w:rPr>
          <w:rFonts w:eastAsia="楷体_GB2312"/>
          <w:sz w:val="32"/>
          <w:szCs w:val="32"/>
          <w:lang w:val="zh-CN"/>
        </w:rPr>
      </w:pPr>
      <w:r>
        <w:rPr>
          <w:rFonts w:eastAsia="楷体_GB2312"/>
          <w:sz w:val="32"/>
          <w:szCs w:val="32"/>
          <w:lang w:val="zh-CN"/>
        </w:rPr>
        <w:t>2．资金到位</w:t>
      </w:r>
    </w:p>
    <w:p>
      <w:pPr>
        <w:adjustRightInd w:val="0"/>
        <w:snapToGrid w:val="0"/>
        <w:spacing w:line="600" w:lineRule="exact"/>
        <w:ind w:firstLine="720"/>
        <w:rPr>
          <w:rFonts w:eastAsia="仿宋_GB2312"/>
          <w:sz w:val="32"/>
          <w:szCs w:val="32"/>
          <w:lang w:val="zh-CN"/>
        </w:rPr>
      </w:pPr>
      <w:r>
        <w:rPr>
          <w:rFonts w:hint="eastAsia" w:eastAsia="仿宋_GB2312"/>
          <w:sz w:val="32"/>
          <w:szCs w:val="32"/>
          <w:lang w:val="zh-CN"/>
        </w:rPr>
        <w:t>政府办公大楼水电费项目安排经费</w:t>
      </w:r>
      <w:r>
        <w:rPr>
          <w:rFonts w:eastAsia="仿宋_GB2312"/>
          <w:sz w:val="32"/>
          <w:szCs w:val="32"/>
          <w:lang w:val="zh-CN"/>
        </w:rPr>
        <w:t>155</w:t>
      </w:r>
      <w:r>
        <w:rPr>
          <w:rFonts w:hint="eastAsia" w:eastAsia="仿宋_GB2312"/>
          <w:sz w:val="32"/>
          <w:szCs w:val="32"/>
          <w:lang w:val="zh-CN"/>
        </w:rPr>
        <w:t>万元，全部来自区财政。资金到位率100%。</w:t>
      </w:r>
    </w:p>
    <w:p>
      <w:pPr>
        <w:adjustRightInd w:val="0"/>
        <w:snapToGrid w:val="0"/>
        <w:spacing w:line="600" w:lineRule="exact"/>
        <w:ind w:firstLine="720"/>
        <w:rPr>
          <w:rFonts w:eastAsia="楷体_GB2312"/>
          <w:sz w:val="32"/>
          <w:szCs w:val="32"/>
          <w:lang w:val="zh-CN"/>
        </w:rPr>
      </w:pPr>
      <w:r>
        <w:rPr>
          <w:rFonts w:eastAsia="楷体_GB2312"/>
          <w:sz w:val="32"/>
          <w:szCs w:val="32"/>
          <w:lang w:val="zh-CN"/>
        </w:rPr>
        <w:t>3．资金使用</w:t>
      </w:r>
    </w:p>
    <w:p>
      <w:pPr>
        <w:adjustRightInd w:val="0"/>
        <w:snapToGrid w:val="0"/>
        <w:spacing w:line="600" w:lineRule="exact"/>
        <w:ind w:firstLine="720"/>
        <w:rPr>
          <w:rFonts w:eastAsia="仿宋_GB2312"/>
          <w:sz w:val="32"/>
          <w:szCs w:val="32"/>
          <w:lang w:val="zh-CN"/>
        </w:rPr>
      </w:pPr>
      <w:r>
        <w:rPr>
          <w:rFonts w:eastAsia="仿宋_GB2312"/>
          <w:sz w:val="32"/>
          <w:szCs w:val="32"/>
        </w:rPr>
        <w:t>截止报告期末，项目共支出经费137.19</w:t>
      </w:r>
      <w:r>
        <w:rPr>
          <w:rFonts w:hint="eastAsia" w:eastAsia="仿宋_GB2312"/>
          <w:sz w:val="32"/>
          <w:szCs w:val="32"/>
        </w:rPr>
        <w:t>万</w:t>
      </w:r>
      <w:r>
        <w:rPr>
          <w:rFonts w:eastAsia="仿宋_GB2312"/>
          <w:sz w:val="32"/>
          <w:szCs w:val="32"/>
        </w:rPr>
        <w:t>元，项目支出主要包括政府办公区水费、电费。资金使用与项目内容高度吻合</w:t>
      </w:r>
      <w:r>
        <w:rPr>
          <w:rFonts w:hint="eastAsia" w:eastAsia="仿宋_GB2312"/>
          <w:sz w:val="32"/>
          <w:szCs w:val="32"/>
        </w:rPr>
        <w:t>。</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（三）项目财务管理情况</w:t>
      </w:r>
    </w:p>
    <w:p>
      <w:pPr>
        <w:adjustRightInd w:val="0"/>
        <w:snapToGrid w:val="0"/>
        <w:spacing w:line="600" w:lineRule="exact"/>
        <w:ind w:firstLine="720"/>
        <w:rPr>
          <w:rFonts w:eastAsia="仿宋_GB2312"/>
          <w:sz w:val="32"/>
          <w:szCs w:val="32"/>
          <w:lang w:val="zh-CN"/>
        </w:rPr>
      </w:pPr>
      <w:r>
        <w:rPr>
          <w:rFonts w:eastAsia="仿宋_GB2312"/>
          <w:sz w:val="32"/>
          <w:szCs w:val="32"/>
        </w:rPr>
        <w:t>项目经费严格按照单位的财务制度和预算支出范围的使用。</w:t>
      </w:r>
      <w:r>
        <w:rPr>
          <w:rFonts w:hint="eastAsia" w:eastAsia="仿宋_GB2312"/>
          <w:sz w:val="32"/>
          <w:szCs w:val="32"/>
        </w:rPr>
        <w:t>单位财务管理制度健全</w:t>
      </w:r>
      <w:r>
        <w:rPr>
          <w:rFonts w:eastAsia="仿宋_GB2312"/>
          <w:sz w:val="32"/>
          <w:szCs w:val="32"/>
        </w:rPr>
        <w:t>，按照项目计划安排和实际工作情况开支，做到了专款专用，经费均按照</w:t>
      </w:r>
      <w:r>
        <w:rPr>
          <w:rFonts w:hint="eastAsia" w:eastAsia="仿宋_GB2312"/>
          <w:sz w:val="32"/>
          <w:szCs w:val="32"/>
        </w:rPr>
        <w:t>攀枝花市西区</w:t>
      </w:r>
      <w:r>
        <w:rPr>
          <w:rFonts w:eastAsia="仿宋_GB2312"/>
          <w:sz w:val="32"/>
          <w:szCs w:val="32"/>
        </w:rPr>
        <w:t>财政局印发有关文件、通知精神执行。</w:t>
      </w:r>
    </w:p>
    <w:p>
      <w:pPr>
        <w:adjustRightInd w:val="0"/>
        <w:snapToGrid w:val="0"/>
        <w:spacing w:line="600" w:lineRule="exact"/>
        <w:ind w:firstLine="720"/>
        <w:rPr>
          <w:rFonts w:eastAsia="黑体"/>
          <w:sz w:val="32"/>
          <w:szCs w:val="32"/>
        </w:rPr>
      </w:pPr>
      <w:r>
        <w:rPr>
          <w:rFonts w:eastAsia="黑体"/>
          <w:sz w:val="32"/>
          <w:szCs w:val="32"/>
        </w:rPr>
        <w:t>三、项目实施及管理情况</w:t>
      </w:r>
    </w:p>
    <w:p>
      <w:pPr>
        <w:numPr>
          <w:ilvl w:val="0"/>
          <w:numId w:val="9"/>
        </w:numPr>
        <w:adjustRightInd w:val="0"/>
        <w:snapToGrid w:val="0"/>
        <w:spacing w:line="600" w:lineRule="exact"/>
        <w:rPr>
          <w:rFonts w:eastAsia="楷体_GB2312"/>
          <w:b/>
          <w:sz w:val="32"/>
          <w:szCs w:val="32"/>
          <w:lang w:val="zh-CN"/>
        </w:rPr>
      </w:pPr>
      <w:r>
        <w:rPr>
          <w:rFonts w:eastAsia="楷体_GB2312"/>
          <w:b/>
          <w:sz w:val="32"/>
          <w:szCs w:val="32"/>
          <w:lang w:val="zh-CN"/>
        </w:rPr>
        <w:t>项目组织架构及实施流程</w:t>
      </w:r>
    </w:p>
    <w:p>
      <w:pPr>
        <w:adjustRightInd w:val="0"/>
        <w:snapToGrid w:val="0"/>
        <w:spacing w:line="600" w:lineRule="exact"/>
        <w:ind w:firstLine="640" w:firstLineChars="200"/>
        <w:rPr>
          <w:rFonts w:eastAsia="楷体_GB2312"/>
          <w:b/>
          <w:sz w:val="32"/>
          <w:szCs w:val="32"/>
          <w:lang w:val="zh-CN"/>
        </w:rPr>
      </w:pPr>
      <w:r>
        <w:rPr>
          <w:rFonts w:eastAsia="仿宋_GB2312"/>
          <w:sz w:val="32"/>
          <w:szCs w:val="32"/>
        </w:rPr>
        <w:t>我中心根据</w:t>
      </w:r>
      <w:r>
        <w:rPr>
          <w:rFonts w:hint="eastAsia" w:eastAsia="仿宋_GB2312"/>
          <w:sz w:val="32"/>
          <w:szCs w:val="32"/>
        </w:rPr>
        <w:t>区</w:t>
      </w:r>
      <w:r>
        <w:rPr>
          <w:rFonts w:eastAsia="仿宋_GB2312"/>
          <w:sz w:val="32"/>
          <w:szCs w:val="32"/>
        </w:rPr>
        <w:t>委、</w:t>
      </w:r>
      <w:r>
        <w:rPr>
          <w:rFonts w:hint="eastAsia" w:eastAsia="仿宋_GB2312"/>
          <w:sz w:val="32"/>
          <w:szCs w:val="32"/>
        </w:rPr>
        <w:t>区</w:t>
      </w:r>
      <w:r>
        <w:rPr>
          <w:rFonts w:eastAsia="仿宋_GB2312"/>
          <w:sz w:val="32"/>
          <w:szCs w:val="32"/>
        </w:rPr>
        <w:t>政府的工作指示精神，我中心有计划开展了水电费项目工作。该项目资金具体用途如下：</w:t>
      </w:r>
      <w:r>
        <w:rPr>
          <w:rFonts w:hint="eastAsia" w:eastAsia="仿宋_GB2312"/>
          <w:sz w:val="32"/>
          <w:szCs w:val="32"/>
        </w:rPr>
        <w:t>年初预算经费</w:t>
      </w:r>
      <w:r>
        <w:rPr>
          <w:rFonts w:eastAsia="仿宋_GB2312"/>
          <w:sz w:val="32"/>
          <w:szCs w:val="32"/>
        </w:rPr>
        <w:t>155</w:t>
      </w:r>
      <w:r>
        <w:rPr>
          <w:rFonts w:hint="eastAsia" w:eastAsia="仿宋_GB2312"/>
          <w:sz w:val="32"/>
          <w:szCs w:val="32"/>
        </w:rPr>
        <w:t>万元；支出相关工作经费</w:t>
      </w:r>
      <w:r>
        <w:rPr>
          <w:rFonts w:eastAsia="仿宋_GB2312"/>
          <w:sz w:val="32"/>
          <w:szCs w:val="32"/>
        </w:rPr>
        <w:t>137.19</w:t>
      </w:r>
      <w:r>
        <w:rPr>
          <w:rFonts w:hint="eastAsia" w:eastAsia="仿宋_GB2312"/>
          <w:sz w:val="32"/>
          <w:szCs w:val="32"/>
        </w:rPr>
        <w:t>万元，资金结余1</w:t>
      </w:r>
      <w:r>
        <w:rPr>
          <w:rFonts w:eastAsia="仿宋_GB2312"/>
          <w:sz w:val="32"/>
          <w:szCs w:val="32"/>
        </w:rPr>
        <w:t>7.81</w:t>
      </w:r>
      <w:r>
        <w:rPr>
          <w:rFonts w:hint="eastAsia" w:eastAsia="仿宋_GB2312"/>
          <w:sz w:val="32"/>
          <w:szCs w:val="32"/>
        </w:rPr>
        <w:t>万元，其原因为一是由我中心代收代缴水电费的居民住户减少；二是我中心与电网公司签订批量购电优惠协议。</w:t>
      </w:r>
    </w:p>
    <w:p>
      <w:pPr>
        <w:numPr>
          <w:ilvl w:val="0"/>
          <w:numId w:val="9"/>
        </w:numPr>
        <w:adjustRightInd w:val="0"/>
        <w:snapToGrid w:val="0"/>
        <w:spacing w:line="600" w:lineRule="exact"/>
        <w:rPr>
          <w:rFonts w:eastAsia="楷体_GB2312"/>
          <w:b/>
          <w:sz w:val="32"/>
          <w:szCs w:val="32"/>
          <w:lang w:val="zh-CN"/>
        </w:rPr>
      </w:pPr>
      <w:r>
        <w:rPr>
          <w:rFonts w:eastAsia="楷体_GB2312"/>
          <w:b/>
          <w:sz w:val="32"/>
          <w:szCs w:val="32"/>
          <w:lang w:val="zh-CN"/>
        </w:rPr>
        <w:t>项目管理情况</w:t>
      </w:r>
    </w:p>
    <w:p>
      <w:pPr>
        <w:adjustRightInd w:val="0"/>
        <w:snapToGrid w:val="0"/>
        <w:spacing w:line="600" w:lineRule="exact"/>
        <w:ind w:firstLine="640" w:firstLineChars="200"/>
        <w:rPr>
          <w:rFonts w:eastAsia="仿宋_GB2312"/>
          <w:sz w:val="32"/>
          <w:szCs w:val="32"/>
          <w:lang w:val="zh-CN"/>
        </w:rPr>
      </w:pPr>
      <w:r>
        <w:rPr>
          <w:rFonts w:hint="eastAsia" w:eastAsia="仿宋_GB2312"/>
          <w:sz w:val="32"/>
          <w:szCs w:val="32"/>
          <w:lang w:val="zh-CN"/>
        </w:rPr>
        <w:t>本项目支出均按照有关规章制度和项目实施完成情况进行支付。并建立相关的管理制度，有专人负责，项目进行前进行集体研究讨论，项目进行时有负责人及时跟踪项目实施情况，并及时提出意见和建议。</w:t>
      </w:r>
    </w:p>
    <w:p>
      <w:pPr>
        <w:numPr>
          <w:ilvl w:val="0"/>
          <w:numId w:val="9"/>
        </w:numPr>
        <w:adjustRightInd w:val="0"/>
        <w:snapToGrid w:val="0"/>
        <w:spacing w:line="600" w:lineRule="exact"/>
        <w:rPr>
          <w:rFonts w:eastAsia="楷体_GB2312"/>
          <w:b/>
          <w:sz w:val="32"/>
          <w:szCs w:val="32"/>
          <w:lang w:val="zh-CN"/>
        </w:rPr>
      </w:pPr>
      <w:r>
        <w:rPr>
          <w:rFonts w:eastAsia="楷体_GB2312"/>
          <w:b/>
          <w:sz w:val="32"/>
          <w:szCs w:val="32"/>
          <w:lang w:val="zh-CN"/>
        </w:rPr>
        <w:t>项目监管情</w:t>
      </w:r>
    </w:p>
    <w:p>
      <w:pPr>
        <w:adjustRightInd w:val="0"/>
        <w:snapToGrid w:val="0"/>
        <w:spacing w:line="600" w:lineRule="exact"/>
        <w:ind w:firstLine="640" w:firstLineChars="200"/>
        <w:rPr>
          <w:rFonts w:eastAsia="仿宋_GB2312"/>
          <w:sz w:val="32"/>
          <w:szCs w:val="32"/>
        </w:rPr>
      </w:pPr>
      <w:r>
        <w:rPr>
          <w:rFonts w:hint="eastAsia" w:eastAsia="仿宋_GB2312"/>
          <w:color w:val="000000"/>
          <w:sz w:val="32"/>
          <w:szCs w:val="32"/>
        </w:rPr>
        <w:t>我中心规范财务工作，加强会计核算与内部监督，提高财政资金使用效益。</w:t>
      </w:r>
      <w:r>
        <w:rPr>
          <w:rFonts w:hint="eastAsia" w:eastAsia="仿宋_GB2312"/>
          <w:sz w:val="32"/>
          <w:szCs w:val="32"/>
        </w:rPr>
        <w:t>强化责任，落实各项节电节水措施。各部门(单位)主要领导要亲自抓各项节电节水措施的制定并将责任落实到人,推动单位用电量、用水量的降低。</w:t>
      </w:r>
    </w:p>
    <w:p>
      <w:pPr>
        <w:adjustRightInd w:val="0"/>
        <w:snapToGrid w:val="0"/>
        <w:spacing w:line="600" w:lineRule="exact"/>
        <w:ind w:firstLine="640" w:firstLineChars="200"/>
        <w:rPr>
          <w:rFonts w:eastAsia="仿宋_GB2312"/>
          <w:sz w:val="32"/>
          <w:szCs w:val="32"/>
          <w:lang w:val="zh-CN"/>
        </w:rPr>
      </w:pPr>
      <w:r>
        <w:rPr>
          <w:rFonts w:eastAsia="黑体"/>
          <w:sz w:val="32"/>
          <w:szCs w:val="32"/>
        </w:rPr>
        <w:t>四、项目绩效情况</w:t>
      </w:r>
      <w:r>
        <w:rPr>
          <w:rFonts w:eastAsia="仿宋_GB2312"/>
          <w:sz w:val="32"/>
          <w:szCs w:val="32"/>
          <w:lang w:val="zh-CN"/>
        </w:rPr>
        <w:tab/>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（一）项目完成情况</w:t>
      </w:r>
    </w:p>
    <w:p>
      <w:pPr>
        <w:adjustRightInd w:val="0"/>
        <w:snapToGrid w:val="0"/>
        <w:spacing w:line="600" w:lineRule="exact"/>
        <w:ind w:firstLine="720"/>
        <w:rPr>
          <w:rFonts w:eastAsia="楷体_GB2312"/>
          <w:b/>
          <w:sz w:val="32"/>
          <w:szCs w:val="32"/>
          <w:lang w:val="zh-CN"/>
        </w:rPr>
      </w:pPr>
      <w:r>
        <w:rPr>
          <w:rFonts w:hint="eastAsia" w:eastAsia="仿宋_GB2312"/>
          <w:sz w:val="32"/>
          <w:szCs w:val="32"/>
          <w:lang w:val="zh-CN"/>
        </w:rPr>
        <w:t>项目支出主要包括政府办公区域和居民楼水费、电费。所有资金使用严格按照有关财务制度执行，严格审核后使用。完成了整个项目支出</w:t>
      </w:r>
      <w:r>
        <w:rPr>
          <w:rFonts w:eastAsia="仿宋_GB2312"/>
          <w:sz w:val="32"/>
          <w:szCs w:val="32"/>
          <w:lang w:val="zh-CN"/>
        </w:rPr>
        <w:t>137.19</w:t>
      </w:r>
      <w:r>
        <w:rPr>
          <w:rFonts w:hint="eastAsia" w:eastAsia="仿宋_GB2312"/>
          <w:sz w:val="32"/>
          <w:szCs w:val="32"/>
          <w:lang w:val="zh-CN"/>
        </w:rPr>
        <w:t>万元。</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（二）项目效益情况</w:t>
      </w:r>
    </w:p>
    <w:p>
      <w:pPr>
        <w:adjustRightInd w:val="0"/>
        <w:snapToGrid w:val="0"/>
        <w:spacing w:line="600" w:lineRule="exact"/>
        <w:ind w:firstLine="720"/>
        <w:rPr>
          <w:rFonts w:eastAsia="仿宋_GB2312"/>
          <w:sz w:val="32"/>
          <w:szCs w:val="32"/>
          <w:lang w:val="zh-CN"/>
        </w:rPr>
      </w:pPr>
      <w:r>
        <w:rPr>
          <w:rFonts w:hint="eastAsia" w:eastAsia="仿宋_GB2312"/>
          <w:sz w:val="32"/>
          <w:szCs w:val="32"/>
          <w:lang w:val="zh-CN"/>
        </w:rPr>
        <w:t>1、产出指标：水电费覆盖办公区域：政府主附楼、人社局办公楼、政务中心、1</w:t>
      </w:r>
      <w:r>
        <w:rPr>
          <w:rFonts w:eastAsia="仿宋_GB2312"/>
          <w:sz w:val="32"/>
          <w:szCs w:val="32"/>
          <w:lang w:val="zh-CN"/>
        </w:rPr>
        <w:t>1</w:t>
      </w:r>
      <w:r>
        <w:rPr>
          <w:rFonts w:hint="eastAsia" w:eastAsia="仿宋_GB2312"/>
          <w:sz w:val="32"/>
          <w:szCs w:val="32"/>
          <w:lang w:val="zh-CN"/>
        </w:rPr>
        <w:t>号商住楼（财政局、统计局等）、档案馆、纪委办公楼、公务用车平台、机关食堂、文化馆会议室；居民楼：百家大院、国土地矿楼、农经局家属楼、大水井综合楼、安置出租房、4、6号公寓、税务局后楼公寓；水电费缴纳及时率≥100%。</w:t>
      </w:r>
    </w:p>
    <w:p>
      <w:pPr>
        <w:adjustRightInd w:val="0"/>
        <w:snapToGrid w:val="0"/>
        <w:spacing w:line="600" w:lineRule="exact"/>
        <w:ind w:firstLine="720"/>
        <w:rPr>
          <w:rFonts w:eastAsia="仿宋_GB2312"/>
          <w:sz w:val="32"/>
          <w:szCs w:val="32"/>
          <w:lang w:val="zh-CN"/>
        </w:rPr>
      </w:pPr>
      <w:r>
        <w:rPr>
          <w:rFonts w:hint="eastAsia" w:eastAsia="仿宋_GB2312"/>
          <w:sz w:val="32"/>
          <w:szCs w:val="32"/>
          <w:lang w:val="zh-CN"/>
        </w:rPr>
        <w:t>2、效益指标：正常用水用电率≥9</w:t>
      </w:r>
      <w:r>
        <w:rPr>
          <w:rFonts w:eastAsia="仿宋_GB2312"/>
          <w:sz w:val="32"/>
          <w:szCs w:val="32"/>
          <w:lang w:val="zh-CN"/>
        </w:rPr>
        <w:t>9</w:t>
      </w:r>
      <w:r>
        <w:rPr>
          <w:rFonts w:hint="eastAsia" w:eastAsia="仿宋_GB2312"/>
          <w:sz w:val="32"/>
          <w:szCs w:val="32"/>
          <w:lang w:val="zh-CN"/>
        </w:rPr>
        <w:t>%。</w:t>
      </w:r>
    </w:p>
    <w:p>
      <w:pPr>
        <w:adjustRightInd w:val="0"/>
        <w:snapToGrid w:val="0"/>
        <w:spacing w:line="600" w:lineRule="exact"/>
        <w:ind w:firstLine="720"/>
        <w:rPr>
          <w:rFonts w:eastAsia="仿宋_GB2312"/>
          <w:sz w:val="32"/>
          <w:szCs w:val="32"/>
          <w:lang w:val="zh-CN"/>
        </w:rPr>
      </w:pPr>
      <w:r>
        <w:rPr>
          <w:rFonts w:hint="eastAsia" w:eastAsia="仿宋_GB2312"/>
          <w:sz w:val="32"/>
          <w:szCs w:val="32"/>
          <w:lang w:val="zh-CN"/>
        </w:rPr>
        <w:t>3、满意度指标：满意度≥100%。</w:t>
      </w:r>
    </w:p>
    <w:p>
      <w:pPr>
        <w:adjustRightInd w:val="0"/>
        <w:snapToGrid w:val="0"/>
        <w:spacing w:line="600" w:lineRule="exact"/>
        <w:ind w:firstLine="720"/>
        <w:rPr>
          <w:rFonts w:eastAsia="仿宋_GB2312"/>
          <w:sz w:val="32"/>
          <w:szCs w:val="32"/>
          <w:lang w:val="zh-CN"/>
        </w:rPr>
      </w:pPr>
      <w:r>
        <w:rPr>
          <w:rFonts w:hint="eastAsia" w:eastAsia="仿宋_GB2312"/>
          <w:sz w:val="32"/>
          <w:szCs w:val="32"/>
          <w:lang w:val="zh-CN"/>
        </w:rPr>
        <w:t>预期总目标：完善行政办公区域的管理工作及水电缴费及时缴纳，保障水电正常供应，办公区域正常办公运转。</w:t>
      </w:r>
    </w:p>
    <w:p>
      <w:pPr>
        <w:adjustRightInd w:val="0"/>
        <w:snapToGrid w:val="0"/>
        <w:spacing w:line="600" w:lineRule="exact"/>
        <w:ind w:firstLine="720"/>
        <w:rPr>
          <w:rFonts w:eastAsia="黑体"/>
          <w:sz w:val="32"/>
          <w:szCs w:val="32"/>
        </w:rPr>
      </w:pPr>
      <w:r>
        <w:rPr>
          <w:rFonts w:eastAsia="黑体"/>
          <w:sz w:val="32"/>
          <w:szCs w:val="32"/>
        </w:rPr>
        <w:t>五、评价结论及建议</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（一）评价结论</w:t>
      </w:r>
    </w:p>
    <w:p>
      <w:pPr>
        <w:spacing w:line="353" w:lineRule="auto"/>
        <w:ind w:firstLine="640" w:firstLineChars="200"/>
        <w:rPr>
          <w:rFonts w:hint="eastAsia" w:eastAsia="仿宋_GB2312"/>
          <w:color w:val="000000"/>
          <w:sz w:val="32"/>
          <w:szCs w:val="32"/>
        </w:rPr>
      </w:pPr>
      <w:r>
        <w:rPr>
          <w:rFonts w:hint="eastAsia" w:eastAsia="仿宋_GB2312"/>
          <w:sz w:val="32"/>
          <w:szCs w:val="32"/>
        </w:rPr>
        <w:t>政府楼栋水电运行维护经费是我中心保障西区政府办公场所正常运行，保障全区机关、事业单位业务工作能够正常开展。符合</w:t>
      </w:r>
      <w:r>
        <w:rPr>
          <w:rFonts w:eastAsia="仿宋_GB2312"/>
          <w:color w:val="000000"/>
          <w:sz w:val="32"/>
          <w:szCs w:val="32"/>
        </w:rPr>
        <w:t>财政支持的范围和方式、</w:t>
      </w:r>
      <w:r>
        <w:rPr>
          <w:rFonts w:hint="eastAsia" w:eastAsia="仿宋_GB2312"/>
          <w:color w:val="000000"/>
          <w:sz w:val="32"/>
          <w:szCs w:val="32"/>
        </w:rPr>
        <w:t>应纳入</w:t>
      </w:r>
      <w:r>
        <w:rPr>
          <w:rFonts w:eastAsia="仿宋_GB2312"/>
          <w:color w:val="000000"/>
          <w:sz w:val="32"/>
          <w:szCs w:val="32"/>
        </w:rPr>
        <w:t>财政经费</w:t>
      </w:r>
      <w:r>
        <w:rPr>
          <w:rFonts w:hint="eastAsia" w:eastAsia="仿宋_GB2312"/>
          <w:color w:val="000000"/>
          <w:sz w:val="32"/>
          <w:szCs w:val="32"/>
        </w:rPr>
        <w:t>全额</w:t>
      </w:r>
      <w:r>
        <w:rPr>
          <w:rFonts w:eastAsia="仿宋_GB2312"/>
          <w:color w:val="000000"/>
          <w:sz w:val="32"/>
          <w:szCs w:val="32"/>
        </w:rPr>
        <w:t>保障</w:t>
      </w:r>
      <w:r>
        <w:rPr>
          <w:rFonts w:hint="eastAsia" w:eastAsia="仿宋_GB2312"/>
          <w:color w:val="000000"/>
          <w:sz w:val="32"/>
          <w:szCs w:val="32"/>
        </w:rPr>
        <w:t>。</w:t>
      </w:r>
    </w:p>
    <w:p>
      <w:pPr>
        <w:spacing w:line="353" w:lineRule="auto"/>
        <w:ind w:firstLine="643" w:firstLineChars="200"/>
        <w:rPr>
          <w:rFonts w:eastAsia="楷体_GB2312"/>
          <w:b/>
          <w:sz w:val="32"/>
          <w:szCs w:val="32"/>
          <w:lang w:val="zh-CN"/>
        </w:rPr>
      </w:pPr>
      <w:r>
        <w:rPr>
          <w:rFonts w:eastAsia="楷体_GB2312"/>
          <w:b/>
          <w:sz w:val="32"/>
          <w:szCs w:val="32"/>
          <w:lang w:val="zh-CN"/>
        </w:rPr>
        <w:t>（二）存在的问题</w:t>
      </w:r>
    </w:p>
    <w:p>
      <w:pPr>
        <w:adjustRightInd w:val="0"/>
        <w:snapToGrid w:val="0"/>
        <w:spacing w:line="600" w:lineRule="exact"/>
        <w:ind w:firstLine="640" w:firstLineChars="200"/>
        <w:rPr>
          <w:rFonts w:eastAsia="仿宋_GB2312"/>
          <w:sz w:val="32"/>
          <w:szCs w:val="32"/>
          <w:lang w:val="zh-CN"/>
        </w:rPr>
      </w:pPr>
      <w:r>
        <w:rPr>
          <w:rFonts w:hint="eastAsia" w:eastAsia="仿宋_GB2312"/>
          <w:sz w:val="32"/>
          <w:szCs w:val="32"/>
          <w:lang w:val="zh-CN"/>
        </w:rPr>
        <w:t>在2022年工作中，我中心履行了部门职能，但在内控制度和财务监管方面仍存在一些问题。在以后的工作中我中心将建立健全内部控制制度，加强项目资金往来的核算和管理，严格资金往来审批和控制，确保资金的安全。</w:t>
      </w:r>
      <w:r>
        <w:rPr>
          <w:rFonts w:eastAsia="仿宋_GB2312"/>
          <w:sz w:val="32"/>
          <w:szCs w:val="32"/>
          <w:lang w:val="zh-CN"/>
        </w:rPr>
        <w:tab/>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（三）相关建议</w:t>
      </w:r>
    </w:p>
    <w:p>
      <w:pPr>
        <w:adjustRightInd w:val="0"/>
        <w:snapToGrid w:val="0"/>
        <w:spacing w:line="600" w:lineRule="exact"/>
        <w:ind w:firstLine="640" w:firstLineChars="200"/>
        <w:rPr>
          <w:rFonts w:eastAsia="仿宋_GB2312"/>
          <w:sz w:val="32"/>
          <w:szCs w:val="32"/>
        </w:rPr>
      </w:pPr>
      <w:r>
        <w:rPr>
          <w:rFonts w:eastAsia="仿宋_GB2312"/>
          <w:sz w:val="32"/>
          <w:szCs w:val="32"/>
        </w:rPr>
        <w:t>继续加强对各单位节约用电用水的宣传，确保机关办公用水用电费用逐年下降。</w:t>
      </w:r>
    </w:p>
    <w:p>
      <w:pPr>
        <w:pStyle w:val="36"/>
        <w:spacing w:line="578" w:lineRule="exact"/>
        <w:jc w:val="center"/>
        <w:rPr>
          <w:rStyle w:val="30"/>
          <w:rFonts w:ascii="黑体" w:hAnsi="黑体" w:eastAsia="黑体"/>
          <w:b w:val="0"/>
        </w:rPr>
      </w:pPr>
      <w:r>
        <w:rPr>
          <w:rStyle w:val="30"/>
          <w:rFonts w:ascii="黑体" w:hAnsi="黑体" w:eastAsia="黑体"/>
          <w:b w:val="0"/>
        </w:rPr>
        <w:br w:type="page"/>
      </w:r>
    </w:p>
    <w:p>
      <w:pPr>
        <w:pStyle w:val="36"/>
        <w:spacing w:line="578" w:lineRule="exact"/>
        <w:jc w:val="left"/>
        <w:rPr>
          <w:rStyle w:val="30"/>
          <w:rFonts w:hint="eastAsia" w:ascii="黑体" w:hAnsi="黑体" w:eastAsia="宋体"/>
          <w:b w:val="0"/>
          <w:lang w:eastAsia="zh-CN"/>
        </w:rPr>
      </w:pPr>
      <w:r>
        <w:rPr>
          <w:rFonts w:hint="eastAsia" w:hAnsi="宋体" w:cs="宋体"/>
          <w:sz w:val="32"/>
          <w:szCs w:val="32"/>
          <w:shd w:val="clear" w:color="auto" w:fill="FFFFFF"/>
          <w:lang w:val="zh-CN"/>
        </w:rPr>
        <w:t>附件</w:t>
      </w:r>
      <w:r>
        <w:rPr>
          <w:rFonts w:hint="eastAsia" w:hAnsi="宋体" w:cs="宋体"/>
          <w:sz w:val="32"/>
          <w:szCs w:val="32"/>
          <w:shd w:val="clear" w:color="auto" w:fill="FFFFFF"/>
          <w:lang w:val="en-US" w:eastAsia="zh-CN"/>
        </w:rPr>
        <w:t>4</w:t>
      </w:r>
    </w:p>
    <w:p>
      <w:pPr>
        <w:pStyle w:val="36"/>
        <w:spacing w:line="578" w:lineRule="exact"/>
        <w:jc w:val="center"/>
        <w:rPr>
          <w:rFonts w:ascii="方正小标宋简体" w:hAnsi="方正小标宋简体" w:eastAsia="方正小标宋简体" w:cs="方正小标宋简体"/>
          <w:color w:val="auto"/>
          <w:kern w:val="2"/>
          <w:sz w:val="32"/>
          <w:szCs w:val="32"/>
          <w:highlight w:val="none"/>
          <w:lang w:val="en-US"/>
        </w:rPr>
      </w:pPr>
      <w:r>
        <w:rPr>
          <w:rFonts w:hint="eastAsia" w:ascii="方正小标宋简体" w:hAnsi="方正小标宋简体" w:eastAsia="方正小标宋简体" w:cs="方正小标宋简体"/>
          <w:color w:val="auto"/>
          <w:kern w:val="2"/>
          <w:sz w:val="32"/>
          <w:szCs w:val="32"/>
          <w:highlight w:val="none"/>
          <w:lang w:val="en-US"/>
        </w:rPr>
        <w:t>202</w:t>
      </w:r>
      <w:r>
        <w:rPr>
          <w:rFonts w:hint="eastAsia" w:ascii="方正小标宋简体" w:hAnsi="方正小标宋简体" w:eastAsia="方正小标宋简体" w:cs="方正小标宋简体"/>
          <w:color w:val="auto"/>
          <w:kern w:val="2"/>
          <w:sz w:val="32"/>
          <w:szCs w:val="32"/>
          <w:highlight w:val="none"/>
          <w:lang w:val="en-US" w:eastAsia="zh-CN"/>
        </w:rPr>
        <w:t>2</w:t>
      </w:r>
      <w:r>
        <w:rPr>
          <w:rFonts w:hint="eastAsia" w:ascii="方正小标宋简体" w:hAnsi="方正小标宋简体" w:eastAsia="方正小标宋简体" w:cs="方正小标宋简体"/>
          <w:color w:val="auto"/>
          <w:kern w:val="2"/>
          <w:sz w:val="32"/>
          <w:szCs w:val="32"/>
          <w:highlight w:val="none"/>
          <w:lang w:val="en-US"/>
        </w:rPr>
        <w:t>年区级专项资金预算项目绩效自评报告</w:t>
      </w:r>
    </w:p>
    <w:p>
      <w:pPr>
        <w:pStyle w:val="36"/>
        <w:spacing w:line="578" w:lineRule="exact"/>
        <w:ind w:firstLine="640"/>
        <w:jc w:val="center"/>
        <w:rPr>
          <w:rFonts w:ascii="宋体" w:hAnsi="宋体"/>
          <w:color w:val="auto"/>
          <w:kern w:val="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公务用车平台运行维护经费</w:t>
      </w:r>
      <w:r>
        <w:rPr>
          <w:rFonts w:ascii="Times New Roman" w:hAnsi="Times New Roman" w:eastAsia="仿宋_GB2312"/>
          <w:sz w:val="32"/>
          <w:szCs w:val="32"/>
        </w:rPr>
        <w:t>项目）</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widowControl/>
        <w:adjustRightInd w:val="0"/>
        <w:snapToGrid w:val="0"/>
        <w:spacing w:line="578" w:lineRule="exact"/>
        <w:ind w:firstLine="640" w:firstLineChars="200"/>
        <w:contextualSpacing/>
        <w:jc w:val="left"/>
        <w:rPr>
          <w:sz w:val="32"/>
          <w:szCs w:val="32"/>
        </w:rPr>
      </w:pPr>
      <w:r>
        <w:rPr>
          <w:rFonts w:hint="eastAsia" w:ascii="仿宋_GB2312" w:hAnsi="仿宋_GB2312" w:eastAsia="仿宋_GB2312" w:cs="仿宋_GB2312"/>
          <w:kern w:val="0"/>
          <w:sz w:val="32"/>
          <w:szCs w:val="32"/>
          <w:shd w:val="clear" w:color="auto" w:fill="FFFFFF"/>
          <w:lang w:val="zh-CN"/>
        </w:rPr>
        <w:t>1．</w:t>
      </w:r>
      <w:r>
        <w:rPr>
          <w:rFonts w:hint="eastAsia" w:ascii="仿宋_GB2312" w:eastAsia="仿宋_GB2312"/>
          <w:sz w:val="32"/>
          <w:szCs w:val="32"/>
        </w:rPr>
        <w:t>为认真贯彻执行《中共中央办公厅国务院办公厅印发&lt; 关于全面推进公务用车制度改革的指导意见&gt;的通知》（中办发[2014]40号）精神，积极稳妥地推进西区公务用车制度改革，根据《四川省全面推进公务用车制度改革总体方案》（川委办[2015]45号）和《攀枝花市全面推进公务用车制度 改革总体方案》规定，制定并实施《攀枝花市西区公务用车制度改革实施方案》于2016年8月建立区公务用车管理平台，保障公务出行。</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shd w:val="clear" w:color="auto" w:fill="FFFFFF"/>
          <w:lang w:val="zh-CN"/>
        </w:rPr>
        <w:t>2．</w:t>
      </w:r>
      <w:r>
        <w:rPr>
          <w:rFonts w:hint="eastAsia" w:ascii="仿宋_GB2312" w:hAnsi="仿宋_GB2312" w:eastAsia="仿宋_GB2312" w:cs="仿宋_GB2312"/>
          <w:color w:val="000000"/>
          <w:sz w:val="32"/>
          <w:szCs w:val="32"/>
        </w:rPr>
        <w:t>该项目资金主要用于相关业务、重点工作开展、推进。所立事项符合职能与工作要求，经费与预算相对应，所有经费支出严格按照内控制度管理，做到事前有申请有计划，事中有进度，事后有结果，严格按照审批制度，账物一致，账实相符。</w:t>
      </w:r>
    </w:p>
    <w:p>
      <w:pPr>
        <w:widowControl/>
        <w:adjustRightInd w:val="0"/>
        <w:snapToGrid w:val="0"/>
        <w:spacing w:line="578"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color w:val="000000"/>
          <w:sz w:val="32"/>
          <w:szCs w:val="32"/>
        </w:rPr>
        <w:t xml:space="preserve"> 3.资金分配围绕年初工作计划、重点工作、目标任务，并按照实施的时间顺序和优先顺序进行，拨付时间保障到位，确保年度各项工作和目标任务有序推进，保证公务用车平台正常运行。</w:t>
      </w:r>
    </w:p>
    <w:p>
      <w:pPr>
        <w:adjustRightInd w:val="0"/>
        <w:snapToGrid w:val="0"/>
        <w:spacing w:line="578"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（二）项目绩效目标。</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sz w:val="32"/>
          <w:szCs w:val="32"/>
        </w:rPr>
        <w:t>公务用车平台运行维护经费主要保障公车平台驾驶员公里数补助、出车台次费、驾驶员差</w:t>
      </w:r>
      <w:r>
        <w:rPr>
          <w:rFonts w:hint="eastAsia" w:eastAsia="仿宋_GB2312"/>
          <w:sz w:val="32"/>
          <w:szCs w:val="32"/>
        </w:rPr>
        <w:t>旅费、驾驶员加班、值班费、平台建设费、平台办公费、停车场及办公租赁费。</w:t>
      </w:r>
    </w:p>
    <w:p>
      <w:pPr>
        <w:keepNext w:val="0"/>
        <w:keepLines w:val="0"/>
        <w:pageBreakBefore w:val="0"/>
        <w:widowControl w:val="0"/>
        <w:kinsoku/>
        <w:wordWrap/>
        <w:overflowPunct/>
        <w:topLinePunct w:val="0"/>
        <w:autoSpaceDE/>
        <w:autoSpaceDN/>
        <w:bidi w:val="0"/>
        <w:adjustRightInd w:val="0"/>
        <w:snapToGrid w:val="0"/>
        <w:spacing w:line="578" w:lineRule="exact"/>
        <w:ind w:left="319" w:leftChars="152" w:firstLine="320" w:firstLineChars="100"/>
        <w:textAlignment w:val="auto"/>
        <w:rPr>
          <w:rFonts w:ascii="楷体_GB2312" w:hAnsi="宋体" w:eastAsia="楷体_GB2312"/>
          <w:b/>
          <w:sz w:val="32"/>
          <w:szCs w:val="32"/>
          <w:lang w:val="zh-CN"/>
        </w:rPr>
      </w:pPr>
      <w:r>
        <w:rPr>
          <w:rFonts w:hint="eastAsia" w:ascii="仿宋_GB2312" w:hAnsi="宋体" w:eastAsia="仿宋_GB2312"/>
          <w:sz w:val="32"/>
          <w:szCs w:val="32"/>
          <w:lang w:val="zh-CN"/>
        </w:rPr>
        <w:t>项目申报内容与具体实施内容相符、申报目标合理可行。</w:t>
      </w:r>
      <w:r>
        <w:rPr>
          <w:rFonts w:hint="eastAsia" w:ascii="楷体_GB2312" w:hAnsi="宋体" w:eastAsia="楷体_GB2312"/>
          <w:b/>
          <w:sz w:val="32"/>
          <w:szCs w:val="32"/>
          <w:lang w:val="zh-CN"/>
        </w:rPr>
        <w:t>（三）项目自评步骤及方法。</w:t>
      </w:r>
    </w:p>
    <w:p>
      <w:pPr>
        <w:spacing w:line="353" w:lineRule="auto"/>
        <w:ind w:firstLine="640" w:firstLineChars="200"/>
        <w:rPr>
          <w:rFonts w:eastAsia="仿宋_GB2312"/>
          <w:sz w:val="32"/>
          <w:szCs w:val="32"/>
        </w:rPr>
      </w:pPr>
      <w:r>
        <w:rPr>
          <w:rFonts w:hint="eastAsia" w:eastAsia="仿宋_GB2312"/>
          <w:sz w:val="32"/>
          <w:szCs w:val="32"/>
        </w:rPr>
        <w:t>机关事务服务中心根据财政支出绩效评价指标体系及项目的实际情况设计指标体系进行评价，组织相关科室人员对本项目进行自评检查。</w:t>
      </w:r>
    </w:p>
    <w:p>
      <w:pPr>
        <w:widowControl/>
        <w:adjustRightInd w:val="0"/>
        <w:snapToGrid w:val="0"/>
        <w:spacing w:line="578" w:lineRule="exact"/>
        <w:ind w:firstLine="640" w:firstLineChars="200"/>
        <w:contextualSpacing/>
        <w:jc w:val="left"/>
        <w:rPr>
          <w:rFonts w:ascii="仿宋" w:hAnsi="仿宋" w:eastAsia="仿宋" w:cs="仿宋_GB2312"/>
          <w:kern w:val="0"/>
          <w:sz w:val="32"/>
          <w:szCs w:val="32"/>
          <w:shd w:val="clear" w:color="auto" w:fill="FFFFFF"/>
          <w:lang w:val="zh-CN"/>
        </w:rPr>
      </w:pPr>
      <w:r>
        <w:rPr>
          <w:rFonts w:hint="eastAsia" w:ascii="仿宋_GB2312" w:hAnsi="仿宋_GB2312" w:eastAsia="仿宋_GB2312" w:cs="仿宋_GB2312"/>
          <w:sz w:val="32"/>
          <w:szCs w:val="32"/>
        </w:rPr>
        <w:t>项目采取自评的方式，结合评价内容，做到有计划，有安排，扎实开展本次自评工作，按照上级下达的项目支出绩效评价指标体系，针对申报内容、实施情况、资金兑现、财务管理、社会效益等做出自我评价。</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pStyle w:val="2"/>
        <w:spacing w:before="93"/>
        <w:ind w:firstLine="640" w:firstLineChars="200"/>
        <w:rPr>
          <w:sz w:val="32"/>
          <w:szCs w:val="32"/>
          <w:lang w:val="zh-CN"/>
        </w:rPr>
      </w:pPr>
      <w:r>
        <w:rPr>
          <w:rFonts w:hint="eastAsia"/>
          <w:sz w:val="32"/>
          <w:szCs w:val="32"/>
        </w:rPr>
        <w:t>1.</w:t>
      </w:r>
      <w:r>
        <w:rPr>
          <w:rFonts w:hint="eastAsia"/>
          <w:sz w:val="32"/>
          <w:szCs w:val="32"/>
          <w:lang w:val="zh-CN"/>
        </w:rPr>
        <w:t>申报阶段：我中心在2</w:t>
      </w:r>
      <w:r>
        <w:rPr>
          <w:sz w:val="32"/>
          <w:szCs w:val="32"/>
          <w:lang w:val="zh-CN"/>
        </w:rPr>
        <w:t>022</w:t>
      </w:r>
      <w:r>
        <w:rPr>
          <w:rFonts w:hint="eastAsia"/>
          <w:sz w:val="32"/>
          <w:szCs w:val="32"/>
          <w:lang w:val="zh-CN"/>
        </w:rPr>
        <w:t>年根据项目需求和预算编制，准备项目申报材料。组织相关人员编写项目申请书，包括项目背景、目标、预算等内容，对项目的可行性和合规性进行评估</w:t>
      </w:r>
      <w:r>
        <w:rPr>
          <w:rFonts w:hint="eastAsia"/>
          <w:sz w:val="32"/>
          <w:szCs w:val="32"/>
        </w:rPr>
        <w:t>；</w:t>
      </w:r>
      <w:r>
        <w:rPr>
          <w:rFonts w:hint="eastAsia"/>
          <w:sz w:val="32"/>
          <w:szCs w:val="32"/>
          <w:lang w:val="zh-CN"/>
        </w:rPr>
        <w:t>申请获得批准，财政部门将根据预算安排拨付项目资金。</w:t>
      </w:r>
    </w:p>
    <w:p>
      <w:pPr>
        <w:pStyle w:val="2"/>
        <w:spacing w:before="93"/>
        <w:ind w:firstLine="640" w:firstLineChars="200"/>
        <w:rPr>
          <w:rFonts w:hint="eastAsia"/>
          <w:sz w:val="32"/>
          <w:szCs w:val="32"/>
          <w:lang w:val="zh-CN"/>
        </w:rPr>
      </w:pPr>
      <w:r>
        <w:rPr>
          <w:rFonts w:hint="eastAsia"/>
          <w:sz w:val="32"/>
          <w:szCs w:val="32"/>
        </w:rPr>
        <w:t>2.</w:t>
      </w:r>
      <w:r>
        <w:rPr>
          <w:rFonts w:hint="eastAsia"/>
          <w:sz w:val="32"/>
          <w:szCs w:val="32"/>
          <w:lang w:val="zh-CN"/>
        </w:rPr>
        <w:t>批复阶段：上级主管部门对我中心申报的项目经费申请进行评估后，作出批复决定。批复内容包括项目的经费金额、使用范围、执行期限等具体细节。根据批复结果，按照预算要求拨付项目资金到相关账户。区财政局收到资金后，将及时通知我中心，确保资金及时到账。</w:t>
      </w:r>
    </w:p>
    <w:p>
      <w:pPr>
        <w:adjustRightInd w:val="0"/>
        <w:snapToGrid w:val="0"/>
        <w:spacing w:line="578" w:lineRule="exact"/>
        <w:ind w:firstLine="720"/>
        <w:rPr>
          <w:rFonts w:ascii="仿宋_GB2312" w:hAnsi="宋体"/>
          <w:sz w:val="32"/>
          <w:szCs w:val="32"/>
          <w:lang w:val="zh-CN"/>
        </w:rPr>
      </w:pPr>
      <w:r>
        <w:rPr>
          <w:rFonts w:hint="eastAsia" w:ascii="楷体_GB2312" w:hAnsi="宋体" w:eastAsia="楷体_GB2312"/>
          <w:b/>
          <w:sz w:val="32"/>
          <w:szCs w:val="32"/>
          <w:lang w:val="zh-CN"/>
        </w:rPr>
        <w:t>（二）资金计划、到位及使用情况。</w:t>
      </w:r>
    </w:p>
    <w:p>
      <w:pPr>
        <w:widowControl/>
        <w:adjustRightInd w:val="0"/>
        <w:snapToGrid w:val="0"/>
        <w:spacing w:line="578"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1．资金计划。</w:t>
      </w:r>
      <w:r>
        <w:rPr>
          <w:rFonts w:hint="eastAsia" w:ascii="仿宋_GB2312" w:hAnsi="仿宋_GB2312" w:eastAsia="仿宋_GB2312" w:cs="仿宋_GB2312"/>
          <w:sz w:val="32"/>
          <w:szCs w:val="32"/>
        </w:rPr>
        <w:t>所需经费由本级财政预算安排142.2万元万元</w:t>
      </w:r>
      <w:r>
        <w:rPr>
          <w:rFonts w:hint="eastAsia" w:ascii="仿宋_GB2312" w:hAnsi="仿宋_GB2312" w:eastAsia="仿宋_GB2312" w:cs="仿宋_GB2312"/>
          <w:kern w:val="0"/>
          <w:sz w:val="32"/>
          <w:szCs w:val="32"/>
        </w:rPr>
        <w:t>。</w:t>
      </w:r>
    </w:p>
    <w:p>
      <w:pPr>
        <w:widowControl/>
        <w:adjustRightInd w:val="0"/>
        <w:snapToGrid w:val="0"/>
        <w:spacing w:line="578"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2．资金到位。</w:t>
      </w:r>
      <w:r>
        <w:rPr>
          <w:rFonts w:hint="eastAsia" w:ascii="仿宋_GB2312" w:hAnsi="仿宋_GB2312" w:eastAsia="仿宋_GB2312" w:cs="仿宋_GB2312"/>
          <w:sz w:val="32"/>
          <w:szCs w:val="32"/>
        </w:rPr>
        <w:t>资金拨付以申报为依据，及时支付各项费用。</w:t>
      </w:r>
    </w:p>
    <w:p>
      <w:pPr>
        <w:widowControl/>
        <w:adjustRightInd w:val="0"/>
        <w:snapToGrid w:val="0"/>
        <w:spacing w:line="578" w:lineRule="exact"/>
        <w:ind w:firstLine="640" w:firstLineChars="200"/>
        <w:contextualSpacing/>
        <w:jc w:val="left"/>
        <w:rPr>
          <w:rFonts w:hint="eastAsia"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3．资金使用。</w:t>
      </w:r>
      <w:r>
        <w:rPr>
          <w:rFonts w:hint="eastAsia" w:ascii="仿宋_GB2312" w:hAnsi="仿宋_GB2312" w:eastAsia="仿宋_GB2312" w:cs="仿宋_GB2312"/>
          <w:sz w:val="32"/>
          <w:szCs w:val="32"/>
        </w:rPr>
        <w:t>按照职能认真履行职责，按照年初工作计划推进工作，以预算金额为依据，严格控制经费使用明细、标准，严把审核关，认真履行支付手续，支付依据合规合法，与预算相符。</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578" w:lineRule="exact"/>
        <w:ind w:firstLine="720"/>
        <w:rPr>
          <w:rFonts w:ascii="仿宋" w:hAnsi="仿宋" w:eastAsia="仿宋"/>
          <w:kern w:val="0"/>
          <w:sz w:val="32"/>
          <w:szCs w:val="32"/>
        </w:rPr>
      </w:pPr>
      <w:r>
        <w:rPr>
          <w:rFonts w:hint="eastAsia" w:ascii="仿宋_GB2312" w:hAnsi="仿宋_GB2312" w:eastAsia="仿宋_GB2312" w:cs="仿宋_GB2312"/>
          <w:kern w:val="0"/>
          <w:sz w:val="32"/>
          <w:szCs w:val="32"/>
        </w:rPr>
        <w:t>区机关事务服务中心财务管理制度健全，严格执行财务管理制度，账务处理及时，会计核算规范。</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三、项目实施及管理情况</w:t>
      </w:r>
    </w:p>
    <w:p>
      <w:pPr>
        <w:spacing w:line="353" w:lineRule="auto"/>
        <w:ind w:firstLine="640" w:firstLineChars="200"/>
        <w:rPr>
          <w:rFonts w:ascii="仿宋_GB2312" w:eastAsia="仿宋_GB2312"/>
          <w:sz w:val="32"/>
          <w:szCs w:val="32"/>
        </w:rPr>
      </w:pPr>
      <w:r>
        <w:rPr>
          <w:rFonts w:hint="eastAsia" w:ascii="仿宋_GB2312" w:eastAsia="仿宋_GB2312"/>
          <w:sz w:val="32"/>
          <w:szCs w:val="32"/>
        </w:rPr>
        <w:t>本项目支出均按照有关规章制度和项目实施完成情况进行支付。并建立相关的管理制度，有专人负责，项目进行前进行集体研究讨论，项目进行时有负责人及时跟踪项目实施情况，并及时提出意见和建议，项目实施过程全都按照有关规定与管理制度执行。我中心在平时工作中加强对绩效目标监控的重视，定期对预算执行情况进行监督，使绩效目标监控与政府工作、财务工作挂钩，做到及时监控，及时控制，避免疏忽。</w:t>
      </w:r>
    </w:p>
    <w:p>
      <w:pPr>
        <w:adjustRightInd w:val="0"/>
        <w:snapToGrid w:val="0"/>
        <w:spacing w:line="578" w:lineRule="exact"/>
        <w:ind w:firstLine="720"/>
        <w:rPr>
          <w:rFonts w:ascii="仿宋_GB2312" w:hAnsi="宋体"/>
          <w:sz w:val="32"/>
          <w:szCs w:val="32"/>
          <w:lang w:val="zh-CN"/>
        </w:rPr>
      </w:pPr>
      <w:r>
        <w:rPr>
          <w:rFonts w:hint="eastAsia" w:ascii="黑体" w:hAnsi="宋体" w:eastAsia="黑体"/>
          <w:sz w:val="32"/>
          <w:szCs w:val="32"/>
        </w:rPr>
        <w:t>四、项目绩效情况</w:t>
      </w:r>
      <w:r>
        <w:rPr>
          <w:rFonts w:hint="eastAsia" w:ascii="仿宋_GB2312" w:hAnsi="宋体"/>
          <w:sz w:val="32"/>
          <w:szCs w:val="32"/>
          <w:lang w:val="zh-CN"/>
        </w:rPr>
        <w:tab/>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spacing w:line="353" w:lineRule="auto"/>
        <w:ind w:firstLine="640" w:firstLineChars="200"/>
        <w:rPr>
          <w:rFonts w:eastAsia="仿宋_GB2312"/>
          <w:color w:val="000000"/>
          <w:kern w:val="0"/>
          <w:sz w:val="32"/>
          <w:szCs w:val="32"/>
          <w:lang w:val="zh-CN"/>
        </w:rPr>
      </w:pPr>
      <w:r>
        <w:rPr>
          <w:rFonts w:hint="eastAsia" w:ascii="仿宋_GB2312" w:eastAsia="仿宋_GB2312"/>
          <w:color w:val="auto"/>
          <w:sz w:val="32"/>
          <w:szCs w:val="32"/>
        </w:rPr>
        <w:t>202</w:t>
      </w:r>
      <w:r>
        <w:rPr>
          <w:rFonts w:ascii="仿宋_GB2312" w:eastAsia="仿宋_GB2312"/>
          <w:color w:val="auto"/>
          <w:sz w:val="32"/>
          <w:szCs w:val="32"/>
        </w:rPr>
        <w:t>2</w:t>
      </w:r>
      <w:r>
        <w:rPr>
          <w:rFonts w:hint="eastAsia" w:ascii="仿宋_GB2312" w:eastAsia="仿宋_GB2312"/>
          <w:color w:val="auto"/>
          <w:sz w:val="32"/>
          <w:szCs w:val="32"/>
        </w:rPr>
        <w:t>年全年用车量达</w:t>
      </w:r>
      <w:r>
        <w:rPr>
          <w:rFonts w:hint="eastAsia" w:ascii="仿宋_GB2312" w:eastAsia="仿宋_GB2312"/>
          <w:color w:val="auto"/>
          <w:sz w:val="32"/>
          <w:szCs w:val="32"/>
          <w:lang w:val="en-US" w:eastAsia="zh-CN"/>
        </w:rPr>
        <w:t>17047</w:t>
      </w:r>
      <w:r>
        <w:rPr>
          <w:rFonts w:hint="eastAsia" w:ascii="仿宋_GB2312" w:eastAsia="仿宋_GB2312"/>
          <w:color w:val="auto"/>
          <w:sz w:val="32"/>
          <w:szCs w:val="32"/>
        </w:rPr>
        <w:t>次，总共行驶</w:t>
      </w:r>
      <w:r>
        <w:rPr>
          <w:rFonts w:hint="eastAsia" w:ascii="仿宋_GB2312" w:eastAsia="仿宋_GB2312"/>
          <w:color w:val="auto"/>
          <w:sz w:val="32"/>
          <w:szCs w:val="32"/>
          <w:lang w:val="en-US" w:eastAsia="zh-CN"/>
        </w:rPr>
        <w:t>779501</w:t>
      </w:r>
      <w:r>
        <w:rPr>
          <w:rFonts w:hint="eastAsia" w:ascii="仿宋_GB2312" w:eastAsia="仿宋_GB2312"/>
          <w:color w:val="auto"/>
          <w:sz w:val="32"/>
          <w:szCs w:val="32"/>
        </w:rPr>
        <w:t>公里，高质量高效率的保障了全区机关事业单位公务出行。</w:t>
      </w:r>
      <w:r>
        <w:rPr>
          <w:rFonts w:hint="eastAsia" w:eastAsia="仿宋_GB2312"/>
          <w:kern w:val="0"/>
          <w:sz w:val="32"/>
          <w:szCs w:val="32"/>
          <w:lang w:val="zh-CN"/>
        </w:rPr>
        <w:t>2</w:t>
      </w:r>
      <w:r>
        <w:rPr>
          <w:rFonts w:eastAsia="仿宋_GB2312"/>
          <w:kern w:val="0"/>
          <w:sz w:val="32"/>
          <w:szCs w:val="32"/>
          <w:lang w:val="zh-CN"/>
        </w:rPr>
        <w:t>022</w:t>
      </w:r>
      <w:r>
        <w:rPr>
          <w:rFonts w:hint="eastAsia" w:eastAsia="仿宋_GB2312"/>
          <w:kern w:val="0"/>
          <w:sz w:val="32"/>
          <w:szCs w:val="32"/>
          <w:lang w:val="zh-CN"/>
        </w:rPr>
        <w:t>年新冠肺炎疫情期间，按照全区疫情防控总体部署，区机关事务服务中心作以高效的工作机制和强有力的举措，为打赢疫情防控人民战争提供了坚强的后勤服务保障。第一时间召开全体干部职工紧急动员会，迅速进入战备状态，全面安排部署全区疫情防控后勤保障工作。全力保障</w:t>
      </w:r>
      <w:r>
        <w:rPr>
          <w:rFonts w:eastAsia="仿宋_GB2312"/>
          <w:kern w:val="0"/>
          <w:sz w:val="32"/>
          <w:szCs w:val="32"/>
          <w:lang w:val="zh-CN"/>
        </w:rPr>
        <w:t>公务用车派遣、协调</w:t>
      </w:r>
      <w:r>
        <w:rPr>
          <w:rFonts w:hint="eastAsia" w:eastAsia="仿宋_GB2312"/>
          <w:kern w:val="0"/>
          <w:sz w:val="32"/>
          <w:szCs w:val="32"/>
          <w:lang w:val="zh-CN"/>
        </w:rPr>
        <w:t>，公务用车管理平台充分发挥保障作用，进一步优化车辆调度，强化平台服务，增强公务出行保障能力，重点保障防疫工作用车需求。为满足疫情防控工作需要，公车平台</w:t>
      </w:r>
      <w:r>
        <w:rPr>
          <w:rFonts w:eastAsia="仿宋_GB2312"/>
          <w:kern w:val="0"/>
          <w:sz w:val="32"/>
          <w:szCs w:val="32"/>
          <w:lang w:val="zh-CN"/>
        </w:rPr>
        <w:t>54</w:t>
      </w:r>
      <w:r>
        <w:rPr>
          <w:rFonts w:hint="eastAsia" w:eastAsia="仿宋_GB2312"/>
          <w:kern w:val="0"/>
          <w:sz w:val="32"/>
          <w:szCs w:val="32"/>
          <w:lang w:val="zh-CN"/>
        </w:rPr>
        <w:t>名驾驶员全员上阵24小时全天候保障疫情防控工作用车需要，截至目前共保障疫情用车</w:t>
      </w:r>
      <w:r>
        <w:rPr>
          <w:rFonts w:eastAsia="仿宋_GB2312"/>
          <w:sz w:val="32"/>
          <w:szCs w:val="32"/>
          <w:lang w:val="zh-CN"/>
        </w:rPr>
        <w:t>3625</w:t>
      </w:r>
      <w:r>
        <w:rPr>
          <w:rFonts w:hint="eastAsia" w:eastAsia="仿宋_GB2312"/>
          <w:kern w:val="0"/>
          <w:sz w:val="32"/>
          <w:szCs w:val="32"/>
          <w:lang w:val="zh-CN"/>
        </w:rPr>
        <w:t>台次。</w:t>
      </w:r>
      <w:r>
        <w:rPr>
          <w:rFonts w:hint="eastAsia" w:eastAsia="仿宋_GB2312"/>
          <w:color w:val="000000"/>
          <w:kern w:val="0"/>
          <w:sz w:val="32"/>
          <w:szCs w:val="32"/>
          <w:lang w:val="zh-CN"/>
        </w:rPr>
        <w:t>截止目前共保障应急用车</w:t>
      </w:r>
      <w:r>
        <w:rPr>
          <w:rFonts w:eastAsia="仿宋_GB2312"/>
          <w:color w:val="000000"/>
          <w:kern w:val="0"/>
          <w:sz w:val="32"/>
          <w:szCs w:val="32"/>
          <w:lang w:val="zh-CN"/>
        </w:rPr>
        <w:t>2120</w:t>
      </w:r>
      <w:r>
        <w:rPr>
          <w:rFonts w:hint="eastAsia" w:eastAsia="仿宋_GB2312"/>
          <w:color w:val="000000"/>
          <w:kern w:val="0"/>
          <w:sz w:val="32"/>
          <w:szCs w:val="32"/>
          <w:lang w:val="zh-CN"/>
        </w:rPr>
        <w:t>台次。</w:t>
      </w:r>
    </w:p>
    <w:p>
      <w:pPr>
        <w:spacing w:line="353" w:lineRule="auto"/>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578" w:lineRule="exact"/>
        <w:ind w:firstLine="720"/>
        <w:rPr>
          <w:rFonts w:ascii="黑体" w:hAnsi="宋体" w:eastAsia="黑体"/>
          <w:sz w:val="32"/>
          <w:szCs w:val="32"/>
        </w:rPr>
      </w:pPr>
      <w:r>
        <w:rPr>
          <w:rFonts w:hint="eastAsia" w:eastAsia="仿宋_GB2312"/>
          <w:sz w:val="32"/>
          <w:szCs w:val="32"/>
        </w:rPr>
        <w:t>公车平台运行经费解决了公车平台运行所需支付的驾驶员公里数、出车台次费、驾驶员差旅费、驾驶员加班、值班费、平台建设费、平台办公费、补充公务用车运行等费用；公务用车运行维护经费保障了公务车用平台的高效运行，提升了服务质量，有效降低运行成本，获得了服务对象的认可</w:t>
      </w:r>
      <w:r>
        <w:rPr>
          <w:rFonts w:eastAsia="仿宋_GB2312"/>
          <w:sz w:val="32"/>
          <w:szCs w:val="32"/>
        </w:rPr>
        <w:t>。</w:t>
      </w:r>
      <w:r>
        <w:rPr>
          <w:rFonts w:hint="eastAsia" w:ascii="黑体" w:hAnsi="宋体" w:eastAsia="黑体"/>
          <w:sz w:val="32"/>
          <w:szCs w:val="32"/>
        </w:rPr>
        <w:t>五、评价结论及建议</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spacing w:line="353" w:lineRule="auto"/>
        <w:ind w:firstLine="640" w:firstLineChars="200"/>
        <w:rPr>
          <w:rFonts w:ascii="仿宋_GB2312" w:eastAsia="仿宋_GB2312"/>
          <w:sz w:val="32"/>
          <w:szCs w:val="32"/>
        </w:rPr>
      </w:pPr>
      <w:r>
        <w:rPr>
          <w:rFonts w:hint="eastAsia" w:ascii="仿宋_GB2312" w:eastAsia="仿宋_GB2312"/>
          <w:sz w:val="32"/>
          <w:szCs w:val="32"/>
        </w:rPr>
        <w:t>本年度我中心加强公务用车平台管理，规范派车制度，提高服务质量。严格控制了成本，202</w:t>
      </w:r>
      <w:r>
        <w:rPr>
          <w:rFonts w:ascii="仿宋_GB2312" w:eastAsia="仿宋_GB2312"/>
          <w:sz w:val="32"/>
          <w:szCs w:val="32"/>
        </w:rPr>
        <w:t>2</w:t>
      </w:r>
      <w:r>
        <w:rPr>
          <w:rFonts w:hint="eastAsia" w:ascii="仿宋_GB2312" w:eastAsia="仿宋_GB2312"/>
          <w:sz w:val="32"/>
          <w:szCs w:val="32"/>
        </w:rPr>
        <w:t>年全年在未超支的情况下提高服务质量，加大车辆运行安全管理力度，确保公务车辆运行安全。</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无。</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353" w:lineRule="auto"/>
        <w:ind w:firstLine="640" w:firstLineChars="200"/>
        <w:rPr>
          <w:rFonts w:eastAsia="仿宋_GB2312"/>
          <w:sz w:val="32"/>
          <w:szCs w:val="32"/>
        </w:rPr>
      </w:pPr>
      <w:r>
        <w:rPr>
          <w:rFonts w:hint="eastAsia" w:eastAsia="仿宋_GB2312"/>
          <w:sz w:val="32"/>
          <w:szCs w:val="32"/>
        </w:rPr>
        <w:t>提高北斗定位系统的使用率。根据车辆多维度数据，加强用车透明化、规范化，分析驾驶行为报表，让安全更可控；利用北斗定位终端有助于以物联网、数字化手段促进公车安全、规范、优质、高效管理，推进廉政党风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30"/>
          <w:rFonts w:ascii="黑体" w:hAnsi="黑体" w:eastAsia="黑体"/>
          <w:b w:val="0"/>
        </w:rPr>
      </w:pPr>
      <w:r>
        <w:rPr>
          <w:rFonts w:hint="eastAsia" w:eastAsia="仿宋_GB2312"/>
          <w:sz w:val="32"/>
          <w:szCs w:val="32"/>
        </w:rPr>
        <w:t>进一步明确责任，加强制度建设。结合实际情况，不断完善公务用车使用管理机制，明确工作要求，强化日常监督，做好驾驶员安全培训，提升安全意识和服务意识。</w:t>
      </w:r>
    </w:p>
    <w:p>
      <w:pPr>
        <w:pStyle w:val="2"/>
        <w:spacing w:before="93"/>
        <w:rPr>
          <w:rStyle w:val="30"/>
          <w:rFonts w:ascii="黑体" w:hAnsi="黑体" w:eastAsia="黑体"/>
          <w:b w:val="0"/>
        </w:rPr>
      </w:pPr>
    </w:p>
    <w:p>
      <w:pPr>
        <w:widowControl/>
        <w:jc w:val="left"/>
        <w:rPr>
          <w:rStyle w:val="30"/>
          <w:rFonts w:ascii="黑体" w:hAnsi="黑体" w:eastAsia="黑体"/>
          <w:b w:val="0"/>
        </w:rPr>
      </w:pPr>
    </w:p>
    <w:p>
      <w:pPr>
        <w:spacing w:line="600" w:lineRule="exact"/>
        <w:jc w:val="center"/>
        <w:outlineLvl w:val="9"/>
        <w:rPr>
          <w:rFonts w:ascii="黑体" w:hAnsi="黑体" w:eastAsia="黑体"/>
          <w:sz w:val="44"/>
          <w:szCs w:val="44"/>
        </w:rPr>
      </w:pPr>
      <w:bookmarkStart w:id="73" w:name="_Toc15396618"/>
    </w:p>
    <w:p>
      <w:pPr>
        <w:spacing w:line="600" w:lineRule="exact"/>
        <w:jc w:val="center"/>
        <w:outlineLvl w:val="9"/>
        <w:rPr>
          <w:rFonts w:ascii="黑体" w:hAnsi="黑体" w:eastAsia="黑体"/>
          <w:sz w:val="44"/>
          <w:szCs w:val="44"/>
        </w:rPr>
      </w:pPr>
    </w:p>
    <w:p>
      <w:pPr>
        <w:spacing w:line="600" w:lineRule="exact"/>
        <w:jc w:val="center"/>
        <w:outlineLvl w:val="9"/>
        <w:rPr>
          <w:rFonts w:ascii="黑体" w:hAnsi="黑体" w:eastAsia="黑体"/>
          <w:sz w:val="44"/>
          <w:szCs w:val="44"/>
        </w:rPr>
      </w:pPr>
    </w:p>
    <w:p>
      <w:pPr>
        <w:spacing w:line="600" w:lineRule="exact"/>
        <w:jc w:val="center"/>
        <w:outlineLvl w:val="9"/>
        <w:rPr>
          <w:rFonts w:ascii="黑体" w:hAnsi="黑体" w:eastAsia="黑体"/>
          <w:sz w:val="44"/>
          <w:szCs w:val="44"/>
        </w:rPr>
      </w:pPr>
    </w:p>
    <w:p>
      <w:pPr>
        <w:spacing w:line="600" w:lineRule="exact"/>
        <w:jc w:val="center"/>
        <w:outlineLvl w:val="9"/>
        <w:rPr>
          <w:rFonts w:ascii="黑体" w:hAnsi="黑体" w:eastAsia="黑体"/>
          <w:sz w:val="44"/>
          <w:szCs w:val="44"/>
        </w:rPr>
      </w:pPr>
    </w:p>
    <w:p>
      <w:pPr>
        <w:spacing w:line="600" w:lineRule="exact"/>
        <w:jc w:val="center"/>
        <w:outlineLvl w:val="9"/>
        <w:rPr>
          <w:rFonts w:ascii="黑体" w:hAnsi="黑体" w:eastAsia="黑体"/>
          <w:sz w:val="44"/>
          <w:szCs w:val="44"/>
        </w:rPr>
      </w:pPr>
    </w:p>
    <w:p>
      <w:pPr>
        <w:pStyle w:val="2"/>
        <w:spacing w:before="93"/>
      </w:pPr>
      <w:r>
        <w:br w:type="page"/>
      </w:r>
    </w:p>
    <w:p>
      <w:pPr>
        <w:pStyle w:val="36"/>
        <w:spacing w:line="578" w:lineRule="exact"/>
        <w:jc w:val="left"/>
        <w:rPr>
          <w:rStyle w:val="30"/>
          <w:rFonts w:hint="eastAsia" w:ascii="黑体" w:hAnsi="黑体" w:eastAsia="宋体"/>
          <w:b w:val="0"/>
          <w:lang w:eastAsia="zh-CN"/>
        </w:rPr>
      </w:pPr>
      <w:r>
        <w:rPr>
          <w:rFonts w:hint="eastAsia" w:hAnsi="宋体" w:cs="宋体"/>
          <w:sz w:val="32"/>
          <w:szCs w:val="32"/>
          <w:shd w:val="clear" w:color="auto" w:fill="FFFFFF"/>
          <w:lang w:val="zh-CN"/>
        </w:rPr>
        <w:t>附件</w:t>
      </w:r>
      <w:r>
        <w:rPr>
          <w:rFonts w:hint="eastAsia" w:hAnsi="宋体" w:cs="宋体"/>
          <w:sz w:val="32"/>
          <w:szCs w:val="32"/>
          <w:shd w:val="clear" w:color="auto" w:fill="FFFFFF"/>
          <w:lang w:val="en-US" w:eastAsia="zh-CN"/>
        </w:rPr>
        <w:t>5</w:t>
      </w:r>
    </w:p>
    <w:p>
      <w:pPr>
        <w:pStyle w:val="36"/>
        <w:spacing w:line="578" w:lineRule="exact"/>
        <w:jc w:val="center"/>
        <w:rPr>
          <w:rFonts w:ascii="方正小标宋简体" w:hAnsi="方正小标宋简体" w:eastAsia="方正小标宋简体" w:cs="方正小标宋简体"/>
          <w:color w:val="auto"/>
          <w:kern w:val="2"/>
          <w:sz w:val="32"/>
          <w:szCs w:val="32"/>
          <w:highlight w:val="none"/>
          <w:lang w:val="en-US"/>
        </w:rPr>
      </w:pPr>
      <w:r>
        <w:rPr>
          <w:rFonts w:hint="eastAsia" w:ascii="方正小标宋简体" w:hAnsi="方正小标宋简体" w:eastAsia="方正小标宋简体" w:cs="方正小标宋简体"/>
          <w:color w:val="auto"/>
          <w:kern w:val="2"/>
          <w:sz w:val="32"/>
          <w:szCs w:val="32"/>
          <w:highlight w:val="none"/>
          <w:lang w:val="en-US"/>
        </w:rPr>
        <w:t>202</w:t>
      </w:r>
      <w:r>
        <w:rPr>
          <w:rFonts w:hint="eastAsia" w:ascii="方正小标宋简体" w:hAnsi="方正小标宋简体" w:eastAsia="方正小标宋简体" w:cs="方正小标宋简体"/>
          <w:color w:val="auto"/>
          <w:kern w:val="2"/>
          <w:sz w:val="32"/>
          <w:szCs w:val="32"/>
          <w:highlight w:val="none"/>
          <w:lang w:val="en-US" w:eastAsia="zh-CN"/>
        </w:rPr>
        <w:t>2</w:t>
      </w:r>
      <w:r>
        <w:rPr>
          <w:rFonts w:hint="eastAsia" w:ascii="方正小标宋简体" w:hAnsi="方正小标宋简体" w:eastAsia="方正小标宋简体" w:cs="方正小标宋简体"/>
          <w:color w:val="auto"/>
          <w:kern w:val="2"/>
          <w:sz w:val="32"/>
          <w:szCs w:val="32"/>
          <w:highlight w:val="none"/>
          <w:lang w:val="en-US"/>
        </w:rPr>
        <w:t>年区级专项资金预算项目绩效自评报告</w:t>
      </w:r>
    </w:p>
    <w:p>
      <w:pPr>
        <w:pStyle w:val="36"/>
        <w:spacing w:line="578" w:lineRule="exact"/>
        <w:ind w:firstLine="640"/>
        <w:jc w:val="center"/>
        <w:rPr>
          <w:rFonts w:ascii="宋体" w:hAnsi="宋体"/>
          <w:color w:val="auto"/>
          <w:kern w:val="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政府办公楼运行维护费</w:t>
      </w:r>
      <w:r>
        <w:rPr>
          <w:rFonts w:ascii="Times New Roman" w:hAnsi="Times New Roman" w:eastAsia="仿宋_GB2312"/>
          <w:sz w:val="32"/>
          <w:szCs w:val="32"/>
        </w:rPr>
        <w:t>）</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spacing w:line="353" w:lineRule="auto"/>
        <w:ind w:firstLine="640" w:firstLineChars="200"/>
        <w:rPr>
          <w:rFonts w:eastAsia="仿宋_GB2312"/>
          <w:sz w:val="32"/>
          <w:szCs w:val="32"/>
        </w:rPr>
      </w:pPr>
      <w:r>
        <w:rPr>
          <w:rFonts w:hint="eastAsia" w:ascii="仿宋_GB2312" w:eastAsia="仿宋_GB2312"/>
          <w:sz w:val="32"/>
          <w:szCs w:val="32"/>
          <w:lang w:val="zh-CN"/>
        </w:rPr>
        <w:t>1．项目管理中的职能。</w:t>
      </w:r>
      <w:r>
        <w:rPr>
          <w:rFonts w:hint="eastAsia" w:eastAsia="仿宋_GB2312"/>
          <w:sz w:val="32"/>
          <w:szCs w:val="32"/>
        </w:rPr>
        <w:t>我中心承担全区机关后勤服务性、事务性工作。为了保障攀枝花市西区政府的正常运行，需保障相关的</w:t>
      </w:r>
      <w:r>
        <w:rPr>
          <w:rFonts w:hint="eastAsia" w:ascii="Times New Roman" w:hAnsi="Times New Roman" w:eastAsia="仿宋_GB2312"/>
          <w:sz w:val="32"/>
          <w:szCs w:val="32"/>
        </w:rPr>
        <w:t>政府办公楼运行维护费</w:t>
      </w:r>
      <w:r>
        <w:rPr>
          <w:rFonts w:hint="eastAsia" w:eastAsia="仿宋_GB2312"/>
          <w:sz w:val="32"/>
          <w:szCs w:val="32"/>
        </w:rPr>
        <w:t>。</w:t>
      </w:r>
    </w:p>
    <w:p>
      <w:pPr>
        <w:adjustRightInd w:val="0"/>
        <w:snapToGrid w:val="0"/>
        <w:spacing w:line="600" w:lineRule="exact"/>
        <w:ind w:firstLine="720"/>
        <w:rPr>
          <w:rFonts w:ascii="仿宋_GB2312" w:eastAsia="仿宋_GB2312"/>
          <w:sz w:val="32"/>
          <w:szCs w:val="32"/>
          <w:lang w:val="zh-CN"/>
        </w:rPr>
      </w:pPr>
      <w:r>
        <w:rPr>
          <w:rFonts w:hint="eastAsia" w:ascii="仿宋_GB2312" w:eastAsia="仿宋_GB2312"/>
          <w:sz w:val="32"/>
          <w:szCs w:val="32"/>
          <w:lang w:val="zh-CN"/>
        </w:rPr>
        <w:t>2.</w:t>
      </w:r>
      <w:r>
        <w:rPr>
          <w:rFonts w:hint="eastAsia" w:ascii="仿宋_GB2312" w:eastAsia="仿宋_GB2312"/>
          <w:sz w:val="32"/>
          <w:szCs w:val="32"/>
        </w:rPr>
        <w:t>项目立项依据是为了满足职工需求，保障全区机关单位工作正常开展，履行我中心后勤服务工作的职责；资金申报依据是根据</w:t>
      </w:r>
      <w:r>
        <w:rPr>
          <w:rFonts w:hint="eastAsia" w:ascii="仿宋_GB2312" w:eastAsia="仿宋_GB2312"/>
          <w:sz w:val="32"/>
          <w:szCs w:val="32"/>
          <w:lang w:val="en-US" w:eastAsia="zh-CN"/>
        </w:rPr>
        <w:t>2021年决算数据和市场</w:t>
      </w:r>
      <w:r>
        <w:rPr>
          <w:rFonts w:hint="eastAsia" w:ascii="仿宋_GB2312" w:eastAsia="仿宋_GB2312"/>
          <w:sz w:val="32"/>
          <w:szCs w:val="32"/>
        </w:rPr>
        <w:t>价格申报该项资金。</w:t>
      </w:r>
    </w:p>
    <w:p>
      <w:pPr>
        <w:adjustRightInd w:val="0"/>
        <w:snapToGrid w:val="0"/>
        <w:spacing w:line="600" w:lineRule="exact"/>
        <w:ind w:firstLine="720"/>
        <w:rPr>
          <w:rFonts w:ascii="仿宋_GB2312" w:eastAsia="仿宋_GB2312"/>
          <w:sz w:val="32"/>
          <w:szCs w:val="32"/>
          <w:lang w:val="zh-CN"/>
        </w:rPr>
      </w:pPr>
      <w:r>
        <w:rPr>
          <w:rFonts w:hint="eastAsia" w:ascii="仿宋_GB2312" w:eastAsia="仿宋_GB2312"/>
          <w:sz w:val="32"/>
          <w:szCs w:val="32"/>
          <w:lang w:val="zh-CN"/>
        </w:rPr>
        <w:t>3．</w:t>
      </w:r>
      <w:r>
        <w:rPr>
          <w:rFonts w:hint="eastAsia" w:ascii="仿宋_GB2312" w:eastAsia="仿宋_GB2312"/>
          <w:sz w:val="32"/>
          <w:szCs w:val="32"/>
        </w:rPr>
        <w:t>我中心根据有关规定，严格制定自己的资金管理办法，依法合规管好、用好资金，加强资金日常监管，杜绝挤占、截留和挪用。2022年</w:t>
      </w:r>
      <w:r>
        <w:rPr>
          <w:rFonts w:hint="eastAsia" w:eastAsia="仿宋_GB2312"/>
          <w:sz w:val="32"/>
          <w:szCs w:val="32"/>
        </w:rPr>
        <w:t>政府办公楼运行维护费</w:t>
      </w:r>
      <w:r>
        <w:rPr>
          <w:rFonts w:hint="eastAsia" w:ascii="仿宋_GB2312" w:eastAsia="仿宋_GB2312"/>
          <w:sz w:val="32"/>
          <w:szCs w:val="32"/>
        </w:rPr>
        <w:t>由区级财政全额拨款支持</w:t>
      </w:r>
      <w:r>
        <w:rPr>
          <w:rFonts w:hint="eastAsia" w:eastAsia="仿宋_GB2312"/>
          <w:sz w:val="32"/>
          <w:szCs w:val="32"/>
        </w:rPr>
        <w:t>。</w:t>
      </w:r>
    </w:p>
    <w:p>
      <w:pPr>
        <w:adjustRightInd w:val="0"/>
        <w:snapToGrid w:val="0"/>
        <w:spacing w:line="600" w:lineRule="exact"/>
        <w:ind w:firstLine="720"/>
        <w:rPr>
          <w:rFonts w:hint="eastAsia" w:ascii="仿宋_GB2312" w:eastAsia="仿宋_GB2312"/>
          <w:sz w:val="32"/>
          <w:szCs w:val="32"/>
          <w:lang w:val="zh-CN"/>
        </w:rPr>
      </w:pPr>
      <w:r>
        <w:rPr>
          <w:rFonts w:hint="eastAsia" w:ascii="仿宋_GB2312" w:eastAsia="仿宋_GB2312"/>
          <w:sz w:val="32"/>
          <w:szCs w:val="32"/>
          <w:lang w:val="zh-CN"/>
        </w:rPr>
        <w:t>4. 资金分配围绕年初工作计划、重点工作、目标任务，并按照实施的时间顺序和优先顺序进行，拨付时间保障到位，确保年度各项工作和目标任务有序推进，保证</w:t>
      </w:r>
      <w:r>
        <w:rPr>
          <w:rFonts w:hint="eastAsia" w:eastAsia="仿宋_GB2312"/>
          <w:sz w:val="32"/>
          <w:szCs w:val="32"/>
        </w:rPr>
        <w:t>政府办公楼</w:t>
      </w:r>
      <w:r>
        <w:rPr>
          <w:rFonts w:hint="eastAsia" w:ascii="仿宋_GB2312" w:eastAsia="仿宋_GB2312"/>
          <w:sz w:val="32"/>
          <w:szCs w:val="32"/>
          <w:lang w:val="zh-CN"/>
        </w:rPr>
        <w:t>正常运行。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eastAsia="仿宋_GB2312"/>
          <w:sz w:val="32"/>
          <w:szCs w:val="32"/>
        </w:rPr>
      </w:pPr>
      <w:r>
        <w:rPr>
          <w:rFonts w:ascii="仿宋_GB2312" w:eastAsia="仿宋_GB2312"/>
          <w:sz w:val="32"/>
          <w:szCs w:val="32"/>
        </w:rPr>
        <w:t>1. 项目主要内</w:t>
      </w:r>
      <w:r>
        <w:rPr>
          <w:rFonts w:hint="eastAsia" w:ascii="仿宋_GB2312" w:eastAsia="仿宋_GB2312"/>
          <w:sz w:val="32"/>
          <w:szCs w:val="32"/>
        </w:rPr>
        <w:t>容</w:t>
      </w:r>
    </w:p>
    <w:p>
      <w:pPr>
        <w:adjustRightInd w:val="0"/>
        <w:snapToGrid w:val="0"/>
        <w:spacing w:line="600" w:lineRule="exact"/>
        <w:ind w:firstLine="720"/>
        <w:rPr>
          <w:rFonts w:eastAsia="仿宋_GB2312"/>
          <w:sz w:val="32"/>
          <w:szCs w:val="32"/>
        </w:rPr>
      </w:pPr>
      <w:r>
        <w:rPr>
          <w:rFonts w:hint="eastAsia" w:eastAsia="仿宋_GB2312"/>
          <w:sz w:val="32"/>
          <w:szCs w:val="32"/>
        </w:rPr>
        <w:t>支付日常办公楼维护经费、电梯维护费、日常公寓维护费、日常公车平台维护费、电视电话会议维护费、办公主副楼电路改造、主楼外墙维护经费、户外水电管道、线路、沟渠、挡墙、屋顶、楼面、路面维护。</w:t>
      </w:r>
    </w:p>
    <w:p>
      <w:pPr>
        <w:adjustRightInd w:val="0"/>
        <w:snapToGrid w:val="0"/>
        <w:spacing w:line="600" w:lineRule="exact"/>
        <w:ind w:firstLine="720"/>
        <w:rPr>
          <w:rFonts w:ascii="仿宋_GB2312" w:eastAsia="仿宋_GB2312"/>
          <w:sz w:val="32"/>
          <w:szCs w:val="32"/>
        </w:rPr>
      </w:pPr>
      <w:r>
        <w:rPr>
          <w:rFonts w:ascii="仿宋_GB2312" w:eastAsia="仿宋_GB2312"/>
          <w:sz w:val="32"/>
          <w:szCs w:val="32"/>
        </w:rPr>
        <w:t>2. 项目应实现的具体绩效目标</w:t>
      </w:r>
    </w:p>
    <w:p>
      <w:pPr>
        <w:spacing w:line="353" w:lineRule="auto"/>
        <w:ind w:firstLine="640" w:firstLineChars="200"/>
        <w:jc w:val="left"/>
        <w:rPr>
          <w:rFonts w:eastAsia="仿宋_GB2312"/>
          <w:sz w:val="32"/>
          <w:szCs w:val="32"/>
        </w:rPr>
      </w:pPr>
      <w:r>
        <w:rPr>
          <w:rFonts w:hint="eastAsia" w:eastAsia="仿宋_GB2312"/>
          <w:sz w:val="32"/>
          <w:szCs w:val="32"/>
        </w:rPr>
        <w:t>政府办公楼运行维护经费保障了西区政府办公场所的正常运行，起到良好的社会效果，达到安全、有序的保障政府正常办公为绩效目标。该目标具有可考核性和实现性。</w:t>
      </w:r>
    </w:p>
    <w:p>
      <w:pPr>
        <w:adjustRightInd w:val="0"/>
        <w:snapToGrid w:val="0"/>
        <w:spacing w:line="600" w:lineRule="exact"/>
        <w:ind w:firstLine="720"/>
        <w:rPr>
          <w:rFonts w:ascii="仿宋_GB2312" w:eastAsia="仿宋_GB2312"/>
          <w:sz w:val="32"/>
          <w:szCs w:val="32"/>
        </w:rPr>
      </w:pPr>
      <w:r>
        <w:rPr>
          <w:rFonts w:ascii="仿宋_GB2312" w:eastAsia="仿宋_GB2312"/>
          <w:sz w:val="32"/>
          <w:szCs w:val="32"/>
        </w:rPr>
        <w:t>3. 分析评价申报内容与实际相符，申报目标合理可行。</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eastAsia="仿宋_GB2312"/>
          <w:sz w:val="32"/>
          <w:szCs w:val="32"/>
        </w:rPr>
      </w:pPr>
      <w:r>
        <w:rPr>
          <w:rFonts w:ascii="仿宋_GB2312" w:eastAsia="仿宋_GB2312"/>
          <w:sz w:val="32"/>
          <w:szCs w:val="32"/>
        </w:rPr>
        <w:t>机关事务服务中心根据财政支出绩效评价指标体系及项目的实际情况设计指标体系进行评价，组织相关</w:t>
      </w:r>
      <w:r>
        <w:rPr>
          <w:rFonts w:hint="eastAsia" w:ascii="仿宋_GB2312" w:eastAsia="仿宋_GB2312"/>
          <w:sz w:val="32"/>
          <w:szCs w:val="32"/>
        </w:rPr>
        <w:t>股</w:t>
      </w:r>
      <w:r>
        <w:rPr>
          <w:rFonts w:ascii="仿宋_GB2312" w:eastAsia="仿宋_GB2312"/>
          <w:sz w:val="32"/>
          <w:szCs w:val="32"/>
        </w:rPr>
        <w:t>室人员对本项目进行自评检查。</w:t>
      </w:r>
    </w:p>
    <w:p>
      <w:pPr>
        <w:adjustRightInd w:val="0"/>
        <w:snapToGrid w:val="0"/>
        <w:spacing w:line="600" w:lineRule="exact"/>
        <w:ind w:firstLine="720"/>
        <w:rPr>
          <w:rFonts w:ascii="仿宋_GB2312" w:eastAsia="仿宋_GB2312"/>
          <w:sz w:val="32"/>
          <w:szCs w:val="32"/>
        </w:rPr>
      </w:pPr>
      <w:r>
        <w:rPr>
          <w:rFonts w:ascii="仿宋_GB2312" w:eastAsia="仿宋_GB2312"/>
          <w:sz w:val="32"/>
          <w:szCs w:val="32"/>
        </w:rPr>
        <w:t>1. 资料收集。梳理项目资料，核实项目情况，统计项目数据。</w:t>
      </w:r>
    </w:p>
    <w:p>
      <w:pPr>
        <w:adjustRightInd w:val="0"/>
        <w:snapToGrid w:val="0"/>
        <w:spacing w:line="600" w:lineRule="exact"/>
        <w:ind w:firstLine="720"/>
        <w:rPr>
          <w:rFonts w:ascii="仿宋_GB2312" w:eastAsia="仿宋_GB2312"/>
          <w:sz w:val="32"/>
          <w:szCs w:val="32"/>
        </w:rPr>
      </w:pPr>
      <w:r>
        <w:rPr>
          <w:rFonts w:ascii="仿宋_GB2312" w:eastAsia="仿宋_GB2312"/>
          <w:sz w:val="32"/>
          <w:szCs w:val="32"/>
        </w:rPr>
        <w:t>2 绩效自评。根据资料收集的情况，按照区财政支出绩效评价指标体系，以定量与定性相结合的方式，对项目绩效情况进行判断，对项目存在的问题进行分析，对各项考评指标进行自评。</w:t>
      </w:r>
    </w:p>
    <w:p>
      <w:pPr>
        <w:adjustRightInd w:val="0"/>
        <w:snapToGrid w:val="0"/>
        <w:spacing w:line="600" w:lineRule="exact"/>
        <w:ind w:firstLine="720"/>
        <w:rPr>
          <w:rFonts w:ascii="仿宋_GB2312" w:eastAsia="仿宋_GB2312"/>
          <w:sz w:val="32"/>
          <w:szCs w:val="32"/>
        </w:rPr>
      </w:pPr>
      <w:r>
        <w:rPr>
          <w:rFonts w:ascii="仿宋_GB2312" w:eastAsia="仿宋_GB2312"/>
          <w:sz w:val="32"/>
          <w:szCs w:val="32"/>
        </w:rPr>
        <w:t>3. 撰写报告。结合项目定性与定量评价分析，得出自评结论，并撰写自评报告。</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（一）项目资金申报及批复情况</w:t>
      </w:r>
    </w:p>
    <w:p>
      <w:pPr>
        <w:spacing w:line="353" w:lineRule="auto"/>
        <w:ind w:firstLine="640" w:firstLineChars="200"/>
        <w:rPr>
          <w:rFonts w:eastAsia="仿宋_GB2312"/>
          <w:sz w:val="32"/>
          <w:szCs w:val="32"/>
        </w:rPr>
      </w:pPr>
      <w:r>
        <w:rPr>
          <w:rFonts w:eastAsia="仿宋_GB2312"/>
          <w:sz w:val="32"/>
          <w:szCs w:val="32"/>
        </w:rPr>
        <w:t>纳入本次评价的</w:t>
      </w:r>
      <w:r>
        <w:rPr>
          <w:rFonts w:hint="eastAsia" w:eastAsia="仿宋_GB2312"/>
          <w:sz w:val="32"/>
          <w:szCs w:val="32"/>
        </w:rPr>
        <w:t>政府办公楼运行维护</w:t>
      </w:r>
      <w:r>
        <w:rPr>
          <w:rFonts w:eastAsia="仿宋_GB2312"/>
          <w:sz w:val="32"/>
          <w:szCs w:val="32"/>
        </w:rPr>
        <w:t>费项目由区机关事务服务中心根据相关规定年初纳入部门预算，上报区财政局，由区财政局审核后出具正式预算批复（</w:t>
      </w:r>
      <w:r>
        <w:rPr>
          <w:rFonts w:eastAsia="仿宋_GB2312"/>
          <w:color w:val="000000"/>
          <w:sz w:val="32"/>
          <w:szCs w:val="32"/>
        </w:rPr>
        <w:t>攀西财〔2022〕</w:t>
      </w:r>
      <w:r>
        <w:rPr>
          <w:rFonts w:hint="eastAsia" w:eastAsia="仿宋_GB2312"/>
          <w:color w:val="000000"/>
          <w:sz w:val="32"/>
          <w:szCs w:val="32"/>
        </w:rPr>
        <w:t>101</w:t>
      </w:r>
      <w:r>
        <w:rPr>
          <w:rFonts w:eastAsia="仿宋_GB2312"/>
          <w:color w:val="000000"/>
          <w:sz w:val="32"/>
          <w:szCs w:val="32"/>
        </w:rPr>
        <w:t>号</w:t>
      </w:r>
      <w:r>
        <w:rPr>
          <w:rFonts w:eastAsia="仿宋_GB2312"/>
          <w:sz w:val="32"/>
          <w:szCs w:val="32"/>
        </w:rPr>
        <w:t>）。项目批复预算资金60万元，年底据实结算。</w:t>
      </w:r>
    </w:p>
    <w:p>
      <w:pPr>
        <w:adjustRightInd w:val="0"/>
        <w:snapToGrid w:val="0"/>
        <w:spacing w:line="600" w:lineRule="exact"/>
        <w:ind w:firstLine="720"/>
        <w:rPr>
          <w:rFonts w:eastAsia="仿宋_GB2312"/>
          <w:sz w:val="32"/>
          <w:szCs w:val="32"/>
          <w:lang w:val="zh-CN"/>
        </w:rPr>
      </w:pPr>
      <w:r>
        <w:rPr>
          <w:rFonts w:eastAsia="楷体_GB2312"/>
          <w:b/>
          <w:sz w:val="32"/>
          <w:szCs w:val="32"/>
          <w:lang w:val="zh-CN"/>
        </w:rPr>
        <w:t>（二）资金计划、到位及使用情况</w:t>
      </w:r>
    </w:p>
    <w:p>
      <w:pPr>
        <w:adjustRightInd w:val="0"/>
        <w:snapToGrid w:val="0"/>
        <w:spacing w:line="600" w:lineRule="exact"/>
        <w:ind w:firstLine="720"/>
        <w:rPr>
          <w:rFonts w:eastAsia="楷体_GB2312"/>
          <w:sz w:val="32"/>
          <w:szCs w:val="32"/>
          <w:lang w:val="zh-CN"/>
        </w:rPr>
      </w:pPr>
      <w:r>
        <w:rPr>
          <w:rFonts w:eastAsia="楷体_GB2312"/>
          <w:sz w:val="32"/>
          <w:szCs w:val="32"/>
          <w:lang w:val="zh-CN"/>
        </w:rPr>
        <w:t>1．资金计划</w:t>
      </w:r>
    </w:p>
    <w:p>
      <w:pPr>
        <w:adjustRightInd w:val="0"/>
        <w:snapToGrid w:val="0"/>
        <w:spacing w:line="600" w:lineRule="exact"/>
        <w:ind w:firstLine="720"/>
        <w:rPr>
          <w:rFonts w:hint="eastAsia" w:eastAsia="仿宋_GB2312"/>
          <w:sz w:val="32"/>
          <w:szCs w:val="32"/>
          <w:lang w:eastAsia="zh-CN"/>
        </w:rPr>
      </w:pPr>
      <w:r>
        <w:rPr>
          <w:rFonts w:hint="eastAsia" w:eastAsia="仿宋_GB2312"/>
          <w:sz w:val="32"/>
          <w:szCs w:val="32"/>
        </w:rPr>
        <w:t>政府办公楼日常维护经费按照每年的日常维修量和新增维护项目的需要，</w:t>
      </w:r>
      <w:r>
        <w:rPr>
          <w:rFonts w:hint="eastAsia" w:eastAsia="仿宋_GB2312"/>
          <w:sz w:val="32"/>
          <w:szCs w:val="32"/>
          <w:lang w:eastAsia="zh-CN"/>
        </w:rPr>
        <w:t>预计</w:t>
      </w:r>
      <w:r>
        <w:rPr>
          <w:rFonts w:hint="eastAsia" w:eastAsia="仿宋_GB2312"/>
          <w:sz w:val="32"/>
          <w:szCs w:val="32"/>
        </w:rPr>
        <w:t>全年合计3</w:t>
      </w:r>
      <w:r>
        <w:rPr>
          <w:rFonts w:hint="eastAsia" w:eastAsia="仿宋_GB2312"/>
          <w:sz w:val="32"/>
          <w:szCs w:val="32"/>
          <w:lang w:val="en-US" w:eastAsia="zh-CN"/>
        </w:rPr>
        <w:t>5</w:t>
      </w:r>
      <w:r>
        <w:rPr>
          <w:rFonts w:hint="eastAsia" w:eastAsia="仿宋_GB2312"/>
          <w:sz w:val="32"/>
          <w:szCs w:val="32"/>
        </w:rPr>
        <w:t>万元</w:t>
      </w:r>
      <w:r>
        <w:rPr>
          <w:rFonts w:hint="eastAsia" w:eastAsia="仿宋_GB2312"/>
          <w:sz w:val="32"/>
          <w:szCs w:val="32"/>
          <w:lang w:eastAsia="zh-CN"/>
        </w:rPr>
        <w:t>；政府主楼墙面防水维修工程20万元；政府主楼618会议室无纸化办公会议系统网络经费1.2万元。会议系统组网费9900元。</w:t>
      </w:r>
    </w:p>
    <w:p>
      <w:pPr>
        <w:adjustRightInd w:val="0"/>
        <w:snapToGrid w:val="0"/>
        <w:spacing w:line="600" w:lineRule="exact"/>
        <w:ind w:firstLine="720"/>
        <w:rPr>
          <w:rFonts w:eastAsia="楷体_GB2312"/>
          <w:sz w:val="32"/>
          <w:szCs w:val="32"/>
          <w:lang w:val="zh-CN"/>
        </w:rPr>
      </w:pPr>
      <w:r>
        <w:rPr>
          <w:rFonts w:eastAsia="楷体_GB2312"/>
          <w:sz w:val="32"/>
          <w:szCs w:val="32"/>
          <w:lang w:val="zh-CN"/>
        </w:rPr>
        <w:t>2．资金到位</w:t>
      </w:r>
    </w:p>
    <w:p>
      <w:pPr>
        <w:adjustRightInd w:val="0"/>
        <w:snapToGrid w:val="0"/>
        <w:spacing w:line="600" w:lineRule="exact"/>
        <w:ind w:firstLine="720"/>
        <w:rPr>
          <w:rFonts w:eastAsia="仿宋_GB2312"/>
          <w:sz w:val="32"/>
          <w:szCs w:val="32"/>
          <w:lang w:val="zh-CN"/>
        </w:rPr>
      </w:pPr>
      <w:r>
        <w:rPr>
          <w:rFonts w:hint="eastAsia" w:eastAsia="仿宋_GB2312"/>
          <w:sz w:val="32"/>
          <w:szCs w:val="32"/>
          <w:lang w:val="zh-CN"/>
        </w:rPr>
        <w:t>2</w:t>
      </w:r>
      <w:r>
        <w:rPr>
          <w:rFonts w:eastAsia="仿宋_GB2312"/>
          <w:sz w:val="32"/>
          <w:szCs w:val="32"/>
          <w:lang w:val="zh-CN"/>
        </w:rPr>
        <w:t>022</w:t>
      </w:r>
      <w:r>
        <w:rPr>
          <w:rFonts w:hint="eastAsia" w:eastAsia="仿宋_GB2312"/>
          <w:sz w:val="32"/>
          <w:szCs w:val="32"/>
          <w:lang w:val="zh-CN"/>
        </w:rPr>
        <w:t>年年初区财政</w:t>
      </w:r>
      <w:r>
        <w:rPr>
          <w:rFonts w:eastAsia="仿宋_GB2312"/>
          <w:sz w:val="32"/>
          <w:szCs w:val="32"/>
        </w:rPr>
        <w:t>批复</w:t>
      </w:r>
      <w:r>
        <w:rPr>
          <w:rFonts w:hint="eastAsia" w:eastAsia="仿宋_GB2312"/>
          <w:sz w:val="32"/>
          <w:szCs w:val="32"/>
        </w:rPr>
        <w:t>该项目</w:t>
      </w:r>
      <w:r>
        <w:rPr>
          <w:rFonts w:eastAsia="仿宋_GB2312"/>
          <w:sz w:val="32"/>
          <w:szCs w:val="32"/>
        </w:rPr>
        <w:t>预算资金</w:t>
      </w:r>
      <w:r>
        <w:rPr>
          <w:rFonts w:hint="eastAsia" w:eastAsia="仿宋_GB2312"/>
          <w:sz w:val="32"/>
          <w:szCs w:val="32"/>
          <w:lang w:val="en-US" w:eastAsia="zh-CN"/>
        </w:rPr>
        <w:t>60</w:t>
      </w:r>
      <w:r>
        <w:rPr>
          <w:rFonts w:eastAsia="仿宋_GB2312"/>
          <w:sz w:val="32"/>
          <w:szCs w:val="32"/>
        </w:rPr>
        <w:t>万元</w:t>
      </w:r>
      <w:r>
        <w:rPr>
          <w:rFonts w:hint="eastAsia" w:eastAsia="仿宋_GB2312"/>
          <w:sz w:val="32"/>
          <w:szCs w:val="32"/>
        </w:rPr>
        <w:t>。</w:t>
      </w:r>
      <w:r>
        <w:rPr>
          <w:rFonts w:hint="eastAsia" w:eastAsia="仿宋_GB2312"/>
          <w:sz w:val="32"/>
          <w:szCs w:val="32"/>
          <w:lang w:val="zh-CN"/>
        </w:rPr>
        <w:t xml:space="preserve"> </w:t>
      </w:r>
    </w:p>
    <w:p>
      <w:pPr>
        <w:adjustRightInd w:val="0"/>
        <w:snapToGrid w:val="0"/>
        <w:spacing w:line="600" w:lineRule="exact"/>
        <w:ind w:firstLine="720"/>
        <w:rPr>
          <w:rFonts w:eastAsia="仿宋_GB2312"/>
          <w:sz w:val="32"/>
          <w:szCs w:val="32"/>
          <w:lang w:val="zh-CN"/>
        </w:rPr>
      </w:pPr>
      <w:r>
        <w:rPr>
          <w:rFonts w:eastAsia="楷体_GB2312"/>
          <w:sz w:val="32"/>
          <w:szCs w:val="32"/>
          <w:lang w:val="zh-CN"/>
        </w:rPr>
        <w:t>3．资金使用</w:t>
      </w:r>
    </w:p>
    <w:p>
      <w:pPr>
        <w:spacing w:line="353" w:lineRule="auto"/>
        <w:ind w:firstLine="640" w:firstLineChars="200"/>
        <w:rPr>
          <w:rFonts w:hint="eastAsia" w:eastAsia="仿宋_GB2312"/>
          <w:sz w:val="32"/>
          <w:szCs w:val="32"/>
          <w:lang w:eastAsia="zh-CN"/>
        </w:rPr>
      </w:pPr>
      <w:r>
        <w:rPr>
          <w:rFonts w:hint="eastAsia" w:eastAsia="仿宋_GB2312"/>
          <w:sz w:val="32"/>
          <w:szCs w:val="32"/>
        </w:rPr>
        <w:t>202</w:t>
      </w:r>
      <w:r>
        <w:rPr>
          <w:rFonts w:eastAsia="仿宋_GB2312"/>
          <w:sz w:val="32"/>
          <w:szCs w:val="32"/>
        </w:rPr>
        <w:t>2</w:t>
      </w:r>
      <w:r>
        <w:rPr>
          <w:rFonts w:hint="eastAsia" w:eastAsia="仿宋_GB2312"/>
          <w:sz w:val="32"/>
          <w:szCs w:val="32"/>
        </w:rPr>
        <w:t> 年政府办公楼日常维护经费项目总支出</w:t>
      </w:r>
      <w:r>
        <w:rPr>
          <w:rFonts w:hint="eastAsia" w:eastAsia="仿宋_GB2312"/>
          <w:sz w:val="32"/>
          <w:szCs w:val="32"/>
          <w:lang w:val="en-US" w:eastAsia="zh-CN"/>
        </w:rPr>
        <w:t>69.88</w:t>
      </w:r>
      <w:r>
        <w:rPr>
          <w:rFonts w:hint="eastAsia" w:eastAsia="仿宋_GB2312"/>
          <w:sz w:val="32"/>
          <w:szCs w:val="32"/>
        </w:rPr>
        <w:t>万元，</w:t>
      </w:r>
      <w:r>
        <w:rPr>
          <w:rFonts w:hint="eastAsia" w:eastAsia="仿宋_GB2312"/>
          <w:sz w:val="32"/>
          <w:szCs w:val="32"/>
          <w:lang w:eastAsia="zh-CN"/>
        </w:rPr>
        <w:t>结转上年经费</w:t>
      </w:r>
      <w:r>
        <w:rPr>
          <w:rFonts w:hint="eastAsia" w:eastAsia="仿宋_GB2312"/>
          <w:sz w:val="32"/>
          <w:szCs w:val="32"/>
          <w:lang w:val="en-US" w:eastAsia="zh-CN"/>
        </w:rPr>
        <w:t>6万元，追加创文经费3.88万元。</w:t>
      </w:r>
    </w:p>
    <w:p>
      <w:pPr>
        <w:adjustRightInd w:val="0"/>
        <w:snapToGrid w:val="0"/>
        <w:spacing w:line="578" w:lineRule="exact"/>
        <w:ind w:firstLine="720"/>
        <w:rPr>
          <w:rFonts w:eastAsia="仿宋_GB2312"/>
          <w:sz w:val="32"/>
          <w:szCs w:val="32"/>
          <w:lang w:val="zh-CN"/>
        </w:rPr>
      </w:pPr>
      <w:r>
        <w:rPr>
          <w:rFonts w:eastAsia="仿宋_GB2312"/>
          <w:sz w:val="32"/>
          <w:szCs w:val="32"/>
          <w:lang w:val="zh-CN"/>
        </w:rPr>
        <w:t>资金支付范围、支付标准、支付进度、支付依据等</w:t>
      </w:r>
      <w:r>
        <w:rPr>
          <w:rFonts w:hint="eastAsia" w:eastAsia="仿宋_GB2312"/>
          <w:sz w:val="32"/>
          <w:szCs w:val="32"/>
          <w:lang w:val="zh-CN"/>
        </w:rPr>
        <w:t>都</w:t>
      </w:r>
      <w:r>
        <w:rPr>
          <w:rFonts w:eastAsia="仿宋_GB2312"/>
          <w:sz w:val="32"/>
          <w:szCs w:val="32"/>
          <w:lang w:val="zh-CN"/>
        </w:rPr>
        <w:t>合规合法、与预算相符</w:t>
      </w:r>
      <w:r>
        <w:rPr>
          <w:rFonts w:hint="eastAsia" w:eastAsia="仿宋_GB2312"/>
          <w:sz w:val="32"/>
          <w:szCs w:val="32"/>
          <w:lang w:val="zh-CN"/>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pPr>
      <w:r>
        <w:rPr>
          <w:rFonts w:eastAsia="仿宋_GB2312"/>
          <w:sz w:val="32"/>
          <w:szCs w:val="32"/>
        </w:rPr>
        <w:t>项目经费严格按照单位的财务制度和预算支出范围的使用。</w:t>
      </w:r>
      <w:r>
        <w:rPr>
          <w:rFonts w:hint="eastAsia" w:eastAsia="仿宋_GB2312"/>
          <w:sz w:val="32"/>
          <w:szCs w:val="32"/>
        </w:rPr>
        <w:t>单位财务管理制度健全</w:t>
      </w:r>
      <w:r>
        <w:rPr>
          <w:rFonts w:eastAsia="仿宋_GB2312"/>
          <w:sz w:val="32"/>
          <w:szCs w:val="32"/>
        </w:rPr>
        <w:t>，按照项目计划安排和实际工作情况开支，做到了专款专用，经费均按照</w:t>
      </w:r>
      <w:r>
        <w:rPr>
          <w:rFonts w:hint="eastAsia" w:eastAsia="仿宋_GB2312"/>
          <w:sz w:val="32"/>
          <w:szCs w:val="32"/>
        </w:rPr>
        <w:t>攀枝花市西区</w:t>
      </w:r>
      <w:r>
        <w:rPr>
          <w:rFonts w:eastAsia="仿宋_GB2312"/>
          <w:sz w:val="32"/>
          <w:szCs w:val="32"/>
        </w:rPr>
        <w:t>财政局印发有关文件、通知精神执行。</w:t>
      </w:r>
    </w:p>
    <w:p>
      <w:pPr>
        <w:adjustRightInd w:val="0"/>
        <w:snapToGrid w:val="0"/>
        <w:spacing w:line="600" w:lineRule="exact"/>
        <w:ind w:firstLine="720"/>
        <w:rPr>
          <w:rFonts w:eastAsia="黑体"/>
          <w:sz w:val="32"/>
          <w:szCs w:val="32"/>
        </w:rPr>
      </w:pPr>
      <w:r>
        <w:rPr>
          <w:rFonts w:eastAsia="黑体"/>
          <w:sz w:val="32"/>
          <w:szCs w:val="32"/>
        </w:rPr>
        <w:t>三、项目实施及管理情况</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（一）项目组织架构及实施流程</w:t>
      </w:r>
    </w:p>
    <w:p>
      <w:pPr>
        <w:spacing w:line="353" w:lineRule="auto"/>
        <w:ind w:firstLine="640" w:firstLineChars="200"/>
        <w:jc w:val="left"/>
        <w:rPr>
          <w:rFonts w:ascii="仿宋_GB2312" w:hAnsi="Calibri" w:eastAsia="仿宋_GB2312" w:cs="Times New Roman"/>
          <w:sz w:val="32"/>
          <w:szCs w:val="32"/>
        </w:rPr>
      </w:pPr>
      <w:r>
        <w:rPr>
          <w:rFonts w:hint="eastAsia" w:ascii="Times New Roman" w:hAnsi="Times New Roman" w:eastAsia="仿宋_GB2312" w:cs="Times New Roman"/>
          <w:sz w:val="32"/>
          <w:szCs w:val="32"/>
        </w:rPr>
        <w:t>1、西区政府办公场所共计安排</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名水电维护人员，</w:t>
      </w:r>
      <w:r>
        <w:rPr>
          <w:rFonts w:hint="eastAsia" w:ascii="仿宋_GB2312" w:hAnsi="Calibri" w:eastAsia="仿宋_GB2312" w:cs="Times New Roman"/>
          <w:sz w:val="32"/>
          <w:szCs w:val="32"/>
        </w:rPr>
        <w:t>保障2</w:t>
      </w:r>
      <w:r>
        <w:rPr>
          <w:rFonts w:ascii="仿宋_GB2312" w:hAnsi="Calibri" w:eastAsia="仿宋_GB2312" w:cs="Times New Roman"/>
          <w:sz w:val="32"/>
          <w:szCs w:val="32"/>
        </w:rPr>
        <w:t>02</w:t>
      </w:r>
      <w:r>
        <w:rPr>
          <w:rFonts w:hint="eastAsia" w:ascii="仿宋_GB2312" w:hAnsi="Calibri" w:eastAsia="仿宋_GB2312" w:cs="Times New Roman"/>
          <w:sz w:val="32"/>
          <w:szCs w:val="32"/>
        </w:rPr>
        <w:t>2年1</w:t>
      </w:r>
      <w:r>
        <w:rPr>
          <w:rFonts w:ascii="仿宋_GB2312" w:hAnsi="Calibri" w:eastAsia="仿宋_GB2312" w:cs="Times New Roman"/>
          <w:sz w:val="32"/>
          <w:szCs w:val="32"/>
        </w:rPr>
        <w:t>-12</w:t>
      </w:r>
      <w:r>
        <w:rPr>
          <w:rFonts w:hint="eastAsia" w:ascii="仿宋_GB2312" w:hAnsi="Calibri" w:eastAsia="仿宋_GB2312" w:cs="Times New Roman"/>
          <w:sz w:val="32"/>
          <w:szCs w:val="32"/>
        </w:rPr>
        <w:t>月份政府办公场所、电梯、单身公寓、公车平台正常、安全、有序运行的维护工作，确保了办公场所的安全、正常运行。</w:t>
      </w:r>
    </w:p>
    <w:p>
      <w:pPr>
        <w:spacing w:line="353" w:lineRule="auto"/>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2、电视电话会议共计安排2名管理和操作人员，确保2</w:t>
      </w:r>
      <w:r>
        <w:rPr>
          <w:rFonts w:ascii="仿宋_GB2312" w:hAnsi="Calibri" w:eastAsia="仿宋_GB2312" w:cs="Times New Roman"/>
          <w:sz w:val="32"/>
          <w:szCs w:val="32"/>
        </w:rPr>
        <w:t>02</w:t>
      </w:r>
      <w:r>
        <w:rPr>
          <w:rFonts w:hint="eastAsia" w:ascii="仿宋_GB2312" w:hAnsi="Calibri" w:eastAsia="仿宋_GB2312" w:cs="Times New Roman"/>
          <w:sz w:val="32"/>
          <w:szCs w:val="32"/>
        </w:rPr>
        <w:t>2年1</w:t>
      </w:r>
      <w:r>
        <w:rPr>
          <w:rFonts w:ascii="仿宋_GB2312" w:hAnsi="Calibri" w:eastAsia="仿宋_GB2312" w:cs="Times New Roman"/>
          <w:sz w:val="32"/>
          <w:szCs w:val="32"/>
        </w:rPr>
        <w:t>-12</w:t>
      </w:r>
      <w:r>
        <w:rPr>
          <w:rFonts w:hint="eastAsia" w:ascii="仿宋_GB2312" w:hAnsi="Calibri" w:eastAsia="仿宋_GB2312" w:cs="Times New Roman"/>
          <w:sz w:val="32"/>
          <w:szCs w:val="32"/>
        </w:rPr>
        <w:t>月份西区政府各项电视电话会议的召开。</w:t>
      </w:r>
    </w:p>
    <w:p>
      <w:pPr>
        <w:adjustRightInd w:val="0"/>
        <w:snapToGrid w:val="0"/>
        <w:spacing w:line="600" w:lineRule="exact"/>
        <w:ind w:firstLine="720"/>
        <w:rPr>
          <w:rFonts w:eastAsia="仿宋_GB2312"/>
          <w:sz w:val="32"/>
          <w:szCs w:val="32"/>
          <w:lang w:val="zh-CN"/>
        </w:rPr>
      </w:pPr>
      <w:r>
        <w:rPr>
          <w:rFonts w:eastAsia="楷体_GB2312"/>
          <w:b/>
          <w:sz w:val="32"/>
          <w:szCs w:val="32"/>
          <w:lang w:val="zh-CN"/>
        </w:rPr>
        <w:t>（二）项目管理情况</w:t>
      </w:r>
    </w:p>
    <w:p>
      <w:pPr>
        <w:spacing w:line="353"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sz w:val="32"/>
          <w:szCs w:val="32"/>
        </w:rPr>
        <w:t>政府集中办公区运行维护经费</w:t>
      </w:r>
      <w:r>
        <w:rPr>
          <w:rFonts w:hint="eastAsia" w:ascii="Times New Roman" w:hAnsi="Times New Roman" w:eastAsia="仿宋_GB2312" w:cs="Times New Roman"/>
          <w:color w:val="000000" w:themeColor="text1"/>
          <w:sz w:val="32"/>
          <w:szCs w:val="32"/>
          <w14:textFill>
            <w14:solidFill>
              <w14:schemeClr w14:val="tx1"/>
            </w14:solidFill>
          </w14:textFill>
        </w:rPr>
        <w:t>是西区政府履行行政职能的保障。只有在保障和电视电话会议工作安全、平稳的运行前提下，各单位才能够高效的完成区委、区政府交办的各项工作。后勤保障中使用的各项维护费用，均在我中心主管领导的安排和部署下实施。在实施中做到减少浪费，节约资金。对突发和大型的维护项目，及时与单位分管领导汇报和沟通，积极争取财政资金，确保各项维护正常、有序开展。</w:t>
      </w:r>
    </w:p>
    <w:p>
      <w:pPr>
        <w:spacing w:line="353" w:lineRule="auto"/>
        <w:ind w:firstLine="643" w:firstLineChars="200"/>
        <w:rPr>
          <w:rFonts w:eastAsia="仿宋_GB2312"/>
          <w:sz w:val="32"/>
          <w:szCs w:val="32"/>
        </w:rPr>
      </w:pPr>
      <w:r>
        <w:rPr>
          <w:rFonts w:eastAsia="楷体_GB2312"/>
          <w:b/>
          <w:sz w:val="32"/>
          <w:szCs w:val="32"/>
          <w:lang w:val="zh-CN"/>
        </w:rPr>
        <w:t>（三）项目监管情况</w:t>
      </w:r>
      <w:r>
        <w:rPr>
          <w:rFonts w:eastAsia="仿宋_GB2312"/>
          <w:sz w:val="32"/>
          <w:szCs w:val="32"/>
        </w:rPr>
        <w:t> </w:t>
      </w:r>
    </w:p>
    <w:p>
      <w:pPr>
        <w:pStyle w:val="14"/>
        <w:spacing w:before="40" w:line="560" w:lineRule="exact"/>
        <w:ind w:firstLine="640" w:firstLineChars="200"/>
        <w:rPr>
          <w:rFonts w:ascii="仿宋_GB2312" w:eastAsia="仿宋_GB2312"/>
          <w:sz w:val="32"/>
          <w:szCs w:val="32"/>
          <w:highlight w:val="yellow"/>
        </w:rPr>
      </w:pPr>
      <w:r>
        <w:rPr>
          <w:rFonts w:ascii="Times New Roman" w:hAnsi="Times New Roman" w:eastAsia="仿宋_GB2312" w:cs="Times New Roman"/>
          <w:color w:val="000000"/>
          <w:sz w:val="32"/>
          <w:szCs w:val="32"/>
        </w:rPr>
        <w:t>在严格执行办公用房政策和标准的前提下，通过置换、租用</w:t>
      </w:r>
      <w:r>
        <w:rPr>
          <w:rFonts w:hint="eastAsia" w:ascii="Times New Roman" w:hAnsi="Times New Roman" w:eastAsia="仿宋_GB2312" w:cs="Times New Roman"/>
          <w:color w:val="000000"/>
          <w:sz w:val="32"/>
          <w:szCs w:val="32"/>
          <w:lang w:eastAsia="zh-CN"/>
        </w:rPr>
        <w:t>、调剂</w:t>
      </w:r>
      <w:r>
        <w:rPr>
          <w:rFonts w:ascii="Times New Roman" w:hAnsi="Times New Roman" w:eastAsia="仿宋_GB2312" w:cs="Times New Roman"/>
          <w:color w:val="000000"/>
          <w:sz w:val="32"/>
          <w:szCs w:val="32"/>
        </w:rPr>
        <w:t>等多种渠道增加办公用房面积，加大办公用房日常维护，不断改善办公用房条件。加强对政府主楼水电、卫生等日常维护工作，着力提升工作和生活环境。</w:t>
      </w:r>
    </w:p>
    <w:p>
      <w:pPr>
        <w:adjustRightInd w:val="0"/>
        <w:snapToGrid w:val="0"/>
        <w:spacing w:line="600" w:lineRule="exact"/>
        <w:ind w:firstLine="720"/>
        <w:rPr>
          <w:rFonts w:eastAsia="仿宋_GB2312"/>
          <w:sz w:val="32"/>
          <w:szCs w:val="32"/>
          <w:highlight w:val="none"/>
          <w:lang w:val="zh-CN"/>
        </w:rPr>
      </w:pPr>
      <w:r>
        <w:rPr>
          <w:rFonts w:eastAsia="黑体"/>
          <w:sz w:val="32"/>
          <w:szCs w:val="32"/>
          <w:highlight w:val="none"/>
        </w:rPr>
        <w:t>四、项目绩效情况</w:t>
      </w:r>
      <w:r>
        <w:rPr>
          <w:rFonts w:eastAsia="仿宋_GB2312"/>
          <w:sz w:val="32"/>
          <w:szCs w:val="32"/>
          <w:highlight w:val="none"/>
          <w:lang w:val="zh-CN"/>
        </w:rPr>
        <w:tab/>
      </w:r>
    </w:p>
    <w:p>
      <w:pPr>
        <w:adjustRightInd w:val="0"/>
        <w:snapToGrid w:val="0"/>
        <w:spacing w:line="600" w:lineRule="exact"/>
        <w:ind w:firstLine="720"/>
        <w:rPr>
          <w:rFonts w:eastAsia="楷体_GB2312"/>
          <w:b/>
          <w:sz w:val="32"/>
          <w:szCs w:val="32"/>
          <w:highlight w:val="none"/>
          <w:lang w:val="zh-CN"/>
        </w:rPr>
      </w:pPr>
      <w:r>
        <w:rPr>
          <w:rFonts w:eastAsia="楷体_GB2312"/>
          <w:b/>
          <w:sz w:val="32"/>
          <w:szCs w:val="32"/>
          <w:highlight w:val="none"/>
          <w:lang w:val="zh-CN"/>
        </w:rPr>
        <w:t>（一）项目完成情况</w:t>
      </w:r>
    </w:p>
    <w:p>
      <w:pPr>
        <w:spacing w:line="352" w:lineRule="auto"/>
        <w:ind w:firstLine="640" w:firstLineChars="200"/>
        <w:rPr>
          <w:rFonts w:eastAsia="楷体_GB2312"/>
          <w:b/>
          <w:sz w:val="32"/>
          <w:szCs w:val="32"/>
          <w:lang w:val="zh-CN"/>
        </w:rPr>
      </w:pPr>
      <w:r>
        <w:rPr>
          <w:rFonts w:hint="eastAsia" w:eastAsia="仿宋_GB2312"/>
          <w:sz w:val="32"/>
          <w:szCs w:val="32"/>
          <w:highlight w:val="none"/>
        </w:rPr>
        <w:t>202</w:t>
      </w:r>
      <w:r>
        <w:rPr>
          <w:rFonts w:eastAsia="仿宋_GB2312"/>
          <w:sz w:val="32"/>
          <w:szCs w:val="32"/>
          <w:highlight w:val="none"/>
        </w:rPr>
        <w:t>2</w:t>
      </w:r>
      <w:r>
        <w:rPr>
          <w:rFonts w:hint="eastAsia" w:eastAsia="仿宋_GB2312"/>
          <w:sz w:val="32"/>
          <w:szCs w:val="32"/>
          <w:highlight w:val="none"/>
        </w:rPr>
        <w:t>年</w:t>
      </w:r>
      <w:r>
        <w:rPr>
          <w:rFonts w:hint="eastAsia" w:ascii="Times New Roman" w:hAnsi="Times New Roman" w:eastAsia="仿宋_GB2312"/>
          <w:sz w:val="32"/>
          <w:szCs w:val="32"/>
        </w:rPr>
        <w:t>区机关事务服务中心多措并举。一是</w:t>
      </w:r>
      <w:r>
        <w:rPr>
          <w:rFonts w:hint="eastAsia" w:ascii="Times New Roman" w:eastAsia="仿宋_GB2312"/>
          <w:sz w:val="32"/>
          <w:szCs w:val="32"/>
        </w:rPr>
        <w:t>整改杂乱飞线，同时彻底</w:t>
      </w:r>
      <w:r>
        <w:rPr>
          <w:rFonts w:ascii="Times New Roman" w:hAnsi="Times New Roman" w:eastAsia="仿宋_GB2312"/>
          <w:sz w:val="32"/>
          <w:szCs w:val="32"/>
        </w:rPr>
        <w:t>消除安全隐患</w:t>
      </w:r>
      <w:r>
        <w:rPr>
          <w:rFonts w:hint="eastAsia" w:ascii="Times New Roman" w:hAnsi="Times New Roman" w:eastAsia="仿宋_GB2312"/>
          <w:sz w:val="32"/>
          <w:szCs w:val="32"/>
        </w:rPr>
        <w:t>，</w:t>
      </w:r>
      <w:r>
        <w:rPr>
          <w:rFonts w:ascii="Times New Roman" w:hAnsi="Times New Roman" w:eastAsia="仿宋_GB2312"/>
          <w:sz w:val="32"/>
          <w:szCs w:val="32"/>
          <w:shd w:val="clear" w:color="auto" w:fill="FFFFFF"/>
        </w:rPr>
        <w:t>利用周末时间</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rPr>
        <w:t>区机关事务服务中心</w:t>
      </w:r>
      <w:r>
        <w:rPr>
          <w:rFonts w:hint="eastAsia" w:ascii="Times New Roman" w:hAnsi="Times New Roman" w:eastAsia="仿宋_GB2312"/>
          <w:sz w:val="32"/>
          <w:szCs w:val="32"/>
        </w:rPr>
        <w:t>和相关运营企业</w:t>
      </w:r>
      <w:r>
        <w:rPr>
          <w:rFonts w:ascii="Times New Roman" w:hAnsi="Times New Roman" w:eastAsia="仿宋_GB2312"/>
          <w:sz w:val="32"/>
          <w:szCs w:val="32"/>
          <w:shd w:val="clear" w:color="auto" w:fill="FFFFFF"/>
        </w:rPr>
        <w:t>组织专业人员对线路存在的安全隐患进行整改，两天内完成了树线矛盾清理，对杂乱飞线进行了集束化处理</w:t>
      </w:r>
      <w:r>
        <w:rPr>
          <w:rFonts w:hint="eastAsia" w:ascii="Times New Roman" w:hAnsi="Times New Roman" w:eastAsia="仿宋_GB2312"/>
          <w:sz w:val="32"/>
          <w:szCs w:val="32"/>
          <w:shd w:val="clear" w:color="auto" w:fill="FFFFFF"/>
        </w:rPr>
        <w:t>；二是</w:t>
      </w:r>
      <w:r>
        <w:rPr>
          <w:rFonts w:hint="eastAsia" w:eastAsia="仿宋_GB2312"/>
          <w:color w:val="000000"/>
          <w:sz w:val="32"/>
          <w:szCs w:val="32"/>
          <w:shd w:val="clear" w:color="auto" w:fill="FFFFFF"/>
        </w:rPr>
        <w:t>提升环境面貌，改善干部职工办公环境，</w:t>
      </w:r>
      <w:r>
        <w:rPr>
          <w:rStyle w:val="53"/>
          <w:rFonts w:hint="eastAsia" w:eastAsia="仿宋_GB2312"/>
          <w:color w:val="000000"/>
          <w:spacing w:val="2"/>
          <w:w w:val="99"/>
          <w:sz w:val="32"/>
          <w:szCs w:val="32"/>
        </w:rPr>
        <w:t>重点对水沟里的淤泥及杂草进行集中清理，避免出现阻塞水沟的安全隐患。同时</w:t>
      </w:r>
      <w:r>
        <w:rPr>
          <w:rFonts w:hint="eastAsia" w:ascii="Times New Roman" w:hAnsi="Times New Roman" w:eastAsia="仿宋_GB2312"/>
          <w:sz w:val="32"/>
          <w:szCs w:val="32"/>
        </w:rPr>
        <w:t>对区政府主、副楼楼内外墙面、楼道灯具、卫生间等进行粉饰、改造装修，对区政府主、副楼周边环境、路面清理打造。四是为满足新形势下全区视频会议需求、确保视频会议正常调度，更好服务保障全区中心工作，以区检察院二楼视频会议系统机房作为控制中心，充分利用现有设备，根据需求增加部分设备，将视频会议系统延伸至区文化馆、区政府办公楼</w:t>
      </w:r>
      <w:r>
        <w:rPr>
          <w:rFonts w:ascii="Times New Roman" w:hAnsi="Times New Roman" w:eastAsia="仿宋_GB2312"/>
          <w:sz w:val="32"/>
          <w:szCs w:val="32"/>
        </w:rPr>
        <w:t>423</w:t>
      </w:r>
      <w:r>
        <w:rPr>
          <w:rFonts w:hint="eastAsia" w:ascii="Times New Roman" w:hAnsi="Times New Roman" w:eastAsia="仿宋_GB2312"/>
          <w:sz w:val="32"/>
          <w:szCs w:val="32"/>
        </w:rPr>
        <w:t>会议室。</w:t>
      </w:r>
      <w:r>
        <w:rPr>
          <w:rFonts w:hint="eastAsia" w:eastAsia="仿宋_GB2312"/>
          <w:sz w:val="32"/>
          <w:szCs w:val="32"/>
        </w:rPr>
        <w:t>在充分利用会议室现有设备的情况下，根据功能需求增加部分设备，有效实现了功能拓展，</w:t>
      </w:r>
      <w:r>
        <w:rPr>
          <w:rFonts w:hint="eastAsia" w:ascii="仿宋_GB2312" w:eastAsia="仿宋_GB2312"/>
          <w:sz w:val="32"/>
          <w:szCs w:val="32"/>
        </w:rPr>
        <w:t>让西区党政专用视频系统技术保障工作走在了全市前列。</w:t>
      </w:r>
      <w:r>
        <w:rPr>
          <w:rFonts w:hint="eastAsia" w:ascii="Times New Roman" w:hAnsi="Times New Roman" w:eastAsia="仿宋_GB2312"/>
          <w:bCs/>
          <w:kern w:val="0"/>
          <w:sz w:val="32"/>
          <w:szCs w:val="32"/>
          <w:lang w:val="zh-CN"/>
        </w:rPr>
        <w:t>截止目前共协助开展各类会议及各种培训会场服务工作</w:t>
      </w:r>
      <w:r>
        <w:rPr>
          <w:rFonts w:ascii="Times New Roman" w:hAnsi="Times New Roman" w:eastAsia="仿宋_GB2312"/>
          <w:bCs/>
          <w:kern w:val="0"/>
          <w:sz w:val="32"/>
          <w:szCs w:val="32"/>
          <w:lang w:val="zh-CN"/>
        </w:rPr>
        <w:t>480</w:t>
      </w:r>
      <w:r>
        <w:rPr>
          <w:rFonts w:hint="eastAsia" w:ascii="Times New Roman" w:hAnsi="Times New Roman" w:eastAsia="仿宋_GB2312"/>
          <w:bCs/>
          <w:kern w:val="0"/>
          <w:sz w:val="32"/>
          <w:szCs w:val="32"/>
          <w:lang w:val="zh-CN"/>
        </w:rPr>
        <w:t>次。</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（二）项目效益情况</w:t>
      </w:r>
    </w:p>
    <w:p>
      <w:pPr>
        <w:spacing w:line="353" w:lineRule="auto"/>
        <w:ind w:firstLine="640" w:firstLineChars="200"/>
        <w:rPr>
          <w:rFonts w:eastAsia="仿宋_GB2312"/>
          <w:sz w:val="32"/>
          <w:szCs w:val="32"/>
        </w:rPr>
      </w:pPr>
      <w:r>
        <w:rPr>
          <w:rFonts w:hint="eastAsia" w:eastAsia="仿宋_GB2312"/>
          <w:sz w:val="32"/>
          <w:szCs w:val="32"/>
        </w:rPr>
        <w:t>202</w:t>
      </w:r>
      <w:r>
        <w:rPr>
          <w:rFonts w:eastAsia="仿宋_GB2312"/>
          <w:sz w:val="32"/>
          <w:szCs w:val="32"/>
        </w:rPr>
        <w:t>2</w:t>
      </w:r>
      <w:r>
        <w:rPr>
          <w:rFonts w:hint="eastAsia" w:eastAsia="仿宋_GB2312"/>
          <w:sz w:val="32"/>
          <w:szCs w:val="32"/>
        </w:rPr>
        <w:t>年</w:t>
      </w:r>
      <w:r>
        <w:rPr>
          <w:rFonts w:hint="eastAsia" w:ascii="Times New Roman" w:hAnsi="Times New Roman" w:eastAsia="仿宋_GB2312" w:cs="Times New Roman"/>
          <w:sz w:val="32"/>
          <w:szCs w:val="32"/>
        </w:rPr>
        <w:t>政府集中办公区运行维护经费</w:t>
      </w:r>
      <w:r>
        <w:rPr>
          <w:rFonts w:hint="eastAsia" w:eastAsia="仿宋_GB2312"/>
          <w:sz w:val="32"/>
          <w:szCs w:val="32"/>
        </w:rPr>
        <w:t>项目效果明显：</w:t>
      </w:r>
      <w:r>
        <w:rPr>
          <w:rFonts w:hint="eastAsia" w:eastAsia="仿宋_GB2312"/>
          <w:sz w:val="32"/>
          <w:szCs w:val="32"/>
          <w:lang w:eastAsia="zh-CN"/>
        </w:rPr>
        <w:t>会议</w:t>
      </w:r>
      <w:r>
        <w:rPr>
          <w:rFonts w:hint="eastAsia" w:eastAsia="仿宋_GB2312"/>
          <w:sz w:val="32"/>
          <w:szCs w:val="32"/>
        </w:rPr>
        <w:t>服务和</w:t>
      </w:r>
      <w:r>
        <w:rPr>
          <w:rFonts w:hint="eastAsia" w:eastAsia="仿宋_GB2312"/>
          <w:sz w:val="32"/>
          <w:szCs w:val="32"/>
          <w:lang w:eastAsia="zh-CN"/>
        </w:rPr>
        <w:t>办公</w:t>
      </w:r>
      <w:r>
        <w:rPr>
          <w:rFonts w:hint="eastAsia" w:eastAsia="仿宋_GB2312"/>
          <w:sz w:val="32"/>
          <w:szCs w:val="32"/>
        </w:rPr>
        <w:t>环境较好；职工满意度良好。</w:t>
      </w:r>
    </w:p>
    <w:p>
      <w:pPr>
        <w:adjustRightInd w:val="0"/>
        <w:snapToGrid w:val="0"/>
        <w:spacing w:line="600" w:lineRule="exact"/>
        <w:ind w:firstLine="720"/>
        <w:rPr>
          <w:rFonts w:eastAsia="黑体"/>
          <w:sz w:val="32"/>
          <w:szCs w:val="32"/>
        </w:rPr>
      </w:pPr>
      <w:r>
        <w:rPr>
          <w:rFonts w:eastAsia="黑体"/>
          <w:sz w:val="32"/>
          <w:szCs w:val="32"/>
        </w:rPr>
        <w:t>五、评价结论及建议</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（一）评价结论</w:t>
      </w:r>
    </w:p>
    <w:p>
      <w:pPr>
        <w:adjustRightInd w:val="0"/>
        <w:snapToGrid w:val="0"/>
        <w:spacing w:line="600" w:lineRule="exact"/>
        <w:ind w:firstLine="320" w:firstLineChars="1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sz w:val="32"/>
          <w:szCs w:val="32"/>
        </w:rPr>
        <w:t>政府办公</w:t>
      </w:r>
      <w:r>
        <w:rPr>
          <w:rFonts w:hint="eastAsia" w:eastAsia="仿宋_GB2312" w:cs="Times New Roman"/>
          <w:sz w:val="32"/>
          <w:szCs w:val="32"/>
          <w:lang w:eastAsia="zh-CN"/>
        </w:rPr>
        <w:t>楼</w:t>
      </w:r>
      <w:r>
        <w:rPr>
          <w:rFonts w:hint="eastAsia" w:ascii="Times New Roman" w:hAnsi="Times New Roman" w:eastAsia="仿宋_GB2312" w:cs="Times New Roman"/>
          <w:sz w:val="32"/>
          <w:szCs w:val="32"/>
        </w:rPr>
        <w:t>区运行维护经费是我中心保障西区政府办公场所正常运行，保障全区机关、事业单位业务工作能够正常开展。符合</w:t>
      </w:r>
      <w:r>
        <w:rPr>
          <w:rFonts w:ascii="Times New Roman" w:hAnsi="Times New Roman" w:eastAsia="仿宋_GB2312" w:cs="Times New Roman"/>
          <w:color w:val="000000" w:themeColor="text1"/>
          <w:sz w:val="32"/>
          <w:szCs w:val="32"/>
          <w14:textFill>
            <w14:solidFill>
              <w14:schemeClr w14:val="tx1"/>
            </w14:solidFill>
          </w14:textFill>
        </w:rPr>
        <w:t>财政支持的范围和方式、</w:t>
      </w:r>
      <w:r>
        <w:rPr>
          <w:rFonts w:hint="eastAsia" w:ascii="Times New Roman" w:hAnsi="Times New Roman" w:eastAsia="仿宋_GB2312" w:cs="Times New Roman"/>
          <w:color w:val="000000" w:themeColor="text1"/>
          <w:sz w:val="32"/>
          <w:szCs w:val="32"/>
          <w14:textFill>
            <w14:solidFill>
              <w14:schemeClr w14:val="tx1"/>
            </w14:solidFill>
          </w14:textFill>
        </w:rPr>
        <w:t>应纳入</w:t>
      </w:r>
      <w:r>
        <w:rPr>
          <w:rFonts w:ascii="Times New Roman" w:hAnsi="Times New Roman" w:eastAsia="仿宋_GB2312" w:cs="Times New Roman"/>
          <w:color w:val="000000" w:themeColor="text1"/>
          <w:sz w:val="32"/>
          <w:szCs w:val="32"/>
          <w14:textFill>
            <w14:solidFill>
              <w14:schemeClr w14:val="tx1"/>
            </w14:solidFill>
          </w14:textFill>
        </w:rPr>
        <w:t>财政经费</w:t>
      </w:r>
      <w:r>
        <w:rPr>
          <w:rFonts w:hint="eastAsia" w:ascii="Times New Roman" w:hAnsi="Times New Roman" w:eastAsia="仿宋_GB2312" w:cs="Times New Roman"/>
          <w:color w:val="000000" w:themeColor="text1"/>
          <w:sz w:val="32"/>
          <w:szCs w:val="32"/>
          <w14:textFill>
            <w14:solidFill>
              <w14:schemeClr w14:val="tx1"/>
            </w14:solidFill>
          </w14:textFill>
        </w:rPr>
        <w:t>全额</w:t>
      </w:r>
      <w:r>
        <w:rPr>
          <w:rFonts w:ascii="Times New Roman" w:hAnsi="Times New Roman" w:eastAsia="仿宋_GB2312" w:cs="Times New Roman"/>
          <w:color w:val="000000" w:themeColor="text1"/>
          <w:sz w:val="32"/>
          <w:szCs w:val="32"/>
          <w14:textFill>
            <w14:solidFill>
              <w14:schemeClr w14:val="tx1"/>
            </w14:solidFill>
          </w14:textFill>
        </w:rPr>
        <w:t>保障</w:t>
      </w:r>
      <w:r>
        <w:rPr>
          <w:rFonts w:hint="eastAsia" w:ascii="Times New Roman" w:hAnsi="Times New Roman" w:eastAsia="仿宋_GB2312" w:cs="Times New Roman"/>
          <w:color w:val="000000" w:themeColor="text1"/>
          <w:sz w:val="32"/>
          <w:szCs w:val="32"/>
          <w14:textFill>
            <w14:solidFill>
              <w14:schemeClr w14:val="tx1"/>
            </w14:solidFill>
          </w14:textFill>
        </w:rPr>
        <w:t>。</w:t>
      </w:r>
    </w:p>
    <w:p>
      <w:pPr>
        <w:adjustRightInd w:val="0"/>
        <w:snapToGrid w:val="0"/>
        <w:spacing w:line="600" w:lineRule="exact"/>
        <w:ind w:firstLine="321" w:firstLineChars="100"/>
        <w:rPr>
          <w:rFonts w:eastAsia="楷体_GB2312"/>
          <w:b/>
          <w:sz w:val="32"/>
          <w:szCs w:val="32"/>
          <w:lang w:val="zh-CN"/>
        </w:rPr>
      </w:pPr>
      <w:r>
        <w:rPr>
          <w:rFonts w:eastAsia="楷体_GB2312"/>
          <w:b/>
          <w:sz w:val="32"/>
          <w:szCs w:val="32"/>
          <w:lang w:val="zh-CN"/>
        </w:rPr>
        <w:t>（二）存在的问题</w:t>
      </w:r>
    </w:p>
    <w:p>
      <w:pPr>
        <w:adjustRightInd w:val="0"/>
        <w:snapToGrid w:val="0"/>
        <w:spacing w:line="600" w:lineRule="exact"/>
        <w:ind w:firstLine="640" w:firstLineChars="200"/>
        <w:rPr>
          <w:rFonts w:eastAsia="仿宋_GB2312"/>
          <w:sz w:val="32"/>
          <w:szCs w:val="32"/>
          <w:lang w:val="zh-CN"/>
        </w:rPr>
      </w:pPr>
      <w:r>
        <w:rPr>
          <w:rFonts w:hint="eastAsia" w:eastAsia="仿宋_GB2312"/>
          <w:sz w:val="32"/>
          <w:szCs w:val="32"/>
        </w:rPr>
        <w:t>202</w:t>
      </w:r>
      <w:r>
        <w:rPr>
          <w:rFonts w:eastAsia="仿宋_GB2312"/>
          <w:sz w:val="32"/>
          <w:szCs w:val="32"/>
        </w:rPr>
        <w:t>2</w:t>
      </w:r>
      <w:r>
        <w:rPr>
          <w:rFonts w:hint="eastAsia" w:eastAsia="仿宋_GB2312"/>
          <w:sz w:val="32"/>
          <w:szCs w:val="32"/>
        </w:rPr>
        <w:t>年</w:t>
      </w:r>
      <w:r>
        <w:rPr>
          <w:rFonts w:hint="eastAsia" w:ascii="Times New Roman" w:hAnsi="Times New Roman" w:eastAsia="仿宋_GB2312" w:cs="Times New Roman"/>
          <w:sz w:val="32"/>
          <w:szCs w:val="32"/>
        </w:rPr>
        <w:t>政府办公</w:t>
      </w:r>
      <w:r>
        <w:rPr>
          <w:rFonts w:hint="eastAsia" w:eastAsia="仿宋_GB2312" w:cs="Times New Roman"/>
          <w:sz w:val="32"/>
          <w:szCs w:val="32"/>
          <w:lang w:eastAsia="zh-CN"/>
        </w:rPr>
        <w:t>楼</w:t>
      </w:r>
      <w:r>
        <w:rPr>
          <w:rFonts w:hint="eastAsia" w:ascii="Times New Roman" w:hAnsi="Times New Roman" w:eastAsia="仿宋_GB2312" w:cs="Times New Roman"/>
          <w:sz w:val="32"/>
          <w:szCs w:val="32"/>
        </w:rPr>
        <w:t>区运行维护</w:t>
      </w:r>
      <w:r>
        <w:rPr>
          <w:rFonts w:eastAsia="仿宋_GB2312"/>
          <w:sz w:val="32"/>
          <w:szCs w:val="32"/>
        </w:rPr>
        <w:t>工作本着严谨、高效、及财政资金效益最大化的目标有序展开，工作虽取得了一定成效，但与上级的要求相比，与部门和群众的期望相比，还有一定差距，我们将在以后的工作中努力加以解决和改进，推动</w:t>
      </w:r>
      <w:r>
        <w:rPr>
          <w:rFonts w:hint="eastAsia" w:eastAsia="仿宋_GB2312"/>
          <w:sz w:val="32"/>
          <w:szCs w:val="32"/>
        </w:rPr>
        <w:t>我中心</w:t>
      </w:r>
      <w:r>
        <w:rPr>
          <w:rFonts w:eastAsia="仿宋_GB2312"/>
          <w:sz w:val="32"/>
          <w:szCs w:val="32"/>
        </w:rPr>
        <w:t>机关食堂运行更上一层楼</w:t>
      </w:r>
      <w:r>
        <w:rPr>
          <w:rFonts w:hint="eastAsia" w:eastAsia="仿宋_GB2312"/>
          <w:sz w:val="32"/>
          <w:szCs w:val="32"/>
        </w:rPr>
        <w:t>。</w:t>
      </w:r>
      <w:r>
        <w:rPr>
          <w:rFonts w:eastAsia="仿宋_GB2312"/>
          <w:sz w:val="32"/>
          <w:szCs w:val="32"/>
          <w:lang w:val="zh-CN"/>
        </w:rPr>
        <w:tab/>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（三）相关建议</w:t>
      </w:r>
    </w:p>
    <w:p>
      <w:pPr>
        <w:spacing w:line="353" w:lineRule="auto"/>
        <w:ind w:firstLine="640" w:firstLineChars="200"/>
        <w:rPr>
          <w:rFonts w:eastAsia="仿宋_GB2312"/>
          <w:sz w:val="32"/>
          <w:szCs w:val="32"/>
        </w:rPr>
      </w:pPr>
      <w:r>
        <w:rPr>
          <w:rFonts w:hint="eastAsia" w:eastAsia="仿宋_GB2312"/>
          <w:sz w:val="32"/>
          <w:szCs w:val="32"/>
        </w:rPr>
        <w:t>今后我中心将统筹项目预算编制、项目预算管理、项目预算执行和项目绩效评价工作，建立“项目预算编制有目标、项目预算执行有监控、项目预算完成有评价、项目评价结果有反馈、项目反馈结果有应用”的全过程项目预算绩效管理机制，真正做到“用钱要问效，无效必问责”。</w:t>
      </w:r>
    </w:p>
    <w:p>
      <w:pPr>
        <w:widowControl/>
        <w:jc w:val="left"/>
        <w:rPr>
          <w:rStyle w:val="30"/>
          <w:rFonts w:ascii="黑体" w:hAnsi="黑体" w:eastAsia="黑体"/>
          <w:b w:val="0"/>
        </w:rPr>
      </w:pPr>
      <w:r>
        <w:rPr>
          <w:rStyle w:val="30"/>
          <w:rFonts w:ascii="黑体" w:hAnsi="黑体" w:eastAsia="黑体"/>
          <w:b w:val="0"/>
        </w:rPr>
        <w:br w:type="page"/>
      </w:r>
    </w:p>
    <w:p>
      <w:pPr>
        <w:pStyle w:val="36"/>
        <w:spacing w:line="578" w:lineRule="exact"/>
        <w:jc w:val="left"/>
        <w:rPr>
          <w:rStyle w:val="30"/>
          <w:rFonts w:hint="default" w:ascii="黑体" w:hAnsi="黑体" w:eastAsia="宋体"/>
          <w:b w:val="0"/>
          <w:lang w:val="en-US" w:eastAsia="zh-CN"/>
        </w:rPr>
      </w:pPr>
      <w:r>
        <w:rPr>
          <w:rFonts w:hint="eastAsia" w:hAnsi="宋体" w:cs="宋体"/>
          <w:sz w:val="32"/>
          <w:szCs w:val="32"/>
          <w:shd w:val="clear" w:color="auto" w:fill="FFFFFF"/>
          <w:lang w:val="zh-CN"/>
        </w:rPr>
        <w:t>附件</w:t>
      </w:r>
      <w:r>
        <w:rPr>
          <w:rFonts w:hint="eastAsia" w:hAnsi="宋体" w:cs="宋体"/>
          <w:sz w:val="32"/>
          <w:szCs w:val="32"/>
          <w:shd w:val="clear" w:color="auto" w:fill="FFFFFF"/>
          <w:lang w:val="en-US" w:eastAsia="zh-CN"/>
        </w:rPr>
        <w:t>6</w:t>
      </w:r>
    </w:p>
    <w:p>
      <w:pPr>
        <w:pStyle w:val="36"/>
        <w:spacing w:line="578" w:lineRule="exact"/>
        <w:jc w:val="center"/>
        <w:rPr>
          <w:rFonts w:ascii="方正小标宋简体" w:hAnsi="方正小标宋简体" w:eastAsia="方正小标宋简体" w:cs="方正小标宋简体"/>
          <w:color w:val="auto"/>
          <w:kern w:val="2"/>
          <w:sz w:val="32"/>
          <w:szCs w:val="32"/>
          <w:highlight w:val="none"/>
          <w:lang w:val="en-US"/>
        </w:rPr>
      </w:pPr>
      <w:r>
        <w:rPr>
          <w:rFonts w:hint="eastAsia" w:ascii="方正小标宋简体" w:hAnsi="方正小标宋简体" w:eastAsia="方正小标宋简体" w:cs="方正小标宋简体"/>
          <w:color w:val="auto"/>
          <w:kern w:val="2"/>
          <w:sz w:val="32"/>
          <w:szCs w:val="32"/>
          <w:highlight w:val="none"/>
          <w:lang w:val="en-US"/>
        </w:rPr>
        <w:t>202</w:t>
      </w:r>
      <w:r>
        <w:rPr>
          <w:rFonts w:hint="eastAsia" w:ascii="方正小标宋简体" w:hAnsi="方正小标宋简体" w:eastAsia="方正小标宋简体" w:cs="方正小标宋简体"/>
          <w:color w:val="auto"/>
          <w:kern w:val="2"/>
          <w:sz w:val="32"/>
          <w:szCs w:val="32"/>
          <w:highlight w:val="none"/>
          <w:lang w:val="en-US" w:eastAsia="zh-CN"/>
        </w:rPr>
        <w:t>2</w:t>
      </w:r>
      <w:r>
        <w:rPr>
          <w:rFonts w:hint="eastAsia" w:ascii="方正小标宋简体" w:hAnsi="方正小标宋简体" w:eastAsia="方正小标宋简体" w:cs="方正小标宋简体"/>
          <w:color w:val="auto"/>
          <w:kern w:val="2"/>
          <w:sz w:val="32"/>
          <w:szCs w:val="32"/>
          <w:highlight w:val="none"/>
          <w:lang w:val="en-US"/>
        </w:rPr>
        <w:t>年区级专项资金预算项目绩效自评报告</w:t>
      </w:r>
    </w:p>
    <w:p>
      <w:pPr>
        <w:pStyle w:val="36"/>
        <w:spacing w:line="578" w:lineRule="exact"/>
        <w:ind w:firstLine="640"/>
        <w:jc w:val="center"/>
        <w:rPr>
          <w:rFonts w:ascii="宋体" w:hAnsi="宋体"/>
          <w:color w:val="auto"/>
          <w:kern w:val="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eastAsia="zh-CN"/>
        </w:rPr>
        <w:t>保安执勤经费</w:t>
      </w:r>
      <w:r>
        <w:rPr>
          <w:rFonts w:ascii="Times New Roman" w:hAnsi="Times New Roman" w:eastAsia="仿宋_GB2312"/>
          <w:sz w:val="32"/>
          <w:szCs w:val="32"/>
        </w:rPr>
        <w:t>）</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spacing w:line="353" w:lineRule="auto"/>
        <w:ind w:firstLine="640" w:firstLineChars="200"/>
        <w:rPr>
          <w:rFonts w:eastAsia="仿宋_GB2312"/>
          <w:sz w:val="32"/>
          <w:szCs w:val="32"/>
        </w:rPr>
      </w:pPr>
      <w:r>
        <w:rPr>
          <w:rFonts w:hint="eastAsia" w:ascii="仿宋_GB2312" w:eastAsia="仿宋_GB2312"/>
          <w:sz w:val="32"/>
          <w:szCs w:val="32"/>
          <w:lang w:val="zh-CN"/>
        </w:rPr>
        <w:t>1．项目管理中的职能。</w:t>
      </w:r>
      <w:r>
        <w:rPr>
          <w:rFonts w:hint="eastAsia" w:eastAsia="仿宋_GB2312"/>
          <w:sz w:val="32"/>
          <w:szCs w:val="32"/>
        </w:rPr>
        <w:t>我中心承担全区机关后勤服务性、事务性工作。为了保障攀枝花市西区政府的正常运行，需保障相关的</w:t>
      </w:r>
      <w:r>
        <w:rPr>
          <w:rFonts w:hint="eastAsia" w:ascii="Times New Roman" w:hAnsi="Times New Roman" w:eastAsia="仿宋_GB2312"/>
          <w:sz w:val="32"/>
          <w:szCs w:val="32"/>
          <w:lang w:eastAsia="zh-CN"/>
        </w:rPr>
        <w:t>保安执勤经费</w:t>
      </w:r>
      <w:r>
        <w:rPr>
          <w:rFonts w:hint="eastAsia" w:eastAsia="仿宋_GB2312"/>
          <w:sz w:val="32"/>
          <w:szCs w:val="32"/>
        </w:rPr>
        <w:t>。</w:t>
      </w:r>
    </w:p>
    <w:p>
      <w:pPr>
        <w:adjustRightInd w:val="0"/>
        <w:snapToGrid w:val="0"/>
        <w:spacing w:line="600" w:lineRule="exact"/>
        <w:ind w:firstLine="720"/>
        <w:rPr>
          <w:rFonts w:ascii="仿宋_GB2312" w:eastAsia="仿宋_GB2312"/>
          <w:sz w:val="32"/>
          <w:szCs w:val="32"/>
          <w:lang w:val="zh-CN"/>
        </w:rPr>
      </w:pPr>
      <w:r>
        <w:rPr>
          <w:rFonts w:hint="eastAsia" w:ascii="仿宋_GB2312" w:eastAsia="仿宋_GB2312"/>
          <w:sz w:val="32"/>
          <w:szCs w:val="32"/>
          <w:lang w:val="zh-CN"/>
        </w:rPr>
        <w:t>2.</w:t>
      </w:r>
      <w:r>
        <w:rPr>
          <w:rFonts w:hint="eastAsia" w:ascii="仿宋_GB2312" w:eastAsia="仿宋_GB2312"/>
          <w:sz w:val="32"/>
          <w:szCs w:val="32"/>
        </w:rPr>
        <w:t>项目立项依据是为了满足职工需求，保障全区机关单位工作正常开展，履行我中心后勤服务工作的职责；资金申报依据是根据公开招标的购买服务价格申报该项资金。</w:t>
      </w:r>
    </w:p>
    <w:p>
      <w:pPr>
        <w:adjustRightInd w:val="0"/>
        <w:snapToGrid w:val="0"/>
        <w:spacing w:line="600" w:lineRule="exact"/>
        <w:ind w:firstLine="720"/>
        <w:rPr>
          <w:rFonts w:ascii="仿宋_GB2312" w:eastAsia="仿宋_GB2312"/>
          <w:sz w:val="32"/>
          <w:szCs w:val="32"/>
          <w:lang w:val="zh-CN"/>
        </w:rPr>
      </w:pPr>
      <w:r>
        <w:rPr>
          <w:rFonts w:hint="eastAsia" w:ascii="仿宋_GB2312" w:eastAsia="仿宋_GB2312"/>
          <w:sz w:val="32"/>
          <w:szCs w:val="32"/>
          <w:lang w:val="zh-CN"/>
        </w:rPr>
        <w:t>3．</w:t>
      </w:r>
      <w:r>
        <w:rPr>
          <w:rFonts w:hint="eastAsia" w:ascii="仿宋_GB2312" w:eastAsia="仿宋_GB2312"/>
          <w:sz w:val="32"/>
          <w:szCs w:val="32"/>
        </w:rPr>
        <w:t>我中心根据有关规定，严格制定自己的资金管理办法，依法合规管好、用好资金，加强资金日常监管，杜绝挤占、截留和挪用。</w:t>
      </w:r>
    </w:p>
    <w:p>
      <w:pPr>
        <w:adjustRightInd w:val="0"/>
        <w:snapToGrid w:val="0"/>
        <w:spacing w:line="600" w:lineRule="exact"/>
        <w:ind w:firstLine="720"/>
        <w:rPr>
          <w:rFonts w:hint="eastAsia" w:ascii="仿宋" w:hAnsi="仿宋" w:eastAsia="仿宋" w:cs="仿宋_GB2312"/>
          <w:color w:val="000000"/>
          <w:sz w:val="32"/>
          <w:szCs w:val="32"/>
          <w:lang w:eastAsia="zh-CN"/>
        </w:rPr>
      </w:pPr>
      <w:r>
        <w:rPr>
          <w:rFonts w:hint="eastAsia" w:ascii="仿宋_GB2312" w:eastAsia="仿宋_GB2312"/>
          <w:sz w:val="32"/>
          <w:szCs w:val="32"/>
          <w:lang w:val="zh-CN"/>
        </w:rPr>
        <w:t xml:space="preserve">4. </w:t>
      </w:r>
      <w:r>
        <w:rPr>
          <w:rFonts w:hint="eastAsia" w:ascii="仿宋_GB2312" w:hAnsi="仿宋_GB2312" w:eastAsia="仿宋_GB2312" w:cs="仿宋_GB2312"/>
          <w:color w:val="000000"/>
          <w:sz w:val="32"/>
          <w:szCs w:val="32"/>
        </w:rPr>
        <w:t>资金分配围绕年初工作计划、重点工作、目标任务，并按照实施的时间顺序和优先顺序进行，拨付时间保障到位，确保年度各项工作和目标</w:t>
      </w:r>
      <w:r>
        <w:rPr>
          <w:rFonts w:hint="eastAsia" w:ascii="仿宋" w:hAnsi="仿宋" w:eastAsia="仿宋" w:cs="仿宋_GB2312"/>
          <w:color w:val="000000"/>
          <w:sz w:val="32"/>
          <w:szCs w:val="32"/>
        </w:rPr>
        <w:t>任务有序推进</w:t>
      </w:r>
      <w:r>
        <w:rPr>
          <w:rFonts w:hint="eastAsia" w:ascii="仿宋" w:hAnsi="仿宋" w:eastAsia="仿宋" w:cs="仿宋_GB2312"/>
          <w:color w:val="000000"/>
          <w:sz w:val="32"/>
          <w:szCs w:val="32"/>
          <w:lang w:eastAsia="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eastAsia="仿宋_GB2312"/>
          <w:sz w:val="32"/>
          <w:szCs w:val="32"/>
        </w:rPr>
      </w:pPr>
      <w:r>
        <w:rPr>
          <w:rFonts w:ascii="仿宋_GB2312" w:eastAsia="仿宋_GB2312"/>
          <w:sz w:val="32"/>
          <w:szCs w:val="32"/>
        </w:rPr>
        <w:t>1. 项目主要内</w:t>
      </w:r>
      <w:r>
        <w:rPr>
          <w:rFonts w:hint="eastAsia" w:ascii="仿宋_GB2312" w:eastAsia="仿宋_GB2312"/>
          <w:sz w:val="32"/>
          <w:szCs w:val="32"/>
        </w:rPr>
        <w:t>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在区委、区政府机关办公大楼，区纪委监委办公大楼、区人社局办公大楼、区档案馆等指定场所，开展门卫、巡逻、守护、安全检查以及安全技术防范、安全风险评估等服务。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sz w:val="32"/>
          <w:szCs w:val="32"/>
        </w:rPr>
      </w:pPr>
      <w:r>
        <w:rPr>
          <w:rFonts w:ascii="仿宋_GB2312" w:eastAsia="仿宋_GB2312"/>
          <w:sz w:val="32"/>
          <w:szCs w:val="32"/>
        </w:rPr>
        <w:t>2. 项目应实现的具体绩效目标</w:t>
      </w:r>
    </w:p>
    <w:p>
      <w:pPr>
        <w:spacing w:line="353" w:lineRule="auto"/>
        <w:ind w:firstLine="640" w:firstLineChars="200"/>
        <w:jc w:val="left"/>
        <w:rPr>
          <w:rFonts w:eastAsia="仿宋_GB2312"/>
          <w:sz w:val="32"/>
          <w:szCs w:val="32"/>
        </w:rPr>
      </w:pPr>
      <w:r>
        <w:rPr>
          <w:rFonts w:hint="eastAsia" w:ascii="Times New Roman" w:hAnsi="Times New Roman" w:eastAsia="仿宋_GB2312"/>
          <w:sz w:val="32"/>
          <w:szCs w:val="32"/>
          <w:lang w:eastAsia="zh-CN"/>
        </w:rPr>
        <w:t>保安执勤经费</w:t>
      </w:r>
      <w:r>
        <w:rPr>
          <w:rFonts w:hint="eastAsia" w:eastAsia="仿宋_GB2312"/>
          <w:sz w:val="32"/>
          <w:szCs w:val="32"/>
        </w:rPr>
        <w:t>保障了西区政府办公场所的正常运行，起到良好的社会效果，达到安全、有序的保障政府正常办公为绩效目标。该目标具有可考核性和实现性。</w:t>
      </w:r>
    </w:p>
    <w:p>
      <w:pPr>
        <w:adjustRightInd w:val="0"/>
        <w:snapToGrid w:val="0"/>
        <w:spacing w:line="600" w:lineRule="exact"/>
        <w:ind w:firstLine="720"/>
        <w:rPr>
          <w:rFonts w:ascii="仿宋_GB2312" w:eastAsia="仿宋_GB2312"/>
          <w:sz w:val="32"/>
          <w:szCs w:val="32"/>
        </w:rPr>
      </w:pPr>
      <w:r>
        <w:rPr>
          <w:rFonts w:ascii="仿宋_GB2312" w:eastAsia="仿宋_GB2312"/>
          <w:sz w:val="32"/>
          <w:szCs w:val="32"/>
        </w:rPr>
        <w:t>3. 分析评价申报内容与实际相符，申报目标合理可行。</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eastAsia="仿宋_GB2312"/>
          <w:sz w:val="32"/>
          <w:szCs w:val="32"/>
        </w:rPr>
      </w:pPr>
      <w:r>
        <w:rPr>
          <w:rFonts w:ascii="仿宋_GB2312" w:eastAsia="仿宋_GB2312"/>
          <w:sz w:val="32"/>
          <w:szCs w:val="32"/>
        </w:rPr>
        <w:t>机关事务服务中心根据财政支出绩效评价指标体系及项目的实际情况设计指标体系进行评价，组织相关</w:t>
      </w:r>
      <w:r>
        <w:rPr>
          <w:rFonts w:hint="eastAsia" w:ascii="仿宋_GB2312" w:eastAsia="仿宋_GB2312"/>
          <w:sz w:val="32"/>
          <w:szCs w:val="32"/>
        </w:rPr>
        <w:t>股</w:t>
      </w:r>
      <w:r>
        <w:rPr>
          <w:rFonts w:ascii="仿宋_GB2312" w:eastAsia="仿宋_GB2312"/>
          <w:sz w:val="32"/>
          <w:szCs w:val="32"/>
        </w:rPr>
        <w:t>室人员对本项目进行自评检查。</w:t>
      </w:r>
    </w:p>
    <w:p>
      <w:pPr>
        <w:adjustRightInd w:val="0"/>
        <w:snapToGrid w:val="0"/>
        <w:spacing w:line="600" w:lineRule="exact"/>
        <w:ind w:firstLine="720"/>
        <w:rPr>
          <w:rFonts w:ascii="仿宋_GB2312" w:eastAsia="仿宋_GB2312"/>
          <w:sz w:val="32"/>
          <w:szCs w:val="32"/>
        </w:rPr>
      </w:pPr>
      <w:r>
        <w:rPr>
          <w:rFonts w:ascii="仿宋_GB2312" w:eastAsia="仿宋_GB2312"/>
          <w:sz w:val="32"/>
          <w:szCs w:val="32"/>
        </w:rPr>
        <w:t>1. 资料收集。梳理项目资料，核实项目情况，统计项目数据。</w:t>
      </w:r>
    </w:p>
    <w:p>
      <w:pPr>
        <w:adjustRightInd w:val="0"/>
        <w:snapToGrid w:val="0"/>
        <w:spacing w:line="600" w:lineRule="exact"/>
        <w:ind w:firstLine="720"/>
        <w:rPr>
          <w:rFonts w:ascii="仿宋_GB2312" w:eastAsia="仿宋_GB2312"/>
          <w:sz w:val="32"/>
          <w:szCs w:val="32"/>
        </w:rPr>
      </w:pPr>
      <w:r>
        <w:rPr>
          <w:rFonts w:ascii="仿宋_GB2312" w:eastAsia="仿宋_GB2312"/>
          <w:sz w:val="32"/>
          <w:szCs w:val="32"/>
        </w:rPr>
        <w:t>2 绩效自评。根据资料收集的情况，按照区财政支出绩效评价指标体系，以定量与定性相结合的方式，对项目绩效情况进行判断，对项目存在的问题进行分析，对各项考评指标进行自评。</w:t>
      </w:r>
    </w:p>
    <w:p>
      <w:pPr>
        <w:adjustRightInd w:val="0"/>
        <w:snapToGrid w:val="0"/>
        <w:spacing w:line="600" w:lineRule="exact"/>
        <w:ind w:firstLine="720"/>
        <w:rPr>
          <w:rFonts w:ascii="仿宋_GB2312" w:eastAsia="仿宋_GB2312"/>
          <w:sz w:val="32"/>
          <w:szCs w:val="32"/>
        </w:rPr>
      </w:pPr>
      <w:r>
        <w:rPr>
          <w:rFonts w:ascii="仿宋_GB2312" w:eastAsia="仿宋_GB2312"/>
          <w:sz w:val="32"/>
          <w:szCs w:val="32"/>
        </w:rPr>
        <w:t>3. 撰写报告。结合项目定性与定量评价分析，得出自评结论，并撰写自评报告。</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（一）项目资金申报及批复情况</w:t>
      </w:r>
    </w:p>
    <w:p>
      <w:pPr>
        <w:spacing w:line="353" w:lineRule="auto"/>
        <w:ind w:firstLine="640" w:firstLineChars="200"/>
        <w:rPr>
          <w:rFonts w:eastAsia="仿宋_GB2312"/>
          <w:sz w:val="32"/>
          <w:szCs w:val="32"/>
        </w:rPr>
      </w:pPr>
      <w:r>
        <w:rPr>
          <w:rFonts w:eastAsia="仿宋_GB2312"/>
          <w:sz w:val="32"/>
          <w:szCs w:val="32"/>
        </w:rPr>
        <w:t>纳入本次评价的</w:t>
      </w:r>
      <w:r>
        <w:rPr>
          <w:rFonts w:hint="eastAsia" w:eastAsia="仿宋_GB2312"/>
          <w:sz w:val="32"/>
          <w:szCs w:val="32"/>
          <w:lang w:val="en-US" w:eastAsia="zh-CN"/>
        </w:rPr>
        <w:t>保安执勤经费</w:t>
      </w:r>
      <w:r>
        <w:rPr>
          <w:rFonts w:eastAsia="仿宋_GB2312"/>
          <w:sz w:val="32"/>
          <w:szCs w:val="32"/>
        </w:rPr>
        <w:t>费项目由区机关事务服务中心根据相关规定年初纳入部门预算，上报区财政局，由区财政局审核后出具正式预算批复（</w:t>
      </w:r>
      <w:r>
        <w:rPr>
          <w:rFonts w:eastAsia="仿宋_GB2312"/>
          <w:color w:val="000000"/>
          <w:sz w:val="32"/>
          <w:szCs w:val="32"/>
        </w:rPr>
        <w:t>攀西财〔2022〕</w:t>
      </w:r>
      <w:r>
        <w:rPr>
          <w:rFonts w:hint="eastAsia" w:eastAsia="仿宋_GB2312"/>
          <w:color w:val="000000"/>
          <w:sz w:val="32"/>
          <w:szCs w:val="32"/>
        </w:rPr>
        <w:t>101</w:t>
      </w:r>
      <w:r>
        <w:rPr>
          <w:rFonts w:eastAsia="仿宋_GB2312"/>
          <w:color w:val="000000"/>
          <w:sz w:val="32"/>
          <w:szCs w:val="32"/>
        </w:rPr>
        <w:t>号</w:t>
      </w:r>
      <w:r>
        <w:rPr>
          <w:rFonts w:eastAsia="仿宋_GB2312"/>
          <w:sz w:val="32"/>
          <w:szCs w:val="32"/>
        </w:rPr>
        <w:t>）。项目批复预算资金</w:t>
      </w:r>
      <w:r>
        <w:rPr>
          <w:rFonts w:hint="eastAsia" w:eastAsia="仿宋_GB2312"/>
          <w:sz w:val="32"/>
          <w:szCs w:val="32"/>
          <w:lang w:val="en-US" w:eastAsia="zh-CN"/>
        </w:rPr>
        <w:t>40</w:t>
      </w:r>
      <w:r>
        <w:rPr>
          <w:rFonts w:eastAsia="仿宋_GB2312"/>
          <w:sz w:val="32"/>
          <w:szCs w:val="32"/>
        </w:rPr>
        <w:t>万元，年底</w:t>
      </w:r>
      <w:bookmarkStart w:id="101" w:name="_GoBack"/>
      <w:bookmarkEnd w:id="101"/>
      <w:r>
        <w:rPr>
          <w:rFonts w:eastAsia="仿宋_GB2312"/>
          <w:sz w:val="32"/>
          <w:szCs w:val="32"/>
        </w:rPr>
        <w:t>据实结算。</w:t>
      </w:r>
    </w:p>
    <w:p>
      <w:pPr>
        <w:adjustRightInd w:val="0"/>
        <w:snapToGrid w:val="0"/>
        <w:spacing w:line="600" w:lineRule="exact"/>
        <w:ind w:firstLine="720"/>
        <w:rPr>
          <w:rFonts w:eastAsia="仿宋_GB2312"/>
          <w:sz w:val="32"/>
          <w:szCs w:val="32"/>
          <w:lang w:val="zh-CN"/>
        </w:rPr>
      </w:pPr>
      <w:r>
        <w:rPr>
          <w:rFonts w:eastAsia="楷体_GB2312"/>
          <w:b/>
          <w:sz w:val="32"/>
          <w:szCs w:val="32"/>
          <w:lang w:val="zh-CN"/>
        </w:rPr>
        <w:t>（二）资金计划、到位及使用情况</w:t>
      </w:r>
    </w:p>
    <w:p>
      <w:pPr>
        <w:adjustRightInd w:val="0"/>
        <w:snapToGrid w:val="0"/>
        <w:spacing w:line="600" w:lineRule="exact"/>
        <w:ind w:firstLine="720"/>
        <w:rPr>
          <w:rFonts w:eastAsia="楷体_GB2312"/>
          <w:sz w:val="32"/>
          <w:szCs w:val="32"/>
          <w:lang w:val="zh-CN"/>
        </w:rPr>
      </w:pPr>
      <w:r>
        <w:rPr>
          <w:rFonts w:eastAsia="楷体_GB2312"/>
          <w:sz w:val="32"/>
          <w:szCs w:val="32"/>
          <w:lang w:val="zh-CN"/>
        </w:rPr>
        <w:t>1．资金计划</w:t>
      </w:r>
    </w:p>
    <w:p>
      <w:pPr>
        <w:adjustRightInd w:val="0"/>
        <w:snapToGrid w:val="0"/>
        <w:spacing w:line="600" w:lineRule="exact"/>
        <w:ind w:firstLine="720"/>
        <w:rPr>
          <w:rFonts w:hint="eastAsia" w:eastAsia="仿宋_GB2312"/>
          <w:sz w:val="32"/>
          <w:szCs w:val="32"/>
          <w:lang w:eastAsia="zh-CN"/>
        </w:rPr>
      </w:pPr>
      <w:r>
        <w:rPr>
          <w:rFonts w:hint="eastAsia" w:ascii="Times New Roman" w:hAnsi="Times New Roman" w:eastAsia="仿宋_GB2312"/>
          <w:sz w:val="32"/>
          <w:szCs w:val="32"/>
          <w:lang w:eastAsia="zh-CN"/>
        </w:rPr>
        <w:t>保安执勤经费</w:t>
      </w:r>
      <w:r>
        <w:rPr>
          <w:rFonts w:hint="eastAsia" w:ascii="Times New Roman" w:hAnsi="Times New Roman" w:eastAsia="仿宋_GB2312" w:cs="Times New Roman"/>
          <w:sz w:val="32"/>
          <w:szCs w:val="32"/>
        </w:rPr>
        <w:t>资金申报依据是根据公开招标的购买服务价格，</w:t>
      </w:r>
      <w:r>
        <w:rPr>
          <w:rFonts w:hint="eastAsia" w:eastAsia="仿宋_GB2312" w:cs="Times New Roman"/>
          <w:sz w:val="32"/>
          <w:szCs w:val="32"/>
          <w:lang w:eastAsia="zh-CN"/>
        </w:rPr>
        <w:t>保障</w:t>
      </w:r>
      <w:r>
        <w:rPr>
          <w:rFonts w:hint="eastAsia" w:ascii="Times New Roman" w:hAnsi="Times New Roman" w:eastAsia="仿宋_GB2312" w:cs="Times New Roman"/>
          <w:sz w:val="32"/>
          <w:szCs w:val="32"/>
        </w:rPr>
        <w:t>23</w:t>
      </w:r>
      <w:r>
        <w:rPr>
          <w:rFonts w:hint="eastAsia" w:eastAsia="仿宋_GB2312" w:cs="Times New Roman"/>
          <w:sz w:val="32"/>
          <w:szCs w:val="32"/>
          <w:lang w:eastAsia="zh-CN"/>
        </w:rPr>
        <w:t>名安保员的执勤经费。</w:t>
      </w:r>
    </w:p>
    <w:p>
      <w:pPr>
        <w:adjustRightInd w:val="0"/>
        <w:snapToGrid w:val="0"/>
        <w:spacing w:line="600" w:lineRule="exact"/>
        <w:ind w:firstLine="720"/>
        <w:rPr>
          <w:rFonts w:eastAsia="楷体_GB2312"/>
          <w:sz w:val="32"/>
          <w:szCs w:val="32"/>
          <w:lang w:val="zh-CN"/>
        </w:rPr>
      </w:pPr>
      <w:r>
        <w:rPr>
          <w:rFonts w:eastAsia="楷体_GB2312"/>
          <w:sz w:val="32"/>
          <w:szCs w:val="32"/>
          <w:lang w:val="zh-CN"/>
        </w:rPr>
        <w:t>2．资金到位</w:t>
      </w:r>
    </w:p>
    <w:p>
      <w:pPr>
        <w:adjustRightInd w:val="0"/>
        <w:snapToGrid w:val="0"/>
        <w:spacing w:line="600" w:lineRule="exact"/>
        <w:ind w:firstLine="720"/>
        <w:rPr>
          <w:rFonts w:eastAsia="仿宋_GB2312"/>
          <w:sz w:val="32"/>
          <w:szCs w:val="32"/>
          <w:lang w:val="zh-CN"/>
        </w:rPr>
      </w:pPr>
      <w:r>
        <w:rPr>
          <w:rFonts w:hint="eastAsia" w:eastAsia="楷体_GB2312"/>
          <w:sz w:val="32"/>
          <w:szCs w:val="32"/>
          <w:lang w:val="zh-CN"/>
        </w:rPr>
        <w:t>2</w:t>
      </w:r>
      <w:r>
        <w:rPr>
          <w:rFonts w:eastAsia="楷体_GB2312"/>
          <w:sz w:val="32"/>
          <w:szCs w:val="32"/>
          <w:lang w:val="zh-CN"/>
        </w:rPr>
        <w:t>022</w:t>
      </w:r>
      <w:r>
        <w:rPr>
          <w:rFonts w:hint="eastAsia" w:eastAsia="楷体_GB2312"/>
          <w:sz w:val="32"/>
          <w:szCs w:val="32"/>
          <w:lang w:val="zh-CN"/>
        </w:rPr>
        <w:t>年年初区财政</w:t>
      </w:r>
      <w:r>
        <w:rPr>
          <w:rFonts w:eastAsia="仿宋_GB2312"/>
          <w:sz w:val="32"/>
          <w:szCs w:val="32"/>
        </w:rPr>
        <w:t>批复</w:t>
      </w:r>
      <w:r>
        <w:rPr>
          <w:rFonts w:hint="eastAsia" w:eastAsia="仿宋_GB2312"/>
          <w:sz w:val="32"/>
          <w:szCs w:val="32"/>
        </w:rPr>
        <w:t>该项目</w:t>
      </w:r>
      <w:r>
        <w:rPr>
          <w:rFonts w:eastAsia="仿宋_GB2312"/>
          <w:sz w:val="32"/>
          <w:szCs w:val="32"/>
        </w:rPr>
        <w:t>预算资金</w:t>
      </w:r>
      <w:r>
        <w:rPr>
          <w:rFonts w:hint="eastAsia" w:eastAsia="仿宋_GB2312"/>
          <w:sz w:val="32"/>
          <w:szCs w:val="32"/>
          <w:lang w:val="en-US" w:eastAsia="zh-CN"/>
        </w:rPr>
        <w:t>40</w:t>
      </w:r>
      <w:r>
        <w:rPr>
          <w:rFonts w:eastAsia="仿宋_GB2312"/>
          <w:sz w:val="32"/>
          <w:szCs w:val="32"/>
        </w:rPr>
        <w:t>万元</w:t>
      </w:r>
      <w:r>
        <w:rPr>
          <w:rFonts w:hint="eastAsia" w:eastAsia="仿宋_GB2312"/>
          <w:sz w:val="32"/>
          <w:szCs w:val="32"/>
        </w:rPr>
        <w:t>。</w:t>
      </w:r>
      <w:r>
        <w:rPr>
          <w:rFonts w:hint="eastAsia" w:eastAsia="仿宋_GB2312"/>
          <w:sz w:val="32"/>
          <w:szCs w:val="32"/>
          <w:lang w:val="zh-CN"/>
        </w:rPr>
        <w:t xml:space="preserve"> </w:t>
      </w:r>
    </w:p>
    <w:p>
      <w:pPr>
        <w:adjustRightInd w:val="0"/>
        <w:snapToGrid w:val="0"/>
        <w:spacing w:line="600" w:lineRule="exact"/>
        <w:ind w:firstLine="720"/>
        <w:rPr>
          <w:rFonts w:eastAsia="仿宋_GB2312"/>
          <w:sz w:val="32"/>
          <w:szCs w:val="32"/>
          <w:lang w:val="zh-CN"/>
        </w:rPr>
      </w:pPr>
      <w:r>
        <w:rPr>
          <w:rFonts w:eastAsia="楷体_GB2312"/>
          <w:sz w:val="32"/>
          <w:szCs w:val="32"/>
          <w:lang w:val="zh-CN"/>
        </w:rPr>
        <w:t>3．资金使用</w:t>
      </w:r>
    </w:p>
    <w:p>
      <w:pPr>
        <w:spacing w:line="353" w:lineRule="auto"/>
        <w:ind w:firstLine="640" w:firstLineChars="200"/>
        <w:rPr>
          <w:rFonts w:hint="eastAsia" w:eastAsia="仿宋_GB2312"/>
          <w:sz w:val="32"/>
          <w:szCs w:val="32"/>
          <w:lang w:eastAsia="zh-CN"/>
        </w:rPr>
      </w:pPr>
      <w:r>
        <w:rPr>
          <w:rFonts w:hint="eastAsia" w:eastAsia="仿宋_GB2312"/>
          <w:sz w:val="32"/>
          <w:szCs w:val="32"/>
        </w:rPr>
        <w:t>202</w:t>
      </w:r>
      <w:r>
        <w:rPr>
          <w:rFonts w:eastAsia="仿宋_GB2312"/>
          <w:sz w:val="32"/>
          <w:szCs w:val="32"/>
        </w:rPr>
        <w:t>2</w:t>
      </w:r>
      <w:r>
        <w:rPr>
          <w:rFonts w:hint="eastAsia" w:eastAsia="仿宋_GB2312"/>
          <w:sz w:val="32"/>
          <w:szCs w:val="32"/>
        </w:rPr>
        <w:t> 年政府办公楼日常维护经费项目总支出</w:t>
      </w:r>
      <w:r>
        <w:rPr>
          <w:rFonts w:hint="eastAsia" w:eastAsia="仿宋_GB2312"/>
          <w:sz w:val="32"/>
          <w:szCs w:val="32"/>
          <w:lang w:val="en-US" w:eastAsia="zh-CN"/>
        </w:rPr>
        <w:t>116.28</w:t>
      </w:r>
      <w:r>
        <w:rPr>
          <w:rFonts w:hint="eastAsia" w:eastAsia="仿宋_GB2312"/>
          <w:sz w:val="32"/>
          <w:szCs w:val="32"/>
        </w:rPr>
        <w:t>万元，</w:t>
      </w:r>
      <w:r>
        <w:rPr>
          <w:rFonts w:hint="eastAsia" w:eastAsia="仿宋_GB2312"/>
          <w:sz w:val="32"/>
          <w:szCs w:val="32"/>
          <w:lang w:val="en-US" w:eastAsia="zh-CN"/>
        </w:rPr>
        <w:t>追加保安执勤经费76.28万元。</w:t>
      </w:r>
    </w:p>
    <w:p>
      <w:pPr>
        <w:adjustRightInd w:val="0"/>
        <w:snapToGrid w:val="0"/>
        <w:spacing w:line="578" w:lineRule="exact"/>
        <w:ind w:firstLine="720"/>
        <w:rPr>
          <w:rFonts w:eastAsia="仿宋_GB2312"/>
          <w:sz w:val="32"/>
          <w:szCs w:val="32"/>
          <w:lang w:val="zh-CN"/>
        </w:rPr>
      </w:pPr>
      <w:r>
        <w:rPr>
          <w:rFonts w:eastAsia="仿宋_GB2312"/>
          <w:sz w:val="32"/>
          <w:szCs w:val="32"/>
          <w:lang w:val="zh-CN"/>
        </w:rPr>
        <w:t>资金支付范围、支付标准、支付进度、支付依据等</w:t>
      </w:r>
      <w:r>
        <w:rPr>
          <w:rFonts w:hint="eastAsia" w:eastAsia="仿宋_GB2312"/>
          <w:sz w:val="32"/>
          <w:szCs w:val="32"/>
          <w:lang w:val="zh-CN"/>
        </w:rPr>
        <w:t>都</w:t>
      </w:r>
      <w:r>
        <w:rPr>
          <w:rFonts w:eastAsia="仿宋_GB2312"/>
          <w:sz w:val="32"/>
          <w:szCs w:val="32"/>
          <w:lang w:val="zh-CN"/>
        </w:rPr>
        <w:t>合规合法、与预算相符</w:t>
      </w:r>
      <w:r>
        <w:rPr>
          <w:rFonts w:hint="eastAsia" w:eastAsia="仿宋_GB2312"/>
          <w:sz w:val="32"/>
          <w:szCs w:val="32"/>
          <w:lang w:val="zh-CN"/>
        </w:rPr>
        <w:t>。</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hint="eastAsia" w:eastAsia="宋体"/>
          <w:lang w:eastAsia="zh-CN"/>
        </w:rPr>
      </w:pPr>
      <w:r>
        <w:rPr>
          <w:rFonts w:eastAsia="仿宋_GB2312"/>
          <w:sz w:val="32"/>
          <w:szCs w:val="32"/>
        </w:rPr>
        <w:t>项目经费严格按照单位的财务制度和预算支出范围的使用。</w:t>
      </w:r>
      <w:r>
        <w:rPr>
          <w:rFonts w:hint="eastAsia" w:eastAsia="仿宋_GB2312"/>
          <w:sz w:val="32"/>
          <w:szCs w:val="32"/>
        </w:rPr>
        <w:t>单位财务管理制度健全</w:t>
      </w:r>
      <w:r>
        <w:rPr>
          <w:rFonts w:eastAsia="仿宋_GB2312"/>
          <w:sz w:val="32"/>
          <w:szCs w:val="32"/>
        </w:rPr>
        <w:t>，按照项目计划安排和实际工作情况开支，做到了专款专用，经费均按照</w:t>
      </w:r>
      <w:r>
        <w:rPr>
          <w:rFonts w:hint="eastAsia" w:eastAsia="仿宋_GB2312"/>
          <w:sz w:val="32"/>
          <w:szCs w:val="32"/>
        </w:rPr>
        <w:t>攀枝花市西区</w:t>
      </w:r>
      <w:r>
        <w:rPr>
          <w:rFonts w:eastAsia="仿宋_GB2312"/>
          <w:sz w:val="32"/>
          <w:szCs w:val="32"/>
        </w:rPr>
        <w:t>财政局印发有关文件、通知精神执行。</w:t>
      </w:r>
    </w:p>
    <w:p>
      <w:pPr>
        <w:adjustRightInd w:val="0"/>
        <w:snapToGrid w:val="0"/>
        <w:spacing w:line="600" w:lineRule="exact"/>
        <w:ind w:firstLine="720"/>
        <w:rPr>
          <w:rFonts w:eastAsia="黑体"/>
          <w:sz w:val="32"/>
          <w:szCs w:val="32"/>
        </w:rPr>
      </w:pPr>
      <w:r>
        <w:rPr>
          <w:rFonts w:eastAsia="黑体"/>
          <w:sz w:val="32"/>
          <w:szCs w:val="32"/>
        </w:rPr>
        <w:t>三、项目实施及管理情况</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加强对保安公司及派驻保安人员的管理，严格工作作风和工作纪律，实行工作考核，提高保安服务质量，保证政府机关公共财产不受损失，维护政府正常办公秩序。</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保安人员派驻到政府指定岗位后，保安公司应依据《公司保安人员岗位服务细则》及相关规定加强对保安人员履行职责情况的日常管理，并做好相关记录。对保安人员服务不规范、工作落实不到位的地方应及时指出并要求纠正;同时对不能胜任本职工作的保安人员以及违反《公司保安人员岗位服务细则》的保安人员，被派驻单位可以要求保安公司撤换保安人员。</w:t>
      </w:r>
    </w:p>
    <w:p>
      <w:pPr>
        <w:ind w:firstLine="640" w:firstLineChars="200"/>
        <w:rPr>
          <w:rFonts w:ascii="仿宋_GB2312" w:eastAsia="仿宋_GB2312"/>
          <w:sz w:val="32"/>
          <w:szCs w:val="32"/>
          <w:highlight w:val="yellow"/>
        </w:rPr>
      </w:pPr>
      <w:r>
        <w:rPr>
          <w:rFonts w:hint="eastAsia" w:ascii="Times New Roman" w:hAnsi="Times New Roman" w:eastAsia="仿宋_GB2312" w:cs="Times New Roman"/>
          <w:sz w:val="32"/>
          <w:szCs w:val="32"/>
        </w:rPr>
        <w:t>2.派驻保安人员履行职责不到位的认定，由派驻单位或相关纪检部门检查人员及保安人员本人签字确认;保安人员本人拒绝签字的，由派驻单位检查人员和分管领导签字加盖单位公章确认;相关纪检部门检查的，由检查人员签字或依据检查部门的情况通报确认。</w:t>
      </w:r>
    </w:p>
    <w:p>
      <w:pPr>
        <w:adjustRightInd w:val="0"/>
        <w:snapToGrid w:val="0"/>
        <w:spacing w:line="600" w:lineRule="exact"/>
        <w:ind w:firstLine="720"/>
        <w:rPr>
          <w:rFonts w:eastAsia="仿宋_GB2312"/>
          <w:sz w:val="32"/>
          <w:szCs w:val="32"/>
          <w:highlight w:val="none"/>
          <w:lang w:val="zh-CN"/>
        </w:rPr>
      </w:pPr>
      <w:r>
        <w:rPr>
          <w:rFonts w:eastAsia="黑体"/>
          <w:sz w:val="32"/>
          <w:szCs w:val="32"/>
          <w:highlight w:val="none"/>
        </w:rPr>
        <w:t>四、项目绩效情况</w:t>
      </w:r>
      <w:r>
        <w:rPr>
          <w:rFonts w:eastAsia="仿宋_GB2312"/>
          <w:sz w:val="32"/>
          <w:szCs w:val="32"/>
          <w:highlight w:val="none"/>
          <w:lang w:val="zh-CN"/>
        </w:rPr>
        <w:tab/>
      </w:r>
    </w:p>
    <w:p>
      <w:pPr>
        <w:adjustRightInd w:val="0"/>
        <w:snapToGrid w:val="0"/>
        <w:spacing w:line="600" w:lineRule="exact"/>
        <w:ind w:firstLine="720"/>
        <w:rPr>
          <w:rFonts w:eastAsia="楷体_GB2312"/>
          <w:b/>
          <w:sz w:val="32"/>
          <w:szCs w:val="32"/>
          <w:highlight w:val="none"/>
          <w:lang w:val="zh-CN"/>
        </w:rPr>
      </w:pPr>
      <w:r>
        <w:rPr>
          <w:rFonts w:eastAsia="楷体_GB2312"/>
          <w:b/>
          <w:sz w:val="32"/>
          <w:szCs w:val="32"/>
          <w:highlight w:val="none"/>
          <w:lang w:val="zh-CN"/>
        </w:rPr>
        <w:t>（一）项目完成情况</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保安执勤经费是为了维持</w:t>
      </w:r>
      <w:r>
        <w:rPr>
          <w:rFonts w:ascii="Times New Roman" w:hAnsi="Times New Roman" w:eastAsia="仿宋_GB2312" w:cs="Times New Roman"/>
          <w:sz w:val="32"/>
          <w:szCs w:val="32"/>
        </w:rPr>
        <w:t>办公区域治安秩序</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保障全区机关单位工作正常</w:t>
      </w:r>
      <w:r>
        <w:rPr>
          <w:rFonts w:hint="eastAsia" w:ascii="Times New Roman" w:hAnsi="Times New Roman" w:eastAsia="仿宋_GB2312" w:cs="Times New Roman"/>
          <w:sz w:val="32"/>
          <w:szCs w:val="32"/>
        </w:rPr>
        <w:t>开展</w:t>
      </w:r>
      <w:r>
        <w:rPr>
          <w:rFonts w:ascii="Times New Roman" w:hAnsi="Times New Roman" w:eastAsia="仿宋_GB2312" w:cs="Times New Roman"/>
          <w:sz w:val="32"/>
          <w:szCs w:val="32"/>
        </w:rPr>
        <w:t>设立的，</w:t>
      </w:r>
      <w:r>
        <w:rPr>
          <w:rFonts w:hint="eastAsia" w:ascii="Times New Roman" w:hAnsi="Times New Roman" w:eastAsia="仿宋_GB2312" w:cs="Times New Roman"/>
          <w:sz w:val="32"/>
          <w:szCs w:val="32"/>
        </w:rPr>
        <w:t>保安</w:t>
      </w:r>
      <w:r>
        <w:rPr>
          <w:rFonts w:ascii="Times New Roman" w:hAnsi="Times New Roman" w:eastAsia="仿宋_GB2312" w:cs="Times New Roman"/>
          <w:sz w:val="32"/>
          <w:szCs w:val="32"/>
        </w:rPr>
        <w:t>执勤经费在具体实施中也是严格按照批复项目的用途使用，达到定性和定量目标。</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（二）项目效益情况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仿宋_GB2312" w:eastAsia="仿宋_GB2312" w:cs="仿宋_GB2312"/>
          <w:sz w:val="32"/>
          <w:szCs w:val="32"/>
        </w:rPr>
        <w:t>解决了政府办公大楼的治安秩序问题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收到了良好的社会效益。 </w:t>
      </w:r>
    </w:p>
    <w:p>
      <w:pPr>
        <w:adjustRightInd w:val="0"/>
        <w:snapToGrid w:val="0"/>
        <w:spacing w:line="600" w:lineRule="exact"/>
        <w:ind w:firstLine="720"/>
        <w:rPr>
          <w:rFonts w:eastAsia="黑体"/>
          <w:sz w:val="32"/>
          <w:szCs w:val="32"/>
        </w:rPr>
      </w:pPr>
      <w:r>
        <w:rPr>
          <w:rFonts w:eastAsia="黑体"/>
          <w:sz w:val="32"/>
          <w:szCs w:val="32"/>
        </w:rPr>
        <w:t>五、评价结论及建议</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（一）评价结论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bCs/>
          <w:sz w:val="32"/>
          <w:szCs w:val="32"/>
        </w:rPr>
      </w:pPr>
      <w:r>
        <w:rPr>
          <w:rFonts w:ascii="Times New Roman" w:hAnsi="Times New Roman" w:eastAsia="仿宋_GB2312" w:cs="Times New Roman"/>
          <w:sz w:val="32"/>
          <w:szCs w:val="32"/>
        </w:rPr>
        <w:t>保安执勤经费是区机关事业单位正常运行必不可少的项目</w:t>
      </w:r>
      <w:r>
        <w:rPr>
          <w:rFonts w:hint="eastAsia" w:ascii="Times New Roman" w:hAnsi="Times New Roman" w:eastAsia="仿宋_GB2312" w:cs="Times New Roman"/>
          <w:sz w:val="32"/>
          <w:szCs w:val="32"/>
        </w:rPr>
        <w:t>，预期产出和效果能满足待该项目的需求，</w:t>
      </w:r>
      <w:r>
        <w:rPr>
          <w:rFonts w:ascii="Times New Roman" w:hAnsi="Times New Roman" w:eastAsia="仿宋_GB2312" w:cs="Times New Roman"/>
          <w:sz w:val="32"/>
          <w:szCs w:val="32"/>
        </w:rPr>
        <w:t>全力支持该项目</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无</w:t>
      </w:r>
      <w:r>
        <w:rPr>
          <w:rFonts w:ascii="Times New Roman" w:hAnsi="Times New Roman" w:eastAsia="仿宋_GB2312" w:cs="Times New Roman"/>
          <w:bCs/>
          <w:sz w:val="32"/>
          <w:szCs w:val="32"/>
        </w:rPr>
        <w:t>核减预算安排</w:t>
      </w:r>
      <w:r>
        <w:rPr>
          <w:rFonts w:hint="eastAsia" w:ascii="Times New Roman" w:hAnsi="Times New Roman" w:eastAsia="仿宋_GB2312" w:cs="Times New Roman"/>
          <w:bCs/>
          <w:sz w:val="32"/>
          <w:szCs w:val="32"/>
        </w:rPr>
        <w:t>。</w:t>
      </w:r>
    </w:p>
    <w:p>
      <w:pPr>
        <w:adjustRightInd w:val="0"/>
        <w:snapToGrid w:val="0"/>
        <w:spacing w:line="600" w:lineRule="exact"/>
        <w:ind w:firstLine="321" w:firstLineChars="100"/>
        <w:rPr>
          <w:rFonts w:eastAsia="楷体_GB2312"/>
          <w:b/>
          <w:sz w:val="32"/>
          <w:szCs w:val="32"/>
          <w:lang w:val="zh-CN"/>
        </w:rPr>
      </w:pPr>
      <w:r>
        <w:rPr>
          <w:rFonts w:eastAsia="楷体_GB2312"/>
          <w:b/>
          <w:sz w:val="32"/>
          <w:szCs w:val="32"/>
          <w:lang w:val="zh-CN"/>
        </w:rPr>
        <w:t>（二）存在的问题</w:t>
      </w:r>
    </w:p>
    <w:p>
      <w:pPr>
        <w:adjustRightInd w:val="0"/>
        <w:snapToGrid w:val="0"/>
        <w:spacing w:line="600" w:lineRule="exact"/>
        <w:ind w:firstLine="640" w:firstLineChars="200"/>
        <w:rPr>
          <w:rFonts w:eastAsia="仿宋_GB2312"/>
          <w:sz w:val="32"/>
          <w:szCs w:val="32"/>
          <w:lang w:val="zh-CN"/>
        </w:rPr>
      </w:pPr>
      <w:r>
        <w:rPr>
          <w:rFonts w:hint="eastAsia" w:eastAsia="仿宋_GB2312"/>
          <w:sz w:val="32"/>
          <w:szCs w:val="32"/>
        </w:rPr>
        <w:t>202</w:t>
      </w:r>
      <w:r>
        <w:rPr>
          <w:rFonts w:eastAsia="仿宋_GB2312"/>
          <w:sz w:val="32"/>
          <w:szCs w:val="32"/>
        </w:rPr>
        <w:t>2</w:t>
      </w:r>
      <w:r>
        <w:rPr>
          <w:rFonts w:hint="eastAsia" w:eastAsia="仿宋_GB2312"/>
          <w:sz w:val="32"/>
          <w:szCs w:val="32"/>
        </w:rPr>
        <w:t>年</w:t>
      </w:r>
      <w:r>
        <w:rPr>
          <w:rFonts w:ascii="Times New Roman" w:hAnsi="Times New Roman" w:eastAsia="仿宋_GB2312" w:cs="Times New Roman"/>
          <w:sz w:val="32"/>
          <w:szCs w:val="32"/>
        </w:rPr>
        <w:t>保安执勤</w:t>
      </w:r>
      <w:r>
        <w:rPr>
          <w:rFonts w:eastAsia="仿宋_GB2312"/>
          <w:sz w:val="32"/>
          <w:szCs w:val="32"/>
        </w:rPr>
        <w:t>工作本着严谨、高效、及财政资金效益最大化的目标有序展开，工作虽取得了一定成效，但与上级的要求相比，与部门和群众的期望相比，还有一定差距，我们将在以后的工作中努力加以解决和改进</w:t>
      </w:r>
      <w:r>
        <w:rPr>
          <w:rFonts w:hint="eastAsia" w:eastAsia="仿宋_GB2312"/>
          <w:sz w:val="32"/>
          <w:szCs w:val="32"/>
        </w:rPr>
        <w:t>。</w:t>
      </w:r>
      <w:r>
        <w:rPr>
          <w:rFonts w:eastAsia="仿宋_GB2312"/>
          <w:sz w:val="32"/>
          <w:szCs w:val="32"/>
          <w:lang w:val="zh-CN"/>
        </w:rPr>
        <w:tab/>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（三）相关建议</w:t>
      </w:r>
    </w:p>
    <w:p>
      <w:pPr>
        <w:spacing w:line="353" w:lineRule="auto"/>
        <w:ind w:firstLine="640" w:firstLineChars="200"/>
        <w:rPr>
          <w:rFonts w:eastAsia="仿宋_GB2312"/>
          <w:sz w:val="32"/>
          <w:szCs w:val="32"/>
        </w:rPr>
      </w:pPr>
      <w:r>
        <w:rPr>
          <w:rFonts w:hint="eastAsia" w:eastAsia="仿宋_GB2312"/>
          <w:sz w:val="32"/>
          <w:szCs w:val="32"/>
        </w:rPr>
        <w:t>今后我中心将统筹项目预算编制、项目预算管理、项目预算执行和项目绩效评价工作，建立“项目预算编制有目标、项目预算执行有监控、项目预算完成有评价、项目评价结果有反馈、项目反馈结果有应用”的全过程项目预算绩效管理机制，真正做到“用钱要问效，无效必问责”。</w:t>
      </w:r>
    </w:p>
    <w:p>
      <w:pPr>
        <w:spacing w:line="600" w:lineRule="exact"/>
        <w:jc w:val="center"/>
        <w:outlineLvl w:val="9"/>
        <w:rPr>
          <w:rFonts w:ascii="黑体" w:hAnsi="黑体" w:eastAsia="黑体"/>
          <w:sz w:val="44"/>
          <w:szCs w:val="44"/>
        </w:rPr>
      </w:pPr>
    </w:p>
    <w:p>
      <w:pPr>
        <w:pStyle w:val="2"/>
        <w:spacing w:before="93"/>
      </w:pPr>
      <w:r>
        <w:br w:type="page"/>
      </w:r>
    </w:p>
    <w:p>
      <w:pPr>
        <w:spacing w:line="600" w:lineRule="exact"/>
        <w:jc w:val="both"/>
        <w:outlineLvl w:val="9"/>
        <w:rPr>
          <w:rFonts w:ascii="黑体" w:hAnsi="黑体" w:eastAsia="黑体"/>
          <w:sz w:val="44"/>
          <w:szCs w:val="44"/>
        </w:rPr>
      </w:pPr>
    </w:p>
    <w:p>
      <w:pPr>
        <w:spacing w:line="600" w:lineRule="exact"/>
        <w:jc w:val="center"/>
        <w:outlineLvl w:val="0"/>
        <w:rPr>
          <w:rFonts w:ascii="仿宋" w:hAnsi="仿宋" w:eastAsia="仿宋"/>
        </w:rPr>
      </w:pPr>
      <w:bookmarkStart w:id="74" w:name="_Toc28610"/>
      <w:r>
        <w:rPr>
          <w:rFonts w:hint="eastAsia" w:ascii="黑体" w:hAnsi="黑体" w:eastAsia="黑体"/>
          <w:sz w:val="44"/>
          <w:szCs w:val="44"/>
        </w:rPr>
        <w:t>第</w:t>
      </w:r>
      <w:r>
        <w:rPr>
          <w:rStyle w:val="30"/>
          <w:rFonts w:hint="eastAsia" w:ascii="黑体" w:hAnsi="黑体" w:eastAsia="黑体"/>
          <w:b w:val="0"/>
        </w:rPr>
        <w:t>五部分 附表</w:t>
      </w:r>
      <w:bookmarkEnd w:id="69"/>
      <w:bookmarkEnd w:id="73"/>
      <w:bookmarkEnd w:id="74"/>
      <w:bookmarkStart w:id="75" w:name="_Toc15396619"/>
    </w:p>
    <w:p>
      <w:pPr>
        <w:pStyle w:val="4"/>
        <w:rPr>
          <w:rFonts w:ascii="仿宋" w:hAnsi="仿宋" w:eastAsia="仿宋"/>
        </w:rPr>
      </w:pPr>
      <w:bookmarkStart w:id="76" w:name="_Toc19097"/>
      <w:r>
        <w:rPr>
          <w:rFonts w:hint="eastAsia" w:ascii="仿宋" w:hAnsi="仿宋" w:eastAsia="仿宋"/>
          <w:b w:val="0"/>
        </w:rPr>
        <w:t>一、收</w:t>
      </w:r>
      <w:r>
        <w:rPr>
          <w:rStyle w:val="31"/>
          <w:rFonts w:hint="eastAsia" w:ascii="仿宋" w:hAnsi="仿宋" w:eastAsia="仿宋"/>
          <w:b w:val="0"/>
          <w:bCs w:val="0"/>
        </w:rPr>
        <w:t>入支出决算总表</w:t>
      </w:r>
      <w:bookmarkEnd w:id="75"/>
      <w:bookmarkEnd w:id="76"/>
    </w:p>
    <w:p>
      <w:pPr>
        <w:pStyle w:val="4"/>
        <w:rPr>
          <w:rFonts w:ascii="仿宋" w:hAnsi="仿宋" w:eastAsia="仿宋"/>
        </w:rPr>
      </w:pPr>
      <w:bookmarkStart w:id="77" w:name="_Toc8897"/>
      <w:bookmarkStart w:id="78" w:name="_Toc15396620"/>
      <w:r>
        <w:rPr>
          <w:rFonts w:hint="eastAsia" w:ascii="仿宋" w:hAnsi="仿宋" w:eastAsia="仿宋"/>
          <w:b w:val="0"/>
        </w:rPr>
        <w:t>二、收</w:t>
      </w:r>
      <w:r>
        <w:rPr>
          <w:rStyle w:val="31"/>
          <w:rFonts w:hint="eastAsia" w:ascii="仿宋" w:hAnsi="仿宋" w:eastAsia="仿宋"/>
          <w:b w:val="0"/>
          <w:bCs w:val="0"/>
        </w:rPr>
        <w:t>入决算表</w:t>
      </w:r>
      <w:bookmarkEnd w:id="77"/>
      <w:bookmarkEnd w:id="78"/>
    </w:p>
    <w:p>
      <w:pPr>
        <w:pStyle w:val="4"/>
        <w:rPr>
          <w:rFonts w:ascii="仿宋" w:hAnsi="仿宋" w:eastAsia="仿宋"/>
        </w:rPr>
      </w:pPr>
      <w:bookmarkStart w:id="79" w:name="_Toc15396621"/>
      <w:bookmarkStart w:id="80" w:name="_Toc1519"/>
      <w:r>
        <w:rPr>
          <w:rStyle w:val="31"/>
          <w:rFonts w:hint="eastAsia" w:ascii="仿宋" w:hAnsi="仿宋" w:eastAsia="仿宋"/>
          <w:b w:val="0"/>
          <w:bCs w:val="0"/>
        </w:rPr>
        <w:t>三、</w:t>
      </w:r>
      <w:r>
        <w:rPr>
          <w:rFonts w:hint="eastAsia" w:ascii="仿宋" w:hAnsi="仿宋" w:eastAsia="仿宋"/>
          <w:b w:val="0"/>
        </w:rPr>
        <w:t>支</w:t>
      </w:r>
      <w:r>
        <w:rPr>
          <w:rStyle w:val="31"/>
          <w:rFonts w:hint="eastAsia" w:ascii="仿宋" w:hAnsi="仿宋" w:eastAsia="仿宋"/>
          <w:b w:val="0"/>
          <w:bCs w:val="0"/>
        </w:rPr>
        <w:t>出决算表</w:t>
      </w:r>
      <w:bookmarkEnd w:id="79"/>
      <w:bookmarkEnd w:id="80"/>
    </w:p>
    <w:p>
      <w:pPr>
        <w:pStyle w:val="4"/>
        <w:rPr>
          <w:rFonts w:ascii="仿宋" w:hAnsi="仿宋" w:eastAsia="仿宋"/>
          <w:b w:val="0"/>
        </w:rPr>
      </w:pPr>
      <w:bookmarkStart w:id="81" w:name="_Toc26721"/>
      <w:bookmarkStart w:id="82" w:name="_Toc15396622"/>
      <w:r>
        <w:rPr>
          <w:rStyle w:val="31"/>
          <w:rFonts w:hint="eastAsia" w:ascii="仿宋" w:hAnsi="仿宋" w:eastAsia="仿宋"/>
          <w:b w:val="0"/>
          <w:bCs w:val="0"/>
        </w:rPr>
        <w:t>四、</w:t>
      </w:r>
      <w:r>
        <w:rPr>
          <w:rFonts w:hint="eastAsia" w:ascii="仿宋" w:hAnsi="仿宋" w:eastAsia="仿宋"/>
          <w:b w:val="0"/>
        </w:rPr>
        <w:t>财</w:t>
      </w:r>
      <w:r>
        <w:rPr>
          <w:rStyle w:val="31"/>
          <w:rFonts w:hint="eastAsia" w:ascii="仿宋" w:hAnsi="仿宋" w:eastAsia="仿宋"/>
          <w:b w:val="0"/>
          <w:bCs w:val="0"/>
        </w:rPr>
        <w:t>政拨款收入支出决算总表</w:t>
      </w:r>
      <w:bookmarkEnd w:id="81"/>
      <w:bookmarkEnd w:id="82"/>
    </w:p>
    <w:p>
      <w:pPr>
        <w:pStyle w:val="4"/>
        <w:rPr>
          <w:rStyle w:val="31"/>
          <w:rFonts w:ascii="仿宋" w:hAnsi="仿宋" w:eastAsia="仿宋"/>
          <w:b w:val="0"/>
          <w:bCs w:val="0"/>
        </w:rPr>
      </w:pPr>
      <w:bookmarkStart w:id="83" w:name="_Toc28747"/>
      <w:bookmarkStart w:id="84" w:name="_Toc15396623"/>
      <w:r>
        <w:rPr>
          <w:rStyle w:val="31"/>
          <w:rFonts w:hint="eastAsia" w:ascii="仿宋" w:hAnsi="仿宋" w:eastAsia="仿宋"/>
          <w:b w:val="0"/>
          <w:bCs w:val="0"/>
        </w:rPr>
        <w:t>五、</w:t>
      </w:r>
      <w:r>
        <w:rPr>
          <w:rFonts w:hint="eastAsia" w:ascii="仿宋" w:hAnsi="仿宋" w:eastAsia="仿宋"/>
          <w:b w:val="0"/>
        </w:rPr>
        <w:t>财</w:t>
      </w:r>
      <w:r>
        <w:rPr>
          <w:rStyle w:val="31"/>
          <w:rFonts w:hint="eastAsia" w:ascii="仿宋" w:hAnsi="仿宋" w:eastAsia="仿宋"/>
          <w:b w:val="0"/>
          <w:bCs w:val="0"/>
        </w:rPr>
        <w:t>政拨款支出决算明细表</w:t>
      </w:r>
      <w:bookmarkEnd w:id="83"/>
      <w:bookmarkEnd w:id="84"/>
      <w:bookmarkStart w:id="85" w:name="_Toc15396624"/>
    </w:p>
    <w:p>
      <w:pPr>
        <w:pStyle w:val="4"/>
        <w:rPr>
          <w:rFonts w:ascii="仿宋" w:hAnsi="仿宋" w:eastAsia="仿宋"/>
        </w:rPr>
      </w:pPr>
      <w:bookmarkStart w:id="86" w:name="_Toc4416"/>
      <w:r>
        <w:rPr>
          <w:rStyle w:val="31"/>
          <w:rFonts w:hint="eastAsia" w:ascii="仿宋" w:hAnsi="仿宋" w:eastAsia="仿宋"/>
          <w:b w:val="0"/>
          <w:bCs w:val="0"/>
        </w:rPr>
        <w:t>六、</w:t>
      </w:r>
      <w:r>
        <w:rPr>
          <w:rFonts w:hint="eastAsia" w:ascii="仿宋" w:hAnsi="仿宋" w:eastAsia="仿宋"/>
          <w:b w:val="0"/>
        </w:rPr>
        <w:t>一</w:t>
      </w:r>
      <w:r>
        <w:rPr>
          <w:rStyle w:val="31"/>
          <w:rFonts w:hint="eastAsia" w:ascii="仿宋" w:hAnsi="仿宋" w:eastAsia="仿宋"/>
          <w:b w:val="0"/>
          <w:bCs w:val="0"/>
        </w:rPr>
        <w:t>般公共预算财政拨款支出决算表</w:t>
      </w:r>
      <w:bookmarkEnd w:id="85"/>
      <w:bookmarkEnd w:id="86"/>
    </w:p>
    <w:p>
      <w:pPr>
        <w:pStyle w:val="4"/>
        <w:rPr>
          <w:rFonts w:ascii="仿宋" w:hAnsi="仿宋" w:eastAsia="仿宋"/>
        </w:rPr>
      </w:pPr>
      <w:bookmarkStart w:id="87" w:name="_Toc28917"/>
      <w:bookmarkStart w:id="88" w:name="_Toc15396625"/>
      <w:r>
        <w:rPr>
          <w:rStyle w:val="31"/>
          <w:rFonts w:hint="eastAsia" w:ascii="仿宋" w:hAnsi="仿宋" w:eastAsia="仿宋"/>
          <w:b w:val="0"/>
          <w:bCs w:val="0"/>
        </w:rPr>
        <w:t>七、</w:t>
      </w:r>
      <w:r>
        <w:rPr>
          <w:rFonts w:hint="eastAsia" w:ascii="仿宋" w:hAnsi="仿宋" w:eastAsia="仿宋"/>
          <w:b w:val="0"/>
        </w:rPr>
        <w:t>一</w:t>
      </w:r>
      <w:r>
        <w:rPr>
          <w:rStyle w:val="31"/>
          <w:rFonts w:hint="eastAsia" w:ascii="仿宋" w:hAnsi="仿宋" w:eastAsia="仿宋"/>
          <w:b w:val="0"/>
          <w:bCs w:val="0"/>
        </w:rPr>
        <w:t>般公共预算财政拨款支出决算明细表</w:t>
      </w:r>
      <w:bookmarkEnd w:id="87"/>
      <w:bookmarkEnd w:id="88"/>
    </w:p>
    <w:p>
      <w:pPr>
        <w:pStyle w:val="4"/>
        <w:rPr>
          <w:rFonts w:ascii="仿宋" w:hAnsi="仿宋" w:eastAsia="仿宋"/>
        </w:rPr>
      </w:pPr>
      <w:bookmarkStart w:id="89" w:name="_Toc1031"/>
      <w:bookmarkStart w:id="90" w:name="_Toc15396626"/>
      <w:r>
        <w:rPr>
          <w:rStyle w:val="31"/>
          <w:rFonts w:hint="eastAsia" w:ascii="仿宋" w:hAnsi="仿宋" w:eastAsia="仿宋"/>
          <w:b w:val="0"/>
          <w:bCs w:val="0"/>
        </w:rPr>
        <w:t>八、</w:t>
      </w:r>
      <w:r>
        <w:rPr>
          <w:rFonts w:hint="eastAsia" w:ascii="仿宋" w:hAnsi="仿宋" w:eastAsia="仿宋"/>
          <w:b w:val="0"/>
        </w:rPr>
        <w:t>一</w:t>
      </w:r>
      <w:r>
        <w:rPr>
          <w:rStyle w:val="31"/>
          <w:rFonts w:hint="eastAsia" w:ascii="仿宋" w:hAnsi="仿宋" w:eastAsia="仿宋"/>
          <w:b w:val="0"/>
          <w:bCs w:val="0"/>
        </w:rPr>
        <w:t>般公共预算财政拨款基本支出决算表</w:t>
      </w:r>
      <w:bookmarkEnd w:id="89"/>
      <w:bookmarkEnd w:id="90"/>
    </w:p>
    <w:p>
      <w:pPr>
        <w:pStyle w:val="4"/>
        <w:rPr>
          <w:rFonts w:ascii="仿宋" w:hAnsi="仿宋" w:eastAsia="仿宋"/>
        </w:rPr>
      </w:pPr>
      <w:bookmarkStart w:id="91" w:name="_Toc15396627"/>
      <w:bookmarkStart w:id="92" w:name="_Toc1652"/>
      <w:r>
        <w:rPr>
          <w:rStyle w:val="31"/>
          <w:rFonts w:hint="eastAsia" w:ascii="仿宋" w:hAnsi="仿宋" w:eastAsia="仿宋"/>
          <w:b w:val="0"/>
          <w:bCs w:val="0"/>
        </w:rPr>
        <w:t>九、</w:t>
      </w:r>
      <w:r>
        <w:rPr>
          <w:rFonts w:hint="eastAsia" w:ascii="仿宋" w:hAnsi="仿宋" w:eastAsia="仿宋"/>
          <w:b w:val="0"/>
        </w:rPr>
        <w:t>一</w:t>
      </w:r>
      <w:r>
        <w:rPr>
          <w:rStyle w:val="31"/>
          <w:rFonts w:hint="eastAsia" w:ascii="仿宋" w:hAnsi="仿宋" w:eastAsia="仿宋"/>
          <w:b w:val="0"/>
          <w:bCs w:val="0"/>
        </w:rPr>
        <w:t>般公共预算财政拨款项目支出决算表</w:t>
      </w:r>
      <w:bookmarkEnd w:id="91"/>
      <w:bookmarkEnd w:id="92"/>
    </w:p>
    <w:p>
      <w:pPr>
        <w:pStyle w:val="4"/>
        <w:rPr>
          <w:rFonts w:ascii="仿宋" w:hAnsi="仿宋" w:eastAsia="仿宋"/>
        </w:rPr>
      </w:pPr>
      <w:bookmarkStart w:id="93" w:name="_Toc15396628"/>
      <w:bookmarkStart w:id="94" w:name="_Toc5553"/>
      <w:r>
        <w:rPr>
          <w:rStyle w:val="31"/>
          <w:rFonts w:hint="eastAsia" w:ascii="仿宋" w:hAnsi="仿宋" w:eastAsia="仿宋"/>
          <w:b w:val="0"/>
          <w:bCs w:val="0"/>
        </w:rPr>
        <w:t>十、</w:t>
      </w:r>
      <w:bookmarkEnd w:id="93"/>
      <w:r>
        <w:rPr>
          <w:rFonts w:hint="eastAsia" w:ascii="仿宋" w:hAnsi="仿宋" w:eastAsia="仿宋"/>
          <w:b w:val="0"/>
        </w:rPr>
        <w:t>政</w:t>
      </w:r>
      <w:r>
        <w:rPr>
          <w:rStyle w:val="31"/>
          <w:rFonts w:hint="eastAsia" w:ascii="仿宋" w:hAnsi="仿宋" w:eastAsia="仿宋"/>
          <w:b w:val="0"/>
          <w:bCs w:val="0"/>
        </w:rPr>
        <w:t>府性基金预算财政拨款收入支出决算表</w:t>
      </w:r>
      <w:bookmarkEnd w:id="94"/>
    </w:p>
    <w:p>
      <w:pPr>
        <w:pStyle w:val="4"/>
        <w:rPr>
          <w:rFonts w:ascii="仿宋" w:hAnsi="仿宋" w:eastAsia="仿宋"/>
        </w:rPr>
      </w:pPr>
      <w:bookmarkStart w:id="95" w:name="_Toc15396629"/>
      <w:bookmarkStart w:id="96" w:name="_Toc2076"/>
      <w:r>
        <w:rPr>
          <w:rStyle w:val="31"/>
          <w:rFonts w:hint="eastAsia" w:ascii="仿宋" w:hAnsi="仿宋" w:eastAsia="仿宋"/>
          <w:b w:val="0"/>
          <w:bCs w:val="0"/>
        </w:rPr>
        <w:t>十一、</w:t>
      </w:r>
      <w:bookmarkEnd w:id="95"/>
      <w:r>
        <w:rPr>
          <w:rFonts w:hint="eastAsia" w:ascii="仿宋" w:hAnsi="仿宋" w:eastAsia="仿宋"/>
          <w:b w:val="0"/>
        </w:rPr>
        <w:t>国</w:t>
      </w:r>
      <w:r>
        <w:rPr>
          <w:rStyle w:val="31"/>
          <w:rFonts w:hint="eastAsia" w:ascii="仿宋" w:hAnsi="仿宋" w:eastAsia="仿宋"/>
          <w:b w:val="0"/>
          <w:bCs w:val="0"/>
        </w:rPr>
        <w:t>有资本经营预算财政拨款收入支出决算表</w:t>
      </w:r>
      <w:bookmarkEnd w:id="96"/>
    </w:p>
    <w:p>
      <w:pPr>
        <w:pStyle w:val="4"/>
        <w:rPr>
          <w:rFonts w:ascii="仿宋" w:hAnsi="仿宋" w:eastAsia="仿宋"/>
        </w:rPr>
      </w:pPr>
      <w:bookmarkStart w:id="97" w:name="_Toc15396630"/>
      <w:bookmarkStart w:id="98" w:name="_Toc25959"/>
      <w:r>
        <w:rPr>
          <w:rStyle w:val="31"/>
          <w:rFonts w:hint="eastAsia" w:ascii="仿宋" w:hAnsi="仿宋" w:eastAsia="仿宋"/>
          <w:b w:val="0"/>
          <w:bCs w:val="0"/>
        </w:rPr>
        <w:t>十二、</w:t>
      </w:r>
      <w:bookmarkEnd w:id="97"/>
      <w:r>
        <w:rPr>
          <w:rStyle w:val="31"/>
          <w:rFonts w:hint="eastAsia" w:ascii="仿宋" w:hAnsi="仿宋" w:eastAsia="仿宋"/>
          <w:b w:val="0"/>
          <w:bCs w:val="0"/>
        </w:rPr>
        <w:t>国有资本经营预算财政拨款支出决算表</w:t>
      </w:r>
      <w:bookmarkEnd w:id="98"/>
    </w:p>
    <w:p>
      <w:pPr>
        <w:pStyle w:val="4"/>
        <w:rPr>
          <w:rFonts w:eastAsia="仿宋"/>
        </w:rPr>
      </w:pPr>
      <w:bookmarkStart w:id="99" w:name="_Toc15396631"/>
      <w:bookmarkStart w:id="100" w:name="_Toc12555"/>
      <w:r>
        <w:rPr>
          <w:rStyle w:val="31"/>
          <w:rFonts w:hint="eastAsia" w:ascii="仿宋" w:hAnsi="仿宋" w:eastAsia="仿宋"/>
          <w:b w:val="0"/>
          <w:bCs w:val="0"/>
        </w:rPr>
        <w:t>十三、</w:t>
      </w:r>
      <w:bookmarkEnd w:id="99"/>
      <w:r>
        <w:rPr>
          <w:rStyle w:val="31"/>
          <w:rFonts w:hint="eastAsia" w:ascii="仿宋" w:hAnsi="仿宋" w:eastAsia="仿宋"/>
          <w:b w:val="0"/>
          <w:bCs w:val="0"/>
        </w:rPr>
        <w:t>财政拨款“三公”经费支出决算表</w:t>
      </w:r>
      <w:bookmarkEnd w:id="100"/>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51</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EBEF323"/>
    <w:multiLevelType w:val="singleLevel"/>
    <w:tmpl w:val="DEBEF323"/>
    <w:lvl w:ilvl="0" w:tentative="0">
      <w:start w:val="4"/>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FFF674BC"/>
    <w:multiLevelType w:val="singleLevel"/>
    <w:tmpl w:val="FFF674BC"/>
    <w:lvl w:ilvl="0" w:tentative="0">
      <w:start w:val="1"/>
      <w:numFmt w:val="chineseCounting"/>
      <w:suff w:val="nothing"/>
      <w:lvlText w:val="%1、"/>
      <w:lvlJc w:val="left"/>
      <w:rPr>
        <w:rFonts w:hint="eastAsia"/>
      </w:rPr>
    </w:lvl>
  </w:abstractNum>
  <w:abstractNum w:abstractNumId="4">
    <w:nsid w:val="0FD16D87"/>
    <w:multiLevelType w:val="multilevel"/>
    <w:tmpl w:val="0FD16D87"/>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14E67B8F"/>
    <w:multiLevelType w:val="multilevel"/>
    <w:tmpl w:val="14E67B8F"/>
    <w:lvl w:ilvl="0" w:tentative="0">
      <w:start w:val="1"/>
      <w:numFmt w:val="japaneseCounting"/>
      <w:lvlText w:val="（%1）"/>
      <w:lvlJc w:val="left"/>
      <w:pPr>
        <w:ind w:left="1588" w:hanging="945"/>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7">
    <w:nsid w:val="326D4754"/>
    <w:multiLevelType w:val="multilevel"/>
    <w:tmpl w:val="326D4754"/>
    <w:lvl w:ilvl="0" w:tentative="0">
      <w:start w:val="1"/>
      <w:numFmt w:val="japaneseCounting"/>
      <w:lvlText w:val="（%1）"/>
      <w:lvlJc w:val="left"/>
      <w:pPr>
        <w:ind w:left="1633" w:hanging="99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8">
    <w:nsid w:val="717F6871"/>
    <w:multiLevelType w:val="multilevel"/>
    <w:tmpl w:val="717F6871"/>
    <w:lvl w:ilvl="0" w:tentative="0">
      <w:start w:val="1"/>
      <w:numFmt w:val="japaneseCounting"/>
      <w:lvlText w:val="（%1）"/>
      <w:lvlJc w:val="left"/>
      <w:pPr>
        <w:ind w:left="1710" w:hanging="99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4"/>
  </w:num>
  <w:num w:numId="2">
    <w:abstractNumId w:val="5"/>
  </w:num>
  <w:num w:numId="3">
    <w:abstractNumId w:val="0"/>
  </w:num>
  <w:num w:numId="4">
    <w:abstractNumId w:val="2"/>
  </w:num>
  <w:num w:numId="5">
    <w:abstractNumId w:val="3"/>
  </w:num>
  <w:num w:numId="6">
    <w:abstractNumId w:val="7"/>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iYmQwZWRkM2Y5NDNiNDY1ZTFiYWQxMWYzNjkyYTcifQ=="/>
  </w:docVars>
  <w:rsids>
    <w:rsidRoot w:val="00F1361C"/>
    <w:rsid w:val="00015F35"/>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12E9"/>
    <w:rsid w:val="000C3467"/>
    <w:rsid w:val="000C3CA6"/>
    <w:rsid w:val="000C72C4"/>
    <w:rsid w:val="000C7597"/>
    <w:rsid w:val="000D1267"/>
    <w:rsid w:val="000D1D50"/>
    <w:rsid w:val="000D5782"/>
    <w:rsid w:val="000E6613"/>
    <w:rsid w:val="000E7119"/>
    <w:rsid w:val="00114E9B"/>
    <w:rsid w:val="0011628E"/>
    <w:rsid w:val="001313AB"/>
    <w:rsid w:val="00136D0C"/>
    <w:rsid w:val="0013772C"/>
    <w:rsid w:val="00142216"/>
    <w:rsid w:val="00144D6A"/>
    <w:rsid w:val="0014729F"/>
    <w:rsid w:val="00157BAB"/>
    <w:rsid w:val="001654D1"/>
    <w:rsid w:val="00174518"/>
    <w:rsid w:val="0018106D"/>
    <w:rsid w:val="001838FB"/>
    <w:rsid w:val="001877A7"/>
    <w:rsid w:val="00191536"/>
    <w:rsid w:val="00196687"/>
    <w:rsid w:val="001966BB"/>
    <w:rsid w:val="001C0962"/>
    <w:rsid w:val="001D6FDC"/>
    <w:rsid w:val="001D7531"/>
    <w:rsid w:val="001E2FF1"/>
    <w:rsid w:val="001E737D"/>
    <w:rsid w:val="001F0592"/>
    <w:rsid w:val="001F7506"/>
    <w:rsid w:val="002006CD"/>
    <w:rsid w:val="00202B36"/>
    <w:rsid w:val="00204B7A"/>
    <w:rsid w:val="00204CDE"/>
    <w:rsid w:val="00207E1C"/>
    <w:rsid w:val="0021101A"/>
    <w:rsid w:val="00217081"/>
    <w:rsid w:val="00220536"/>
    <w:rsid w:val="00235629"/>
    <w:rsid w:val="00247B82"/>
    <w:rsid w:val="00260C38"/>
    <w:rsid w:val="002616C0"/>
    <w:rsid w:val="00265372"/>
    <w:rsid w:val="002662AA"/>
    <w:rsid w:val="00280496"/>
    <w:rsid w:val="00294DC9"/>
    <w:rsid w:val="00295495"/>
    <w:rsid w:val="002A31DE"/>
    <w:rsid w:val="002B2613"/>
    <w:rsid w:val="002D6D05"/>
    <w:rsid w:val="002F1818"/>
    <w:rsid w:val="002F3CD2"/>
    <w:rsid w:val="002F567B"/>
    <w:rsid w:val="003216A9"/>
    <w:rsid w:val="00335A74"/>
    <w:rsid w:val="0035574F"/>
    <w:rsid w:val="0036561B"/>
    <w:rsid w:val="0037013F"/>
    <w:rsid w:val="00380C92"/>
    <w:rsid w:val="003A3061"/>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46E63"/>
    <w:rsid w:val="00467094"/>
    <w:rsid w:val="00471401"/>
    <w:rsid w:val="00473F31"/>
    <w:rsid w:val="0048263A"/>
    <w:rsid w:val="00487E5D"/>
    <w:rsid w:val="00497D57"/>
    <w:rsid w:val="004A711F"/>
    <w:rsid w:val="004B199D"/>
    <w:rsid w:val="004B3B3A"/>
    <w:rsid w:val="004B4690"/>
    <w:rsid w:val="004E0A2D"/>
    <w:rsid w:val="004E206B"/>
    <w:rsid w:val="004E6DF7"/>
    <w:rsid w:val="004F0FBD"/>
    <w:rsid w:val="00505A47"/>
    <w:rsid w:val="00512FDA"/>
    <w:rsid w:val="00520DA0"/>
    <w:rsid w:val="00525E15"/>
    <w:rsid w:val="005359C3"/>
    <w:rsid w:val="00562F31"/>
    <w:rsid w:val="005664BB"/>
    <w:rsid w:val="00566FFA"/>
    <w:rsid w:val="0057481D"/>
    <w:rsid w:val="0058486E"/>
    <w:rsid w:val="00585B33"/>
    <w:rsid w:val="0059014D"/>
    <w:rsid w:val="005B5C64"/>
    <w:rsid w:val="005B67C6"/>
    <w:rsid w:val="005C0D98"/>
    <w:rsid w:val="005C5337"/>
    <w:rsid w:val="005C6BD0"/>
    <w:rsid w:val="005D1C8B"/>
    <w:rsid w:val="005D468D"/>
    <w:rsid w:val="005D5CED"/>
    <w:rsid w:val="005D7D8C"/>
    <w:rsid w:val="005F1A4C"/>
    <w:rsid w:val="00605688"/>
    <w:rsid w:val="006070AF"/>
    <w:rsid w:val="00607E6C"/>
    <w:rsid w:val="006101B1"/>
    <w:rsid w:val="00614E44"/>
    <w:rsid w:val="0062184A"/>
    <w:rsid w:val="0062270A"/>
    <w:rsid w:val="00622830"/>
    <w:rsid w:val="00623DA0"/>
    <w:rsid w:val="00630AEF"/>
    <w:rsid w:val="006325F8"/>
    <w:rsid w:val="00633463"/>
    <w:rsid w:val="00634C9A"/>
    <w:rsid w:val="006440E4"/>
    <w:rsid w:val="0066343B"/>
    <w:rsid w:val="00664777"/>
    <w:rsid w:val="0067280B"/>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0285"/>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75C12"/>
    <w:rsid w:val="00885AF4"/>
    <w:rsid w:val="008939CD"/>
    <w:rsid w:val="008B768C"/>
    <w:rsid w:val="008C4DB1"/>
    <w:rsid w:val="008C4EAF"/>
    <w:rsid w:val="008C5176"/>
    <w:rsid w:val="008C7FD0"/>
    <w:rsid w:val="008E1DE7"/>
    <w:rsid w:val="008E707C"/>
    <w:rsid w:val="00900B08"/>
    <w:rsid w:val="00902155"/>
    <w:rsid w:val="00902FA3"/>
    <w:rsid w:val="00904A6E"/>
    <w:rsid w:val="00923564"/>
    <w:rsid w:val="0092392E"/>
    <w:rsid w:val="009315F9"/>
    <w:rsid w:val="00933499"/>
    <w:rsid w:val="00935C98"/>
    <w:rsid w:val="009363DF"/>
    <w:rsid w:val="00937467"/>
    <w:rsid w:val="00943DCE"/>
    <w:rsid w:val="009449E2"/>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D7975"/>
    <w:rsid w:val="009E4DB6"/>
    <w:rsid w:val="009F1185"/>
    <w:rsid w:val="009F18CD"/>
    <w:rsid w:val="009F2A13"/>
    <w:rsid w:val="009F5540"/>
    <w:rsid w:val="009F7527"/>
    <w:rsid w:val="00A04EB0"/>
    <w:rsid w:val="00A13CC1"/>
    <w:rsid w:val="00A16847"/>
    <w:rsid w:val="00A237D8"/>
    <w:rsid w:val="00A268C4"/>
    <w:rsid w:val="00A307CD"/>
    <w:rsid w:val="00A32674"/>
    <w:rsid w:val="00A331C8"/>
    <w:rsid w:val="00A40A00"/>
    <w:rsid w:val="00A4142F"/>
    <w:rsid w:val="00A422EB"/>
    <w:rsid w:val="00A45BB7"/>
    <w:rsid w:val="00A56DF2"/>
    <w:rsid w:val="00A56E6E"/>
    <w:rsid w:val="00A57731"/>
    <w:rsid w:val="00A67AB5"/>
    <w:rsid w:val="00A733B2"/>
    <w:rsid w:val="00A741C2"/>
    <w:rsid w:val="00A91760"/>
    <w:rsid w:val="00A93B00"/>
    <w:rsid w:val="00A93C21"/>
    <w:rsid w:val="00AA2320"/>
    <w:rsid w:val="00AB0006"/>
    <w:rsid w:val="00AB5F59"/>
    <w:rsid w:val="00AB64C9"/>
    <w:rsid w:val="00AC3C6A"/>
    <w:rsid w:val="00AC6A81"/>
    <w:rsid w:val="00AD5620"/>
    <w:rsid w:val="00AD656B"/>
    <w:rsid w:val="00AD7C1B"/>
    <w:rsid w:val="00AE16BA"/>
    <w:rsid w:val="00AE1EBE"/>
    <w:rsid w:val="00AF0A50"/>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668E0"/>
    <w:rsid w:val="00B72C2D"/>
    <w:rsid w:val="00B77EA6"/>
    <w:rsid w:val="00B81598"/>
    <w:rsid w:val="00B8282F"/>
    <w:rsid w:val="00B841F1"/>
    <w:rsid w:val="00B92A12"/>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2575"/>
    <w:rsid w:val="00C533CC"/>
    <w:rsid w:val="00C5751C"/>
    <w:rsid w:val="00C61BFC"/>
    <w:rsid w:val="00C62B85"/>
    <w:rsid w:val="00C65438"/>
    <w:rsid w:val="00C87EA6"/>
    <w:rsid w:val="00C87FD8"/>
    <w:rsid w:val="00C91381"/>
    <w:rsid w:val="00C91CBB"/>
    <w:rsid w:val="00CA3049"/>
    <w:rsid w:val="00CB4E70"/>
    <w:rsid w:val="00CC09B6"/>
    <w:rsid w:val="00CC666F"/>
    <w:rsid w:val="00CC6BAC"/>
    <w:rsid w:val="00CD1E3F"/>
    <w:rsid w:val="00CE44F6"/>
    <w:rsid w:val="00CE49DA"/>
    <w:rsid w:val="00CE7976"/>
    <w:rsid w:val="00CE7B61"/>
    <w:rsid w:val="00D00095"/>
    <w:rsid w:val="00D114F0"/>
    <w:rsid w:val="00D20620"/>
    <w:rsid w:val="00D254F7"/>
    <w:rsid w:val="00D26091"/>
    <w:rsid w:val="00D2685C"/>
    <w:rsid w:val="00D26FCC"/>
    <w:rsid w:val="00D34E7C"/>
    <w:rsid w:val="00D34F17"/>
    <w:rsid w:val="00D35489"/>
    <w:rsid w:val="00D36AFE"/>
    <w:rsid w:val="00D41689"/>
    <w:rsid w:val="00D51276"/>
    <w:rsid w:val="00D65487"/>
    <w:rsid w:val="00D7035F"/>
    <w:rsid w:val="00DA634F"/>
    <w:rsid w:val="00DA65AC"/>
    <w:rsid w:val="00DB1913"/>
    <w:rsid w:val="00DB4AC3"/>
    <w:rsid w:val="00DC410D"/>
    <w:rsid w:val="00DC4B63"/>
    <w:rsid w:val="00DC5A81"/>
    <w:rsid w:val="00DC68CA"/>
    <w:rsid w:val="00DC7CBA"/>
    <w:rsid w:val="00DD73B7"/>
    <w:rsid w:val="00DF06E2"/>
    <w:rsid w:val="00DF28BC"/>
    <w:rsid w:val="00DF34B9"/>
    <w:rsid w:val="00E01053"/>
    <w:rsid w:val="00E07ACF"/>
    <w:rsid w:val="00E07CBD"/>
    <w:rsid w:val="00E22135"/>
    <w:rsid w:val="00E331A1"/>
    <w:rsid w:val="00E33202"/>
    <w:rsid w:val="00E336A9"/>
    <w:rsid w:val="00E472B1"/>
    <w:rsid w:val="00E50624"/>
    <w:rsid w:val="00E5285B"/>
    <w:rsid w:val="00E568DF"/>
    <w:rsid w:val="00E64269"/>
    <w:rsid w:val="00E72EA4"/>
    <w:rsid w:val="00E767E4"/>
    <w:rsid w:val="00E82267"/>
    <w:rsid w:val="00E853CE"/>
    <w:rsid w:val="00E867B6"/>
    <w:rsid w:val="00EA010F"/>
    <w:rsid w:val="00ED1B63"/>
    <w:rsid w:val="00ED3C1F"/>
    <w:rsid w:val="00ED4085"/>
    <w:rsid w:val="00ED420E"/>
    <w:rsid w:val="00ED6FBE"/>
    <w:rsid w:val="00EE2F57"/>
    <w:rsid w:val="00EF00DE"/>
    <w:rsid w:val="00EF0538"/>
    <w:rsid w:val="00EF39C0"/>
    <w:rsid w:val="00EF4C34"/>
    <w:rsid w:val="00EF77C6"/>
    <w:rsid w:val="00F05438"/>
    <w:rsid w:val="00F1361C"/>
    <w:rsid w:val="00F1518F"/>
    <w:rsid w:val="00F156F0"/>
    <w:rsid w:val="00F160C7"/>
    <w:rsid w:val="00F2408F"/>
    <w:rsid w:val="00F240E9"/>
    <w:rsid w:val="00F36D8F"/>
    <w:rsid w:val="00F417B1"/>
    <w:rsid w:val="00F45853"/>
    <w:rsid w:val="00F602DF"/>
    <w:rsid w:val="00F754A1"/>
    <w:rsid w:val="00F801CF"/>
    <w:rsid w:val="00F81FD9"/>
    <w:rsid w:val="00F841AA"/>
    <w:rsid w:val="00F84A94"/>
    <w:rsid w:val="00F87E96"/>
    <w:rsid w:val="00F900A5"/>
    <w:rsid w:val="00FA23E8"/>
    <w:rsid w:val="00FD3CC1"/>
    <w:rsid w:val="00FF1E02"/>
    <w:rsid w:val="00FF30B4"/>
    <w:rsid w:val="015975B8"/>
    <w:rsid w:val="02143E91"/>
    <w:rsid w:val="066E0107"/>
    <w:rsid w:val="07713742"/>
    <w:rsid w:val="07996F6E"/>
    <w:rsid w:val="0813157C"/>
    <w:rsid w:val="08D8188B"/>
    <w:rsid w:val="0A2032A3"/>
    <w:rsid w:val="0F98263C"/>
    <w:rsid w:val="101860EC"/>
    <w:rsid w:val="10C055FF"/>
    <w:rsid w:val="118107EC"/>
    <w:rsid w:val="13D50BC4"/>
    <w:rsid w:val="16BB723D"/>
    <w:rsid w:val="1BE8440E"/>
    <w:rsid w:val="1C0D7301"/>
    <w:rsid w:val="1D155CEE"/>
    <w:rsid w:val="1EC7098C"/>
    <w:rsid w:val="1F9F769F"/>
    <w:rsid w:val="1FF35744"/>
    <w:rsid w:val="20466BD9"/>
    <w:rsid w:val="23860B96"/>
    <w:rsid w:val="240371BF"/>
    <w:rsid w:val="284E3897"/>
    <w:rsid w:val="29B90CC7"/>
    <w:rsid w:val="29FD04D3"/>
    <w:rsid w:val="2C8A61B5"/>
    <w:rsid w:val="2D2046E7"/>
    <w:rsid w:val="2DF04E50"/>
    <w:rsid w:val="2E46147E"/>
    <w:rsid w:val="2F040D46"/>
    <w:rsid w:val="319F7F4E"/>
    <w:rsid w:val="3304709D"/>
    <w:rsid w:val="35DC12E2"/>
    <w:rsid w:val="36AA5135"/>
    <w:rsid w:val="376D39B2"/>
    <w:rsid w:val="37AD6DBD"/>
    <w:rsid w:val="37E16F03"/>
    <w:rsid w:val="38D469F0"/>
    <w:rsid w:val="393C5582"/>
    <w:rsid w:val="3D98207C"/>
    <w:rsid w:val="3E78745D"/>
    <w:rsid w:val="3F6117EE"/>
    <w:rsid w:val="44E268DA"/>
    <w:rsid w:val="465905BF"/>
    <w:rsid w:val="4A627F82"/>
    <w:rsid w:val="4B0E749A"/>
    <w:rsid w:val="4B4F25DA"/>
    <w:rsid w:val="4BE068DB"/>
    <w:rsid w:val="4D577224"/>
    <w:rsid w:val="4EAB630A"/>
    <w:rsid w:val="4ECE2238"/>
    <w:rsid w:val="5362753C"/>
    <w:rsid w:val="537E6D0A"/>
    <w:rsid w:val="5AF92295"/>
    <w:rsid w:val="5CD71FC4"/>
    <w:rsid w:val="5FF339A6"/>
    <w:rsid w:val="673D69D3"/>
    <w:rsid w:val="6C4A05C8"/>
    <w:rsid w:val="6D8276B5"/>
    <w:rsid w:val="6E7E3605"/>
    <w:rsid w:val="6F89280C"/>
    <w:rsid w:val="6F8A4192"/>
    <w:rsid w:val="6FF5CC65"/>
    <w:rsid w:val="715C0E4B"/>
    <w:rsid w:val="72734D90"/>
    <w:rsid w:val="73AD73D5"/>
    <w:rsid w:val="73B6EB34"/>
    <w:rsid w:val="744731E5"/>
    <w:rsid w:val="76E3355F"/>
    <w:rsid w:val="778769C8"/>
    <w:rsid w:val="79EE5BA4"/>
    <w:rsid w:val="7A894339"/>
    <w:rsid w:val="7B784EB4"/>
    <w:rsid w:val="7D9C419E"/>
    <w:rsid w:val="7EEF11D3"/>
    <w:rsid w:val="7FA30C79"/>
    <w:rsid w:val="7FB7269E"/>
    <w:rsid w:val="7FC96657"/>
    <w:rsid w:val="7FE66564"/>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7"/>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Plain Text"/>
    <w:basedOn w:val="1"/>
    <w:link w:val="52"/>
    <w:qFormat/>
    <w:uiPriority w:val="0"/>
    <w:rPr>
      <w:rFonts w:ascii="宋体" w:hAnsi="Courier New"/>
      <w:szCs w:val="22"/>
    </w:rPr>
  </w:style>
  <w:style w:type="paragraph" w:styleId="9">
    <w:name w:val="Balloon Text"/>
    <w:basedOn w:val="1"/>
    <w:link w:val="33"/>
    <w:semiHidden/>
    <w:unhideWhenUsed/>
    <w:qFormat/>
    <w:uiPriority w:val="99"/>
    <w:rPr>
      <w:sz w:val="18"/>
      <w:szCs w:val="18"/>
    </w:rPr>
  </w:style>
  <w:style w:type="paragraph" w:styleId="10">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0"/>
    <w:pPr>
      <w:widowControl/>
      <w:jc w:val="left"/>
    </w:pPr>
    <w:rPr>
      <w:rFonts w:ascii="宋体" w:hAnsi="宋体" w:cs="宋体"/>
      <w:kern w:val="0"/>
      <w:sz w:val="24"/>
    </w:rPr>
  </w:style>
  <w:style w:type="paragraph" w:styleId="15">
    <w:name w:val="Body Text First Indent 2"/>
    <w:basedOn w:val="6"/>
    <w:unhideWhenUsed/>
    <w:qFormat/>
    <w:uiPriority w:val="99"/>
    <w:pPr>
      <w:ind w:firstLine="420" w:firstLineChars="200"/>
    </w:pPr>
  </w:style>
  <w:style w:type="character" w:styleId="18">
    <w:name w:val="Strong"/>
    <w:basedOn w:val="17"/>
    <w:qFormat/>
    <w:uiPriority w:val="99"/>
    <w:rPr>
      <w:b/>
    </w:rPr>
  </w:style>
  <w:style w:type="character" w:styleId="19">
    <w:name w:val="FollowedHyperlink"/>
    <w:basedOn w:val="17"/>
    <w:semiHidden/>
    <w:unhideWhenUsed/>
    <w:qFormat/>
    <w:uiPriority w:val="99"/>
    <w:rPr>
      <w:color w:val="954F72"/>
      <w:u w:val="single"/>
    </w:rPr>
  </w:style>
  <w:style w:type="character" w:styleId="20">
    <w:name w:val="Hyperlink"/>
    <w:basedOn w:val="17"/>
    <w:unhideWhenUsed/>
    <w:qFormat/>
    <w:uiPriority w:val="99"/>
    <w:rPr>
      <w:color w:val="0000FF" w:themeColor="hyperlink"/>
      <w:u w:val="single"/>
      <w14:textFill>
        <w14:solidFill>
          <w14:schemeClr w14:val="hlink"/>
        </w14:solidFill>
      </w14:textFill>
    </w:rPr>
  </w:style>
  <w:style w:type="paragraph" w:customStyle="1" w:styleId="21">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2">
    <w:name w:val="Header Char"/>
    <w:basedOn w:val="17"/>
    <w:semiHidden/>
    <w:qFormat/>
    <w:uiPriority w:val="99"/>
    <w:rPr>
      <w:rFonts w:ascii="Times New Roman" w:hAnsi="Times New Roman"/>
      <w:sz w:val="18"/>
      <w:szCs w:val="18"/>
    </w:rPr>
  </w:style>
  <w:style w:type="character" w:customStyle="1" w:styleId="23">
    <w:name w:val="页眉 字符"/>
    <w:link w:val="11"/>
    <w:semiHidden/>
    <w:qFormat/>
    <w:locked/>
    <w:uiPriority w:val="99"/>
    <w:rPr>
      <w:sz w:val="18"/>
    </w:rPr>
  </w:style>
  <w:style w:type="character" w:customStyle="1" w:styleId="24">
    <w:name w:val="Footer Char"/>
    <w:basedOn w:val="17"/>
    <w:semiHidden/>
    <w:qFormat/>
    <w:uiPriority w:val="99"/>
    <w:rPr>
      <w:rFonts w:ascii="Times New Roman" w:hAnsi="Times New Roman"/>
      <w:sz w:val="18"/>
      <w:szCs w:val="18"/>
    </w:rPr>
  </w:style>
  <w:style w:type="character" w:customStyle="1" w:styleId="25">
    <w:name w:val="页脚 字符"/>
    <w:link w:val="10"/>
    <w:qFormat/>
    <w:locked/>
    <w:uiPriority w:val="99"/>
    <w:rPr>
      <w:sz w:val="18"/>
    </w:rPr>
  </w:style>
  <w:style w:type="character" w:customStyle="1" w:styleId="26">
    <w:name w:val="Body Text Char"/>
    <w:basedOn w:val="17"/>
    <w:semiHidden/>
    <w:qFormat/>
    <w:uiPriority w:val="99"/>
    <w:rPr>
      <w:rFonts w:ascii="Times New Roman" w:hAnsi="Times New Roman"/>
      <w:szCs w:val="24"/>
    </w:rPr>
  </w:style>
  <w:style w:type="character" w:customStyle="1" w:styleId="27">
    <w:name w:val="正文文本 字符"/>
    <w:link w:val="2"/>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字符"/>
    <w:basedOn w:val="17"/>
    <w:link w:val="3"/>
    <w:qFormat/>
    <w:uiPriority w:val="9"/>
    <w:rPr>
      <w:rFonts w:ascii="Times New Roman" w:hAnsi="Times New Roman"/>
      <w:b/>
      <w:bCs/>
      <w:kern w:val="44"/>
      <w:sz w:val="44"/>
      <w:szCs w:val="44"/>
    </w:rPr>
  </w:style>
  <w:style w:type="character" w:customStyle="1" w:styleId="31">
    <w:name w:val="标题 2 字符"/>
    <w:basedOn w:val="17"/>
    <w:link w:val="4"/>
    <w:qFormat/>
    <w:uiPriority w:val="9"/>
    <w:rPr>
      <w:rFonts w:asciiTheme="majorHAnsi" w:hAnsiTheme="majorHAnsi" w:eastAsiaTheme="majorEastAsia" w:cstheme="majorBidi"/>
      <w:b/>
      <w:bCs/>
      <w:kern w:val="2"/>
      <w:sz w:val="32"/>
      <w:szCs w:val="32"/>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字符"/>
    <w:basedOn w:val="17"/>
    <w:link w:val="9"/>
    <w:semiHidden/>
    <w:qFormat/>
    <w:uiPriority w:val="99"/>
    <w:rPr>
      <w:rFonts w:ascii="Times New Roman" w:hAnsi="Times New Roman"/>
      <w:kern w:val="2"/>
      <w:sz w:val="18"/>
      <w:szCs w:val="18"/>
    </w:rPr>
  </w:style>
  <w:style w:type="character" w:customStyle="1" w:styleId="34">
    <w:name w:val="标题 3 字符"/>
    <w:basedOn w:val="17"/>
    <w:link w:val="5"/>
    <w:qFormat/>
    <w:uiPriority w:val="9"/>
    <w:rPr>
      <w:rFonts w:ascii="Times New Roman" w:hAnsi="Times New Roman"/>
      <w:b/>
      <w:bCs/>
      <w:kern w:val="2"/>
      <w:sz w:val="32"/>
      <w:szCs w:val="32"/>
    </w:rPr>
  </w:style>
  <w:style w:type="paragraph" w:customStyle="1" w:styleId="35">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四号正文"/>
    <w:basedOn w:val="1"/>
    <w:qFormat/>
    <w:uiPriority w:val="0"/>
    <w:pPr>
      <w:spacing w:line="360" w:lineRule="auto"/>
    </w:pPr>
    <w:rPr>
      <w:rFonts w:ascii="??" w:hAnsi="??"/>
      <w:color w:val="000000"/>
      <w:kern w:val="0"/>
      <w:sz w:val="28"/>
      <w:szCs w:val="21"/>
      <w:lang w:val="zh-CN"/>
    </w:rPr>
  </w:style>
  <w:style w:type="paragraph" w:customStyle="1" w:styleId="37">
    <w:name w:val="TOC 标题3"/>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8">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0">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1">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2">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3">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4">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5">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6">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7">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8">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49">
    <w:name w:val="xl7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50">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1">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character" w:customStyle="1" w:styleId="52">
    <w:name w:val="纯文本 字符"/>
    <w:basedOn w:val="17"/>
    <w:link w:val="8"/>
    <w:qFormat/>
    <w:uiPriority w:val="0"/>
    <w:rPr>
      <w:rFonts w:ascii="宋体" w:hAnsi="Courier New" w:eastAsia="宋体" w:cs="Times New Roman"/>
      <w:kern w:val="2"/>
      <w:sz w:val="21"/>
      <w:szCs w:val="22"/>
    </w:rPr>
  </w:style>
  <w:style w:type="character" w:customStyle="1" w:styleId="53">
    <w:name w:val="NormalCharacter"/>
    <w:semiHidden/>
    <w:qFormat/>
    <w:uiPriority w:val="0"/>
  </w:style>
  <w:style w:type="paragraph" w:customStyle="1" w:styleId="54">
    <w:name w:val="WPSOffice手动目录 1"/>
    <w:qFormat/>
    <w:uiPriority w:val="0"/>
    <w:pPr>
      <w:ind w:leftChars="0"/>
    </w:pPr>
    <w:rPr>
      <w:rFonts w:asciiTheme="minorHAnsi" w:hAnsiTheme="minorHAnsi" w:eastAsiaTheme="minorEastAsia" w:cstheme="minorBidi"/>
      <w:sz w:val="20"/>
      <w:szCs w:val="20"/>
    </w:rPr>
  </w:style>
  <w:style w:type="paragraph" w:customStyle="1" w:styleId="55">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2021</a:t>
            </a:r>
            <a:r>
              <a:rPr lang="zh-CN" altLang="en-US"/>
              <a:t>年与</a:t>
            </a:r>
            <a:r>
              <a:rPr lang="en-US" altLang="zh-CN"/>
              <a:t>2022</a:t>
            </a:r>
            <a:r>
              <a:rPr lang="zh-CN" altLang="en-US"/>
              <a:t>年收支决算总计变动图</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2021年全年收支总额</c:v>
                </c:pt>
              </c:strCache>
            </c:strRef>
          </c:tx>
          <c:spPr>
            <a:solidFill>
              <a:schemeClr val="accent1"/>
            </a:solidFill>
            <a:ln>
              <a:noFill/>
            </a:ln>
            <a:effectLst/>
          </c:spPr>
          <c:invertIfNegative val="0"/>
          <c:dLbls>
            <c:delete val="1"/>
          </c:dLbls>
          <c:cat>
            <c:numRef>
              <c:f>Sheet1!$A$2:$A$3</c:f>
              <c:numCache>
                <c:formatCode>General</c:formatCode>
                <c:ptCount val="2"/>
              </c:numCache>
            </c:numRef>
          </c:cat>
          <c:val>
            <c:numRef>
              <c:f>Sheet1!$B$2:$B$3</c:f>
              <c:numCache>
                <c:formatCode>General</c:formatCode>
                <c:ptCount val="2"/>
                <c:pt idx="0">
                  <c:v>1268.33</c:v>
                </c:pt>
              </c:numCache>
            </c:numRef>
          </c:val>
        </c:ser>
        <c:ser>
          <c:idx val="1"/>
          <c:order val="1"/>
          <c:tx>
            <c:strRef>
              <c:f>Sheet1!$C$1</c:f>
              <c:strCache>
                <c:ptCount val="1"/>
                <c:pt idx="0">
                  <c:v>2022年全年收支总额</c:v>
                </c:pt>
              </c:strCache>
            </c:strRef>
          </c:tx>
          <c:spPr>
            <a:solidFill>
              <a:schemeClr val="accent2"/>
            </a:solidFill>
            <a:ln>
              <a:noFill/>
            </a:ln>
            <a:effectLst/>
          </c:spPr>
          <c:invertIfNegative val="0"/>
          <c:dLbls>
            <c:delete val="1"/>
          </c:dLbls>
          <c:cat>
            <c:numRef>
              <c:f>Sheet1!$A$2:$A$3</c:f>
              <c:numCache>
                <c:formatCode>General</c:formatCode>
                <c:ptCount val="2"/>
              </c:numCache>
            </c:numRef>
          </c:cat>
          <c:val>
            <c:numRef>
              <c:f>Sheet1!$C$2:$C$3</c:f>
              <c:numCache>
                <c:formatCode>General</c:formatCode>
                <c:ptCount val="2"/>
                <c:pt idx="0">
                  <c:v>1650.89</c:v>
                </c:pt>
              </c:numCache>
            </c:numRef>
          </c:val>
        </c:ser>
        <c:dLbls>
          <c:showLegendKey val="0"/>
          <c:showVal val="0"/>
          <c:showCatName val="0"/>
          <c:showSerName val="0"/>
          <c:showPercent val="0"/>
          <c:showBubbleSize val="0"/>
        </c:dLbls>
        <c:gapWidth val="219"/>
        <c:overlap val="-27"/>
        <c:axId val="878648576"/>
        <c:axId val="878648248"/>
      </c:barChart>
      <c:catAx>
        <c:axId val="878648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8648248"/>
        <c:crosses val="autoZero"/>
        <c:auto val="1"/>
        <c:lblAlgn val="ctr"/>
        <c:lblOffset val="100"/>
        <c:noMultiLvlLbl val="0"/>
      </c:catAx>
      <c:valAx>
        <c:axId val="878648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86485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财政拨款收入</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一般公共预算收入</c:v>
                </c:pt>
                <c:pt idx="1">
                  <c:v>政府性基金预算收入</c:v>
                </c:pt>
                <c:pt idx="2">
                  <c:v>年初结转</c:v>
                </c:pt>
              </c:strCache>
            </c:strRef>
          </c:cat>
          <c:val>
            <c:numRef>
              <c:f>Sheet1!$B$2:$B$4</c:f>
              <c:numCache>
                <c:formatCode>General</c:formatCode>
                <c:ptCount val="3"/>
                <c:pt idx="0">
                  <c:v>728.86</c:v>
                </c:pt>
                <c:pt idx="1">
                  <c:v>610.54</c:v>
                </c:pt>
                <c:pt idx="2">
                  <c:v>311.49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721.07</c:v>
                </c:pt>
                <c:pt idx="1">
                  <c:v>929.81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2021年收支总额</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2021年与2022年收支变动</c:v>
                </c:pt>
              </c:strCache>
            </c:strRef>
          </c:cat>
          <c:val>
            <c:numRef>
              <c:f>Sheet1!$B$2</c:f>
              <c:numCache>
                <c:formatCode>General</c:formatCode>
                <c:ptCount val="1"/>
                <c:pt idx="0">
                  <c:v>1268.33</c:v>
                </c:pt>
              </c:numCache>
            </c:numRef>
          </c:val>
        </c:ser>
        <c:ser>
          <c:idx val="1"/>
          <c:order val="1"/>
          <c:tx>
            <c:strRef>
              <c:f>Sheet1!$C$1</c:f>
              <c:strCache>
                <c:ptCount val="1"/>
                <c:pt idx="0">
                  <c:v>2022年收支总额</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2021年与2022年收支变动</c:v>
                </c:pt>
              </c:strCache>
            </c:strRef>
          </c:cat>
          <c:val>
            <c:numRef>
              <c:f>Sheet1!$C$2</c:f>
              <c:numCache>
                <c:formatCode>General</c:formatCode>
                <c:ptCount val="1"/>
                <c:pt idx="0">
                  <c:v>1650.89</c:v>
                </c:pt>
              </c:numCache>
            </c:numRef>
          </c:val>
        </c:ser>
        <c:dLbls>
          <c:showLegendKey val="0"/>
          <c:showVal val="0"/>
          <c:showCatName val="0"/>
          <c:showSerName val="0"/>
          <c:showPercent val="0"/>
          <c:showBubbleSize val="0"/>
        </c:dLbls>
        <c:gapWidth val="219"/>
        <c:overlap val="-27"/>
        <c:axId val="857548216"/>
        <c:axId val="857545920"/>
      </c:barChart>
      <c:catAx>
        <c:axId val="857548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7545920"/>
        <c:crosses val="autoZero"/>
        <c:auto val="1"/>
        <c:lblAlgn val="ctr"/>
        <c:lblOffset val="100"/>
        <c:noMultiLvlLbl val="0"/>
      </c:catAx>
      <c:valAx>
        <c:axId val="857545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75482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一般公共预算财政拨款支出变动图</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dLbl>
              <c:idx val="0"/>
              <c:layout/>
              <c:tx>
                <c:rich>
                  <a:bodyPr rot="0" spcFirstLastPara="1" vertOverflow="clip" vert="horz" wrap="square" lIns="38100" tIns="19050" rIns="38100" bIns="19050" anchor="ctr" anchorCtr="1"/>
                  <a:lstStyle/>
                  <a:p>
                    <a:pPr defTabSz="914400">
                      <a:defRPr lang="zh-CN" sz="900" b="0" i="0" u="none" strike="noStrike" kern="1200" baseline="0">
                        <a:solidFill>
                          <a:schemeClr val="dk1">
                            <a:lumMod val="65000"/>
                            <a:lumOff val="35000"/>
                          </a:schemeClr>
                        </a:solidFill>
                        <a:latin typeface="+mn-lt"/>
                        <a:ea typeface="+mn-ea"/>
                        <a:cs typeface="+mn-cs"/>
                      </a:defRPr>
                    </a:pPr>
                    <a:r>
                      <a:t>789.27万元</a:t>
                    </a:r>
                  </a:p>
                </c:rich>
              </c:tx>
              <c:dLblPos val="outEnd"/>
              <c:showLegendKey val="0"/>
              <c:showVal val="1"/>
              <c:showCatName val="1"/>
              <c:showSerName val="0"/>
              <c:showPercent val="0"/>
              <c:showBubbleSize val="0"/>
              <c:extLs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dk1">
                        <a:lumMod val="65000"/>
                        <a:lumOff val="35000"/>
                      </a:schemeClr>
                    </a:solidFill>
                    <a:latin typeface="+mn-lt"/>
                    <a:ea typeface="+mn-ea"/>
                    <a:cs typeface="+mn-cs"/>
                  </a:defRPr>
                </a:pPr>
              </a:p>
            </c:txPr>
            <c:dLblPos val="outEnd"/>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0"/>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789.27</c:v>
                </c:pt>
              </c:numCache>
            </c:numRef>
          </c:val>
        </c:ser>
        <c:ser>
          <c:idx val="1"/>
          <c:order val="1"/>
          <c:tx>
            <c:strRef>
              <c:f>Sheet1!$C$1</c:f>
              <c:strCache>
                <c:ptCount val="1"/>
                <c:pt idx="0">
                  <c:v>2022年</c:v>
                </c:pt>
              </c:strCache>
            </c:strRef>
          </c:tx>
          <c:spPr>
            <a:solidFill>
              <a:schemeClr val="accent2"/>
            </a:solidFill>
            <a:ln>
              <a:noFill/>
            </a:ln>
            <a:effectLst/>
          </c:spPr>
          <c:invertIfNegative val="0"/>
          <c:dLbls>
            <c:dLbl>
              <c:idx val="0"/>
              <c:layout/>
              <c:tx>
                <c:rich>
                  <a:bodyPr rot="0" spcFirstLastPara="1" vertOverflow="clip" vert="horz" wrap="square" lIns="38100" tIns="19050" rIns="38100" bIns="19050" anchor="ctr" anchorCtr="1"/>
                  <a:lstStyle/>
                  <a:p>
                    <a:pPr defTabSz="914400">
                      <a:defRPr lang="zh-CN" sz="900" b="0" i="0" u="none" strike="noStrike" kern="1200" baseline="0">
                        <a:solidFill>
                          <a:schemeClr val="dk1">
                            <a:lumMod val="65000"/>
                            <a:lumOff val="35000"/>
                          </a:schemeClr>
                        </a:solidFill>
                        <a:latin typeface="+mn-lt"/>
                        <a:ea typeface="+mn-ea"/>
                        <a:cs typeface="+mn-cs"/>
                      </a:defRPr>
                    </a:pPr>
                    <a:r>
                      <a:t>871.61万元</a:t>
                    </a:r>
                  </a:p>
                </c:rich>
              </c:tx>
              <c:dLblPos val="outEnd"/>
              <c:showLegendKey val="0"/>
              <c:showVal val="1"/>
              <c:showCatName val="1"/>
              <c:showSerName val="0"/>
              <c:showPercent val="0"/>
              <c:showBubbleSize val="0"/>
              <c:extLs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dk1">
                        <a:lumMod val="65000"/>
                        <a:lumOff val="35000"/>
                      </a:schemeClr>
                    </a:solidFill>
                    <a:latin typeface="+mn-lt"/>
                    <a:ea typeface="+mn-ea"/>
                    <a:cs typeface="+mn-cs"/>
                  </a:defRPr>
                </a:pPr>
              </a:p>
            </c:txPr>
            <c:dLblPos val="outEnd"/>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0"/>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871.61</c:v>
                </c:pt>
              </c:numCache>
            </c:numRef>
          </c:val>
        </c:ser>
        <c:dLbls>
          <c:showLegendKey val="0"/>
          <c:showVal val="0"/>
          <c:showCatName val="0"/>
          <c:showSerName val="0"/>
          <c:showPercent val="0"/>
          <c:showBubbleSize val="0"/>
        </c:dLbls>
        <c:gapWidth val="219"/>
        <c:overlap val="-27"/>
        <c:axId val="1051491240"/>
        <c:axId val="1051490584"/>
      </c:barChart>
      <c:catAx>
        <c:axId val="1051491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51490584"/>
        <c:crosses val="autoZero"/>
        <c:auto val="1"/>
        <c:lblAlgn val="ctr"/>
        <c:lblOffset val="100"/>
        <c:noMultiLvlLbl val="0"/>
      </c:catAx>
      <c:valAx>
        <c:axId val="1051490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514912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一般公共预算支出结构</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支出结构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3"/>
              <c:delete val="1"/>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一般公共服务支出</c:v>
                </c:pt>
                <c:pt idx="1">
                  <c:v>社会保障和就业支出</c:v>
                </c:pt>
                <c:pt idx="2">
                  <c:v>卫生健康支出</c:v>
                </c:pt>
                <c:pt idx="3">
                  <c:v>农林水支出</c:v>
                </c:pt>
                <c:pt idx="4">
                  <c:v>住房保障</c:v>
                </c:pt>
              </c:strCache>
            </c:strRef>
          </c:cat>
          <c:val>
            <c:numRef>
              <c:f>Sheet1!$B$2:$B$6</c:f>
              <c:numCache>
                <c:formatCode>General</c:formatCode>
                <c:ptCount val="5"/>
                <c:pt idx="0">
                  <c:v>809.39</c:v>
                </c:pt>
                <c:pt idx="1">
                  <c:v>29.52</c:v>
                </c:pt>
                <c:pt idx="2">
                  <c:v>13.16</c:v>
                </c:pt>
                <c:pt idx="3">
                  <c:v>0.3</c:v>
                </c:pt>
                <c:pt idx="4">
                  <c:v>19.25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“三公”经费财政拨款支出结构</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Lbls>
            <c:delete val="1"/>
          </c:dLbls>
          <c:cat>
            <c:strRef>
              <c:f>Sheet1!$A$2:$A$4</c:f>
              <c:strCache>
                <c:ptCount val="3"/>
                <c:pt idx="0">
                  <c:v>因公出国（境）费</c:v>
                </c:pt>
                <c:pt idx="1">
                  <c:v>公务接待费支出</c:v>
                </c:pt>
                <c:pt idx="2">
                  <c:v>公务用车购置及运行维护费支出</c:v>
                </c:pt>
              </c:strCache>
            </c:strRef>
          </c:cat>
          <c:val>
            <c:numRef>
              <c:f>Sheet1!$B$2:$B$4</c:f>
              <c:numCache>
                <c:formatCode>General</c:formatCode>
                <c:ptCount val="3"/>
                <c:pt idx="0">
                  <c:v>0</c:v>
                </c:pt>
                <c:pt idx="1">
                  <c:v>0</c:v>
                </c:pt>
                <c:pt idx="2">
                  <c:v>134.53</c:v>
                </c:pt>
              </c:numCache>
            </c:numRef>
          </c:val>
        </c:ser>
        <c:dLbls>
          <c:showLegendKey val="0"/>
          <c:showVal val="0"/>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DAA00-F78C-4637-A8FF-648E4FE2D740}">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52</Pages>
  <Words>18213</Words>
  <Characters>1724</Characters>
  <Lines>14</Lines>
  <Paragraphs>39</Paragraphs>
  <TotalTime>40</TotalTime>
  <ScaleCrop>false</ScaleCrop>
  <LinksUpToDate>false</LinksUpToDate>
  <CharactersWithSpaces>19898</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2023-10-27T10:10:00Z</cp:lastPrinted>
  <dcterms:modified xsi:type="dcterms:W3CDTF">2024-05-23T02:40:07Z</dcterms:modified>
  <dc:title>四川省***</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423AE45F2EA74D15BDF760A36EB3D5FE_12</vt:lpwstr>
  </property>
</Properties>
</file>