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7425"/>
      <w:bookmarkStart w:id="3" w:name="_Toc15378441"/>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p>
      <w:pPr>
        <w:adjustRightInd w:val="0"/>
        <w:snapToGrid w:val="0"/>
        <w:spacing w:line="360" w:lineRule="auto"/>
        <w:jc w:val="center"/>
        <w:outlineLvl w:val="0"/>
        <w:rPr>
          <w:rFonts w:ascii="方正小标宋简体" w:hAnsi="方正小标宋简体" w:eastAsia="方正小标宋简体" w:cs="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78442"/>
      <w:bookmarkStart w:id="8" w:name="_Toc15396476"/>
      <w:bookmarkStart w:id="9" w:name="_Toc15377426"/>
      <w:bookmarkStart w:id="10" w:name="_Toc15377194"/>
      <w:r>
        <w:rPr>
          <w:rFonts w:hint="eastAsia" w:ascii="方正小标宋简体" w:hAnsi="方正小标宋简体" w:eastAsia="方正小标宋简体" w:cs="方正小标宋简体"/>
          <w:sz w:val="72"/>
          <w:szCs w:val="72"/>
          <w:lang w:val="en-US" w:eastAsia="zh-CN"/>
        </w:rPr>
        <w:t>攀枝花市西区</w:t>
      </w:r>
      <w:bookmarkEnd w:id="5"/>
      <w:bookmarkStart w:id="11" w:name="_Toc15306268"/>
      <w:r>
        <w:rPr>
          <w:rFonts w:hint="eastAsia" w:ascii="方正小标宋简体" w:hAnsi="方正小标宋简体" w:eastAsia="方正小标宋简体" w:cs="方正小标宋简体"/>
          <w:sz w:val="72"/>
          <w:szCs w:val="72"/>
          <w:lang w:val="en-US" w:eastAsia="zh-CN"/>
        </w:rPr>
        <w:t>信访局</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rPr>
        <w:t>2022年度部门决算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eastAsia="zh-CN"/>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30</w:t>
      </w:r>
      <w:r>
        <w:rPr>
          <w:rFonts w:hint="eastAsia"/>
        </w:rPr>
        <w:t>日</w:t>
      </w:r>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hint="eastAsia" w:ascii="仿宋" w:hAnsi="仿宋" w:eastAsia="宋体"/>
          <w:sz w:val="24"/>
          <w:lang w:val="en-US" w:eastAsia="zh-CN"/>
        </w:rPr>
      </w:pPr>
      <w:r>
        <w:rPr>
          <w:rFonts w:hint="eastAsia"/>
          <w:sz w:val="24"/>
        </w:rPr>
        <w:t>一、部门职责</w:t>
      </w:r>
      <w:r>
        <w:rPr>
          <w:rFonts w:cstheme="minorBidi"/>
          <w:sz w:val="24"/>
        </w:rPr>
        <w:tab/>
      </w:r>
      <w:r>
        <w:rPr>
          <w:rFonts w:hint="eastAsia" w:cstheme="minorBidi"/>
          <w:sz w:val="24"/>
          <w:lang w:val="en-US" w:eastAsia="zh-CN"/>
        </w:rPr>
        <w:t>4</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cstheme="minorBidi"/>
          <w:sz w:val="24"/>
        </w:rPr>
        <w:tab/>
      </w:r>
      <w:r>
        <w:rPr>
          <w:rFonts w:hint="eastAsia" w:cstheme="minorBidi"/>
          <w:sz w:val="24"/>
          <w:lang w:val="en-US" w:eastAsia="zh-CN"/>
        </w:rPr>
        <w:t>5</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2022年度部门决算情况说明</w:t>
      </w:r>
      <w:r>
        <w:rPr>
          <w:rFonts w:cstheme="minorBidi"/>
          <w:sz w:val="24"/>
        </w:rPr>
        <w:tab/>
      </w:r>
      <w:r>
        <w:rPr>
          <w:rFonts w:hint="eastAsia" w:cstheme="minorBidi"/>
          <w:sz w:val="24"/>
          <w:lang w:val="en-US" w:eastAsia="zh-CN"/>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5</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6</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6</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ind w:leftChars="0"/>
        <w:jc w:val="left"/>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jc w:val="left"/>
        <w:rPr>
          <w:rFonts w:hint="default" w:ascii="仿宋" w:hAnsi="仿宋" w:eastAsia="宋体" w:cstheme="minorBidi"/>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imes New Roman" w:hAnsi="Times New Roman" w:eastAsia="宋体" w:cs="Times New Roman"/>
          <w:kern w:val="2"/>
          <w:sz w:val="24"/>
          <w:szCs w:val="24"/>
          <w:lang w:val="en-US" w:eastAsia="zh-CN" w:bidi="ar-SA"/>
        </w:rPr>
        <w:t>其他重要事项的情况说明</w:t>
      </w:r>
      <w:r>
        <w:rPr>
          <w:rFonts w:cstheme="minorBidi"/>
          <w:sz w:val="24"/>
        </w:rPr>
        <w:tab/>
      </w:r>
      <w:r>
        <w:rPr>
          <w:rFonts w:hint="eastAsia" w:cstheme="minorBidi"/>
          <w:sz w:val="24"/>
          <w:lang w:val="en-US" w:eastAsia="zh-CN"/>
        </w:rPr>
        <w:t>12</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14</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17</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28</w:t>
      </w:r>
    </w:p>
    <w:p>
      <w:pPr>
        <w:pStyle w:val="13"/>
        <w:adjustRightInd w:val="0"/>
        <w:snapToGrid w:val="0"/>
        <w:spacing w:line="440" w:lineRule="exact"/>
        <w:jc w:val="left"/>
        <w:rPr>
          <w:rFonts w:hint="eastAsia" w:eastAsia="宋体" w:asciiTheme="minorEastAsia" w:hAnsiTheme="minorEastAsia" w:cstheme="minorEastAsia"/>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28</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1"/>
          <w:rFonts w:ascii="黑体" w:hAnsi="黑体" w:eastAsia="黑体"/>
          <w:b/>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0"/>
        </w:numPr>
        <w:ind w:leftChars="0" w:firstLine="640" w:firstLineChars="200"/>
        <w:rPr>
          <w:rFonts w:hint="eastAsia" w:ascii="黑体" w:hAnsi="黑体" w:eastAsia="黑体"/>
          <w:b w:val="0"/>
          <w:lang w:eastAsia="zh-CN"/>
        </w:rPr>
      </w:pPr>
      <w:r>
        <w:rPr>
          <w:rFonts w:hint="eastAsia" w:ascii="黑体" w:hAnsi="黑体" w:eastAsia="黑体"/>
          <w:b w:val="0"/>
          <w:lang w:eastAsia="zh-CN"/>
        </w:rPr>
        <w:t>一、</w:t>
      </w:r>
      <w:r>
        <w:rPr>
          <w:rFonts w:hint="eastAsia" w:ascii="黑体" w:hAnsi="黑体" w:eastAsia="黑体"/>
          <w:b w:val="0"/>
        </w:rPr>
        <w:t>部门职责</w:t>
      </w:r>
    </w:p>
    <w:p>
      <w:pPr>
        <w:autoSpaceDE w:val="0"/>
        <w:autoSpaceDN w:val="0"/>
        <w:adjustRightInd w:val="0"/>
        <w:ind w:firstLine="640" w:firstLineChars="200"/>
        <w:jc w:val="left"/>
        <w:rPr>
          <w:rFonts w:ascii="仿宋_GB2312" w:hAnsi="仿宋" w:eastAsia="仿宋_GB2312"/>
          <w:sz w:val="32"/>
          <w:szCs w:val="32"/>
        </w:rPr>
      </w:pPr>
      <w:bookmarkStart w:id="14" w:name="_Toc15377200"/>
      <w:bookmarkStart w:id="15" w:name="_Toc15396601"/>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2.</w:t>
      </w:r>
      <w:r>
        <w:rPr>
          <w:rFonts w:hint="eastAsia" w:ascii="仿宋_GB2312" w:hAnsi="仿宋" w:eastAsia="仿宋_GB2312"/>
          <w:sz w:val="32"/>
          <w:szCs w:val="32"/>
        </w:rPr>
        <w:t>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3.</w:t>
      </w:r>
      <w:r>
        <w:rPr>
          <w:rFonts w:hint="eastAsia" w:ascii="仿宋_GB2312" w:hAnsi="仿宋" w:eastAsia="仿宋_GB2312"/>
          <w:sz w:val="32"/>
          <w:szCs w:val="32"/>
        </w:rPr>
        <w:t>指导全区信访工作，督促检查镇、街道和区级各部门（单位）的信访工作，并总结推广信访工作经验，牵头完成信访工作宣传和信息发布。</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4.</w:t>
      </w:r>
      <w:r>
        <w:rPr>
          <w:rFonts w:hint="eastAsia" w:ascii="仿宋_GB2312" w:hAnsi="仿宋" w:eastAsia="仿宋_GB2312"/>
          <w:sz w:val="32"/>
          <w:szCs w:val="32"/>
        </w:rPr>
        <w:t>负责处理区内外群众、境外人士、法人及其他组织通过信访渠道给区委、区政府及领导同志涉及本辖区权限内的来信来电，接待来访。</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5.</w:t>
      </w:r>
      <w:r>
        <w:rPr>
          <w:rFonts w:hint="eastAsia" w:ascii="仿宋_GB2312" w:hAnsi="仿宋" w:eastAsia="仿宋_GB2312"/>
          <w:sz w:val="32"/>
          <w:szCs w:val="32"/>
        </w:rPr>
        <w:t>承担处理群众进京赴省到市、区集体上访和非接待场所上访的责任。</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6.</w:t>
      </w:r>
      <w:r>
        <w:rPr>
          <w:rFonts w:hint="eastAsia" w:ascii="仿宋_GB2312" w:hAnsi="仿宋" w:eastAsia="仿宋_GB2312"/>
          <w:sz w:val="32"/>
          <w:szCs w:val="32"/>
        </w:rPr>
        <w:t>承担上级批示交办信访事项，向镇、街道及区级各部门（单位）转办、交办信访事项，督促检查重要信访事项的处理和落实。</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7.</w:t>
      </w:r>
      <w:r>
        <w:rPr>
          <w:rFonts w:hint="eastAsia" w:ascii="仿宋_GB2312" w:hAnsi="仿宋" w:eastAsia="仿宋_GB2312"/>
          <w:sz w:val="32"/>
          <w:szCs w:val="32"/>
        </w:rPr>
        <w:t>制定信访信息汇集分析机制，指导全区信访信息化建设和应用。</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8.</w:t>
      </w:r>
      <w:r>
        <w:rPr>
          <w:rFonts w:hint="eastAsia" w:ascii="仿宋_GB2312" w:hAnsi="仿宋" w:eastAsia="仿宋_GB2312"/>
          <w:sz w:val="32"/>
          <w:szCs w:val="32"/>
        </w:rPr>
        <w:t>承担区信访工作联席会议、区政府信访事项复查复核委员会日常工作，监督落实有关事项。</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9.</w:t>
      </w:r>
      <w:r>
        <w:rPr>
          <w:rFonts w:hint="eastAsia" w:ascii="仿宋_GB2312" w:hAnsi="仿宋" w:eastAsia="仿宋_GB2312"/>
          <w:sz w:val="32"/>
          <w:szCs w:val="32"/>
        </w:rPr>
        <w:t>负责职责范围内的安全生产和职业健康、生态环境保护、审批服务便民化工作。</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完成区委和区政府交办的其他任务。</w:t>
      </w:r>
    </w:p>
    <w:p>
      <w:pPr>
        <w:pStyle w:val="4"/>
        <w:ind w:firstLine="640" w:firstLineChars="200"/>
        <w:rPr>
          <w:rStyle w:val="32"/>
          <w:b w:val="0"/>
          <w:bCs w:val="0"/>
        </w:rPr>
      </w:pPr>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14"/>
      <w:bookmarkEnd w:id="15"/>
    </w:p>
    <w:p>
      <w:pPr>
        <w:spacing w:line="353" w:lineRule="auto"/>
        <w:ind w:firstLine="640" w:firstLineChars="200"/>
        <w:rPr>
          <w:rFonts w:ascii="仿宋" w:hAnsi="仿宋" w:eastAsia="仿宋"/>
          <w:kern w:val="0"/>
          <w:sz w:val="32"/>
          <w:szCs w:val="32"/>
        </w:rPr>
      </w:pPr>
      <w:r>
        <w:rPr>
          <w:rFonts w:hint="eastAsia" w:eastAsia="仿宋_GB2312" w:cs="Times New Roman"/>
          <w:color w:val="000000"/>
          <w:sz w:val="32"/>
          <w:szCs w:val="32"/>
          <w:lang w:eastAsia="zh-CN"/>
        </w:rPr>
        <w:t>西区信访局</w:t>
      </w:r>
      <w:r>
        <w:rPr>
          <w:rFonts w:ascii="Times New Roman" w:hAnsi="Times New Roman" w:eastAsia="仿宋_GB2312" w:cs="Times New Roman"/>
          <w:color w:val="000000"/>
          <w:sz w:val="32"/>
          <w:szCs w:val="32"/>
        </w:rPr>
        <w:t>内设股室</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个，下属二级单位</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个，其中行政单位</w:t>
      </w:r>
      <w:r>
        <w:rPr>
          <w:rFonts w:hint="eastAsia" w:ascii="Times New Roman" w:hAnsi="Times New Roman" w:eastAsia="仿宋_GB2312" w:cs="Times New Roman"/>
          <w:color w:val="000000"/>
          <w:sz w:val="32"/>
          <w:szCs w:val="32"/>
          <w:highlight w:val="none"/>
          <w:lang w:val="en-US" w:eastAsia="zh-CN"/>
        </w:rPr>
        <w:t>1</w:t>
      </w:r>
      <w:r>
        <w:rPr>
          <w:rFonts w:ascii="Times New Roman" w:hAnsi="Times New Roman" w:eastAsia="仿宋_GB2312" w:cs="Times New Roman"/>
          <w:color w:val="000000"/>
          <w:sz w:val="32"/>
          <w:szCs w:val="32"/>
          <w:highlight w:val="none"/>
        </w:rPr>
        <w:t>个</w:t>
      </w:r>
      <w:r>
        <w:rPr>
          <w:rFonts w:hint="eastAsia" w:ascii="Times New Roman" w:hAnsi="Times New Roman" w:eastAsia="仿宋_GB2312" w:cs="Times New Roman"/>
          <w:color w:val="000000"/>
          <w:sz w:val="32"/>
          <w:szCs w:val="32"/>
          <w:highlight w:val="none"/>
          <w:lang w:eastAsia="zh-CN"/>
        </w:rPr>
        <w:t>：攀枝花市西区信访局</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参照公务员法管理的事业单位</w:t>
      </w:r>
      <w:r>
        <w:rPr>
          <w:rFonts w:hint="eastAsia" w:ascii="Times New Roman" w:hAnsi="Times New Roman" w:eastAsia="仿宋_GB2312" w:cs="Times New Roman"/>
          <w:bCs/>
          <w:color w:val="000000"/>
          <w:sz w:val="32"/>
          <w:szCs w:val="32"/>
          <w:highlight w:val="none"/>
          <w:lang w:eastAsia="zh-CN"/>
        </w:rPr>
        <w:t>无</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其他事业单位</w:t>
      </w:r>
      <w:r>
        <w:rPr>
          <w:rFonts w:hint="eastAsia" w:ascii="Times New Roman" w:hAnsi="Times New Roman" w:eastAsia="仿宋_GB2312" w:cs="Times New Roman"/>
          <w:color w:val="000000"/>
          <w:sz w:val="32"/>
          <w:szCs w:val="32"/>
          <w:highlight w:val="none"/>
          <w:lang w:val="en-US" w:eastAsia="zh-CN"/>
        </w:rPr>
        <w:t>1</w:t>
      </w:r>
      <w:r>
        <w:rPr>
          <w:rFonts w:ascii="Times New Roman" w:hAnsi="Times New Roman" w:eastAsia="仿宋_GB2312" w:cs="Times New Roman"/>
          <w:color w:val="000000"/>
          <w:sz w:val="32"/>
          <w:szCs w:val="32"/>
          <w:highlight w:val="none"/>
        </w:rPr>
        <w:t>个</w:t>
      </w:r>
      <w:r>
        <w:rPr>
          <w:rFonts w:hint="eastAsia" w:ascii="Times New Roman" w:hAnsi="Times New Roman" w:eastAsia="仿宋_GB2312" w:cs="Times New Roman"/>
          <w:color w:val="000000"/>
          <w:sz w:val="32"/>
          <w:szCs w:val="32"/>
          <w:highlight w:val="none"/>
          <w:lang w:eastAsia="zh-CN"/>
        </w:rPr>
        <w:t>：攀枝花市西区群众工作中心</w:t>
      </w:r>
      <w:r>
        <w:rPr>
          <w:rFonts w:ascii="Times New Roman" w:hAnsi="Times New Roman" w:eastAsia="仿宋_GB2312" w:cs="Times New Roman"/>
          <w:color w:val="000000"/>
          <w:sz w:val="32"/>
          <w:szCs w:val="32"/>
          <w:highlight w:val="none"/>
        </w:rPr>
        <w:t>。</w:t>
      </w:r>
    </w:p>
    <w:p>
      <w:pPr>
        <w:pStyle w:val="3"/>
        <w:ind w:right="440"/>
        <w:jc w:val="center"/>
        <w:rPr>
          <w:rStyle w:val="31"/>
          <w:rFonts w:ascii="黑体" w:hAnsi="黑体" w:eastAsia="黑体"/>
          <w:b w:val="0"/>
          <w:bCs/>
        </w:rPr>
      </w:pPr>
      <w:bookmarkStart w:id="16" w:name="_Toc15377204"/>
      <w:bookmarkStart w:id="17" w:name="_Toc15396602"/>
      <w:r>
        <w:rPr>
          <w:rFonts w:hint="eastAsia" w:ascii="黑体" w:hAnsi="黑体" w:eastAsia="黑体"/>
          <w:b w:val="0"/>
          <w:lang w:val="en-US" w:eastAsia="zh-CN"/>
        </w:rPr>
        <w:t xml:space="preserve"> </w:t>
      </w:r>
      <w:r>
        <w:rPr>
          <w:rFonts w:hint="eastAsia" w:ascii="黑体" w:hAnsi="黑体" w:eastAsia="黑体"/>
          <w:b w:val="0"/>
        </w:rPr>
        <w:t>第二部分 2022年度</w:t>
      </w:r>
      <w:r>
        <w:rPr>
          <w:rStyle w:val="31"/>
          <w:rFonts w:hint="eastAsia" w:ascii="黑体" w:hAnsi="黑体" w:eastAsia="黑体"/>
          <w:b w:val="0"/>
          <w:bCs/>
        </w:rPr>
        <w:t>部门决算情况说明</w:t>
      </w:r>
      <w:bookmarkEnd w:id="16"/>
      <w:bookmarkEnd w:id="17"/>
    </w:p>
    <w:p/>
    <w:p>
      <w:pPr>
        <w:pStyle w:val="30"/>
        <w:numPr>
          <w:ilvl w:val="0"/>
          <w:numId w:val="1"/>
        </w:numPr>
        <w:spacing w:line="600" w:lineRule="exact"/>
        <w:ind w:firstLineChars="0"/>
        <w:outlineLvl w:val="1"/>
        <w:rPr>
          <w:rStyle w:val="32"/>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2022年度收、支总计222.93万元。与2021年相比，收、支总计各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9.32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人员经费收、支增加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1"/>
      </w:pPr>
      <w:r>
        <w:rPr>
          <w:rFonts w:hint="eastAsia"/>
          <w:lang w:val="en-US" w:eastAsia="zh-CN"/>
        </w:rPr>
        <w:t xml:space="preserve">     </w:t>
      </w:r>
      <w:r>
        <w:drawing>
          <wp:inline distT="0" distB="0" distL="114300" distR="114300">
            <wp:extent cx="4858385" cy="2225040"/>
            <wp:effectExtent l="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858385" cy="2225040"/>
                    </a:xfrm>
                    <a:prstGeom prst="rect">
                      <a:avLst/>
                    </a:prstGeom>
                    <a:noFill/>
                    <a:ln>
                      <a:noFill/>
                    </a:ln>
                  </pic:spPr>
                </pic:pic>
              </a:graphicData>
            </a:graphic>
          </wp:inline>
        </w:drawing>
      </w:r>
    </w:p>
    <w:p>
      <w:pPr>
        <w:pStyle w:val="30"/>
        <w:numPr>
          <w:ilvl w:val="0"/>
          <w:numId w:val="1"/>
        </w:numPr>
        <w:spacing w:line="600" w:lineRule="exact"/>
        <w:ind w:firstLineChars="0"/>
        <w:outlineLvl w:val="1"/>
        <w:rPr>
          <w:rStyle w:val="32"/>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2"/>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22年本年收入合计203.29万元，其中：一般公共预算财政拨款收入193.49万元，占</w:t>
      </w:r>
      <w:r>
        <w:rPr>
          <w:rFonts w:hint="eastAsia" w:ascii="仿宋" w:hAnsi="仿宋" w:eastAsia="仿宋"/>
          <w:sz w:val="32"/>
          <w:szCs w:val="32"/>
          <w:lang w:val="en-US" w:eastAsia="zh-CN"/>
        </w:rPr>
        <w:t>95</w:t>
      </w:r>
      <w:r>
        <w:rPr>
          <w:rFonts w:ascii="仿宋" w:hAnsi="仿宋" w:eastAsia="仿宋"/>
          <w:sz w:val="32"/>
          <w:szCs w:val="32"/>
        </w:rPr>
        <w:t>%</w:t>
      </w:r>
      <w:r>
        <w:rPr>
          <w:rFonts w:hint="eastAsia" w:ascii="仿宋" w:hAnsi="仿宋" w:eastAsia="仿宋"/>
          <w:sz w:val="32"/>
          <w:szCs w:val="32"/>
        </w:rPr>
        <w:t>；政府性基金预算财政拨款收入9.79万元，占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0.01</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1"/>
      </w:pPr>
      <w:r>
        <w:rPr>
          <w:rFonts w:hint="eastAsia"/>
          <w:lang w:val="en-US" w:eastAsia="zh-CN"/>
        </w:rPr>
        <w:t xml:space="preserve">     </w:t>
      </w:r>
      <w:r>
        <w:drawing>
          <wp:inline distT="0" distB="0" distL="114300" distR="114300">
            <wp:extent cx="4895215" cy="2231390"/>
            <wp:effectExtent l="0" t="0" r="1206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4895215" cy="2231390"/>
                    </a:xfrm>
                    <a:prstGeom prst="rect">
                      <a:avLst/>
                    </a:prstGeom>
                    <a:noFill/>
                    <a:ln>
                      <a:noFill/>
                    </a:ln>
                  </pic:spPr>
                </pic:pic>
              </a:graphicData>
            </a:graphic>
          </wp:inline>
        </w:drawing>
      </w:r>
    </w:p>
    <w:p>
      <w:pPr>
        <w:pStyle w:val="30"/>
        <w:numPr>
          <w:ilvl w:val="0"/>
          <w:numId w:val="1"/>
        </w:numPr>
        <w:spacing w:line="600" w:lineRule="exact"/>
        <w:ind w:firstLineChars="0"/>
        <w:outlineLvl w:val="1"/>
        <w:rPr>
          <w:rStyle w:val="32"/>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2"/>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22年本年支出合计222.78万元，其中：基本支出164.49万元，占</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；项目支出58.29万元，占</w:t>
      </w:r>
      <w:r>
        <w:rPr>
          <w:rFonts w:hint="eastAsia" w:ascii="仿宋" w:hAnsi="仿宋" w:eastAsia="仿宋"/>
          <w:sz w:val="32"/>
          <w:szCs w:val="32"/>
          <w:lang w:val="en-US" w:eastAsia="zh-CN"/>
        </w:rPr>
        <w:t>26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1"/>
      </w:pPr>
      <w:r>
        <w:rPr>
          <w:rFonts w:hint="eastAsia"/>
          <w:lang w:val="en-US" w:eastAsia="zh-CN"/>
        </w:rPr>
        <w:t xml:space="preserve">     </w:t>
      </w:r>
      <w:r>
        <w:drawing>
          <wp:inline distT="0" distB="0" distL="114300" distR="114300">
            <wp:extent cx="4888865" cy="2225040"/>
            <wp:effectExtent l="0" t="0" r="317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4888865" cy="2225040"/>
                    </a:xfrm>
                    <a:prstGeom prst="rect">
                      <a:avLst/>
                    </a:prstGeom>
                    <a:noFill/>
                    <a:ln>
                      <a:noFill/>
                    </a:ln>
                  </pic:spPr>
                </pic:pic>
              </a:graphicData>
            </a:graphic>
          </wp:inline>
        </w:drawing>
      </w:r>
    </w:p>
    <w:p>
      <w:pPr>
        <w:spacing w:line="600" w:lineRule="exact"/>
        <w:ind w:firstLine="640" w:firstLineChars="200"/>
        <w:outlineLvl w:val="1"/>
        <w:rPr>
          <w:rStyle w:val="32"/>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22年财政拨款收、支总计222.9</w:t>
      </w:r>
      <w:r>
        <w:rPr>
          <w:rFonts w:hint="eastAsia" w:ascii="仿宋" w:hAnsi="仿宋" w:eastAsia="仿宋"/>
          <w:sz w:val="32"/>
          <w:szCs w:val="32"/>
          <w:lang w:val="en-US" w:eastAsia="zh-CN"/>
        </w:rPr>
        <w:t>0</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9.33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人员经费收、支增加。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pStyle w:val="21"/>
      </w:pPr>
      <w:r>
        <w:rPr>
          <w:rFonts w:hint="eastAsia"/>
          <w:lang w:val="en-US" w:eastAsia="zh-CN"/>
        </w:rPr>
        <w:t xml:space="preserve">     </w:t>
      </w:r>
      <w:r>
        <w:drawing>
          <wp:inline distT="0" distB="0" distL="114300" distR="114300">
            <wp:extent cx="4876800" cy="222504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4876800" cy="2225040"/>
                    </a:xfrm>
                    <a:prstGeom prst="rect">
                      <a:avLst/>
                    </a:prstGeom>
                    <a:noFill/>
                    <a:ln>
                      <a:noFill/>
                    </a:ln>
                  </pic:spPr>
                </pic:pic>
              </a:graphicData>
            </a:graphic>
          </wp:inline>
        </w:drawing>
      </w:r>
    </w:p>
    <w:p>
      <w:pPr>
        <w:spacing w:line="600" w:lineRule="exact"/>
        <w:ind w:firstLine="640" w:firstLineChars="200"/>
        <w:outlineLvl w:val="1"/>
        <w:rPr>
          <w:rStyle w:val="32"/>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212.99</w:t>
      </w:r>
      <w:r>
        <w:rPr>
          <w:rFonts w:hint="eastAsia" w:ascii="仿宋" w:hAnsi="仿宋" w:eastAsia="仿宋"/>
          <w:sz w:val="32"/>
          <w:szCs w:val="32"/>
        </w:rPr>
        <w:t>万元，占本年支出合计的</w:t>
      </w:r>
      <w:r>
        <w:rPr>
          <w:rFonts w:hint="eastAsia" w:ascii="仿宋" w:hAnsi="仿宋" w:eastAsia="仿宋"/>
          <w:sz w:val="32"/>
          <w:szCs w:val="32"/>
          <w:lang w:val="en-US" w:eastAsia="zh-CN"/>
        </w:rPr>
        <w:t>96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15.54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人员经费支出增加。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1"/>
      </w:pPr>
      <w:r>
        <w:rPr>
          <w:rFonts w:hint="eastAsia"/>
          <w:lang w:val="en-US" w:eastAsia="zh-CN"/>
        </w:rPr>
        <w:t xml:space="preserve">      </w:t>
      </w:r>
      <w:r>
        <w:drawing>
          <wp:inline distT="0" distB="0" distL="114300" distR="114300">
            <wp:extent cx="4846320" cy="2249170"/>
            <wp:effectExtent l="0" t="0" r="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5"/>
                    <a:stretch>
                      <a:fillRect/>
                    </a:stretch>
                  </pic:blipFill>
                  <pic:spPr>
                    <a:xfrm>
                      <a:off x="0" y="0"/>
                      <a:ext cx="4846320" cy="224917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22年一般公共预算财政拨款支出212.99万元，主要用于以下方面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164万元，占</w:t>
      </w:r>
      <w:r>
        <w:rPr>
          <w:rFonts w:hint="eastAsia" w:ascii="仿宋" w:hAnsi="仿宋" w:eastAsia="仿宋"/>
          <w:sz w:val="32"/>
          <w:szCs w:val="32"/>
          <w:lang w:val="en-US" w:eastAsia="zh-CN"/>
        </w:rPr>
        <w:t>77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27.81万元，占</w:t>
      </w:r>
      <w:r>
        <w:rPr>
          <w:rFonts w:hint="eastAsia" w:ascii="仿宋" w:hAnsi="仿宋" w:eastAsia="仿宋"/>
          <w:sz w:val="32"/>
          <w:szCs w:val="32"/>
          <w:lang w:val="en-US" w:eastAsia="zh-CN"/>
        </w:rPr>
        <w:t>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8.1</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13.08万元，占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1"/>
      </w:pPr>
      <w:r>
        <w:rPr>
          <w:rFonts w:hint="eastAsia"/>
          <w:lang w:val="en-US" w:eastAsia="zh-CN"/>
        </w:rPr>
        <w:t xml:space="preserve">     </w:t>
      </w:r>
      <w:r>
        <w:drawing>
          <wp:inline distT="0" distB="0" distL="114300" distR="114300">
            <wp:extent cx="4888865" cy="2237105"/>
            <wp:effectExtent l="0" t="0" r="3175" b="31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6"/>
                    <a:stretch>
                      <a:fillRect/>
                    </a:stretch>
                  </pic:blipFill>
                  <pic:spPr>
                    <a:xfrm>
                      <a:off x="0" y="0"/>
                      <a:ext cx="4888865" cy="223710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2022年一般公共预算支出决算数为</w:t>
      </w:r>
      <w:r>
        <w:rPr>
          <w:rFonts w:hint="eastAsia" w:ascii="仿宋" w:hAnsi="仿宋" w:eastAsia="仿宋"/>
          <w:sz w:val="32"/>
          <w:szCs w:val="32"/>
        </w:rPr>
        <w:t>212.99万元，</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sz w:val="32"/>
          <w:szCs w:val="32"/>
          <w:lang w:val="en-US" w:eastAsia="zh-CN"/>
        </w:rPr>
        <w:t>1.</w:t>
      </w:r>
      <w:r>
        <w:rPr>
          <w:rStyle w:val="17"/>
          <w:rFonts w:hint="eastAsia" w:ascii="仿宋" w:hAnsi="仿宋" w:eastAsia="仿宋"/>
          <w:bCs/>
          <w:sz w:val="32"/>
          <w:szCs w:val="32"/>
        </w:rPr>
        <w:t>一般公共服务（类））</w:t>
      </w:r>
      <w:r>
        <w:rPr>
          <w:rStyle w:val="17"/>
          <w:rFonts w:hint="eastAsia" w:ascii="仿宋" w:hAnsi="仿宋" w:eastAsia="仿宋"/>
          <w:bCs/>
          <w:color w:val="000000"/>
          <w:sz w:val="32"/>
          <w:szCs w:val="32"/>
        </w:rPr>
        <w:t>政府办公厅（室）及相关机构事务（款）行政运行（项）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支出决算为60.44万元，完成预算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bCs w:val="0"/>
          <w:color w:val="000000"/>
          <w:sz w:val="32"/>
          <w:szCs w:val="32"/>
        </w:rPr>
        <w:t>信访事务</w:t>
      </w:r>
      <w:r>
        <w:rPr>
          <w:rStyle w:val="17"/>
          <w:rFonts w:hint="eastAsia" w:ascii="仿宋" w:hAnsi="仿宋" w:eastAsia="仿宋"/>
          <w:b/>
          <w:bCs w:val="0"/>
          <w:color w:val="000000"/>
          <w:sz w:val="32"/>
          <w:szCs w:val="32"/>
          <w:lang w:eastAsia="zh-CN"/>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支出决算为44.5</w:t>
      </w:r>
      <w:r>
        <w:rPr>
          <w:rStyle w:val="17"/>
          <w:rFonts w:hint="eastAsia" w:ascii="仿宋" w:hAnsi="仿宋" w:eastAsia="仿宋"/>
          <w:b w:val="0"/>
          <w:bCs/>
          <w:color w:val="000000"/>
          <w:sz w:val="32"/>
          <w:szCs w:val="32"/>
          <w:lang w:val="en-US" w:eastAsia="zh-CN"/>
        </w:rPr>
        <w:t>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
          <w:bCs w:val="0"/>
          <w:color w:val="000000"/>
          <w:sz w:val="32"/>
          <w:szCs w:val="32"/>
        </w:rPr>
        <w:t>事业运行</w:t>
      </w:r>
      <w:r>
        <w:rPr>
          <w:rStyle w:val="17"/>
          <w:rFonts w:hint="eastAsia" w:ascii="仿宋" w:hAnsi="仿宋" w:eastAsia="仿宋"/>
          <w:b/>
          <w:bCs w:val="0"/>
          <w:color w:val="000000"/>
          <w:sz w:val="32"/>
          <w:szCs w:val="32"/>
          <w:lang w:eastAsia="zh-CN"/>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支出决算为55.06万元，完成预算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Style w:val="17"/>
          <w:rFonts w:hint="eastAsia" w:ascii="仿宋" w:hAnsi="仿宋" w:eastAsia="仿宋"/>
          <w:bCs/>
          <w:color w:val="000000"/>
          <w:sz w:val="32"/>
          <w:szCs w:val="32"/>
        </w:rPr>
        <w:t>其他共产党事务支出（款）一般行政管理事务（项）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支出决算为4万元，完成预算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600" w:lineRule="exact"/>
        <w:ind w:firstLine="643" w:firstLineChars="200"/>
        <w:rPr>
          <w:rStyle w:val="17"/>
          <w:rFonts w:hint="eastAsia" w:ascii="仿宋_GB2312" w:hAnsi="仿宋" w:eastAsia="仿宋_GB2312"/>
          <w:b w:val="0"/>
          <w:bCs w:val="0"/>
          <w:color w:val="000000"/>
          <w:sz w:val="32"/>
          <w:szCs w:val="32"/>
          <w:lang w:eastAsia="zh-CN"/>
        </w:rPr>
      </w:pPr>
      <w:r>
        <w:rPr>
          <w:rStyle w:val="17"/>
          <w:rFonts w:hint="eastAsia" w:ascii="仿宋_GB2312" w:hAnsi="仿宋" w:eastAsia="仿宋_GB2312"/>
          <w:bCs/>
          <w:color w:val="000000"/>
          <w:sz w:val="32"/>
          <w:szCs w:val="32"/>
        </w:rPr>
        <w:t xml:space="preserve">2.社会保障和就业支出（类）行政事业单位养老支出（款）行政单位离退休（项）: </w:t>
      </w:r>
      <w:r>
        <w:rPr>
          <w:rStyle w:val="17"/>
          <w:rFonts w:hint="eastAsia" w:ascii="仿宋_GB2312" w:hAnsi="仿宋" w:eastAsia="仿宋_GB2312"/>
          <w:b w:val="0"/>
          <w:bCs w:val="0"/>
          <w:color w:val="000000"/>
          <w:sz w:val="32"/>
          <w:szCs w:val="32"/>
        </w:rPr>
        <w:t>支出决算为18.43万元，完成预算100%；</w:t>
      </w:r>
      <w:r>
        <w:rPr>
          <w:rStyle w:val="17"/>
          <w:rFonts w:hint="eastAsia" w:ascii="仿宋_GB2312" w:hAnsi="仿宋" w:eastAsia="仿宋_GB2312"/>
          <w:bCs/>
          <w:color w:val="000000"/>
          <w:sz w:val="32"/>
          <w:szCs w:val="32"/>
        </w:rPr>
        <w:t xml:space="preserve">机关事业单位基本养老保险缴费支出（项）: </w:t>
      </w:r>
      <w:r>
        <w:rPr>
          <w:rStyle w:val="17"/>
          <w:rFonts w:hint="eastAsia" w:ascii="仿宋_GB2312" w:hAnsi="仿宋" w:eastAsia="仿宋_GB2312"/>
          <w:b w:val="0"/>
          <w:bCs w:val="0"/>
          <w:color w:val="000000"/>
          <w:sz w:val="32"/>
          <w:szCs w:val="32"/>
        </w:rPr>
        <w:t>支出决算为9.38万元，完成预算100%</w:t>
      </w:r>
      <w:r>
        <w:rPr>
          <w:rStyle w:val="17"/>
          <w:rFonts w:hint="eastAsia" w:ascii="仿宋_GB2312" w:hAnsi="仿宋" w:eastAsia="仿宋_GB2312"/>
          <w:b w:val="0"/>
          <w:bCs w:val="0"/>
          <w:color w:val="000000"/>
          <w:sz w:val="32"/>
          <w:szCs w:val="32"/>
          <w:lang w:eastAsia="zh-CN"/>
        </w:rPr>
        <w:t>。</w:t>
      </w:r>
    </w:p>
    <w:p>
      <w:pPr>
        <w:spacing w:line="600" w:lineRule="exact"/>
        <w:ind w:firstLine="643" w:firstLineChars="200"/>
        <w:rPr>
          <w:rStyle w:val="17"/>
          <w:rFonts w:hint="eastAsia" w:ascii="仿宋_GB2312" w:hAnsi="仿宋" w:eastAsia="仿宋_GB2312"/>
          <w:bCs/>
          <w:color w:val="000000"/>
          <w:sz w:val="32"/>
          <w:szCs w:val="32"/>
          <w:lang w:eastAsia="zh-CN"/>
        </w:rPr>
      </w:pPr>
      <w:r>
        <w:rPr>
          <w:rStyle w:val="17"/>
          <w:rFonts w:hint="eastAsia" w:ascii="仿宋_GB2312" w:hAnsi="仿宋" w:eastAsia="仿宋_GB2312"/>
          <w:bCs/>
          <w:color w:val="000000"/>
          <w:sz w:val="32"/>
          <w:szCs w:val="32"/>
        </w:rPr>
        <w:t>3.</w:t>
      </w:r>
      <w:r>
        <w:rPr>
          <w:rFonts w:hint="eastAsia" w:ascii="仿宋_GB2312" w:hAnsi="仿宋" w:eastAsia="仿宋_GB2312"/>
          <w:b/>
          <w:bCs/>
          <w:color w:val="000000"/>
          <w:sz w:val="32"/>
          <w:szCs w:val="32"/>
        </w:rPr>
        <w:t>卫生健康支出</w:t>
      </w:r>
      <w:r>
        <w:rPr>
          <w:rStyle w:val="17"/>
          <w:rFonts w:hint="eastAsia" w:ascii="仿宋_GB2312" w:hAnsi="仿宋" w:eastAsia="仿宋_GB2312"/>
          <w:bCs/>
          <w:color w:val="000000"/>
          <w:sz w:val="32"/>
          <w:szCs w:val="32"/>
        </w:rPr>
        <w:t>（类）行政事业单位医疗（款）行政单位医疗（项）:</w:t>
      </w:r>
      <w:r>
        <w:rPr>
          <w:rStyle w:val="17"/>
          <w:rFonts w:hint="eastAsia" w:ascii="仿宋_GB2312" w:hAnsi="仿宋" w:eastAsia="仿宋_GB2312"/>
          <w:b w:val="0"/>
          <w:bCs w:val="0"/>
          <w:color w:val="000000"/>
          <w:sz w:val="32"/>
          <w:szCs w:val="32"/>
        </w:rPr>
        <w:t>支出决算为3.33万元，完成预算100%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bCs/>
          <w:color w:val="000000"/>
          <w:sz w:val="32"/>
          <w:szCs w:val="32"/>
          <w:lang w:eastAsia="zh-CN"/>
        </w:rPr>
        <w:t>事业</w:t>
      </w:r>
      <w:r>
        <w:rPr>
          <w:rStyle w:val="17"/>
          <w:rFonts w:hint="eastAsia" w:ascii="仿宋_GB2312" w:hAnsi="仿宋" w:eastAsia="仿宋_GB2312"/>
          <w:bCs/>
          <w:color w:val="000000"/>
          <w:sz w:val="32"/>
          <w:szCs w:val="32"/>
        </w:rPr>
        <w:t>单位医疗（项）: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eastAsia="zh-CN"/>
        </w:rPr>
        <w:t>3.82</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color w:val="000000"/>
          <w:sz w:val="32"/>
          <w:szCs w:val="32"/>
        </w:rPr>
        <w:t>公务员医疗补助</w:t>
      </w:r>
      <w:r>
        <w:rPr>
          <w:rStyle w:val="17"/>
          <w:rFonts w:hint="eastAsia" w:ascii="仿宋_GB2312" w:hAnsi="仿宋" w:eastAsia="仿宋_GB2312"/>
          <w:bCs/>
          <w:color w:val="000000"/>
          <w:sz w:val="32"/>
          <w:szCs w:val="32"/>
        </w:rPr>
        <w:t>（项）:</w:t>
      </w:r>
      <w:r>
        <w:rPr>
          <w:rStyle w:val="17"/>
          <w:rFonts w:hint="eastAsia" w:ascii="仿宋_GB2312" w:hAnsi="仿宋" w:eastAsia="仿宋_GB2312"/>
          <w:b w:val="0"/>
          <w:bCs w:val="0"/>
          <w:color w:val="000000"/>
          <w:sz w:val="32"/>
          <w:szCs w:val="32"/>
        </w:rPr>
        <w:t>支出决算为0.59万元，完成预算100%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cs="Times New Roman"/>
          <w:color w:val="000000"/>
          <w:sz w:val="32"/>
          <w:szCs w:val="32"/>
          <w:lang w:eastAsia="zh-CN"/>
        </w:rPr>
        <w:t>其他行政事业单位医疗支出</w:t>
      </w:r>
      <w:r>
        <w:rPr>
          <w:rStyle w:val="17"/>
          <w:rFonts w:hint="eastAsia" w:ascii="仿宋_GB2312" w:hAnsi="仿宋" w:eastAsia="仿宋_GB2312"/>
          <w:bCs/>
          <w:color w:val="000000"/>
          <w:sz w:val="32"/>
          <w:szCs w:val="32"/>
        </w:rPr>
        <w:t>（项）:</w:t>
      </w:r>
      <w:r>
        <w:rPr>
          <w:rStyle w:val="17"/>
          <w:rFonts w:hint="eastAsia" w:ascii="仿宋_GB2312" w:hAnsi="仿宋" w:eastAsia="仿宋_GB2312"/>
          <w:b w:val="0"/>
          <w:bCs w:val="0"/>
          <w:color w:val="000000"/>
          <w:sz w:val="32"/>
          <w:szCs w:val="32"/>
        </w:rPr>
        <w:t>支出决算为0.</w:t>
      </w:r>
      <w:r>
        <w:rPr>
          <w:rStyle w:val="17"/>
          <w:rFonts w:hint="eastAsia" w:ascii="仿宋_GB2312" w:hAnsi="仿宋" w:eastAsia="仿宋_GB2312"/>
          <w:b w:val="0"/>
          <w:bCs w:val="0"/>
          <w:color w:val="000000"/>
          <w:sz w:val="32"/>
          <w:szCs w:val="32"/>
          <w:lang w:val="en-US" w:eastAsia="zh-CN"/>
        </w:rPr>
        <w:t>37</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p>
    <w:p>
      <w:pPr>
        <w:tabs>
          <w:tab w:val="right" w:pos="8306"/>
        </w:tabs>
        <w:spacing w:line="600" w:lineRule="exact"/>
        <w:ind w:firstLine="640"/>
        <w:outlineLvl w:val="1"/>
        <w:rPr>
          <w:rStyle w:val="17"/>
          <w:rFonts w:hint="eastAsia" w:ascii="仿宋_GB2312" w:hAnsi="仿宋" w:eastAsia="仿宋_GB2312"/>
          <w:b w:val="0"/>
          <w:bCs w:val="0"/>
          <w:color w:val="000000"/>
          <w:sz w:val="32"/>
          <w:szCs w:val="32"/>
        </w:rPr>
      </w:pPr>
      <w:r>
        <w:rPr>
          <w:rStyle w:val="17"/>
          <w:rFonts w:hint="eastAsia" w:ascii="仿宋_GB2312" w:hAnsi="仿宋" w:eastAsia="仿宋_GB2312"/>
          <w:bCs/>
          <w:color w:val="000000"/>
          <w:sz w:val="32"/>
          <w:szCs w:val="32"/>
        </w:rPr>
        <w:t>4.住房保障支出（类）住房改革支出（款）住房公积金（项）:</w:t>
      </w:r>
      <w:r>
        <w:rPr>
          <w:rStyle w:val="17"/>
          <w:rFonts w:hint="eastAsia" w:ascii="仿宋_GB2312" w:hAnsi="仿宋" w:eastAsia="仿宋_GB2312"/>
          <w:b w:val="0"/>
          <w:bCs w:val="0"/>
          <w:color w:val="000000"/>
          <w:sz w:val="32"/>
          <w:szCs w:val="32"/>
        </w:rPr>
        <w:t>支出决算为13.0</w:t>
      </w:r>
      <w:r>
        <w:rPr>
          <w:rStyle w:val="17"/>
          <w:rFonts w:hint="eastAsia" w:ascii="仿宋_GB2312" w:hAnsi="仿宋" w:eastAsia="仿宋_GB2312"/>
          <w:b w:val="0"/>
          <w:bCs w:val="0"/>
          <w:color w:val="000000"/>
          <w:sz w:val="32"/>
          <w:szCs w:val="32"/>
          <w:lang w:val="en-US" w:eastAsia="zh-CN"/>
        </w:rPr>
        <w:t>7</w:t>
      </w:r>
      <w:r>
        <w:rPr>
          <w:rStyle w:val="17"/>
          <w:rFonts w:hint="eastAsia" w:ascii="仿宋_GB2312" w:hAnsi="仿宋" w:eastAsia="仿宋_GB2312"/>
          <w:b w:val="0"/>
          <w:bCs w:val="0"/>
          <w:color w:val="000000"/>
          <w:sz w:val="32"/>
          <w:szCs w:val="32"/>
        </w:rPr>
        <w:t>万元，完成预算100%。</w:t>
      </w:r>
      <w:bookmarkStart w:id="34" w:name="_Toc15377214"/>
      <w:bookmarkStart w:id="35" w:name="_Toc15396608"/>
    </w:p>
    <w:p>
      <w:pPr>
        <w:tabs>
          <w:tab w:val="right" w:pos="8306"/>
        </w:tabs>
        <w:spacing w:line="600" w:lineRule="exact"/>
        <w:ind w:firstLine="640"/>
        <w:outlineLvl w:val="1"/>
        <w:rPr>
          <w:rStyle w:val="32"/>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4"/>
      <w:bookmarkEnd w:id="35"/>
      <w:r>
        <w:rPr>
          <w:rStyle w:val="32"/>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22年一般公共预算财政拨款基本支出164.49万元，其中：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153.65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10.84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2"/>
          <w:rFonts w:ascii="黑体" w:hAnsi="黑体" w:eastAsia="黑体"/>
          <w:b w:val="0"/>
        </w:rPr>
      </w:pPr>
      <w:bookmarkStart w:id="36" w:name="_Toc15377215"/>
      <w:bookmarkStart w:id="37" w:name="_Toc15396609"/>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0.12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w:t>
      </w:r>
      <w:r>
        <w:rPr>
          <w:rFonts w:hint="eastAsia" w:ascii="仿宋" w:hAnsi="仿宋" w:eastAsia="仿宋"/>
          <w:sz w:val="32"/>
          <w:szCs w:val="32"/>
          <w:lang w:eastAsia="zh-CN"/>
        </w:rPr>
        <w:t>增加</w:t>
      </w:r>
      <w:r>
        <w:rPr>
          <w:rFonts w:hint="eastAsia" w:ascii="仿宋" w:hAnsi="仿宋" w:eastAsia="仿宋"/>
          <w:sz w:val="32"/>
          <w:szCs w:val="32"/>
          <w:lang w:val="en-US" w:eastAsia="zh-CN"/>
        </w:rPr>
        <w:t>0.06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hint="eastAsia" w:ascii="仿宋" w:hAnsi="仿宋" w:eastAsia="仿宋"/>
          <w:sz w:val="32"/>
          <w:szCs w:val="32"/>
        </w:rPr>
        <w:t>%。决算数与预算数持平</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0.12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1"/>
      </w:pPr>
      <w:r>
        <w:rPr>
          <w:rFonts w:hint="eastAsia"/>
          <w:lang w:val="en-US" w:eastAsia="zh-CN"/>
        </w:rPr>
        <w:t xml:space="preserve">    </w:t>
      </w:r>
      <w:r>
        <w:drawing>
          <wp:inline distT="0" distB="0" distL="114300" distR="114300">
            <wp:extent cx="4846320" cy="20485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846320" cy="2048510"/>
                    </a:xfrm>
                    <a:prstGeom prst="rect">
                      <a:avLst/>
                    </a:prstGeom>
                    <a:noFill/>
                    <a:ln>
                      <a:noFill/>
                    </a:ln>
                  </pic:spPr>
                </pic:pic>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0.12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w:t>
      </w:r>
      <w:r>
        <w:rPr>
          <w:rFonts w:hint="eastAsia" w:ascii="仿宋" w:hAnsi="仿宋" w:eastAsia="仿宋"/>
          <w:sz w:val="32"/>
          <w:szCs w:val="32"/>
          <w:lang w:eastAsia="zh-CN"/>
        </w:rPr>
        <w:t>增加</w:t>
      </w:r>
      <w:r>
        <w:rPr>
          <w:rFonts w:hint="eastAsia" w:ascii="仿宋" w:hAnsi="仿宋" w:eastAsia="仿宋"/>
          <w:sz w:val="32"/>
          <w:szCs w:val="32"/>
          <w:lang w:val="en-US" w:eastAsia="zh-CN"/>
        </w:rPr>
        <w:t>0.06</w:t>
      </w:r>
      <w:r>
        <w:rPr>
          <w:rFonts w:hint="eastAsia" w:ascii="仿宋_GB2312" w:eastAsia="仿宋_GB2312"/>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开展信访业务工作需要</w:t>
      </w:r>
      <w:r>
        <w:rPr>
          <w:rFonts w:hint="eastAsia" w:ascii="仿宋_GB2312" w:eastAsia="仿宋_GB2312"/>
          <w:sz w:val="32"/>
          <w:szCs w:val="32"/>
        </w:rPr>
        <w:t>。其中：</w:t>
      </w:r>
    </w:p>
    <w:p>
      <w:pPr>
        <w:spacing w:line="600" w:lineRule="exact"/>
        <w:ind w:firstLine="640"/>
        <w:rPr>
          <w:rFonts w:hint="default" w:ascii="仿宋_GB2312" w:eastAsia="仿宋_GB2312"/>
          <w:sz w:val="32"/>
          <w:szCs w:val="32"/>
          <w:lang w:val="en-US"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0.16</w:t>
      </w:r>
      <w:r>
        <w:rPr>
          <w:rFonts w:hint="eastAsia" w:ascii="仿宋_GB2312" w:eastAsia="仿宋_GB2312"/>
          <w:sz w:val="32"/>
          <w:szCs w:val="32"/>
        </w:rPr>
        <w:t>万元，主要用于执行公务、开展业务活动开支的用餐费。国内公务接待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8</w:t>
      </w:r>
      <w:r>
        <w:rPr>
          <w:rFonts w:hint="eastAsia" w:ascii="仿宋_GB2312" w:eastAsia="仿宋_GB2312"/>
          <w:sz w:val="32"/>
          <w:szCs w:val="32"/>
        </w:rPr>
        <w:t>人次，共计支出</w:t>
      </w:r>
      <w:r>
        <w:rPr>
          <w:rFonts w:hint="eastAsia" w:ascii="仿宋_GB2312" w:eastAsia="仿宋_GB2312"/>
          <w:sz w:val="32"/>
          <w:szCs w:val="32"/>
          <w:lang w:val="en-US" w:eastAsia="zh-CN"/>
        </w:rPr>
        <w:t>0.12</w:t>
      </w:r>
      <w:r>
        <w:rPr>
          <w:rFonts w:hint="eastAsia" w:ascii="仿宋_GB2312" w:eastAsia="仿宋_GB2312"/>
          <w:sz w:val="32"/>
          <w:szCs w:val="32"/>
        </w:rPr>
        <w:t>万元，具体内容包括：</w:t>
      </w:r>
      <w:r>
        <w:rPr>
          <w:rFonts w:hint="eastAsia" w:ascii="仿宋_GB2312" w:eastAsia="仿宋_GB2312"/>
          <w:sz w:val="32"/>
          <w:szCs w:val="32"/>
          <w:lang w:eastAsia="zh-CN"/>
        </w:rPr>
        <w:t>调研督导信访工作支出</w:t>
      </w:r>
      <w:r>
        <w:rPr>
          <w:rFonts w:hint="eastAsia" w:ascii="仿宋_GB2312" w:eastAsia="仿宋_GB2312"/>
          <w:sz w:val="32"/>
          <w:szCs w:val="32"/>
          <w:lang w:val="en-US" w:eastAsia="zh-CN"/>
        </w:rPr>
        <w:t>0.12万元。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b w:val="0"/>
          <w:bCs w:val="0"/>
          <w:sz w:val="32"/>
          <w:szCs w:val="32"/>
        </w:rPr>
        <w:t>9.79</w:t>
      </w:r>
      <w:r>
        <w:rPr>
          <w:rFonts w:hint="eastAsia" w:ascii="仿宋_GB2312" w:eastAsia="仿宋_GB2312"/>
          <w:sz w:val="32"/>
          <w:szCs w:val="32"/>
        </w:rPr>
        <w:t>万元。</w:t>
      </w:r>
    </w:p>
    <w:p>
      <w:pPr>
        <w:numPr>
          <w:ilvl w:val="0"/>
          <w:numId w:val="2"/>
        </w:numPr>
        <w:spacing w:line="600" w:lineRule="exact"/>
        <w:ind w:firstLine="640"/>
        <w:outlineLvl w:val="1"/>
        <w:rPr>
          <w:rStyle w:val="32"/>
          <w:rFonts w:ascii="黑体" w:hAnsi="黑体" w:eastAsia="黑体"/>
          <w:b w:val="0"/>
        </w:rPr>
      </w:pPr>
      <w:bookmarkStart w:id="42" w:name="_Toc15396611"/>
      <w:bookmarkStart w:id="43" w:name="_Toc15377219"/>
      <w:r>
        <w:rPr>
          <w:rStyle w:val="32"/>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2"/>
          <w:rFonts w:ascii="黑体" w:hAnsi="黑体" w:eastAsia="黑体"/>
          <w:b w:val="0"/>
        </w:rPr>
      </w:pPr>
      <w:bookmarkStart w:id="44" w:name="_Toc15377221"/>
      <w:bookmarkStart w:id="45" w:name="_Toc15396612"/>
      <w:r>
        <w:rPr>
          <w:rStyle w:val="32"/>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信访局</w:t>
      </w:r>
      <w:r>
        <w:rPr>
          <w:rFonts w:hint="eastAsia" w:ascii="仿宋_GB2312" w:eastAsia="仿宋_GB2312"/>
          <w:sz w:val="32"/>
          <w:szCs w:val="32"/>
        </w:rPr>
        <w:t>机关运行经费支出</w:t>
      </w:r>
      <w:r>
        <w:rPr>
          <w:rFonts w:hint="eastAsia" w:ascii="仿宋_GB2312" w:eastAsia="仿宋_GB2312"/>
          <w:sz w:val="32"/>
          <w:szCs w:val="32"/>
          <w:lang w:val="en-US" w:eastAsia="zh-CN"/>
        </w:rPr>
        <w:t>10.84</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2.42</w:t>
      </w:r>
      <w:r>
        <w:rPr>
          <w:rFonts w:hint="eastAsia" w:ascii="仿宋_GB2312" w:eastAsia="仿宋_GB2312"/>
          <w:sz w:val="32"/>
          <w:szCs w:val="32"/>
        </w:rPr>
        <w:t>万元，下降</w:t>
      </w: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严格控制办公费、其他商品和服务支出等运行经费支出</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信访局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信访局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年度预算编制阶段，组织对保安费用等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个项目开展了绩效自评。组织对2022年度一般公共预算、政府性基金预算、国有资本经营预算、社会保险基金预算以及资本资产、债券资金等全面开展绩效自评，形成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西区信访局</w:t>
      </w:r>
      <w:r>
        <w:rPr>
          <w:rFonts w:hint="eastAsia" w:ascii="仿宋_GB2312" w:hAnsi="仿宋_GB2312" w:eastAsia="仿宋_GB2312" w:cs="仿宋_GB2312"/>
          <w:sz w:val="32"/>
          <w:szCs w:val="32"/>
        </w:rPr>
        <w:t>整体（含部门预算项目）绩效自评报告、</w:t>
      </w:r>
      <w:r>
        <w:rPr>
          <w:rFonts w:hint="eastAsia" w:ascii="仿宋_GB2312" w:hAnsi="仿宋_GB2312" w:eastAsia="仿宋_GB2312" w:cs="仿宋_GB2312"/>
          <w:sz w:val="32"/>
          <w:szCs w:val="32"/>
          <w:lang w:eastAsia="zh-CN"/>
        </w:rPr>
        <w:t>保安费用</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西区信访局</w:t>
      </w:r>
      <w:r>
        <w:rPr>
          <w:rFonts w:hint="eastAsia" w:ascii="仿宋_GB2312" w:hAnsi="仿宋_GB2312" w:eastAsia="仿宋_GB2312" w:cs="仿宋_GB2312"/>
          <w:sz w:val="32"/>
          <w:szCs w:val="32"/>
        </w:rPr>
        <w:t>整体（含部门预算项目）绩效自评得分为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保安费用</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w:t>
      </w:r>
      <w:r>
        <w:rPr>
          <w:rFonts w:hint="eastAsia" w:ascii="Times New Roman" w:hAnsi="Times New Roman" w:eastAsia="仿宋_GB2312" w:cs="Times New Roman"/>
          <w:bCs/>
          <w:sz w:val="32"/>
          <w:szCs w:val="32"/>
          <w:lang w:eastAsia="zh-CN"/>
        </w:rPr>
        <w:t>该项目资金</w:t>
      </w:r>
      <w:r>
        <w:rPr>
          <w:rFonts w:ascii="Times New Roman" w:hAnsi="Times New Roman" w:eastAsia="仿宋_GB2312" w:cs="Times New Roman"/>
          <w:bCs/>
          <w:sz w:val="32"/>
          <w:szCs w:val="32"/>
        </w:rPr>
        <w:t>预期产出和效果能满足需求、</w:t>
      </w:r>
      <w:r>
        <w:rPr>
          <w:rFonts w:hint="eastAsia" w:ascii="Times New Roman" w:hAnsi="Times New Roman" w:eastAsia="仿宋_GB2312" w:cs="Times New Roman"/>
          <w:bCs/>
          <w:sz w:val="32"/>
          <w:szCs w:val="32"/>
          <w:lang w:eastAsia="zh-CN"/>
        </w:rPr>
        <w:t>不需</w:t>
      </w:r>
      <w:r>
        <w:rPr>
          <w:rFonts w:ascii="Times New Roman" w:hAnsi="Times New Roman" w:eastAsia="仿宋_GB2312" w:cs="Times New Roman"/>
          <w:bCs/>
          <w:sz w:val="32"/>
          <w:szCs w:val="32"/>
        </w:rPr>
        <w:t>核减预算安排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接访费用</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w:t>
      </w:r>
      <w:r>
        <w:rPr>
          <w:rFonts w:hint="eastAsia" w:ascii="Times New Roman" w:hAnsi="Times New Roman" w:eastAsia="仿宋_GB2312" w:cs="Times New Roman"/>
          <w:bCs/>
          <w:sz w:val="32"/>
          <w:szCs w:val="32"/>
          <w:lang w:eastAsia="zh-CN"/>
        </w:rPr>
        <w:t>该项目资金</w:t>
      </w:r>
      <w:r>
        <w:rPr>
          <w:rFonts w:ascii="Times New Roman" w:hAnsi="Times New Roman" w:eastAsia="仿宋_GB2312" w:cs="Times New Roman"/>
          <w:bCs/>
          <w:sz w:val="32"/>
          <w:szCs w:val="32"/>
        </w:rPr>
        <w:t>预期产出和效果能满足需求、</w:t>
      </w:r>
      <w:r>
        <w:rPr>
          <w:rFonts w:hint="eastAsia" w:ascii="Times New Roman" w:hAnsi="Times New Roman" w:eastAsia="仿宋_GB2312" w:cs="Times New Roman"/>
          <w:bCs/>
          <w:sz w:val="32"/>
          <w:szCs w:val="32"/>
          <w:lang w:eastAsia="zh-CN"/>
        </w:rPr>
        <w:t>不需</w:t>
      </w:r>
      <w:r>
        <w:rPr>
          <w:rFonts w:ascii="Times New Roman" w:hAnsi="Times New Roman" w:eastAsia="仿宋_GB2312" w:cs="Times New Roman"/>
          <w:bCs/>
          <w:sz w:val="32"/>
          <w:szCs w:val="32"/>
        </w:rPr>
        <w:t>核减预算安排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矛盾化解和疑难信访问题</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w:t>
      </w:r>
      <w:r>
        <w:rPr>
          <w:rFonts w:hint="eastAsia" w:ascii="Times New Roman" w:hAnsi="Times New Roman" w:eastAsia="仿宋_GB2312" w:cs="Times New Roman"/>
          <w:bCs/>
          <w:sz w:val="32"/>
          <w:szCs w:val="32"/>
          <w:lang w:eastAsia="zh-CN"/>
        </w:rPr>
        <w:t>该项目资金</w:t>
      </w:r>
      <w:r>
        <w:rPr>
          <w:rFonts w:ascii="Times New Roman" w:hAnsi="Times New Roman" w:eastAsia="仿宋_GB2312" w:cs="Times New Roman"/>
          <w:bCs/>
          <w:sz w:val="32"/>
          <w:szCs w:val="32"/>
        </w:rPr>
        <w:t>预期产出和效果能满足需求、</w:t>
      </w:r>
      <w:r>
        <w:rPr>
          <w:rFonts w:hint="eastAsia" w:ascii="Times New Roman" w:hAnsi="Times New Roman" w:eastAsia="仿宋_GB2312" w:cs="Times New Roman"/>
          <w:bCs/>
          <w:sz w:val="32"/>
          <w:szCs w:val="32"/>
          <w:lang w:eastAsia="zh-CN"/>
        </w:rPr>
        <w:t>不需</w:t>
      </w:r>
      <w:r>
        <w:rPr>
          <w:rFonts w:ascii="Times New Roman" w:hAnsi="Times New Roman" w:eastAsia="仿宋_GB2312" w:cs="Times New Roman"/>
          <w:bCs/>
          <w:sz w:val="32"/>
          <w:szCs w:val="32"/>
        </w:rPr>
        <w:t>核减预算安排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驻京驻蓉信访维稳费用</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eastAsia="zh-CN"/>
        </w:rPr>
        <w:t>因重大活动和敏感时段的增多，进京赴省人员随之增加，</w:t>
      </w:r>
      <w:r>
        <w:rPr>
          <w:rFonts w:hint="eastAsia" w:ascii="Times New Roman" w:hAnsi="Times New Roman" w:eastAsia="仿宋_GB2312" w:cs="Times New Roman"/>
          <w:bCs/>
          <w:sz w:val="32"/>
          <w:szCs w:val="32"/>
          <w:lang w:eastAsia="zh-CN"/>
        </w:rPr>
        <w:t>该项目资金</w:t>
      </w:r>
      <w:r>
        <w:rPr>
          <w:rFonts w:ascii="Times New Roman" w:hAnsi="Times New Roman" w:eastAsia="仿宋_GB2312" w:cs="Times New Roman"/>
          <w:bCs/>
          <w:sz w:val="32"/>
          <w:szCs w:val="32"/>
        </w:rPr>
        <w:t>预期产出和效果</w:t>
      </w:r>
      <w:r>
        <w:rPr>
          <w:rFonts w:hint="eastAsia" w:eastAsia="仿宋_GB2312" w:cs="Times New Roman"/>
          <w:bCs/>
          <w:sz w:val="32"/>
          <w:szCs w:val="32"/>
          <w:lang w:eastAsia="zh-CN"/>
        </w:rPr>
        <w:t>已不</w:t>
      </w:r>
      <w:r>
        <w:rPr>
          <w:rFonts w:ascii="Times New Roman" w:hAnsi="Times New Roman" w:eastAsia="仿宋_GB2312" w:cs="Times New Roman"/>
          <w:bCs/>
          <w:sz w:val="32"/>
          <w:szCs w:val="32"/>
        </w:rPr>
        <w:t>能满足需求、</w:t>
      </w:r>
      <w:r>
        <w:rPr>
          <w:rFonts w:hint="eastAsia" w:eastAsia="仿宋_GB2312" w:cs="Times New Roman"/>
          <w:bCs/>
          <w:sz w:val="32"/>
          <w:szCs w:val="32"/>
          <w:lang w:eastAsia="zh-CN"/>
        </w:rPr>
        <w:t>需增加</w:t>
      </w:r>
      <w:r>
        <w:rPr>
          <w:rFonts w:ascii="Times New Roman" w:hAnsi="Times New Roman" w:eastAsia="仿宋_GB2312" w:cs="Times New Roman"/>
          <w:bCs/>
          <w:sz w:val="32"/>
          <w:szCs w:val="32"/>
        </w:rPr>
        <w:t>预算安排</w:t>
      </w:r>
      <w:r>
        <w:rPr>
          <w:rFonts w:hint="eastAsia" w:ascii="仿宋_GB2312" w:hAnsi="仿宋_GB2312" w:eastAsia="仿宋_GB2312" w:cs="仿宋_GB2312"/>
          <w:sz w:val="32"/>
          <w:szCs w:val="32"/>
        </w:rPr>
        <w:t>。绩效自评报告详见附件。</w:t>
      </w:r>
    </w:p>
    <w:p>
      <w:pPr>
        <w:pStyle w:val="2"/>
      </w:pPr>
    </w:p>
    <w:p>
      <w:pPr>
        <w:pStyle w:val="2"/>
      </w:pPr>
    </w:p>
    <w:p>
      <w:pPr>
        <w:numPr>
          <w:ilvl w:val="0"/>
          <w:numId w:val="3"/>
        </w:numPr>
        <w:spacing w:line="600" w:lineRule="exact"/>
        <w:ind w:firstLine="660" w:firstLineChars="150"/>
        <w:jc w:val="center"/>
        <w:outlineLvl w:val="0"/>
        <w:rPr>
          <w:rStyle w:val="31"/>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31"/>
          <w:rFonts w:hint="eastAsia" w:ascii="黑体" w:hAnsi="黑体" w:eastAsia="黑体"/>
          <w:b w:val="0"/>
        </w:rPr>
        <w:t>词解释</w:t>
      </w:r>
      <w:bookmarkEnd w:id="49"/>
      <w:bookmarkEnd w:id="50"/>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autoSpaceDE w:val="0"/>
        <w:autoSpaceDN w:val="0"/>
        <w:adjustRightInd w:val="0"/>
        <w:spacing w:line="600" w:lineRule="exact"/>
        <w:ind w:firstLine="640" w:firstLineChars="200"/>
        <w:jc w:val="left"/>
        <w:rPr>
          <w:rFonts w:hint="eastAsia" w:ascii="仿宋" w:hAnsi="仿宋" w:eastAsia="仿宋"/>
          <w:color w:val="000000"/>
          <w:sz w:val="32"/>
          <w:szCs w:val="32"/>
          <w:lang w:eastAsia="zh-CN"/>
        </w:rPr>
      </w:pPr>
      <w:r>
        <w:rPr>
          <w:rFonts w:ascii="仿宋_GB2312" w:eastAsia="仿宋_GB2312"/>
          <w:color w:val="000000"/>
          <w:sz w:val="32"/>
          <w:szCs w:val="32"/>
        </w:rPr>
        <w:t>9.</w:t>
      </w:r>
      <w:r>
        <w:rPr>
          <w:rFonts w:hint="eastAsia" w:ascii="仿宋_GB2312" w:eastAsia="仿宋_GB2312"/>
          <w:color w:val="000000"/>
          <w:sz w:val="32"/>
          <w:szCs w:val="32"/>
        </w:rPr>
        <w:t xml:space="preserve"> 一般公共服务（类）</w:t>
      </w:r>
      <w:r>
        <w:rPr>
          <w:rFonts w:hint="eastAsia" w:ascii="仿宋" w:hAnsi="仿宋" w:eastAsia="仿宋"/>
          <w:color w:val="000000"/>
          <w:sz w:val="32"/>
          <w:szCs w:val="32"/>
        </w:rPr>
        <w:t>政府办公厅（室）及相关机构事务（款）行政运行（项）：反映行政单位（包括实行公务员管理的事业单位）的基本支出；信访事务（项）：反映各级政府用于接待群众来信来访方面的支出；事业运行（项）：反映事业单位的基本支出，不包括行政单位（包括实行公务员管理的事业单位）后勤服务中心、医务室等附属事业单位。其他共产党事务支出（款）一般行政管理事务（项）：反映反映行政单位（包括实行公务员管理的事业单位）</w:t>
      </w:r>
      <w:r>
        <w:rPr>
          <w:rFonts w:hint="eastAsia" w:ascii="仿宋" w:hAnsi="仿宋" w:eastAsia="仿宋"/>
          <w:color w:val="000000"/>
          <w:sz w:val="32"/>
          <w:szCs w:val="32"/>
          <w:lang w:eastAsia="zh-CN"/>
        </w:rPr>
        <w:t>未单独设置项级科目的其他项目支出。</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rPr>
        <w:t>10.社会保障和就业支出（类）行政事业单位养老支出（款）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 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r>
        <w:rPr>
          <w:rFonts w:hint="eastAsia" w:ascii="仿宋_GB2312" w:eastAsia="仿宋_GB2312"/>
          <w:color w:val="000000"/>
          <w:sz w:val="32"/>
          <w:szCs w:val="32"/>
          <w:lang w:eastAsia="zh-CN"/>
        </w:rPr>
        <w:t>；其他行政事业单位医疗支出</w:t>
      </w:r>
      <w:r>
        <w:rPr>
          <w:rFonts w:hint="eastAsia" w:ascii="仿宋" w:hAnsi="仿宋" w:eastAsia="仿宋"/>
          <w:color w:val="000000"/>
          <w:sz w:val="32"/>
          <w:szCs w:val="32"/>
        </w:rPr>
        <w:t>（项）：反映</w:t>
      </w:r>
      <w:r>
        <w:rPr>
          <w:rFonts w:hint="eastAsia" w:ascii="仿宋" w:hAnsi="仿宋" w:eastAsia="仿宋"/>
          <w:color w:val="000000"/>
          <w:sz w:val="32"/>
          <w:szCs w:val="32"/>
          <w:lang w:eastAsia="zh-CN"/>
        </w:rPr>
        <w:t>除上述项目以外其他用于行政事业单位医疗方面的支出。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12. 城乡社区支出（类）国有土地使用权出让收入及对应专项债务收入安排的支出（款）土地开发支出（项）：反映新疆生产建设兵团和地方政府用于前期土地开发性支出以及与前期土地开发相关的费用等支出。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p>
    <w:p>
      <w:pPr>
        <w:spacing w:line="600" w:lineRule="exact"/>
        <w:ind w:firstLine="2640" w:firstLineChars="600"/>
        <w:jc w:val="both"/>
        <w:outlineLvl w:val="0"/>
        <w:rPr>
          <w:rStyle w:val="31"/>
          <w:rFonts w:ascii="黑体" w:hAnsi="黑体" w:eastAsia="黑体"/>
          <w:b w:val="0"/>
        </w:rPr>
      </w:pPr>
      <w:bookmarkStart w:id="51" w:name="_Toc15396614"/>
      <w:bookmarkStart w:id="52" w:name="_Toc15377226"/>
      <w:r>
        <w:rPr>
          <w:rFonts w:hint="eastAsia" w:ascii="黑体" w:hAnsi="黑体" w:eastAsia="黑体"/>
          <w:sz w:val="44"/>
          <w:szCs w:val="44"/>
        </w:rPr>
        <w:t>第</w:t>
      </w:r>
      <w:r>
        <w:rPr>
          <w:rStyle w:val="31"/>
          <w:rFonts w:hint="eastAsia" w:ascii="黑体" w:hAnsi="黑体" w:eastAsia="黑体"/>
          <w:b w:val="0"/>
        </w:rPr>
        <w:t>四部分 附件</w:t>
      </w:r>
      <w:bookmarkEnd w:id="51"/>
    </w:p>
    <w:p>
      <w:pPr>
        <w:spacing w:line="572" w:lineRule="exact"/>
        <w:jc w:val="left"/>
        <w:outlineLvl w:val="0"/>
        <w:rPr>
          <w:rFonts w:ascii="方正小标宋简体" w:hAnsi="方正小标宋简体" w:eastAsia="方正小标宋简体" w:cs="方正小标宋简体"/>
          <w:sz w:val="44"/>
          <w:szCs w:val="44"/>
        </w:rPr>
      </w:pP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lang w:val="en-US" w:eastAsia="zh-CN"/>
        </w:rPr>
        <w:t xml:space="preserve"> </w:t>
      </w: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bookmarkStart w:id="67" w:name="_GoBack"/>
      <w:bookmarkEnd w:id="67"/>
      <w:r>
        <w:rPr>
          <w:rFonts w:hint="eastAsia" w:ascii="宋体" w:hAnsi="宋体"/>
          <w:b/>
          <w:sz w:val="32"/>
          <w:szCs w:val="32"/>
          <w:shd w:val="clear" w:color="auto" w:fill="FFFFFF"/>
        </w:rPr>
        <w:t>年攀枝花市西区</w:t>
      </w:r>
      <w:r>
        <w:rPr>
          <w:rFonts w:hint="eastAsia" w:ascii="宋体" w:hAnsi="宋体"/>
          <w:b/>
          <w:sz w:val="32"/>
          <w:szCs w:val="32"/>
          <w:shd w:val="clear" w:color="auto" w:fill="FFFFFF"/>
          <w:lang w:eastAsia="zh-CN"/>
        </w:rPr>
        <w:t>信访局</w:t>
      </w:r>
      <w:r>
        <w:rPr>
          <w:rFonts w:hint="eastAsia" w:ascii="宋体" w:hAnsi="宋体"/>
          <w:b/>
          <w:sz w:val="32"/>
          <w:szCs w:val="32"/>
          <w:shd w:val="clear" w:color="auto" w:fill="FFFFFF"/>
        </w:rPr>
        <w:t>整体绩效评价报告</w:t>
      </w:r>
    </w:p>
    <w:p>
      <w:pPr>
        <w:widowControl/>
        <w:adjustRightInd w:val="0"/>
        <w:snapToGrid w:val="0"/>
        <w:spacing w:line="560" w:lineRule="exact"/>
        <w:ind w:firstLine="640" w:firstLineChars="200"/>
        <w:contextualSpacing/>
        <w:jc w:val="left"/>
        <w:rPr>
          <w:rFonts w:hint="eastAsia" w:ascii="黑体" w:hAnsi="宋体" w:eastAsia="黑体" w:cs="宋体"/>
          <w:kern w:val="0"/>
          <w:sz w:val="32"/>
          <w:szCs w:val="32"/>
          <w:shd w:val="clear" w:color="auto" w:fill="FFFFFF"/>
          <w:lang w:val="en-US" w:eastAsia="zh-CN"/>
        </w:rPr>
      </w:pPr>
      <w:r>
        <w:rPr>
          <w:rFonts w:hint="eastAsia" w:ascii="黑体" w:hAnsi="宋体" w:eastAsia="黑体" w:cs="宋体"/>
          <w:kern w:val="0"/>
          <w:sz w:val="32"/>
          <w:szCs w:val="32"/>
          <w:shd w:val="clear" w:color="auto" w:fill="FFFFFF"/>
          <w:lang w:val="en-US" w:eastAsia="zh-CN"/>
        </w:rPr>
        <w:t xml:space="preserve">  </w:t>
      </w:r>
    </w:p>
    <w:p>
      <w:pPr>
        <w:pStyle w:val="21"/>
        <w:rPr>
          <w:rFonts w:hint="default"/>
          <w:lang w:val="en-US" w:eastAsia="zh-CN"/>
        </w:rPr>
      </w:pPr>
    </w:p>
    <w:p>
      <w:pPr>
        <w:widowControl/>
        <w:numPr>
          <w:ilvl w:val="0"/>
          <w:numId w:val="4"/>
        </w:numPr>
        <w:adjustRightInd w:val="0"/>
        <w:snapToGrid w:val="0"/>
        <w:spacing w:line="360" w:lineRule="auto"/>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numPr>
          <w:ilvl w:val="0"/>
          <w:numId w:val="5"/>
        </w:numPr>
        <w:adjustRightInd w:val="0"/>
        <w:snapToGrid w:val="0"/>
        <w:spacing w:line="240" w:lineRule="auto"/>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widowControl/>
        <w:spacing w:line="315" w:lineRule="atLeas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 xml:space="preserve"> </w:t>
      </w:r>
      <w:r>
        <w:rPr>
          <w:rFonts w:hint="eastAsia" w:ascii="仿宋_GB2312" w:hAnsi="仿宋" w:eastAsia="仿宋_GB2312" w:cs="Times New Roman"/>
          <w:sz w:val="32"/>
          <w:szCs w:val="32"/>
          <w:lang w:val="en-US" w:eastAsia="zh-CN"/>
        </w:rPr>
        <w:t>本部门</w:t>
      </w:r>
      <w:r>
        <w:rPr>
          <w:rFonts w:hint="eastAsia" w:ascii="仿宋_GB2312" w:hAnsi="仿宋" w:eastAsia="仿宋_GB2312"/>
          <w:sz w:val="32"/>
          <w:szCs w:val="32"/>
        </w:rPr>
        <w:t>内设办公室和业务股，下设西区群众工作中心一个二级单位。</w:t>
      </w:r>
    </w:p>
    <w:p>
      <w:pPr>
        <w:widowControl/>
        <w:numPr>
          <w:ilvl w:val="0"/>
          <w:numId w:val="5"/>
        </w:numPr>
        <w:adjustRightInd w:val="0"/>
        <w:snapToGrid w:val="0"/>
        <w:spacing w:line="560" w:lineRule="exact"/>
        <w:ind w:left="0" w:leftChars="0"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2"/>
        <w:numPr>
          <w:ilvl w:val="0"/>
          <w:numId w:val="0"/>
        </w:numPr>
        <w:ind w:firstLine="643" w:firstLineChars="200"/>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en-US" w:eastAsia="zh-CN"/>
        </w:rPr>
        <w:t>1.</w:t>
      </w:r>
      <w:r>
        <w:rPr>
          <w:rFonts w:hint="eastAsia" w:ascii="楷体_GB2312" w:hAnsi="楷体_GB2312" w:eastAsia="楷体_GB2312" w:cs="楷体_GB2312"/>
          <w:b/>
          <w:bCs/>
          <w:kern w:val="0"/>
          <w:sz w:val="32"/>
          <w:szCs w:val="32"/>
          <w:shd w:val="clear" w:color="auto" w:fill="FFFFFF"/>
          <w:lang w:val="zh-CN"/>
        </w:rPr>
        <w:t>机构职能</w:t>
      </w:r>
    </w:p>
    <w:p>
      <w:pPr>
        <w:autoSpaceDE w:val="0"/>
        <w:autoSpaceDN w:val="0"/>
        <w:adjustRightInd w:val="0"/>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2.</w:t>
      </w:r>
      <w:r>
        <w:rPr>
          <w:rFonts w:hint="eastAsia" w:ascii="仿宋_GB2312" w:hAnsi="仿宋" w:eastAsia="仿宋_GB2312"/>
          <w:sz w:val="32"/>
          <w:szCs w:val="32"/>
        </w:rPr>
        <w:t>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3.</w:t>
      </w:r>
      <w:r>
        <w:rPr>
          <w:rFonts w:hint="eastAsia" w:ascii="仿宋_GB2312" w:hAnsi="仿宋" w:eastAsia="仿宋_GB2312"/>
          <w:sz w:val="32"/>
          <w:szCs w:val="32"/>
        </w:rPr>
        <w:t>指导全区信访工作，督促检查镇、街道和区级各部门（单位）的信访工作，并总结推广信访工作经验，牵头完成信访工作宣传和信息发布。</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4.</w:t>
      </w:r>
      <w:r>
        <w:rPr>
          <w:rFonts w:hint="eastAsia" w:ascii="仿宋_GB2312" w:hAnsi="仿宋" w:eastAsia="仿宋_GB2312"/>
          <w:sz w:val="32"/>
          <w:szCs w:val="32"/>
        </w:rPr>
        <w:t>负责处理区内外群众、境外人士、法人及其他组织通过信访渠道给区委、区政府及领导同志涉及本辖区权限内的来信来电，接待来访。</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5.</w:t>
      </w:r>
      <w:r>
        <w:rPr>
          <w:rFonts w:hint="eastAsia" w:ascii="仿宋_GB2312" w:hAnsi="仿宋" w:eastAsia="仿宋_GB2312"/>
          <w:sz w:val="32"/>
          <w:szCs w:val="32"/>
        </w:rPr>
        <w:t>承担处理群众进京赴省到市、区集体上访和非接待场所上访的责任。</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6.</w:t>
      </w:r>
      <w:r>
        <w:rPr>
          <w:rFonts w:hint="eastAsia" w:ascii="仿宋_GB2312" w:hAnsi="仿宋" w:eastAsia="仿宋_GB2312"/>
          <w:sz w:val="32"/>
          <w:szCs w:val="32"/>
        </w:rPr>
        <w:t>承担上级批示交办信访事项，向镇、街道及区级各部门（单位）转办、交办信访事项，督促检查重要信访事项的处理和落实。</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7.</w:t>
      </w:r>
      <w:r>
        <w:rPr>
          <w:rFonts w:hint="eastAsia" w:ascii="仿宋_GB2312" w:hAnsi="仿宋" w:eastAsia="仿宋_GB2312"/>
          <w:sz w:val="32"/>
          <w:szCs w:val="32"/>
        </w:rPr>
        <w:t>制定信访信息汇集分析机制，指导全区信访信息化建设和应用。</w:t>
      </w:r>
    </w:p>
    <w:p>
      <w:pPr>
        <w:autoSpaceDE w:val="0"/>
        <w:autoSpaceDN w:val="0"/>
        <w:adjustRightInd w:val="0"/>
        <w:spacing w:line="360" w:lineRule="auto"/>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8.</w:t>
      </w:r>
      <w:r>
        <w:rPr>
          <w:rFonts w:hint="eastAsia" w:ascii="仿宋_GB2312" w:hAnsi="仿宋" w:eastAsia="仿宋_GB2312"/>
          <w:sz w:val="32"/>
          <w:szCs w:val="32"/>
        </w:rPr>
        <w:t>承担区信访工作联席会议、区政府信访事项复查复核委员会日常工作，监督落实有关事项。</w:t>
      </w:r>
    </w:p>
    <w:p>
      <w:pPr>
        <w:autoSpaceDE w:val="0"/>
        <w:autoSpaceDN w:val="0"/>
        <w:adjustRightInd w:val="0"/>
        <w:spacing w:line="360" w:lineRule="auto"/>
        <w:jc w:val="lef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9.</w:t>
      </w:r>
      <w:r>
        <w:rPr>
          <w:rFonts w:hint="eastAsia" w:ascii="仿宋_GB2312" w:hAnsi="仿宋" w:eastAsia="仿宋_GB2312"/>
          <w:sz w:val="32"/>
          <w:szCs w:val="32"/>
        </w:rPr>
        <w:t>负责职责范围内的安全生产和职业健康、生态环境保护、审批服务便民化工作。</w:t>
      </w:r>
    </w:p>
    <w:p>
      <w:pPr>
        <w:pStyle w:val="2"/>
        <w:adjustRightInd w:val="0"/>
        <w:snapToGrid w:val="0"/>
        <w:spacing w:before="93" w:line="240" w:lineRule="auto"/>
        <w:ind w:firstLine="672" w:firstLineChars="210"/>
        <w:outlineLvl w:val="2"/>
        <w:rPr>
          <w:rFonts w:hint="eastAsia" w:ascii="仿宋" w:hAnsi="仿宋" w:eastAsia="仿宋"/>
          <w:bCs/>
          <w:color w:val="000000"/>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完成区委和区政府交办的其他任务。</w:t>
      </w:r>
    </w:p>
    <w:p>
      <w:pPr>
        <w:pStyle w:val="2"/>
        <w:numPr>
          <w:ilvl w:val="0"/>
          <w:numId w:val="0"/>
        </w:numPr>
        <w:spacing w:line="240" w:lineRule="auto"/>
        <w:ind w:firstLine="643" w:firstLineChars="200"/>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en-US" w:eastAsia="zh-CN"/>
        </w:rPr>
        <w:t>2.</w:t>
      </w:r>
      <w:r>
        <w:rPr>
          <w:rFonts w:hint="eastAsia" w:ascii="楷体_GB2312" w:hAnsi="楷体_GB2312" w:eastAsia="楷体_GB2312" w:cs="楷体_GB2312"/>
          <w:b/>
          <w:bCs/>
          <w:kern w:val="0"/>
          <w:sz w:val="32"/>
          <w:szCs w:val="32"/>
          <w:shd w:val="clear" w:color="auto" w:fill="FFFFFF"/>
          <w:lang w:val="zh-CN"/>
        </w:rPr>
        <w:t>人员概况</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本部门</w:t>
      </w:r>
      <w:r>
        <w:rPr>
          <w:rFonts w:hint="eastAsia" w:ascii="仿宋_GB2312" w:hAnsi="仿宋" w:eastAsia="仿宋_GB2312"/>
          <w:sz w:val="32"/>
          <w:szCs w:val="32"/>
        </w:rPr>
        <w:t>核定行政编制3人，事业编制5人。年末实有行政编制人员3人、事业编制人员5人，与去年同期实有人数相比,行政人员和事业人员都无变化。</w:t>
      </w:r>
    </w:p>
    <w:p>
      <w:pPr>
        <w:snapToGrid w:val="0"/>
        <w:spacing w:line="360" w:lineRule="auto"/>
        <w:ind w:firstLine="643" w:firstLineChars="200"/>
        <w:rPr>
          <w:rFonts w:hint="eastAsia" w:ascii="仿宋_GB2312" w:hAnsi="仿宋" w:eastAsia="仿宋_GB2312" w:cs="Times New Roman"/>
          <w:b/>
          <w:bCs/>
          <w:sz w:val="32"/>
          <w:szCs w:val="32"/>
          <w:lang w:val="zh-CN"/>
        </w:rPr>
      </w:pPr>
      <w:r>
        <w:rPr>
          <w:rFonts w:hint="eastAsia" w:ascii="楷体_GB2312" w:hAnsi="楷体_GB2312" w:eastAsia="楷体_GB2312" w:cs="楷体_GB2312"/>
          <w:b/>
          <w:bCs/>
          <w:kern w:val="0"/>
          <w:sz w:val="32"/>
          <w:szCs w:val="32"/>
          <w:shd w:val="clear" w:color="auto" w:fill="FFFFFF"/>
          <w:lang w:val="zh-CN" w:eastAsia="zh-CN"/>
        </w:rPr>
        <w:t>（三）</w:t>
      </w:r>
      <w:r>
        <w:rPr>
          <w:rFonts w:hint="eastAsia" w:ascii="楷体_GB2312" w:hAnsi="楷体_GB2312" w:eastAsia="楷体_GB2312" w:cs="楷体_GB2312"/>
          <w:b/>
          <w:bCs/>
          <w:kern w:val="0"/>
          <w:sz w:val="32"/>
          <w:szCs w:val="32"/>
          <w:shd w:val="clear" w:color="auto" w:fill="FFFFFF"/>
          <w:lang w:val="zh-CN"/>
        </w:rPr>
        <w:t>年度主要工作任务。</w:t>
      </w:r>
    </w:p>
    <w:p>
      <w:pPr>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1.2022年工作完成情况</w:t>
      </w:r>
    </w:p>
    <w:p>
      <w:pPr>
        <w:spacing w:line="360" w:lineRule="auto"/>
        <w:ind w:firstLine="640"/>
        <w:rPr>
          <w:rFonts w:hint="eastAsia" w:ascii="楷体_GB2312" w:hAnsi="楷体_GB2312" w:eastAsia="楷体_GB2312" w:cs="楷体_GB2312"/>
          <w:bCs/>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bCs/>
          <w:sz w:val="32"/>
          <w:szCs w:val="32"/>
        </w:rPr>
        <w:t>1）强化领导包案和接访、下访工作。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年初即统一部署全年重要敏感时段领导干部接访下访时间安排，制定并印发《</w:t>
      </w:r>
      <w:r>
        <w:rPr>
          <w:rFonts w:eastAsia="仿宋_GB2312"/>
          <w:kern w:val="0"/>
          <w:sz w:val="32"/>
          <w:szCs w:val="32"/>
        </w:rPr>
        <w:t>2022</w:t>
      </w:r>
      <w:r>
        <w:rPr>
          <w:rFonts w:hint="eastAsia" w:ascii="仿宋_GB2312" w:hAnsi="仿宋_GB2312" w:eastAsia="仿宋_GB2312" w:cs="仿宋_GB2312"/>
          <w:kern w:val="0"/>
          <w:sz w:val="32"/>
          <w:szCs w:val="32"/>
        </w:rPr>
        <w:t>年区级领导接访安排表》，确保区级领导全覆盖。</w:t>
      </w:r>
      <w:r>
        <w:rPr>
          <w:rFonts w:hint="eastAsia" w:eastAsia="仿宋_GB2312"/>
          <w:kern w:val="0"/>
          <w:sz w:val="32"/>
          <w:szCs w:val="32"/>
        </w:rPr>
        <w:t>1</w:t>
      </w:r>
      <w:r>
        <w:rPr>
          <w:rFonts w:hint="eastAsia" w:ascii="仿宋_GB2312" w:hAnsi="仿宋_GB2312" w:eastAsia="仿宋_GB2312" w:cs="仿宋_GB2312"/>
          <w:kern w:val="0"/>
          <w:sz w:val="32"/>
          <w:szCs w:val="32"/>
        </w:rPr>
        <w:t>—</w:t>
      </w:r>
      <w:r>
        <w:rPr>
          <w:rFonts w:hint="eastAsia" w:eastAsia="仿宋_GB2312"/>
          <w:kern w:val="0"/>
          <w:sz w:val="32"/>
          <w:szCs w:val="32"/>
        </w:rPr>
        <w:t>11</w:t>
      </w:r>
      <w:r>
        <w:rPr>
          <w:rFonts w:hint="eastAsia" w:ascii="仿宋_GB2312" w:hAnsi="仿宋_GB2312" w:eastAsia="仿宋_GB2312" w:cs="仿宋_GB2312"/>
          <w:kern w:val="0"/>
          <w:sz w:val="32"/>
          <w:szCs w:val="32"/>
        </w:rPr>
        <w:t>月，共开展区级领导约访</w:t>
      </w:r>
      <w:r>
        <w:rPr>
          <w:rFonts w:hint="eastAsia" w:eastAsia="仿宋_GB2312"/>
          <w:kern w:val="0"/>
          <w:sz w:val="32"/>
          <w:szCs w:val="32"/>
        </w:rPr>
        <w:t>9</w:t>
      </w:r>
      <w:r>
        <w:rPr>
          <w:rFonts w:hint="eastAsia" w:ascii="仿宋_GB2312" w:hAnsi="仿宋_GB2312" w:eastAsia="仿宋_GB2312" w:cs="仿宋_GB2312"/>
          <w:kern w:val="0"/>
          <w:sz w:val="32"/>
          <w:szCs w:val="32"/>
        </w:rPr>
        <w:t>次，走访</w:t>
      </w:r>
      <w:r>
        <w:rPr>
          <w:rFonts w:hint="eastAsia" w:eastAsia="仿宋_GB2312"/>
          <w:kern w:val="0"/>
          <w:sz w:val="32"/>
          <w:szCs w:val="32"/>
        </w:rPr>
        <w:t>186</w:t>
      </w:r>
      <w:r>
        <w:rPr>
          <w:rFonts w:hint="eastAsia" w:ascii="仿宋_GB2312" w:hAnsi="仿宋_GB2312" w:eastAsia="仿宋_GB2312" w:cs="仿宋_GB2312"/>
          <w:kern w:val="0"/>
          <w:sz w:val="32"/>
          <w:szCs w:val="32"/>
        </w:rPr>
        <w:t>人次，接访</w:t>
      </w:r>
      <w:r>
        <w:rPr>
          <w:rFonts w:hint="eastAsia" w:eastAsia="仿宋_GB2312"/>
          <w:kern w:val="0"/>
          <w:sz w:val="32"/>
          <w:szCs w:val="32"/>
        </w:rPr>
        <w:t>34</w:t>
      </w:r>
      <w:r>
        <w:rPr>
          <w:rFonts w:hint="eastAsia" w:ascii="仿宋_GB2312" w:hAnsi="仿宋_GB2312" w:eastAsia="仿宋_GB2312" w:cs="仿宋_GB2312"/>
          <w:kern w:val="0"/>
          <w:sz w:val="32"/>
          <w:szCs w:val="32"/>
        </w:rPr>
        <w:t>批次，协调解决群众诉求</w:t>
      </w:r>
      <w:r>
        <w:rPr>
          <w:rFonts w:hint="eastAsia" w:eastAsia="仿宋_GB2312"/>
          <w:kern w:val="0"/>
          <w:sz w:val="32"/>
          <w:szCs w:val="32"/>
        </w:rPr>
        <w:t>18</w:t>
      </w:r>
      <w:r>
        <w:rPr>
          <w:rFonts w:hint="eastAsia" w:ascii="仿宋_GB2312" w:hAnsi="仿宋_GB2312" w:eastAsia="仿宋_GB2312" w:cs="仿宋_GB2312"/>
          <w:kern w:val="0"/>
          <w:sz w:val="32"/>
          <w:szCs w:val="32"/>
        </w:rPr>
        <w:t>件。</w:t>
      </w:r>
      <w:r>
        <w:rPr>
          <w:rFonts w:hint="eastAsia" w:ascii="仿宋_GB2312" w:hAnsi="仿宋_GB2312" w:eastAsia="仿宋_GB2312" w:cs="仿宋_GB2312"/>
          <w:sz w:val="32"/>
          <w:szCs w:val="32"/>
        </w:rPr>
        <w:t>严格落实区级包案领导和责任单位包案，各包案领导累计组织责任部门开展案件会商会</w:t>
      </w:r>
      <w:r>
        <w:rPr>
          <w:rFonts w:hint="eastAsia" w:eastAsia="仿宋_GB2312"/>
          <w:kern w:val="0"/>
          <w:sz w:val="32"/>
          <w:szCs w:val="32"/>
        </w:rPr>
        <w:t>100</w:t>
      </w:r>
      <w:r>
        <w:rPr>
          <w:rFonts w:hint="eastAsia" w:ascii="仿宋_GB2312" w:hAnsi="仿宋_GB2312" w:eastAsia="仿宋_GB2312" w:cs="仿宋_GB2312"/>
          <w:sz w:val="32"/>
          <w:szCs w:val="32"/>
        </w:rPr>
        <w:t>余次，与信访人见面</w:t>
      </w:r>
      <w:r>
        <w:rPr>
          <w:rFonts w:hint="eastAsia" w:eastAsia="仿宋_GB2312"/>
          <w:kern w:val="0"/>
          <w:sz w:val="32"/>
          <w:szCs w:val="32"/>
        </w:rPr>
        <w:t>1000</w:t>
      </w:r>
      <w:r>
        <w:rPr>
          <w:rFonts w:hint="eastAsia" w:ascii="仿宋_GB2312" w:hAnsi="仿宋_GB2312" w:eastAsia="仿宋_GB2312" w:cs="仿宋_GB2312"/>
          <w:sz w:val="32"/>
          <w:szCs w:val="32"/>
        </w:rPr>
        <w:t>人次以上（含重点群体），向部门（单位）点对点交办省市转发重点人员</w:t>
      </w:r>
      <w:r>
        <w:rPr>
          <w:rFonts w:hint="eastAsia" w:eastAsia="仿宋_GB2312"/>
          <w:kern w:val="0"/>
          <w:sz w:val="32"/>
          <w:szCs w:val="32"/>
        </w:rPr>
        <w:t>100</w:t>
      </w:r>
      <w:r>
        <w:rPr>
          <w:rFonts w:hint="eastAsia" w:ascii="仿宋_GB2312" w:hAnsi="仿宋_GB2312" w:eastAsia="仿宋_GB2312" w:cs="仿宋_GB2312"/>
          <w:sz w:val="32"/>
          <w:szCs w:val="32"/>
        </w:rPr>
        <w:t>余人次，严格按照“一人一案、一人一策”的原则，采取区级领导包案、靠前指挥的方式，推动稳控化解工作落地见效。</w:t>
      </w:r>
    </w:p>
    <w:p>
      <w:pPr>
        <w:spacing w:line="600" w:lineRule="exact"/>
        <w:ind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（2）认真做好群众来访接待工作。</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一是群众来访方面。</w:t>
      </w:r>
      <w:r>
        <w:rPr>
          <w:rFonts w:hint="eastAsia" w:eastAsia="仿宋_GB2312"/>
          <w:kern w:val="0"/>
          <w:sz w:val="32"/>
          <w:szCs w:val="32"/>
        </w:rPr>
        <w:t>1</w:t>
      </w:r>
      <w:r>
        <w:rPr>
          <w:rFonts w:hint="eastAsia" w:ascii="仿宋_GB2312" w:hAnsi="仿宋_GB2312" w:eastAsia="仿宋_GB2312" w:cs="仿宋_GB2312"/>
          <w:kern w:val="0"/>
          <w:sz w:val="32"/>
          <w:szCs w:val="32"/>
        </w:rPr>
        <w:t>—</w:t>
      </w:r>
      <w:r>
        <w:rPr>
          <w:rFonts w:hint="eastAsia" w:eastAsia="仿宋_GB2312"/>
          <w:kern w:val="0"/>
          <w:sz w:val="32"/>
          <w:szCs w:val="32"/>
        </w:rPr>
        <w:t>11</w:t>
      </w:r>
      <w:r>
        <w:rPr>
          <w:rFonts w:hint="eastAsia" w:ascii="仿宋_GB2312" w:hAnsi="仿宋_GB2312" w:eastAsia="仿宋_GB2312" w:cs="仿宋_GB2312"/>
          <w:kern w:val="0"/>
          <w:sz w:val="32"/>
          <w:szCs w:val="32"/>
        </w:rPr>
        <w:t>月，群众到区上访共</w:t>
      </w:r>
      <w:r>
        <w:rPr>
          <w:rFonts w:hint="eastAsia" w:eastAsia="仿宋_GB2312"/>
          <w:kern w:val="0"/>
          <w:sz w:val="32"/>
          <w:szCs w:val="32"/>
        </w:rPr>
        <w:t>287</w:t>
      </w:r>
      <w:r>
        <w:rPr>
          <w:rFonts w:hint="eastAsia" w:ascii="仿宋_GB2312" w:hAnsi="仿宋_GB2312" w:eastAsia="仿宋_GB2312" w:cs="仿宋_GB2312"/>
          <w:kern w:val="0"/>
          <w:sz w:val="32"/>
          <w:szCs w:val="32"/>
        </w:rPr>
        <w:t>批</w:t>
      </w:r>
      <w:r>
        <w:rPr>
          <w:rFonts w:hint="eastAsia" w:eastAsia="仿宋_GB2312"/>
          <w:kern w:val="0"/>
          <w:sz w:val="32"/>
          <w:szCs w:val="32"/>
        </w:rPr>
        <w:t>1326</w:t>
      </w:r>
      <w:r>
        <w:rPr>
          <w:rFonts w:hint="eastAsia" w:ascii="仿宋_GB2312" w:hAnsi="仿宋_GB2312" w:eastAsia="仿宋_GB2312" w:cs="仿宋_GB2312"/>
          <w:kern w:val="0"/>
          <w:sz w:val="32"/>
          <w:szCs w:val="32"/>
        </w:rPr>
        <w:t>人次，同比批次下降</w:t>
      </w:r>
      <w:r>
        <w:rPr>
          <w:rFonts w:hint="eastAsia" w:eastAsia="仿宋_GB2312"/>
          <w:kern w:val="0"/>
          <w:sz w:val="32"/>
          <w:szCs w:val="32"/>
        </w:rPr>
        <w:t>44.27</w:t>
      </w:r>
      <w:r>
        <w:rPr>
          <w:rFonts w:hint="eastAsia" w:ascii="仿宋_GB2312" w:hAnsi="仿宋_GB2312" w:eastAsia="仿宋_GB2312" w:cs="仿宋_GB2312"/>
          <w:kern w:val="0"/>
          <w:sz w:val="32"/>
          <w:szCs w:val="32"/>
        </w:rPr>
        <w:t>%、人次下降</w:t>
      </w:r>
      <w:r>
        <w:rPr>
          <w:rFonts w:hint="eastAsia" w:eastAsia="仿宋_GB2312"/>
          <w:kern w:val="0"/>
          <w:sz w:val="32"/>
          <w:szCs w:val="32"/>
        </w:rPr>
        <w:t>30.79</w:t>
      </w:r>
      <w:r>
        <w:rPr>
          <w:rFonts w:hint="eastAsia" w:ascii="仿宋_GB2312" w:hAnsi="仿宋_GB2312" w:eastAsia="仿宋_GB2312" w:cs="仿宋_GB2312"/>
          <w:kern w:val="0"/>
          <w:sz w:val="32"/>
          <w:szCs w:val="32"/>
        </w:rPr>
        <w:t>%；到区集访</w:t>
      </w:r>
      <w:r>
        <w:rPr>
          <w:rFonts w:hint="eastAsia" w:eastAsia="仿宋_GB2312"/>
          <w:kern w:val="0"/>
          <w:sz w:val="32"/>
          <w:szCs w:val="32"/>
        </w:rPr>
        <w:t>47</w:t>
      </w:r>
      <w:r>
        <w:rPr>
          <w:rFonts w:hint="eastAsia" w:ascii="仿宋_GB2312" w:hAnsi="仿宋_GB2312" w:eastAsia="仿宋_GB2312" w:cs="仿宋_GB2312"/>
          <w:kern w:val="0"/>
          <w:sz w:val="32"/>
          <w:szCs w:val="32"/>
        </w:rPr>
        <w:t>批</w:t>
      </w:r>
      <w:r>
        <w:rPr>
          <w:rFonts w:hint="eastAsia" w:eastAsia="仿宋_GB2312"/>
          <w:kern w:val="0"/>
          <w:sz w:val="32"/>
          <w:szCs w:val="32"/>
        </w:rPr>
        <w:t>956</w:t>
      </w:r>
      <w:r>
        <w:rPr>
          <w:rFonts w:hint="eastAsia" w:ascii="仿宋_GB2312" w:hAnsi="仿宋_GB2312" w:eastAsia="仿宋_GB2312" w:cs="仿宋_GB2312"/>
          <w:kern w:val="0"/>
          <w:sz w:val="32"/>
          <w:szCs w:val="32"/>
        </w:rPr>
        <w:t>人次，同比批次下降</w:t>
      </w:r>
      <w:r>
        <w:rPr>
          <w:rFonts w:hint="eastAsia" w:eastAsia="仿宋_GB2312"/>
          <w:kern w:val="0"/>
          <w:sz w:val="32"/>
          <w:szCs w:val="32"/>
        </w:rPr>
        <w:t>22.95</w:t>
      </w:r>
      <w:r>
        <w:rPr>
          <w:rFonts w:hint="eastAsia" w:ascii="仿宋_GB2312" w:hAnsi="仿宋_GB2312" w:eastAsia="仿宋_GB2312" w:cs="仿宋_GB2312"/>
          <w:kern w:val="0"/>
          <w:sz w:val="32"/>
          <w:szCs w:val="32"/>
        </w:rPr>
        <w:t>%、人次下降</w:t>
      </w:r>
      <w:r>
        <w:rPr>
          <w:rFonts w:hint="eastAsia" w:eastAsia="仿宋_GB2312"/>
          <w:kern w:val="0"/>
          <w:sz w:val="32"/>
          <w:szCs w:val="32"/>
        </w:rPr>
        <w:t>22.27</w:t>
      </w:r>
      <w:r>
        <w:rPr>
          <w:rFonts w:hint="eastAsia" w:ascii="仿宋_GB2312" w:hAnsi="仿宋_GB2312" w:eastAsia="仿宋_GB2312" w:cs="仿宋_GB2312"/>
          <w:kern w:val="0"/>
          <w:sz w:val="32"/>
          <w:szCs w:val="32"/>
        </w:rPr>
        <w:t>%；到市上访</w:t>
      </w:r>
      <w:r>
        <w:rPr>
          <w:rFonts w:hint="eastAsia" w:eastAsia="仿宋_GB2312"/>
          <w:kern w:val="0"/>
          <w:sz w:val="32"/>
          <w:szCs w:val="32"/>
        </w:rPr>
        <w:t>18</w:t>
      </w:r>
      <w:r>
        <w:rPr>
          <w:rFonts w:hint="eastAsia" w:ascii="仿宋_GB2312" w:hAnsi="仿宋_GB2312" w:eastAsia="仿宋_GB2312" w:cs="仿宋_GB2312"/>
          <w:kern w:val="0"/>
          <w:sz w:val="32"/>
          <w:szCs w:val="32"/>
        </w:rPr>
        <w:t>批</w:t>
      </w:r>
      <w:r>
        <w:rPr>
          <w:rFonts w:hint="eastAsia" w:eastAsia="仿宋_GB2312"/>
          <w:kern w:val="0"/>
          <w:sz w:val="32"/>
          <w:szCs w:val="32"/>
        </w:rPr>
        <w:t>52</w:t>
      </w:r>
      <w:r>
        <w:rPr>
          <w:rFonts w:hint="eastAsia" w:ascii="仿宋_GB2312" w:hAnsi="仿宋_GB2312" w:eastAsia="仿宋_GB2312" w:cs="仿宋_GB2312"/>
          <w:kern w:val="0"/>
          <w:sz w:val="32"/>
          <w:szCs w:val="32"/>
        </w:rPr>
        <w:t>人次，同比批次下降</w:t>
      </w:r>
      <w:r>
        <w:rPr>
          <w:rFonts w:hint="eastAsia" w:eastAsia="仿宋_GB2312"/>
          <w:kern w:val="0"/>
          <w:sz w:val="32"/>
          <w:szCs w:val="32"/>
        </w:rPr>
        <w:t>47.05</w:t>
      </w:r>
      <w:r>
        <w:rPr>
          <w:rFonts w:hint="eastAsia" w:ascii="仿宋_GB2312" w:hAnsi="仿宋_GB2312" w:eastAsia="仿宋_GB2312" w:cs="仿宋_GB2312"/>
          <w:kern w:val="0"/>
          <w:sz w:val="32"/>
          <w:szCs w:val="32"/>
        </w:rPr>
        <w:t>%、人次下降</w:t>
      </w:r>
      <w:r>
        <w:rPr>
          <w:rFonts w:hint="eastAsia" w:eastAsia="仿宋_GB2312"/>
          <w:kern w:val="0"/>
          <w:sz w:val="32"/>
          <w:szCs w:val="32"/>
        </w:rPr>
        <w:t>86.35</w:t>
      </w:r>
      <w:r>
        <w:rPr>
          <w:rFonts w:hint="eastAsia" w:ascii="仿宋_GB2312" w:hAnsi="仿宋_GB2312" w:eastAsia="仿宋_GB2312" w:cs="仿宋_GB2312"/>
          <w:kern w:val="0"/>
          <w:sz w:val="32"/>
          <w:szCs w:val="32"/>
        </w:rPr>
        <w:t>%；到省上访</w:t>
      </w:r>
      <w:r>
        <w:rPr>
          <w:rFonts w:hint="eastAsia" w:eastAsia="仿宋_GB2312"/>
          <w:kern w:val="0"/>
          <w:sz w:val="32"/>
          <w:szCs w:val="32"/>
        </w:rPr>
        <w:t>7</w:t>
      </w:r>
      <w:r>
        <w:rPr>
          <w:rFonts w:hint="eastAsia" w:ascii="仿宋_GB2312" w:hAnsi="仿宋_GB2312" w:eastAsia="仿宋_GB2312" w:cs="仿宋_GB2312"/>
          <w:kern w:val="0"/>
          <w:sz w:val="32"/>
          <w:szCs w:val="32"/>
        </w:rPr>
        <w:t>批次</w:t>
      </w:r>
      <w:r>
        <w:rPr>
          <w:rFonts w:hint="eastAsia" w:eastAsia="仿宋_GB2312"/>
          <w:kern w:val="0"/>
          <w:sz w:val="32"/>
          <w:szCs w:val="32"/>
        </w:rPr>
        <w:t>7</w:t>
      </w:r>
      <w:r>
        <w:rPr>
          <w:rFonts w:hint="eastAsia" w:ascii="仿宋_GB2312" w:hAnsi="仿宋_GB2312" w:eastAsia="仿宋_GB2312" w:cs="仿宋_GB2312"/>
          <w:kern w:val="0"/>
          <w:sz w:val="32"/>
          <w:szCs w:val="32"/>
        </w:rPr>
        <w:t>人次，同比批次人次不变；进京访</w:t>
      </w:r>
      <w:r>
        <w:rPr>
          <w:rFonts w:hint="eastAsia" w:eastAsia="仿宋_GB2312"/>
          <w:kern w:val="0"/>
          <w:sz w:val="32"/>
          <w:szCs w:val="32"/>
        </w:rPr>
        <w:t>1</w:t>
      </w:r>
      <w:r>
        <w:rPr>
          <w:rFonts w:hint="eastAsia" w:ascii="仿宋_GB2312" w:hAnsi="仿宋_GB2312" w:eastAsia="仿宋_GB2312" w:cs="仿宋_GB2312"/>
          <w:kern w:val="0"/>
          <w:sz w:val="32"/>
          <w:szCs w:val="32"/>
        </w:rPr>
        <w:t>批次</w:t>
      </w:r>
      <w:r>
        <w:rPr>
          <w:rFonts w:hint="eastAsia" w:eastAsia="仿宋_GB2312"/>
          <w:kern w:val="0"/>
          <w:sz w:val="32"/>
          <w:szCs w:val="32"/>
        </w:rPr>
        <w:t>1</w:t>
      </w:r>
      <w:r>
        <w:rPr>
          <w:rFonts w:hint="eastAsia" w:ascii="仿宋_GB2312" w:hAnsi="仿宋_GB2312" w:eastAsia="仿宋_GB2312" w:cs="仿宋_GB2312"/>
          <w:kern w:val="0"/>
          <w:sz w:val="32"/>
          <w:szCs w:val="32"/>
        </w:rPr>
        <w:t>人次，同比批次人次下降</w:t>
      </w:r>
      <w:r>
        <w:rPr>
          <w:rFonts w:hint="eastAsia" w:eastAsia="仿宋_GB2312"/>
          <w:kern w:val="0"/>
          <w:sz w:val="32"/>
          <w:szCs w:val="32"/>
        </w:rPr>
        <w:t>87.5</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二是群众网投方面。</w:t>
      </w:r>
      <w:r>
        <w:rPr>
          <w:rFonts w:hint="eastAsia" w:ascii="仿宋_GB2312" w:hAnsi="仿宋_GB2312" w:eastAsia="仿宋_GB2312" w:cs="仿宋_GB2312"/>
          <w:kern w:val="0"/>
          <w:sz w:val="32"/>
          <w:szCs w:val="32"/>
        </w:rPr>
        <w:t>截至</w:t>
      </w:r>
      <w:r>
        <w:rPr>
          <w:rFonts w:hint="eastAsia" w:eastAsia="仿宋_GB2312"/>
          <w:kern w:val="0"/>
          <w:sz w:val="32"/>
          <w:szCs w:val="32"/>
        </w:rPr>
        <w:t>11</w:t>
      </w:r>
      <w:r>
        <w:rPr>
          <w:rFonts w:hint="eastAsia" w:ascii="仿宋_GB2312" w:hAnsi="仿宋_GB2312" w:eastAsia="仿宋_GB2312" w:cs="仿宋_GB2312"/>
          <w:kern w:val="0"/>
          <w:sz w:val="32"/>
          <w:szCs w:val="32"/>
        </w:rPr>
        <w:t>月，全区共受理网上信访事项</w:t>
      </w:r>
      <w:r>
        <w:rPr>
          <w:rFonts w:hint="eastAsia" w:eastAsia="仿宋_GB2312"/>
          <w:kern w:val="0"/>
          <w:sz w:val="32"/>
          <w:szCs w:val="32"/>
        </w:rPr>
        <w:t>264</w:t>
      </w:r>
      <w:r>
        <w:rPr>
          <w:rFonts w:hint="eastAsia" w:ascii="仿宋_GB2312" w:hAnsi="仿宋_GB2312" w:eastAsia="仿宋_GB2312" w:cs="仿宋_GB2312"/>
          <w:kern w:val="0"/>
          <w:sz w:val="32"/>
          <w:szCs w:val="32"/>
        </w:rPr>
        <w:t>件（省网平台交办</w:t>
      </w:r>
      <w:r>
        <w:rPr>
          <w:rFonts w:hint="eastAsia" w:eastAsia="仿宋_GB2312"/>
          <w:kern w:val="0"/>
          <w:sz w:val="32"/>
          <w:szCs w:val="32"/>
        </w:rPr>
        <w:t>114</w:t>
      </w:r>
      <w:r>
        <w:rPr>
          <w:rFonts w:hint="eastAsia" w:ascii="仿宋_GB2312" w:hAnsi="仿宋_GB2312" w:eastAsia="仿宋_GB2312" w:cs="仿宋_GB2312"/>
          <w:kern w:val="0"/>
          <w:sz w:val="32"/>
          <w:szCs w:val="32"/>
        </w:rPr>
        <w:t>件、市长信箱</w:t>
      </w:r>
      <w:r>
        <w:rPr>
          <w:rFonts w:hint="eastAsia" w:eastAsia="仿宋_GB2312"/>
          <w:kern w:val="0"/>
          <w:sz w:val="32"/>
          <w:szCs w:val="32"/>
        </w:rPr>
        <w:t>32</w:t>
      </w:r>
      <w:r>
        <w:rPr>
          <w:rFonts w:hint="eastAsia" w:ascii="仿宋_GB2312" w:hAnsi="仿宋_GB2312" w:eastAsia="仿宋_GB2312" w:cs="仿宋_GB2312"/>
          <w:kern w:val="0"/>
          <w:sz w:val="32"/>
          <w:szCs w:val="32"/>
        </w:rPr>
        <w:t>件、区长信箱</w:t>
      </w:r>
      <w:r>
        <w:rPr>
          <w:rFonts w:hint="eastAsia" w:eastAsia="仿宋_GB2312"/>
          <w:kern w:val="0"/>
          <w:sz w:val="32"/>
          <w:szCs w:val="32"/>
        </w:rPr>
        <w:t>28</w:t>
      </w:r>
      <w:r>
        <w:rPr>
          <w:rFonts w:hint="eastAsia" w:ascii="仿宋_GB2312" w:hAnsi="仿宋_GB2312" w:eastAsia="仿宋_GB2312" w:cs="仿宋_GB2312"/>
          <w:kern w:val="0"/>
          <w:sz w:val="32"/>
          <w:szCs w:val="32"/>
        </w:rPr>
        <w:t>件、回复人民网领导留言</w:t>
      </w:r>
      <w:r>
        <w:rPr>
          <w:rFonts w:hint="eastAsia" w:eastAsia="仿宋_GB2312"/>
          <w:kern w:val="0"/>
          <w:sz w:val="32"/>
          <w:szCs w:val="32"/>
        </w:rPr>
        <w:t>19</w:t>
      </w:r>
      <w:r>
        <w:rPr>
          <w:rFonts w:hint="eastAsia" w:ascii="仿宋_GB2312" w:hAnsi="仿宋_GB2312" w:eastAsia="仿宋_GB2312" w:cs="仿宋_GB2312"/>
          <w:kern w:val="0"/>
          <w:sz w:val="32"/>
          <w:szCs w:val="32"/>
        </w:rPr>
        <w:t>条、回复麻辣社区留言</w:t>
      </w:r>
      <w:r>
        <w:rPr>
          <w:rFonts w:hint="eastAsia" w:eastAsia="仿宋_GB2312"/>
          <w:kern w:val="0"/>
          <w:sz w:val="32"/>
          <w:szCs w:val="32"/>
        </w:rPr>
        <w:t>48</w:t>
      </w:r>
      <w:r>
        <w:rPr>
          <w:rFonts w:hint="eastAsia" w:ascii="仿宋_GB2312" w:hAnsi="仿宋_GB2312" w:eastAsia="仿宋_GB2312" w:cs="仿宋_GB2312"/>
          <w:kern w:val="0"/>
          <w:sz w:val="32"/>
          <w:szCs w:val="32"/>
        </w:rPr>
        <w:t>条、问政四川</w:t>
      </w:r>
      <w:r>
        <w:rPr>
          <w:rFonts w:hint="eastAsia" w:eastAsia="仿宋_GB2312"/>
          <w:kern w:val="0"/>
          <w:sz w:val="32"/>
          <w:szCs w:val="32"/>
        </w:rPr>
        <w:t>23</w:t>
      </w:r>
      <w:r>
        <w:rPr>
          <w:rFonts w:hint="eastAsia" w:ascii="仿宋_GB2312" w:hAnsi="仿宋_GB2312" w:eastAsia="仿宋_GB2312" w:cs="仿宋_GB2312"/>
          <w:kern w:val="0"/>
          <w:sz w:val="32"/>
          <w:szCs w:val="32"/>
        </w:rPr>
        <w:t>件），均按期办结。西区及时受理率、按期答复率均为</w:t>
      </w:r>
      <w:r>
        <w:rPr>
          <w:rFonts w:hint="eastAsia" w:eastAsia="仿宋_GB2312"/>
          <w:kern w:val="0"/>
          <w:sz w:val="32"/>
          <w:szCs w:val="32"/>
        </w:rPr>
        <w:t>100</w:t>
      </w:r>
      <w:r>
        <w:rPr>
          <w:rFonts w:hint="eastAsia" w:ascii="仿宋_GB2312" w:hAnsi="仿宋_GB2312" w:eastAsia="仿宋_GB2312" w:cs="仿宋_GB2312"/>
          <w:kern w:val="0"/>
          <w:sz w:val="32"/>
          <w:szCs w:val="32"/>
        </w:rPr>
        <w:t>%，信访部门满意率</w:t>
      </w:r>
      <w:r>
        <w:rPr>
          <w:rFonts w:hint="eastAsia" w:eastAsia="仿宋_GB2312"/>
          <w:kern w:val="0"/>
          <w:sz w:val="32"/>
          <w:szCs w:val="32"/>
        </w:rPr>
        <w:t>100</w:t>
      </w:r>
      <w:r>
        <w:rPr>
          <w:rFonts w:hint="eastAsia" w:ascii="仿宋_GB2312" w:hAnsi="仿宋_GB2312" w:eastAsia="仿宋_GB2312" w:cs="仿宋_GB2312"/>
          <w:kern w:val="0"/>
          <w:sz w:val="32"/>
          <w:szCs w:val="32"/>
        </w:rPr>
        <w:t>%、责任单位满意率</w:t>
      </w:r>
      <w:r>
        <w:rPr>
          <w:rFonts w:hint="eastAsia" w:eastAsia="仿宋_GB2312"/>
          <w:kern w:val="0"/>
          <w:sz w:val="32"/>
          <w:szCs w:val="32"/>
        </w:rPr>
        <w:t>100</w:t>
      </w:r>
      <w:r>
        <w:rPr>
          <w:rFonts w:hint="eastAsia" w:ascii="仿宋_GB2312" w:hAnsi="仿宋_GB2312" w:eastAsia="仿宋_GB2312" w:cs="仿宋_GB2312"/>
          <w:kern w:val="0"/>
          <w:sz w:val="32"/>
          <w:szCs w:val="32"/>
        </w:rPr>
        <w:t>%。同时，办理西区本级网络平台“看西区APP”群众反应问题</w:t>
      </w:r>
      <w:r>
        <w:rPr>
          <w:rFonts w:hint="eastAsia" w:eastAsia="仿宋_GB2312"/>
          <w:kern w:val="0"/>
          <w:sz w:val="32"/>
          <w:szCs w:val="32"/>
        </w:rPr>
        <w:t>29</w:t>
      </w:r>
      <w:r>
        <w:rPr>
          <w:rFonts w:hint="eastAsia" w:ascii="仿宋_GB2312" w:hAnsi="仿宋_GB2312" w:eastAsia="仿宋_GB2312" w:cs="仿宋_GB2312"/>
          <w:kern w:val="0"/>
          <w:sz w:val="32"/>
          <w:szCs w:val="32"/>
        </w:rPr>
        <w:t>个。</w:t>
      </w:r>
    </w:p>
    <w:p>
      <w:pPr>
        <w:spacing w:line="600" w:lineRule="exact"/>
        <w:ind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（3）圆满完成各项重点工作。</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一是圆满完成“治重化积”专项工作。</w:t>
      </w:r>
      <w:r>
        <w:rPr>
          <w:rFonts w:hint="eastAsia" w:ascii="仿宋_GB2312" w:hAnsi="仿宋_GB2312" w:eastAsia="仿宋_GB2312" w:cs="仿宋_GB2312"/>
          <w:sz w:val="32"/>
          <w:szCs w:val="32"/>
        </w:rPr>
        <w:t>第二批次交办西区主办案件</w:t>
      </w:r>
      <w:r>
        <w:rPr>
          <w:rFonts w:hint="eastAsia" w:eastAsia="仿宋_GB2312"/>
          <w:kern w:val="0"/>
          <w:sz w:val="32"/>
          <w:szCs w:val="32"/>
        </w:rPr>
        <w:t>8</w:t>
      </w:r>
      <w:r>
        <w:rPr>
          <w:rFonts w:hint="eastAsia" w:ascii="仿宋_GB2312" w:hAnsi="仿宋_GB2312" w:eastAsia="仿宋_GB2312" w:cs="仿宋_GB2312"/>
          <w:sz w:val="32"/>
          <w:szCs w:val="32"/>
        </w:rPr>
        <w:t>件，已全部化解办结，化解率</w:t>
      </w:r>
      <w:r>
        <w:rPr>
          <w:rFonts w:hint="eastAsia" w:eastAsia="仿宋_GB2312"/>
          <w:kern w:val="0"/>
          <w:sz w:val="32"/>
          <w:szCs w:val="32"/>
        </w:rPr>
        <w:t>100</w:t>
      </w:r>
      <w:r>
        <w:rPr>
          <w:rFonts w:hint="eastAsia" w:ascii="仿宋_GB2312" w:hAnsi="仿宋_GB2312" w:eastAsia="仿宋_GB2312" w:cs="仿宋_GB2312"/>
          <w:sz w:val="32"/>
          <w:szCs w:val="32"/>
        </w:rPr>
        <w:t>%，完成第二批全部化解目标任务。</w:t>
      </w:r>
      <w:r>
        <w:rPr>
          <w:rFonts w:hint="eastAsia" w:ascii="仿宋_GB2312" w:hAnsi="仿宋_GB2312" w:eastAsia="仿宋_GB2312" w:cs="仿宋_GB2312"/>
          <w:b/>
          <w:bCs/>
          <w:sz w:val="32"/>
          <w:szCs w:val="32"/>
        </w:rPr>
        <w:t>二是“三率”工作成效突出。</w:t>
      </w:r>
      <w:r>
        <w:rPr>
          <w:rFonts w:hint="eastAsia" w:ascii="仿宋_GB2312" w:hAnsi="仿宋_GB2312" w:eastAsia="仿宋_GB2312" w:cs="仿宋_GB2312"/>
          <w:sz w:val="32"/>
          <w:szCs w:val="32"/>
        </w:rPr>
        <w:t>截至</w:t>
      </w:r>
      <w:r>
        <w:rPr>
          <w:rFonts w:hint="eastAsia" w:eastAsia="仿宋_GB2312"/>
          <w:kern w:val="0"/>
          <w:sz w:val="32"/>
          <w:szCs w:val="32"/>
        </w:rPr>
        <w:t>10</w:t>
      </w:r>
      <w:r>
        <w:rPr>
          <w:rFonts w:hint="eastAsia" w:ascii="仿宋_GB2312" w:hAnsi="仿宋_GB2312" w:eastAsia="仿宋_GB2312" w:cs="仿宋_GB2312"/>
          <w:sz w:val="32"/>
          <w:szCs w:val="32"/>
        </w:rPr>
        <w:t>月，西区共收到国家、省、市转送办理信访件</w:t>
      </w:r>
      <w:r>
        <w:rPr>
          <w:rFonts w:hint="eastAsia" w:eastAsia="仿宋_GB2312"/>
          <w:kern w:val="0"/>
          <w:sz w:val="32"/>
          <w:szCs w:val="32"/>
        </w:rPr>
        <w:t>111</w:t>
      </w:r>
      <w:r>
        <w:rPr>
          <w:rFonts w:hint="eastAsia" w:ascii="仿宋_GB2312" w:hAnsi="仿宋_GB2312" w:eastAsia="仿宋_GB2312" w:cs="仿宋_GB2312"/>
          <w:sz w:val="32"/>
          <w:szCs w:val="32"/>
        </w:rPr>
        <w:t>件，均按规范要求办理完成，信访事项及时受理率、按期答复率为</w:t>
      </w:r>
      <w:r>
        <w:rPr>
          <w:rFonts w:hint="eastAsia" w:eastAsia="仿宋_GB2312"/>
          <w:kern w:val="0"/>
          <w:sz w:val="32"/>
          <w:szCs w:val="32"/>
        </w:rPr>
        <w:t>100</w:t>
      </w:r>
      <w:r>
        <w:rPr>
          <w:rFonts w:hint="eastAsia" w:ascii="仿宋_GB2312" w:hAnsi="仿宋_GB2312" w:eastAsia="仿宋_GB2312" w:cs="仿宋_GB2312"/>
          <w:sz w:val="32"/>
          <w:szCs w:val="32"/>
        </w:rPr>
        <w:t>%，群众参评率和群众满意率均为</w:t>
      </w:r>
      <w:r>
        <w:rPr>
          <w:rFonts w:hint="eastAsia" w:eastAsia="仿宋_GB2312"/>
          <w:kern w:val="0"/>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三是深入贯彻《信访工作条例》。</w:t>
      </w:r>
      <w:r>
        <w:rPr>
          <w:rFonts w:hint="eastAsia" w:ascii="仿宋_GB2312" w:hAnsi="仿宋_GB2312" w:eastAsia="仿宋_GB2312" w:cs="仿宋_GB2312"/>
          <w:sz w:val="32"/>
          <w:szCs w:val="32"/>
        </w:rPr>
        <w:t>《信访工作条例》实施后，先后在区委常委会、区政府常务会，组织区领导、各部门（单位）主要负责人深入学习贯彻《信访工作条例》。制定印发全区贯彻落实《信访工作条例》的通知，加大宣传力度，累计发放宣传册</w:t>
      </w:r>
      <w:r>
        <w:rPr>
          <w:rFonts w:hint="eastAsia" w:eastAsia="仿宋_GB2312"/>
          <w:kern w:val="0"/>
          <w:sz w:val="32"/>
          <w:szCs w:val="32"/>
        </w:rPr>
        <w:t>10000</w:t>
      </w:r>
      <w:r>
        <w:rPr>
          <w:rFonts w:hint="eastAsia" w:ascii="仿宋_GB2312" w:hAnsi="仿宋_GB2312" w:eastAsia="仿宋_GB2312" w:cs="仿宋_GB2312"/>
          <w:sz w:val="32"/>
          <w:szCs w:val="32"/>
        </w:rPr>
        <w:t>余份，有效扩大群众知晓面，引导群众依法依规信访。</w:t>
      </w:r>
      <w:r>
        <w:rPr>
          <w:rFonts w:hint="eastAsia" w:ascii="仿宋_GB2312" w:hAnsi="仿宋_GB2312" w:eastAsia="仿宋_GB2312" w:cs="仿宋_GB2312"/>
          <w:b/>
          <w:bCs/>
          <w:kern w:val="0"/>
          <w:sz w:val="32"/>
          <w:szCs w:val="32"/>
        </w:rPr>
        <w:t>四是严控信访增量。</w:t>
      </w:r>
      <w:r>
        <w:rPr>
          <w:rFonts w:hint="eastAsia" w:ascii="仿宋_GB2312" w:hAnsi="仿宋_GB2312" w:eastAsia="仿宋_GB2312" w:cs="仿宋_GB2312"/>
          <w:sz w:val="32"/>
          <w:szCs w:val="32"/>
        </w:rPr>
        <w:t>坚持把严控信访增量作为重中之重，纳入全区重点工作，积极配合区委目标绩效办公室开展跟踪考核，切实降低重复信访率，全区重复信访率实现同比下降</w:t>
      </w:r>
      <w:r>
        <w:rPr>
          <w:rFonts w:hint="eastAsia" w:eastAsia="仿宋_GB2312"/>
          <w:kern w:val="0"/>
          <w:sz w:val="32"/>
          <w:szCs w:val="32"/>
        </w:rPr>
        <w:t>60</w:t>
      </w:r>
      <w:r>
        <w:rPr>
          <w:rFonts w:hint="eastAsia" w:ascii="仿宋_GB2312" w:hAnsi="仿宋_GB2312" w:eastAsia="仿宋_GB2312" w:cs="仿宋_GB2312"/>
          <w:sz w:val="32"/>
          <w:szCs w:val="32"/>
        </w:rPr>
        <w:t>%。</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（4）积极开展风险隐患防范化解。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盯省市信联办转送、交办的涉稳重点领域、重点群体、重点人员，第一时间落实领导包案。结合我区情况，先后制定印发《处置区委区政府机关办公场所非正常上访行为实施细则》《关于做好涉稳重点人员和重点领域信访稳定工作的通知》《关于做好排查防范化解省、市信联办集中交办信访安全稳定风险事项有关工作的通知》《关于进一步做好涉稳涉访重点人员信访稳定工作的通知》等有关文件，有针对性开展防范工作。针对“三跨三分离”重点信访人员，在各重要敏感时段均成立工作专班，安排专人赴当地开展就地稳控劝返工作。</w:t>
      </w:r>
    </w:p>
    <w:p>
      <w:pPr>
        <w:spacing w:line="600" w:lineRule="exact"/>
        <w:ind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（5）全力以赴确保党的二十大期间辖区社会稳定。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今年以来，在区委、区政府的坚强领导下，全区上下紧紧围绕“为党的二十大胜利召开创造安全稳定的政治社会环境”这一工作主线，党的二十大期间，先后协调包括党政主要领导在内</w:t>
      </w:r>
      <w:r>
        <w:rPr>
          <w:rFonts w:hint="eastAsia" w:eastAsia="仿宋_GB2312"/>
          <w:kern w:val="0"/>
          <w:sz w:val="32"/>
          <w:szCs w:val="32"/>
        </w:rPr>
        <w:t>26</w:t>
      </w:r>
      <w:r>
        <w:rPr>
          <w:rFonts w:hint="eastAsia" w:ascii="仿宋_GB2312" w:hAnsi="仿宋_GB2312" w:eastAsia="仿宋_GB2312" w:cs="仿宋_GB2312"/>
          <w:sz w:val="32"/>
          <w:szCs w:val="32"/>
        </w:rPr>
        <w:t>名区级领导定点接访，通过采取“日研判”“日调度”“日见面”、外派工作组实地稳控等措施全面落实重点人员管控责任，严格落实</w:t>
      </w:r>
      <w:r>
        <w:rPr>
          <w:rFonts w:hint="eastAsia" w:eastAsia="仿宋_GB2312"/>
          <w:kern w:val="0"/>
          <w:sz w:val="32"/>
          <w:szCs w:val="32"/>
        </w:rPr>
        <w:t>24</w:t>
      </w:r>
      <w:r>
        <w:rPr>
          <w:rFonts w:hint="eastAsia" w:ascii="仿宋_GB2312" w:hAnsi="仿宋_GB2312" w:eastAsia="仿宋_GB2312" w:cs="仿宋_GB2312"/>
          <w:sz w:val="32"/>
          <w:szCs w:val="32"/>
        </w:rPr>
        <w:t>小时值班值守制度，成功实现“双零”（重点人员零赴蓉、零进京）工作</w:t>
      </w:r>
      <w:r>
        <w:rPr>
          <w:rFonts w:hint="eastAsia" w:ascii="仿宋_GB2312" w:hAnsi="仿宋_GB2312" w:eastAsia="仿宋_GB2312" w:cs="仿宋_GB2312"/>
          <w:bCs/>
          <w:sz w:val="32"/>
          <w:szCs w:val="32"/>
        </w:rPr>
        <w:t>目标，圆满完成了党的二十大期间维稳信访安保工作任务。</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2.特色亮点</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一是坚决打赢“滚动排查”攻坚战，做到了“底数清、情况明”。</w:t>
      </w:r>
      <w:r>
        <w:rPr>
          <w:rFonts w:hint="eastAsia" w:ascii="仿宋_GB2312" w:hAnsi="仿宋_GB2312" w:eastAsia="仿宋_GB2312" w:cs="仿宋_GB2312"/>
          <w:sz w:val="32"/>
          <w:szCs w:val="32"/>
        </w:rPr>
        <w:t>积极组织镇（街道）和有关部门（单位）开展两轮</w:t>
      </w:r>
      <w:r>
        <w:rPr>
          <w:rFonts w:hint="eastAsia" w:eastAsia="仿宋_GB2312"/>
          <w:kern w:val="0"/>
          <w:sz w:val="32"/>
          <w:szCs w:val="32"/>
        </w:rPr>
        <w:t>4</w:t>
      </w:r>
      <w:r>
        <w:rPr>
          <w:rFonts w:hint="eastAsia" w:ascii="仿宋_GB2312" w:hAnsi="仿宋_GB2312" w:eastAsia="仿宋_GB2312" w:cs="仿宋_GB2312"/>
          <w:sz w:val="32"/>
          <w:szCs w:val="32"/>
        </w:rPr>
        <w:t>次的地毯式滚动摸排，累计梳理重点群体</w:t>
      </w:r>
      <w:r>
        <w:rPr>
          <w:rFonts w:hint="eastAsia" w:eastAsia="仿宋_GB2312"/>
          <w:kern w:val="0"/>
          <w:sz w:val="32"/>
          <w:szCs w:val="32"/>
        </w:rPr>
        <w:t>17</w:t>
      </w:r>
      <w:r>
        <w:rPr>
          <w:rFonts w:hint="eastAsia" w:ascii="仿宋_GB2312" w:hAnsi="仿宋_GB2312" w:eastAsia="仿宋_GB2312" w:cs="仿宋_GB2312"/>
          <w:sz w:val="32"/>
          <w:szCs w:val="32"/>
        </w:rPr>
        <w:t>个、重点人员</w:t>
      </w:r>
      <w:r>
        <w:rPr>
          <w:rFonts w:hint="eastAsia" w:eastAsia="仿宋_GB2312"/>
          <w:kern w:val="0"/>
          <w:sz w:val="32"/>
          <w:szCs w:val="32"/>
        </w:rPr>
        <w:t>46</w:t>
      </w:r>
      <w:r>
        <w:rPr>
          <w:rFonts w:hint="eastAsia" w:ascii="仿宋_GB2312" w:hAnsi="仿宋_GB2312" w:eastAsia="仿宋_GB2312" w:cs="仿宋_GB2312"/>
          <w:sz w:val="32"/>
          <w:szCs w:val="32"/>
        </w:rPr>
        <w:t>名（含“三跨三分离”人员</w:t>
      </w:r>
      <w:r>
        <w:rPr>
          <w:rFonts w:hint="eastAsia" w:eastAsia="仿宋_GB2312"/>
          <w:kern w:val="0"/>
          <w:sz w:val="32"/>
          <w:szCs w:val="32"/>
        </w:rPr>
        <w:t>17</w:t>
      </w:r>
      <w:r>
        <w:rPr>
          <w:rFonts w:hint="eastAsia" w:ascii="仿宋_GB2312" w:hAnsi="仿宋_GB2312" w:eastAsia="仿宋_GB2312" w:cs="仿宋_GB2312"/>
          <w:sz w:val="32"/>
          <w:szCs w:val="32"/>
        </w:rPr>
        <w:t>人），并逐人建立台账，点对点进行交办，实施动态销号制度。</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二是坚决打赢“劝返稳控”攻坚战，实现了“零进京、零赴蓉”。</w:t>
      </w:r>
      <w:r>
        <w:rPr>
          <w:rFonts w:hint="eastAsia" w:ascii="仿宋_GB2312" w:hAnsi="仿宋_GB2312" w:eastAsia="仿宋_GB2312" w:cs="仿宋_GB2312"/>
          <w:sz w:val="32"/>
          <w:szCs w:val="32"/>
        </w:rPr>
        <w:t>特殊敏感时段，第一时间抽调精干力量组建工作专班，健全外派工作应急处置预案。全年累计组建</w:t>
      </w:r>
      <w:r>
        <w:rPr>
          <w:rFonts w:hint="eastAsia" w:eastAsia="仿宋_GB2312"/>
          <w:kern w:val="0"/>
          <w:sz w:val="32"/>
          <w:szCs w:val="32"/>
        </w:rPr>
        <w:t>10</w:t>
      </w:r>
      <w:r>
        <w:rPr>
          <w:rFonts w:hint="eastAsia" w:ascii="仿宋_GB2312" w:hAnsi="仿宋_GB2312" w:eastAsia="仿宋_GB2312" w:cs="仿宋_GB2312"/>
          <w:sz w:val="32"/>
          <w:szCs w:val="32"/>
        </w:rPr>
        <w:t>余个工作专班赴外地开展“劝返稳控”工作，共开展“视频会商”“网上研判”</w:t>
      </w:r>
      <w:r>
        <w:rPr>
          <w:rFonts w:hint="eastAsia" w:eastAsia="仿宋_GB2312"/>
          <w:kern w:val="0"/>
          <w:sz w:val="32"/>
          <w:szCs w:val="32"/>
        </w:rPr>
        <w:t>60</w:t>
      </w:r>
      <w:r>
        <w:rPr>
          <w:rFonts w:hint="eastAsia" w:ascii="仿宋_GB2312" w:hAnsi="仿宋_GB2312" w:eastAsia="仿宋_GB2312" w:cs="仿宋_GB2312"/>
          <w:sz w:val="32"/>
          <w:szCs w:val="32"/>
        </w:rPr>
        <w:t>余次，报送各类工作动态</w:t>
      </w:r>
      <w:r>
        <w:rPr>
          <w:rFonts w:hint="eastAsia" w:eastAsia="仿宋_GB2312"/>
          <w:kern w:val="0"/>
          <w:sz w:val="32"/>
          <w:szCs w:val="32"/>
        </w:rPr>
        <w:t>40</w:t>
      </w:r>
      <w:r>
        <w:rPr>
          <w:rFonts w:hint="eastAsia" w:ascii="仿宋_GB2312" w:hAnsi="仿宋_GB2312" w:eastAsia="仿宋_GB2312" w:cs="仿宋_GB2312"/>
          <w:sz w:val="32"/>
          <w:szCs w:val="32"/>
        </w:rPr>
        <w:t>余条，圆满完成各重要敏感时段零进京、零赴蓉工作任务。</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三是坚决打赢“矛盾化解”攻坚战，严防“初转重、信转访”。</w:t>
      </w:r>
      <w:r>
        <w:rPr>
          <w:rFonts w:hint="eastAsia" w:ascii="仿宋_GB2312" w:hAnsi="仿宋_GB2312" w:eastAsia="仿宋_GB2312" w:cs="仿宋_GB2312"/>
          <w:sz w:val="32"/>
          <w:szCs w:val="32"/>
        </w:rPr>
        <w:t>积极协调区级领导开展定点接访工作，推动区级部门与信访人见面</w:t>
      </w:r>
      <w:r>
        <w:rPr>
          <w:rFonts w:hint="eastAsia" w:eastAsia="仿宋_GB2312"/>
          <w:kern w:val="0"/>
          <w:sz w:val="32"/>
          <w:szCs w:val="32"/>
        </w:rPr>
        <w:t>100</w:t>
      </w:r>
      <w:r>
        <w:rPr>
          <w:rFonts w:hint="eastAsia" w:ascii="仿宋_GB2312" w:hAnsi="仿宋_GB2312" w:eastAsia="仿宋_GB2312" w:cs="仿宋_GB2312"/>
          <w:sz w:val="32"/>
          <w:szCs w:val="32"/>
        </w:rPr>
        <w:t>余人次，最大限度减少问题积累、矛盾上行，有效遏制初转重、信转访现象发生，全年化解各类初信初访问题</w:t>
      </w:r>
      <w:r>
        <w:rPr>
          <w:rFonts w:hint="eastAsia" w:eastAsia="仿宋_GB2312"/>
          <w:kern w:val="0"/>
          <w:sz w:val="32"/>
          <w:szCs w:val="32"/>
        </w:rPr>
        <w:t>100</w:t>
      </w:r>
      <w:r>
        <w:rPr>
          <w:rFonts w:hint="eastAsia" w:ascii="仿宋_GB2312" w:hAnsi="仿宋_GB2312" w:eastAsia="仿宋_GB2312" w:cs="仿宋_GB2312"/>
          <w:sz w:val="32"/>
          <w:szCs w:val="32"/>
        </w:rPr>
        <w:t>余件，牵头化解中央、省、市重点督办积案</w:t>
      </w:r>
      <w:r>
        <w:rPr>
          <w:rFonts w:hint="eastAsia" w:eastAsia="仿宋_GB2312"/>
          <w:kern w:val="0"/>
          <w:sz w:val="32"/>
          <w:szCs w:val="32"/>
        </w:rPr>
        <w:t>1</w:t>
      </w:r>
      <w:r>
        <w:rPr>
          <w:rFonts w:hint="eastAsia" w:ascii="仿宋_GB2312" w:hAnsi="仿宋_GB2312" w:eastAsia="仿宋_GB2312" w:cs="仿宋_GB2312"/>
          <w:sz w:val="32"/>
          <w:szCs w:val="32"/>
        </w:rPr>
        <w:t>件。</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四是坚决打赢“快速处置”攻坚战，确保了“联动快、效果好”。</w:t>
      </w:r>
      <w:r>
        <w:rPr>
          <w:rFonts w:hint="eastAsia" w:ascii="仿宋_GB2312" w:hAnsi="仿宋_GB2312" w:eastAsia="仿宋_GB2312" w:cs="仿宋_GB2312"/>
          <w:sz w:val="32"/>
          <w:szCs w:val="32"/>
        </w:rPr>
        <w:t>积极会同责任部门及时介入可能引发大规模集访的群体性事件，提前研究多套处置方案，积极稳妥做好分流劝返工作。高度重视宣传引导工作，累计发放《信访工作条例》宣传手册</w:t>
      </w:r>
      <w:r>
        <w:rPr>
          <w:rFonts w:hint="eastAsia" w:eastAsia="仿宋_GB2312"/>
          <w:kern w:val="0"/>
          <w:sz w:val="32"/>
          <w:szCs w:val="32"/>
        </w:rPr>
        <w:t>10000</w:t>
      </w:r>
      <w:r>
        <w:rPr>
          <w:rFonts w:hint="eastAsia" w:ascii="仿宋_GB2312" w:hAnsi="仿宋_GB2312" w:eastAsia="仿宋_GB2312" w:cs="仿宋_GB2312"/>
          <w:sz w:val="32"/>
          <w:szCs w:val="32"/>
        </w:rPr>
        <w:t>余份，积极引导群众依法依规表达诉求。</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snapToGrid w:val="0"/>
        <w:spacing w:line="520" w:lineRule="exact"/>
        <w:ind w:firstLine="640" w:firstLineChars="200"/>
        <w:rPr>
          <w:rFonts w:hint="eastAsia"/>
          <w:lang w:val="zh-CN"/>
        </w:rPr>
      </w:pPr>
      <w:r>
        <w:rPr>
          <w:rFonts w:hint="eastAsia" w:ascii="仿宋_GB2312" w:hAnsi="仿宋" w:eastAsia="仿宋_GB2312"/>
          <w:sz w:val="32"/>
          <w:szCs w:val="32"/>
        </w:rPr>
        <w:t>全年各项目按照工作计划顺利推进，数量、质量、时效、社会效益和服务对象满意度指标均达标。通过</w:t>
      </w:r>
      <w:r>
        <w:rPr>
          <w:rFonts w:ascii="仿宋_GB2312" w:hAnsi="仿宋" w:eastAsia="仿宋_GB2312"/>
          <w:sz w:val="32"/>
          <w:szCs w:val="32"/>
        </w:rPr>
        <w:t>加强预算收支管理，健全内部</w:t>
      </w:r>
      <w:r>
        <w:rPr>
          <w:rFonts w:hint="eastAsia" w:ascii="仿宋_GB2312" w:hAnsi="仿宋" w:eastAsia="仿宋_GB2312"/>
          <w:sz w:val="32"/>
          <w:szCs w:val="32"/>
        </w:rPr>
        <w:t>控制</w:t>
      </w:r>
      <w:r>
        <w:rPr>
          <w:rFonts w:ascii="仿宋_GB2312" w:hAnsi="仿宋" w:eastAsia="仿宋_GB2312"/>
          <w:sz w:val="32"/>
          <w:szCs w:val="32"/>
        </w:rPr>
        <w:t>管理制度，严格内部管理流程，部门整体支出</w:t>
      </w:r>
      <w:r>
        <w:rPr>
          <w:rFonts w:hint="eastAsia" w:ascii="仿宋_GB2312" w:hAnsi="仿宋" w:eastAsia="仿宋_GB2312"/>
          <w:sz w:val="32"/>
          <w:szCs w:val="32"/>
        </w:rPr>
        <w:t>控制在预算范围内，财务收支平衡，有效保障了单位各项工作有序开展。</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widowControl/>
        <w:numPr>
          <w:ilvl w:val="0"/>
          <w:numId w:val="0"/>
        </w:numPr>
        <w:adjustRightInd w:val="0"/>
        <w:snapToGrid w:val="0"/>
        <w:spacing w:line="560" w:lineRule="exact"/>
        <w:ind w:firstLine="640" w:firstLineChars="200"/>
        <w:contextualSpacing/>
        <w:jc w:val="left"/>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22年本年收入合计203.29万元，其中：一般公共预算财政拨款收入193.49万元，占</w:t>
      </w:r>
      <w:r>
        <w:rPr>
          <w:rFonts w:hint="eastAsia" w:ascii="仿宋" w:hAnsi="仿宋" w:eastAsia="仿宋"/>
          <w:sz w:val="32"/>
          <w:szCs w:val="32"/>
          <w:lang w:val="en-US" w:eastAsia="zh-CN"/>
        </w:rPr>
        <w:t>95</w:t>
      </w:r>
      <w:r>
        <w:rPr>
          <w:rFonts w:ascii="仿宋" w:hAnsi="仿宋" w:eastAsia="仿宋"/>
          <w:sz w:val="32"/>
          <w:szCs w:val="32"/>
        </w:rPr>
        <w:t>%</w:t>
      </w:r>
      <w:r>
        <w:rPr>
          <w:rFonts w:hint="eastAsia" w:ascii="仿宋" w:hAnsi="仿宋" w:eastAsia="仿宋"/>
          <w:sz w:val="32"/>
          <w:szCs w:val="32"/>
        </w:rPr>
        <w:t>；政府性基金预算财政拨款收入9.79万元，占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0.01</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部门总体支出情况</w:t>
      </w:r>
    </w:p>
    <w:p>
      <w:pPr>
        <w:widowControl/>
        <w:numPr>
          <w:ilvl w:val="0"/>
          <w:numId w:val="0"/>
        </w:numPr>
        <w:adjustRightInd w:val="0"/>
        <w:snapToGrid w:val="0"/>
        <w:spacing w:line="560" w:lineRule="exact"/>
        <w:ind w:firstLine="640" w:firstLineChars="200"/>
        <w:contextualSpacing/>
        <w:jc w:val="left"/>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22年本年支出合计222.78万元，其中：基本支出164.49万元，占</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；项目支出58.29万元，占</w:t>
      </w:r>
      <w:r>
        <w:rPr>
          <w:rFonts w:hint="eastAsia" w:ascii="仿宋" w:hAnsi="仿宋" w:eastAsia="仿宋"/>
          <w:sz w:val="32"/>
          <w:szCs w:val="32"/>
          <w:lang w:val="en-US" w:eastAsia="zh-CN"/>
        </w:rPr>
        <w:t>26</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部门总体结转结余情况</w:t>
      </w:r>
    </w:p>
    <w:p>
      <w:pPr>
        <w:widowControl/>
        <w:numPr>
          <w:ilvl w:val="0"/>
          <w:numId w:val="0"/>
        </w:numPr>
        <w:adjustRightInd w:val="0"/>
        <w:snapToGrid w:val="0"/>
        <w:spacing w:line="560" w:lineRule="exact"/>
        <w:ind w:leftChars="200"/>
        <w:contextualSpacing/>
        <w:jc w:val="left"/>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年初结转和结余</w:t>
      </w:r>
      <w:r>
        <w:rPr>
          <w:rFonts w:hint="eastAsia" w:ascii="仿宋_GB2312" w:hAnsi="仿宋_GB2312" w:eastAsia="仿宋_GB2312" w:cs="仿宋_GB2312"/>
          <w:kern w:val="0"/>
          <w:sz w:val="32"/>
          <w:szCs w:val="32"/>
          <w:shd w:val="clear" w:color="auto" w:fill="FFFFFF"/>
          <w:lang w:val="en-US" w:eastAsia="zh-CN"/>
        </w:rPr>
        <w:t>19.64万元，年末结转和结余0.15万元。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2022年</w:t>
      </w:r>
      <w:r>
        <w:rPr>
          <w:rFonts w:hint="eastAsia" w:ascii="仿宋_GB2312" w:hAnsi="仿宋_GB2312" w:eastAsia="仿宋_GB2312" w:cs="仿宋_GB2312"/>
          <w:kern w:val="0"/>
          <w:sz w:val="32"/>
          <w:szCs w:val="32"/>
          <w:shd w:val="clear" w:color="auto" w:fill="FFFFFF"/>
          <w:lang w:val="zh-CN" w:eastAsia="zh-CN"/>
        </w:rPr>
        <w:t>财政拨款收入</w:t>
      </w:r>
      <w:r>
        <w:rPr>
          <w:rFonts w:hint="eastAsia" w:ascii="仿宋_GB2312" w:hAnsi="仿宋_GB2312" w:eastAsia="仿宋_GB2312" w:cs="仿宋_GB2312"/>
          <w:kern w:val="0"/>
          <w:sz w:val="32"/>
          <w:szCs w:val="32"/>
          <w:shd w:val="clear" w:color="auto" w:fill="FFFFFF"/>
          <w:lang w:val="en-US" w:eastAsia="zh-CN"/>
        </w:rPr>
        <w:t>203.28万元，其中：一般公共预算财政拨款收入212.99万元，占75%；政府性基金预算财政拨款收入9.79万元，占25%。</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部门财政拨款支出情况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2022年</w:t>
      </w:r>
      <w:r>
        <w:rPr>
          <w:rFonts w:hint="eastAsia" w:ascii="仿宋_GB2312" w:hAnsi="宋体" w:eastAsia="仿宋_GB2312" w:cs="宋体"/>
          <w:color w:val="000000"/>
          <w:kern w:val="0"/>
          <w:sz w:val="32"/>
          <w:szCs w:val="32"/>
          <w:shd w:val="clear" w:color="auto" w:fill="FFFFFF"/>
          <w:lang w:val="zh-CN"/>
        </w:rPr>
        <w:t>财政拨款支出</w:t>
      </w:r>
      <w:r>
        <w:rPr>
          <w:rFonts w:hint="eastAsia" w:ascii="仿宋_GB2312" w:hAnsi="宋体" w:eastAsia="仿宋_GB2312" w:cs="宋体"/>
          <w:color w:val="000000"/>
          <w:kern w:val="0"/>
          <w:sz w:val="32"/>
          <w:szCs w:val="32"/>
          <w:shd w:val="clear" w:color="auto" w:fill="FFFFFF"/>
          <w:lang w:val="en-US" w:eastAsia="zh-CN"/>
        </w:rPr>
        <w:t>222.78万元，其中：</w:t>
      </w:r>
      <w:r>
        <w:rPr>
          <w:rFonts w:hint="eastAsia" w:ascii="仿宋" w:hAnsi="仿宋" w:eastAsia="仿宋"/>
          <w:sz w:val="32"/>
          <w:szCs w:val="32"/>
        </w:rPr>
        <w:t>基本支出164.49万元，占</w:t>
      </w:r>
      <w:r>
        <w:rPr>
          <w:rFonts w:hint="eastAsia" w:ascii="仿宋" w:hAnsi="仿宋" w:eastAsia="仿宋"/>
          <w:sz w:val="32"/>
          <w:szCs w:val="32"/>
          <w:lang w:val="en-US" w:eastAsia="zh-CN"/>
        </w:rPr>
        <w:t>74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58.29</w:t>
      </w:r>
      <w:r>
        <w:rPr>
          <w:rFonts w:hint="eastAsia" w:ascii="仿宋" w:hAnsi="仿宋" w:eastAsia="仿宋"/>
          <w:sz w:val="32"/>
          <w:szCs w:val="32"/>
        </w:rPr>
        <w:t>万元，占</w:t>
      </w:r>
      <w:r>
        <w:rPr>
          <w:rFonts w:hint="eastAsia" w:ascii="仿宋" w:hAnsi="仿宋" w:eastAsia="仿宋"/>
          <w:sz w:val="32"/>
          <w:szCs w:val="32"/>
          <w:lang w:val="en-US" w:eastAsia="zh-CN"/>
        </w:rPr>
        <w:t>26</w:t>
      </w:r>
      <w:r>
        <w:rPr>
          <w:rFonts w:ascii="仿宋" w:hAnsi="仿宋" w:eastAsia="仿宋"/>
          <w:sz w:val="32"/>
          <w:szCs w:val="32"/>
        </w:rPr>
        <w:t>%</w:t>
      </w:r>
      <w:r>
        <w:rPr>
          <w:rFonts w:hint="eastAsia" w:ascii="仿宋" w:hAnsi="仿宋" w:eastAsia="仿宋"/>
          <w:sz w:val="32"/>
          <w:szCs w:val="32"/>
        </w:rPr>
        <w:t>。</w:t>
      </w:r>
    </w:p>
    <w:p>
      <w:pPr>
        <w:widowControl/>
        <w:numPr>
          <w:ilvl w:val="0"/>
          <w:numId w:val="0"/>
        </w:numPr>
        <w:adjustRightInd w:val="0"/>
        <w:snapToGrid w:val="0"/>
        <w:spacing w:line="560" w:lineRule="exact"/>
        <w:ind w:left="672" w:leftChars="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部门财政拨款结转结余情况</w:t>
      </w:r>
    </w:p>
    <w:p>
      <w:pPr>
        <w:widowControl/>
        <w:numPr>
          <w:ilvl w:val="0"/>
          <w:numId w:val="0"/>
        </w:numPr>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财政拨款</w:t>
      </w:r>
      <w:r>
        <w:rPr>
          <w:rFonts w:hint="eastAsia" w:ascii="仿宋_GB2312" w:hAnsi="仿宋_GB2312" w:eastAsia="仿宋_GB2312" w:cs="仿宋_GB2312"/>
          <w:kern w:val="0"/>
          <w:sz w:val="32"/>
          <w:szCs w:val="32"/>
          <w:shd w:val="clear" w:color="auto" w:fill="FFFFFF"/>
        </w:rPr>
        <w:t>年初结转和结余</w:t>
      </w:r>
      <w:r>
        <w:rPr>
          <w:rFonts w:hint="eastAsia" w:ascii="仿宋_GB2312" w:hAnsi="仿宋_GB2312" w:eastAsia="仿宋_GB2312" w:cs="仿宋_GB2312"/>
          <w:kern w:val="0"/>
          <w:sz w:val="32"/>
          <w:szCs w:val="32"/>
          <w:shd w:val="clear" w:color="auto" w:fill="FFFFFF"/>
          <w:lang w:val="en-US" w:eastAsia="zh-CN"/>
        </w:rPr>
        <w:t>19.62万元，年末结转和结余0.12万元。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zh-CN"/>
        </w:rPr>
        <w:t>西区信访局属正科级财政全额机关单位，主要负责全区信访工作，本单位共有行政编制</w:t>
      </w:r>
      <w:r>
        <w:rPr>
          <w:rFonts w:hint="eastAsia" w:ascii="仿宋_GB2312" w:hAnsi="仿宋_GB2312" w:eastAsia="仿宋_GB2312" w:cs="仿宋_GB2312"/>
          <w:kern w:val="0"/>
          <w:sz w:val="32"/>
          <w:szCs w:val="32"/>
          <w:shd w:val="clear" w:color="auto" w:fill="FFFFFF"/>
          <w:lang w:val="en-US" w:eastAsia="zh-CN"/>
        </w:rPr>
        <w:t>3名，事业编制5名，退休人员5名，</w:t>
      </w:r>
      <w:r>
        <w:rPr>
          <w:rFonts w:hint="eastAsia" w:ascii="仿宋_GB2312" w:hAnsi="仿宋_GB2312" w:eastAsia="仿宋_GB2312" w:cs="仿宋_GB2312"/>
          <w:kern w:val="0"/>
          <w:sz w:val="32"/>
          <w:szCs w:val="32"/>
          <w:shd w:val="clear" w:color="auto" w:fill="FFFFFF"/>
          <w:lang w:val="zh-CN"/>
        </w:rPr>
        <w:t>聘用编制</w:t>
      </w: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lang w:val="zh-CN"/>
        </w:rPr>
        <w:t>名，该项目预算主要用于支付在职人员工资、社保、公积金等支出。</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该项目于20</w:t>
      </w:r>
      <w:r>
        <w:rPr>
          <w:rFonts w:hint="eastAsia" w:ascii="仿宋_GB2312" w:hAnsi="仿宋_GB2312" w:eastAsia="仿宋_GB2312" w:cs="仿宋_GB2312"/>
          <w:kern w:val="0"/>
          <w:sz w:val="32"/>
          <w:szCs w:val="32"/>
          <w:shd w:val="clear" w:color="auto" w:fill="FFFFFF"/>
          <w:lang w:val="en-US" w:eastAsia="zh-CN"/>
        </w:rPr>
        <w:t>21</w:t>
      </w:r>
      <w:r>
        <w:rPr>
          <w:rFonts w:hint="eastAsia" w:ascii="仿宋_GB2312" w:hAnsi="仿宋_GB2312" w:eastAsia="仿宋_GB2312" w:cs="仿宋_GB2312"/>
          <w:kern w:val="0"/>
          <w:sz w:val="32"/>
          <w:szCs w:val="32"/>
          <w:shd w:val="clear" w:color="auto" w:fill="FFFFFF"/>
          <w:lang w:val="zh-CN"/>
        </w:rPr>
        <w:t>年申报，20</w:t>
      </w:r>
      <w:r>
        <w:rPr>
          <w:rFonts w:hint="eastAsia" w:ascii="仿宋_GB2312" w:hAnsi="仿宋_GB2312" w:eastAsia="仿宋_GB2312" w:cs="仿宋_GB2312"/>
          <w:kern w:val="0"/>
          <w:sz w:val="32"/>
          <w:szCs w:val="32"/>
          <w:shd w:val="clear" w:color="auto" w:fill="FFFFFF"/>
          <w:lang w:val="en-US" w:eastAsia="zh-CN"/>
        </w:rPr>
        <w:t>22</w:t>
      </w:r>
      <w:r>
        <w:rPr>
          <w:rFonts w:hint="eastAsia" w:ascii="仿宋_GB2312" w:hAnsi="仿宋_GB2312" w:eastAsia="仿宋_GB2312" w:cs="仿宋_GB2312"/>
          <w:kern w:val="0"/>
          <w:sz w:val="32"/>
          <w:szCs w:val="32"/>
          <w:shd w:val="clear" w:color="auto" w:fill="FFFFFF"/>
          <w:lang w:val="zh-CN"/>
        </w:rPr>
        <w:t>年批复。支出项目预算为</w:t>
      </w:r>
      <w:r>
        <w:rPr>
          <w:rFonts w:hint="eastAsia" w:ascii="仿宋" w:hAnsi="仿宋" w:eastAsia="仿宋"/>
          <w:sz w:val="32"/>
          <w:szCs w:val="32"/>
          <w:lang w:val="en-US" w:eastAsia="zh-CN"/>
        </w:rPr>
        <w:t>58.77</w:t>
      </w:r>
      <w:r>
        <w:rPr>
          <w:rFonts w:hint="eastAsia" w:ascii="仿宋_GB2312" w:hAnsi="仿宋_GB2312" w:eastAsia="仿宋_GB2312" w:cs="仿宋_GB2312"/>
          <w:kern w:val="0"/>
          <w:sz w:val="32"/>
          <w:szCs w:val="32"/>
          <w:shd w:val="clear" w:color="auto" w:fill="FFFFFF"/>
          <w:lang w:val="zh-CN"/>
        </w:rPr>
        <w:t>万元，项目资金到位率为100%。按照专款专用的原则，在本单位严格监督下，该项目资金全部用于支付在职人员工资、社保、公积金等费用，项目资金使用率为100%。</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lang w:val="zh-CN"/>
        </w:rPr>
        <w:t>有效地维持本单位工作正常运转，实现既定目标、完成预算支出。本单位财务管理制度健全，严格按照合同约定，通过银行系统转账的方式，每月按时发放，不克扣、拖欠人员工资，未存在挪用或超标准开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（4）</w:t>
      </w:r>
      <w:r>
        <w:rPr>
          <w:rFonts w:hint="eastAsia" w:ascii="仿宋_GB2312" w:hAnsi="仿宋_GB2312" w:eastAsia="仿宋_GB2312" w:cs="仿宋_GB2312"/>
          <w:kern w:val="0"/>
          <w:sz w:val="32"/>
          <w:szCs w:val="32"/>
          <w:shd w:val="clear" w:color="auto" w:fill="FFFFFF"/>
          <w:lang w:val="zh-CN"/>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zh-CN"/>
        </w:rPr>
        <w:t>该项目于20</w:t>
      </w:r>
      <w:r>
        <w:rPr>
          <w:rFonts w:hint="eastAsia" w:ascii="仿宋_GB2312" w:hAnsi="仿宋_GB2312" w:eastAsia="仿宋_GB2312" w:cs="仿宋_GB2312"/>
          <w:kern w:val="0"/>
          <w:sz w:val="32"/>
          <w:szCs w:val="32"/>
          <w:shd w:val="clear" w:color="auto" w:fill="FFFFFF"/>
          <w:lang w:val="en-US" w:eastAsia="zh-CN"/>
        </w:rPr>
        <w:t>21</w:t>
      </w:r>
      <w:r>
        <w:rPr>
          <w:rFonts w:hint="eastAsia" w:ascii="仿宋_GB2312" w:hAnsi="仿宋_GB2312" w:eastAsia="仿宋_GB2312" w:cs="仿宋_GB2312"/>
          <w:kern w:val="0"/>
          <w:sz w:val="32"/>
          <w:szCs w:val="32"/>
          <w:shd w:val="clear" w:color="auto" w:fill="FFFFFF"/>
          <w:lang w:val="zh-CN"/>
        </w:rPr>
        <w:t>年申报，20</w:t>
      </w:r>
      <w:r>
        <w:rPr>
          <w:rFonts w:hint="eastAsia" w:ascii="仿宋_GB2312" w:hAnsi="仿宋_GB2312" w:eastAsia="仿宋_GB2312" w:cs="仿宋_GB2312"/>
          <w:kern w:val="0"/>
          <w:sz w:val="32"/>
          <w:szCs w:val="32"/>
          <w:shd w:val="clear" w:color="auto" w:fill="FFFFFF"/>
          <w:lang w:val="en-US" w:eastAsia="zh-CN"/>
        </w:rPr>
        <w:t>22</w:t>
      </w:r>
      <w:r>
        <w:rPr>
          <w:rFonts w:hint="eastAsia" w:ascii="仿宋_GB2312" w:hAnsi="仿宋_GB2312" w:eastAsia="仿宋_GB2312" w:cs="仿宋_GB2312"/>
          <w:kern w:val="0"/>
          <w:sz w:val="32"/>
          <w:szCs w:val="32"/>
          <w:shd w:val="clear" w:color="auto" w:fill="FFFFFF"/>
          <w:lang w:val="zh-CN"/>
        </w:rPr>
        <w:t>年批复。支出项目预算为</w:t>
      </w:r>
      <w:r>
        <w:rPr>
          <w:rFonts w:hint="eastAsia" w:ascii="仿宋" w:hAnsi="仿宋" w:eastAsia="仿宋"/>
          <w:sz w:val="32"/>
          <w:szCs w:val="32"/>
          <w:lang w:val="en-US" w:eastAsia="zh-CN"/>
        </w:rPr>
        <w:t>144.51</w:t>
      </w:r>
      <w:r>
        <w:rPr>
          <w:rFonts w:hint="eastAsia" w:ascii="仿宋_GB2312" w:hAnsi="仿宋_GB2312" w:eastAsia="仿宋_GB2312" w:cs="仿宋_GB2312"/>
          <w:kern w:val="0"/>
          <w:sz w:val="32"/>
          <w:szCs w:val="32"/>
          <w:shd w:val="clear" w:color="auto" w:fill="FFFFFF"/>
          <w:lang w:val="zh-CN"/>
        </w:rPr>
        <w:t>万元，项目资金到位率为100%。按照专款专用的原则，在本单位严格监督下，该项目资金全部用于支付一般公共服务支出，项目资金使用率为100%。</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有效地维持本单位工作正常运转，实现既定目标、完成预算支出。本单位财务管理制度健全，严格按照财经制度，无挪用或超标准开支情况。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lang w:val="zh-CN"/>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lang w:val="zh-CN"/>
        </w:rPr>
        <w:t>该项目于20</w:t>
      </w:r>
      <w:r>
        <w:rPr>
          <w:rFonts w:hint="eastAsia" w:ascii="仿宋_GB2312" w:hAnsi="仿宋_GB2312" w:eastAsia="仿宋_GB2312" w:cs="仿宋_GB2312"/>
          <w:kern w:val="0"/>
          <w:sz w:val="32"/>
          <w:szCs w:val="32"/>
          <w:shd w:val="clear" w:color="auto" w:fill="FFFFFF"/>
          <w:lang w:val="en-US" w:eastAsia="zh-CN"/>
        </w:rPr>
        <w:t>21</w:t>
      </w:r>
      <w:r>
        <w:rPr>
          <w:rFonts w:hint="eastAsia" w:ascii="仿宋_GB2312" w:hAnsi="仿宋_GB2312" w:eastAsia="仿宋_GB2312" w:cs="仿宋_GB2312"/>
          <w:kern w:val="0"/>
          <w:sz w:val="32"/>
          <w:szCs w:val="32"/>
          <w:shd w:val="clear" w:color="auto" w:fill="FFFFFF"/>
          <w:lang w:val="zh-CN"/>
        </w:rPr>
        <w:t>年申报，20</w:t>
      </w:r>
      <w:r>
        <w:rPr>
          <w:rFonts w:hint="eastAsia" w:ascii="仿宋_GB2312" w:hAnsi="仿宋_GB2312" w:eastAsia="仿宋_GB2312" w:cs="仿宋_GB2312"/>
          <w:kern w:val="0"/>
          <w:sz w:val="32"/>
          <w:szCs w:val="32"/>
          <w:shd w:val="clear" w:color="auto" w:fill="FFFFFF"/>
          <w:lang w:val="en-US" w:eastAsia="zh-CN"/>
        </w:rPr>
        <w:t>22</w:t>
      </w:r>
      <w:r>
        <w:rPr>
          <w:rFonts w:hint="eastAsia" w:ascii="仿宋_GB2312" w:hAnsi="仿宋_GB2312" w:eastAsia="仿宋_GB2312" w:cs="仿宋_GB2312"/>
          <w:kern w:val="0"/>
          <w:sz w:val="32"/>
          <w:szCs w:val="32"/>
          <w:shd w:val="clear" w:color="auto" w:fill="FFFFFF"/>
          <w:lang w:val="zh-CN"/>
        </w:rPr>
        <w:t>年批复。支出项目预算为</w:t>
      </w:r>
      <w:r>
        <w:rPr>
          <w:rFonts w:hint="eastAsia" w:ascii="仿宋" w:hAnsi="仿宋" w:eastAsia="仿宋"/>
          <w:sz w:val="32"/>
          <w:szCs w:val="32"/>
          <w:lang w:val="en-US" w:eastAsia="zh-CN"/>
        </w:rPr>
        <w:t>144.51</w:t>
      </w:r>
      <w:r>
        <w:rPr>
          <w:rFonts w:hint="eastAsia" w:ascii="仿宋_GB2312" w:hAnsi="仿宋_GB2312" w:eastAsia="仿宋_GB2312" w:cs="仿宋_GB2312"/>
          <w:kern w:val="0"/>
          <w:sz w:val="32"/>
          <w:szCs w:val="32"/>
          <w:shd w:val="clear" w:color="auto" w:fill="FFFFFF"/>
          <w:lang w:val="zh-CN"/>
        </w:rPr>
        <w:t>万元，项目资金到位率为100%。按照专款专用的原则，在本单位严格监督下，该项目资金全部用于支付一般公共服务支出，项目资金使用率为100%。</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有效地维持本单位工作正常运转，实现既定目标、完成预算支出。本单位财务管理制度健全，严格按照财经制度，无挪用或超标准开支情况。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lang w:val="zh-CN"/>
        </w:rPr>
        <w:t>领导高度重视，立项前多次组织调查研究，经慎重考虑后形成结论，确保该项目的科学性、严谨性；二是实施过程周密细致，项目启动前认真学习相关规定，严格落实财务管理制度，保证经费使用合法合规、公开透明。无违规记录等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Style w:val="8"/>
        <w:spacing w:line="600" w:lineRule="exact"/>
        <w:ind w:firstLine="640" w:firstLineChars="200"/>
        <w:jc w:val="left"/>
        <w:rPr>
          <w:rFonts w:ascii="Times New Roman" w:hAnsi="Times New Roman" w:eastAsia="楷体"/>
          <w:color w:val="auto"/>
          <w:sz w:val="32"/>
          <w:szCs w:val="32"/>
        </w:rPr>
      </w:pPr>
      <w:r>
        <w:rPr>
          <w:rFonts w:ascii="Times New Roman" w:hAnsi="Times New Roman" w:eastAsia="仿宋_GB2312"/>
          <w:color w:val="auto"/>
          <w:sz w:val="32"/>
          <w:szCs w:val="32"/>
        </w:rPr>
        <w:t>1.年初部门预算绩效目标完成情况</w:t>
      </w:r>
    </w:p>
    <w:p>
      <w:pPr>
        <w:autoSpaceDE w:val="0"/>
        <w:autoSpaceDN w:val="0"/>
        <w:adjustRightInd w:val="0"/>
        <w:spacing w:line="520" w:lineRule="exact"/>
        <w:ind w:firstLine="480" w:firstLineChars="150"/>
        <w:jc w:val="left"/>
        <w:rPr>
          <w:rFonts w:ascii="仿宋_GB2312" w:hAnsi="仿宋" w:eastAsia="仿宋_GB2312"/>
          <w:color w:val="auto"/>
          <w:sz w:val="32"/>
          <w:szCs w:val="32"/>
        </w:rPr>
      </w:pPr>
      <w:r>
        <w:rPr>
          <w:rFonts w:ascii="仿宋_GB2312" w:hAnsi="仿宋" w:eastAsia="仿宋_GB2312"/>
          <w:color w:val="auto"/>
          <w:sz w:val="32"/>
          <w:szCs w:val="32"/>
        </w:rPr>
        <w:t>（1）产出指标完成情况分析。</w:t>
      </w:r>
      <w:r>
        <w:rPr>
          <w:rFonts w:hint="eastAsia" w:ascii="仿宋_GB2312" w:hAnsi="仿宋" w:eastAsia="仿宋_GB2312"/>
          <w:color w:val="auto"/>
          <w:sz w:val="32"/>
          <w:szCs w:val="32"/>
        </w:rPr>
        <w:t>区级财政年初安排</w:t>
      </w:r>
      <w:r>
        <w:rPr>
          <w:rFonts w:hint="eastAsia" w:ascii="仿宋_GB2312" w:hAnsi="仿宋" w:eastAsia="仿宋_GB2312"/>
          <w:color w:val="auto"/>
          <w:sz w:val="32"/>
          <w:szCs w:val="32"/>
          <w:lang w:val="en-US" w:eastAsia="zh-CN"/>
        </w:rPr>
        <w:t>193.49</w:t>
      </w:r>
      <w:r>
        <w:rPr>
          <w:rFonts w:hint="eastAsia" w:ascii="仿宋_GB2312" w:hAnsi="仿宋" w:eastAsia="仿宋_GB2312"/>
          <w:color w:val="auto"/>
          <w:sz w:val="32"/>
          <w:szCs w:val="32"/>
        </w:rPr>
        <w:t>万元，年初结余</w:t>
      </w:r>
      <w:r>
        <w:rPr>
          <w:rFonts w:hint="eastAsia" w:ascii="仿宋_GB2312" w:hAnsi="仿宋" w:eastAsia="仿宋_GB2312"/>
          <w:color w:val="auto"/>
          <w:sz w:val="32"/>
          <w:szCs w:val="32"/>
          <w:lang w:val="en-US" w:eastAsia="zh-CN"/>
        </w:rPr>
        <w:t>19.64</w:t>
      </w:r>
      <w:r>
        <w:rPr>
          <w:rFonts w:hint="eastAsia" w:ascii="仿宋_GB2312" w:hAnsi="仿宋" w:eastAsia="仿宋_GB2312"/>
          <w:color w:val="auto"/>
          <w:sz w:val="32"/>
          <w:szCs w:val="32"/>
        </w:rPr>
        <w:t>万元，全部用于全局人员基本工资、津补贴支出、机关事业单位养老保险、社会保障缴费、办公费用支出、党建、差旅费、工会等福利支出，信访事项处置、矛盾纠纷化解及特殊疑难信访问题补助等。时效一年，已全部落实到位。</w:t>
      </w:r>
    </w:p>
    <w:p>
      <w:pPr>
        <w:autoSpaceDE w:val="0"/>
        <w:autoSpaceDN w:val="0"/>
        <w:adjustRightInd w:val="0"/>
        <w:spacing w:line="520" w:lineRule="exact"/>
        <w:ind w:firstLine="480" w:firstLineChars="150"/>
        <w:jc w:val="left"/>
        <w:rPr>
          <w:rFonts w:ascii="仿宋_GB2312" w:hAnsi="仿宋" w:eastAsia="仿宋_GB2312"/>
          <w:color w:val="auto"/>
          <w:sz w:val="32"/>
          <w:szCs w:val="32"/>
        </w:rPr>
      </w:pPr>
      <w:r>
        <w:rPr>
          <w:rFonts w:ascii="仿宋_GB2312" w:hAnsi="仿宋" w:eastAsia="仿宋_GB2312"/>
          <w:color w:val="auto"/>
          <w:sz w:val="32"/>
          <w:szCs w:val="32"/>
        </w:rPr>
        <w:t>（2）效益指标完成情况分析。</w:t>
      </w:r>
      <w:r>
        <w:rPr>
          <w:rFonts w:hint="eastAsia" w:ascii="仿宋_GB2312" w:hAnsi="仿宋" w:eastAsia="仿宋_GB2312"/>
          <w:color w:val="auto"/>
          <w:sz w:val="32"/>
          <w:szCs w:val="32"/>
        </w:rPr>
        <w:t>保障本年度全职干部职工工资待遇、津贴补贴、养老保险等。保障202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年度信访工作顺利开展。</w:t>
      </w:r>
    </w:p>
    <w:p>
      <w:pPr>
        <w:autoSpaceDE w:val="0"/>
        <w:autoSpaceDN w:val="0"/>
        <w:adjustRightInd w:val="0"/>
        <w:spacing w:line="520" w:lineRule="exact"/>
        <w:ind w:firstLine="480" w:firstLineChars="150"/>
        <w:jc w:val="left"/>
        <w:rPr>
          <w:rFonts w:ascii="仿宋_GB2312" w:hAnsi="仿宋" w:eastAsia="仿宋_GB2312"/>
          <w:color w:val="auto"/>
          <w:sz w:val="32"/>
          <w:szCs w:val="32"/>
        </w:rPr>
      </w:pPr>
      <w:r>
        <w:rPr>
          <w:rFonts w:ascii="仿宋_GB2312" w:hAnsi="仿宋" w:eastAsia="仿宋_GB2312"/>
          <w:color w:val="auto"/>
          <w:sz w:val="32"/>
          <w:szCs w:val="32"/>
        </w:rPr>
        <w:t>（3）满意度指标完成情况分析。</w:t>
      </w:r>
      <w:r>
        <w:rPr>
          <w:rFonts w:hint="eastAsia" w:ascii="仿宋_GB2312" w:hAnsi="仿宋" w:eastAsia="仿宋_GB2312"/>
          <w:color w:val="auto"/>
          <w:sz w:val="32"/>
          <w:szCs w:val="32"/>
        </w:rPr>
        <w:t>满意率100%。</w:t>
      </w:r>
    </w:p>
    <w:p>
      <w:pPr>
        <w:pStyle w:val="8"/>
        <w:spacing w:line="60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2.区级专项（项目）资金绩效目标完成情况</w:t>
      </w:r>
    </w:p>
    <w:p>
      <w:pPr>
        <w:autoSpaceDE w:val="0"/>
        <w:autoSpaceDN w:val="0"/>
        <w:adjustRightInd w:val="0"/>
        <w:spacing w:line="520" w:lineRule="exact"/>
        <w:ind w:firstLine="480" w:firstLineChars="150"/>
        <w:jc w:val="left"/>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保安费用：绩效目标为8万元，完成情况为8万元，确保全年不因工作不当不力引发重大信访事项，圆满完成2021年信访安保工作。</w:t>
      </w:r>
    </w:p>
    <w:p>
      <w:pPr>
        <w:autoSpaceDE w:val="0"/>
        <w:autoSpaceDN w:val="0"/>
        <w:adjustRightInd w:val="0"/>
        <w:spacing w:line="520" w:lineRule="exact"/>
        <w:ind w:firstLine="480" w:firstLineChars="150"/>
        <w:jc w:val="left"/>
        <w:rPr>
          <w:rFonts w:ascii="仿宋_GB2312" w:hAnsi="仿宋" w:eastAsia="仿宋_GB2312"/>
          <w:color w:val="auto"/>
          <w:sz w:val="32"/>
          <w:szCs w:val="32"/>
        </w:rPr>
      </w:pPr>
      <w:r>
        <w:rPr>
          <w:rFonts w:hint="eastAsia" w:ascii="仿宋_GB2312" w:hAnsi="仿宋" w:eastAsia="仿宋_GB2312"/>
          <w:color w:val="auto"/>
          <w:sz w:val="32"/>
          <w:szCs w:val="32"/>
        </w:rPr>
        <w:t>（2）接访费用：绩效目标为2万元，完成情况为2万元，保障全年不因信访问题引发重大群体性事件，圆满完成2021年来信、来访、来电、网上信访等工作。</w:t>
      </w:r>
    </w:p>
    <w:p>
      <w:pPr>
        <w:autoSpaceDE w:val="0"/>
        <w:autoSpaceDN w:val="0"/>
        <w:adjustRightInd w:val="0"/>
        <w:spacing w:line="520" w:lineRule="exact"/>
        <w:ind w:firstLine="480" w:firstLineChars="150"/>
        <w:jc w:val="left"/>
        <w:rPr>
          <w:rFonts w:ascii="仿宋_GB2312" w:hAnsi="仿宋" w:eastAsia="仿宋_GB2312"/>
          <w:color w:val="auto"/>
          <w:sz w:val="32"/>
          <w:szCs w:val="32"/>
        </w:rPr>
      </w:pPr>
      <w:r>
        <w:rPr>
          <w:rFonts w:hint="eastAsia" w:ascii="仿宋_GB2312" w:hAnsi="仿宋" w:eastAsia="仿宋_GB2312"/>
          <w:color w:val="auto"/>
          <w:sz w:val="32"/>
          <w:szCs w:val="32"/>
        </w:rPr>
        <w:t>（3）矛盾化解和疑难信访问题专项资金：绩效目标为8万元，完成情况为8万元，化解了本年度内特殊疑难信访问题及新增矛盾纠纷攻坚案。</w:t>
      </w:r>
    </w:p>
    <w:p>
      <w:pPr>
        <w:snapToGrid w:val="0"/>
        <w:spacing w:line="520" w:lineRule="exact"/>
        <w:ind w:firstLine="320" w:firstLineChars="100"/>
        <w:rPr>
          <w:rFonts w:hint="eastAsia" w:ascii="仿宋_GB2312" w:hAnsi="仿宋" w:eastAsia="仿宋_GB2312"/>
          <w:color w:val="auto"/>
          <w:sz w:val="32"/>
          <w:szCs w:val="32"/>
        </w:rPr>
      </w:pPr>
      <w:r>
        <w:rPr>
          <w:rFonts w:hint="eastAsia" w:ascii="仿宋_GB2312" w:hAnsi="仿宋" w:eastAsia="仿宋_GB2312"/>
          <w:color w:val="auto"/>
          <w:sz w:val="32"/>
          <w:szCs w:val="32"/>
        </w:rPr>
        <w:t>（4）驻京驻蓉：绩效目标为</w:t>
      </w:r>
      <w:r>
        <w:rPr>
          <w:rFonts w:ascii="仿宋_GB2312" w:hAnsi="仿宋" w:eastAsia="仿宋_GB2312"/>
          <w:color w:val="auto"/>
          <w:sz w:val="32"/>
          <w:szCs w:val="32"/>
        </w:rPr>
        <w:t>5</w:t>
      </w:r>
      <w:r>
        <w:rPr>
          <w:rFonts w:hint="eastAsia" w:ascii="仿宋_GB2312" w:hAnsi="仿宋" w:eastAsia="仿宋_GB2312"/>
          <w:color w:val="auto"/>
          <w:sz w:val="32"/>
          <w:szCs w:val="32"/>
        </w:rPr>
        <w:t>万元，完成情况为5万元，保障本年度防止上访人员进京赴蓉滋事倒流。</w:t>
      </w:r>
    </w:p>
    <w:p>
      <w:pPr>
        <w:snapToGrid w:val="0"/>
        <w:spacing w:line="520" w:lineRule="exact"/>
        <w:ind w:firstLine="321" w:firstLineChars="100"/>
        <w:rPr>
          <w:rFonts w:ascii="楷体" w:hAnsi="楷体" w:eastAsia="楷体"/>
          <w:b/>
          <w:color w:val="auto"/>
          <w:sz w:val="32"/>
          <w:szCs w:val="32"/>
          <w:lang w:val="zh-CN"/>
        </w:rPr>
      </w:pPr>
      <w:r>
        <w:rPr>
          <w:rFonts w:ascii="楷体" w:hAnsi="楷体" w:eastAsia="楷体"/>
          <w:b/>
          <w:color w:val="auto"/>
          <w:sz w:val="32"/>
          <w:szCs w:val="32"/>
          <w:lang w:val="zh-CN"/>
        </w:rPr>
        <w:t>（二）上级专项（项目）资金绩效目标完成情况</w:t>
      </w:r>
    </w:p>
    <w:p>
      <w:pPr>
        <w:pStyle w:val="8"/>
        <w:spacing w:line="353" w:lineRule="auto"/>
        <w:ind w:firstLine="640" w:firstLineChars="200"/>
        <w:rPr>
          <w:rFonts w:ascii="仿宋_GB2312" w:hAnsi="仿宋"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年解决特殊疑难信访问题中央补助资金：上级财政拨付</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万元用于解决中央交办的“治重化积”信访积案</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件。</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autoSpaceDE w:val="0"/>
        <w:autoSpaceDN w:val="0"/>
        <w:adjustRightInd w:val="0"/>
        <w:spacing w:line="520" w:lineRule="exact"/>
        <w:ind w:firstLine="640" w:firstLineChars="200"/>
        <w:jc w:val="left"/>
        <w:rPr>
          <w:rFonts w:ascii="仿宋_GB2312" w:hAnsi="宋体" w:eastAsia="仿宋_GB2312"/>
          <w:sz w:val="32"/>
          <w:szCs w:val="32"/>
          <w:lang w:val="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本年度在习近平新时代中国特色社会主义思想和对四川工作系列重要指示精神指引下，着眼进一步提升群众来访接待服务质量，坚持以人民为中心的发展思想，不忘初心，牢记使命，践行“人民信访为人民”，紧紧围绕打造“阳光信访、责任信访、法治信访、开放信访、和谐信访”，以创建人民满意窗口为载体，着力在精研业务、精准接谈、精建队伍上狠下功夫，切实改进工作作风，提供一流窗口服务，树立一流窗口形象，积极推动信访基础设施标准化、信访基础业务规范化、信访工作队伍专业化建设。</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autoSpaceDE w:val="0"/>
        <w:autoSpaceDN w:val="0"/>
        <w:adjustRightInd w:val="0"/>
        <w:spacing w:line="52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包</w:t>
      </w:r>
      <w:r>
        <w:rPr>
          <w:rFonts w:hint="eastAsia" w:ascii="仿宋_GB2312" w:hAnsi="仿宋" w:eastAsia="仿宋_GB2312"/>
          <w:sz w:val="32"/>
          <w:szCs w:val="32"/>
        </w:rPr>
        <w:t>制定印发了《预算绩效管理工作实施方案》，对评价的单位、项目、时间及责任人等明确了主体责任，规范了工作内容，确保绩效评价工作有章可循，有序开展。及时、准确地在政府网站公开本单位的</w:t>
      </w:r>
      <w:r>
        <w:rPr>
          <w:rFonts w:ascii="仿宋_GB2312" w:hAnsi="仿宋" w:eastAsia="仿宋_GB2312"/>
          <w:sz w:val="32"/>
          <w:szCs w:val="32"/>
        </w:rPr>
        <w:t>绩效</w:t>
      </w:r>
      <w:r>
        <w:rPr>
          <w:rFonts w:hint="eastAsia" w:ascii="仿宋_GB2312" w:hAnsi="仿宋" w:eastAsia="仿宋_GB2312"/>
          <w:sz w:val="32"/>
          <w:szCs w:val="32"/>
        </w:rPr>
        <w:t>目标、绩效评价、绩效监控等公开情况，并定期进行维护和更新。</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val="0"/>
          <w:bCs w:val="0"/>
          <w:kern w:val="0"/>
          <w:sz w:val="32"/>
          <w:szCs w:val="32"/>
          <w:shd w:val="clear" w:color="auto" w:fill="FFFFFF"/>
          <w:lang w:val="en-US" w:eastAsia="zh-CN"/>
        </w:rPr>
      </w:pPr>
      <w:r>
        <w:rPr>
          <w:rFonts w:hint="eastAsia" w:ascii="楷体_GB2312" w:hAnsi="楷体_GB2312" w:eastAsia="楷体_GB2312" w:cs="楷体_GB2312"/>
          <w:b/>
          <w:bCs/>
          <w:kern w:val="0"/>
          <w:sz w:val="32"/>
          <w:szCs w:val="32"/>
          <w:shd w:val="clear" w:color="auto" w:fill="FFFFFF"/>
          <w:lang w:val="zh-CN"/>
        </w:rPr>
        <w:t>（一）评价结论。</w:t>
      </w:r>
      <w:r>
        <w:rPr>
          <w:rFonts w:hint="eastAsia" w:ascii="楷体_GB2312" w:hAnsi="楷体_GB2312" w:eastAsia="楷体_GB2312" w:cs="楷体_GB2312"/>
          <w:b w:val="0"/>
          <w:bCs w:val="0"/>
          <w:kern w:val="0"/>
          <w:sz w:val="32"/>
          <w:szCs w:val="32"/>
          <w:shd w:val="clear" w:color="auto" w:fill="FFFFFF"/>
          <w:lang w:val="zh-CN"/>
        </w:rPr>
        <w:t>综合评价等级优，自评得分</w:t>
      </w:r>
      <w:r>
        <w:rPr>
          <w:rFonts w:hint="eastAsia" w:ascii="楷体_GB2312" w:hAnsi="楷体_GB2312" w:eastAsia="楷体_GB2312" w:cs="楷体_GB2312"/>
          <w:b w:val="0"/>
          <w:bCs w:val="0"/>
          <w:kern w:val="0"/>
          <w:sz w:val="32"/>
          <w:szCs w:val="32"/>
          <w:shd w:val="clear" w:color="auto" w:fill="FFFFFF"/>
          <w:lang w:val="en-US" w:eastAsia="zh-CN"/>
        </w:rPr>
        <w:t>98分。</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r>
        <w:rPr>
          <w:rFonts w:hint="eastAsia" w:ascii="楷体_GB2312" w:hAnsi="楷体_GB2312" w:eastAsia="楷体_GB2312" w:cs="楷体_GB2312"/>
          <w:b w:val="0"/>
          <w:bCs w:val="0"/>
          <w:kern w:val="0"/>
          <w:sz w:val="32"/>
          <w:szCs w:val="32"/>
          <w:shd w:val="clear" w:color="auto" w:fill="FFFFFF"/>
          <w:lang w:val="zh-CN"/>
        </w:rPr>
        <w:t>无。</w:t>
      </w:r>
    </w:p>
    <w:p>
      <w:pPr>
        <w:widowControl/>
        <w:adjustRightInd w:val="0"/>
        <w:snapToGrid w:val="0"/>
        <w:spacing w:line="560" w:lineRule="exact"/>
        <w:ind w:firstLine="643" w:firstLineChars="200"/>
        <w:contextualSpacing/>
        <w:jc w:val="left"/>
        <w:rPr>
          <w:rFonts w:hint="eastAsia" w:ascii="楷体_GB2312" w:hAnsi="楷体_GB2312" w:eastAsia="楷体_GB2312" w:cs="楷体_GB2312"/>
          <w:b w:val="0"/>
          <w:bCs w:val="0"/>
          <w:kern w:val="0"/>
          <w:sz w:val="32"/>
          <w:szCs w:val="32"/>
          <w:shd w:val="clear" w:color="auto" w:fill="FFFFFF"/>
          <w:lang w:val="zh-C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楷体_GB2312" w:hAnsi="楷体_GB2312" w:eastAsia="楷体_GB2312" w:cs="楷体_GB2312"/>
          <w:b/>
          <w:bCs/>
          <w:kern w:val="0"/>
          <w:sz w:val="32"/>
          <w:szCs w:val="32"/>
          <w:shd w:val="clear" w:color="auto" w:fill="FFFFFF"/>
          <w:lang w:val="zh-CN"/>
        </w:rPr>
        <w:t>（三）改进建议。</w:t>
      </w:r>
      <w:r>
        <w:rPr>
          <w:rFonts w:hint="eastAsia" w:ascii="楷体_GB2312" w:hAnsi="楷体_GB2312" w:eastAsia="楷体_GB2312" w:cs="楷体_GB2312"/>
          <w:b w:val="0"/>
          <w:bCs w:val="0"/>
          <w:kern w:val="0"/>
          <w:sz w:val="32"/>
          <w:szCs w:val="32"/>
          <w:shd w:val="clear" w:color="auto" w:fill="FFFFFF"/>
          <w:lang w:val="zh-CN"/>
        </w:rPr>
        <w:t>无</w:t>
      </w:r>
    </w:p>
    <w:p>
      <w:pPr>
        <w:pStyle w:val="2"/>
        <w:spacing w:before="93"/>
        <w:rPr>
          <w:rFonts w:hint="eastAsia" w:hAnsi="宋体" w:cs="宋体"/>
          <w:sz w:val="32"/>
          <w:szCs w:val="32"/>
          <w:shd w:val="clear" w:color="auto" w:fill="FFFFFF"/>
          <w:lang w:val="zh-CN"/>
        </w:rPr>
        <w:sectPr>
          <w:footerReference r:id="rId7" w:type="first"/>
          <w:footerReference r:id="rId6" w:type="default"/>
          <w:type w:val="continuous"/>
          <w:pgSz w:w="11906" w:h="16838"/>
          <w:pgMar w:top="720" w:right="720" w:bottom="720" w:left="720" w:header="851" w:footer="992" w:gutter="0"/>
          <w:pgNumType w:fmt="numberInDash" w:start="28"/>
          <w:cols w:space="0" w:num="1"/>
          <w:titlePg/>
          <w:rtlGutter w:val="0"/>
          <w:docGrid w:type="lines" w:linePitch="312" w:charSpace="0"/>
        </w:sectPr>
      </w:pPr>
    </w:p>
    <w:p>
      <w:pPr>
        <w:spacing w:line="600" w:lineRule="exact"/>
        <w:ind w:firstLine="2640" w:firstLineChars="600"/>
        <w:jc w:val="both"/>
        <w:outlineLvl w:val="0"/>
        <w:rPr>
          <w:rFonts w:hint="eastAsia" w:ascii="黑体" w:hAnsi="黑体" w:eastAsia="黑体"/>
          <w:sz w:val="44"/>
          <w:szCs w:val="44"/>
        </w:rPr>
      </w:pPr>
      <w:bookmarkStart w:id="53" w:name="_Toc15396618"/>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Fonts w:hint="eastAsia" w:ascii="黑体" w:hAnsi="黑体" w:eastAsia="黑体"/>
          <w:sz w:val="44"/>
          <w:szCs w:val="44"/>
        </w:rPr>
      </w:pPr>
    </w:p>
    <w:p>
      <w:pPr>
        <w:spacing w:line="600" w:lineRule="exact"/>
        <w:ind w:firstLine="2640" w:firstLineChars="600"/>
        <w:jc w:val="both"/>
        <w:outlineLvl w:val="0"/>
        <w:rPr>
          <w:rStyle w:val="31"/>
          <w:rFonts w:hint="eastAsia" w:ascii="黑体" w:hAnsi="黑体" w:eastAsia="黑体"/>
          <w:b w:val="0"/>
        </w:rPr>
      </w:pPr>
      <w:r>
        <w:rPr>
          <w:rFonts w:hint="eastAsia" w:ascii="黑体" w:hAnsi="黑体" w:eastAsia="黑体"/>
          <w:sz w:val="44"/>
          <w:szCs w:val="44"/>
        </w:rPr>
        <w:t>第</w:t>
      </w:r>
      <w:r>
        <w:rPr>
          <w:rStyle w:val="31"/>
          <w:rFonts w:hint="eastAsia" w:ascii="黑体" w:hAnsi="黑体" w:eastAsia="黑体"/>
          <w:b w:val="0"/>
        </w:rPr>
        <w:t>五部分 附表</w:t>
      </w:r>
      <w:bookmarkEnd w:id="52"/>
      <w:bookmarkEnd w:id="53"/>
      <w:bookmarkStart w:id="54" w:name="_Toc15396619"/>
    </w:p>
    <w:p>
      <w:pPr>
        <w:pStyle w:val="4"/>
        <w:rPr>
          <w:rStyle w:val="32"/>
          <w:rFonts w:hint="eastAsia" w:ascii="仿宋" w:hAnsi="仿宋" w:eastAsia="仿宋"/>
          <w:b w:val="0"/>
          <w:bCs w:val="0"/>
          <w:lang w:val="en-US" w:eastAsia="zh-CN"/>
        </w:rPr>
      </w:pPr>
      <w:r>
        <w:rPr>
          <w:rStyle w:val="32"/>
          <w:rFonts w:hint="eastAsia" w:ascii="仿宋" w:hAnsi="仿宋" w:eastAsia="仿宋"/>
          <w:b w:val="0"/>
          <w:bCs w:val="0"/>
          <w:lang w:val="en-US" w:eastAsia="zh-CN"/>
        </w:rPr>
        <w:t>一、收入支出决算总表</w:t>
      </w:r>
      <w:bookmarkEnd w:id="54"/>
      <w:bookmarkStart w:id="55" w:name="_Toc15396620"/>
    </w:p>
    <w:p>
      <w:pPr>
        <w:pStyle w:val="4"/>
        <w:rPr>
          <w:rStyle w:val="32"/>
          <w:rFonts w:hint="eastAsia" w:ascii="仿宋" w:hAnsi="仿宋" w:eastAsia="仿宋"/>
          <w:b w:val="0"/>
          <w:bCs w:val="0"/>
        </w:rPr>
      </w:pPr>
      <w:r>
        <w:rPr>
          <w:rStyle w:val="32"/>
          <w:rFonts w:hint="eastAsia" w:ascii="仿宋" w:hAnsi="仿宋" w:eastAsia="仿宋"/>
          <w:b w:val="0"/>
          <w:bCs w:val="0"/>
          <w:lang w:val="en-US" w:eastAsia="zh-CN"/>
        </w:rPr>
        <w:t>二、收入决算</w:t>
      </w:r>
      <w:r>
        <w:rPr>
          <w:rStyle w:val="32"/>
          <w:rFonts w:hint="eastAsia" w:ascii="仿宋" w:hAnsi="仿宋" w:eastAsia="仿宋"/>
          <w:b w:val="0"/>
          <w:bCs w:val="0"/>
        </w:rPr>
        <w:t>表</w:t>
      </w:r>
      <w:bookmarkEnd w:id="55"/>
    </w:p>
    <w:p>
      <w:pPr>
        <w:pStyle w:val="4"/>
        <w:rPr>
          <w:rFonts w:ascii="仿宋" w:hAnsi="仿宋" w:eastAsia="仿宋"/>
        </w:rPr>
      </w:pPr>
      <w:bookmarkStart w:id="56"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57"/>
    </w:p>
    <w:p>
      <w:pPr>
        <w:pStyle w:val="4"/>
        <w:rPr>
          <w:rStyle w:val="32"/>
          <w:rFonts w:ascii="仿宋" w:hAnsi="仿宋" w:eastAsia="仿宋"/>
          <w:b w:val="0"/>
          <w:bCs w:val="0"/>
        </w:rPr>
      </w:pPr>
      <w:bookmarkStart w:id="58"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2"/>
          <w:rFonts w:hint="eastAsia" w:ascii="仿宋" w:hAnsi="仿宋" w:eastAsia="仿宋"/>
          <w:b w:val="0"/>
          <w:bCs w:val="0"/>
        </w:rPr>
        <w:t>十、</w:t>
      </w:r>
      <w:bookmarkEnd w:id="63"/>
      <w:r>
        <w:rPr>
          <w:rFonts w:hint="eastAsia" w:ascii="仿宋" w:hAnsi="仿宋" w:eastAsia="仿宋"/>
          <w:b w:val="0"/>
        </w:rPr>
        <w:t>政</w:t>
      </w:r>
      <w:r>
        <w:rPr>
          <w:rStyle w:val="32"/>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2"/>
          <w:rFonts w:hint="eastAsia" w:ascii="仿宋" w:hAnsi="仿宋" w:eastAsia="仿宋"/>
          <w:b w:val="0"/>
          <w:bCs w:val="0"/>
        </w:rPr>
        <w:t>十一、</w:t>
      </w:r>
      <w:bookmarkEnd w:id="64"/>
      <w:r>
        <w:rPr>
          <w:rFonts w:hint="eastAsia" w:ascii="仿宋" w:hAnsi="仿宋" w:eastAsia="仿宋"/>
          <w:b w:val="0"/>
        </w:rPr>
        <w:t>国</w:t>
      </w:r>
      <w:r>
        <w:rPr>
          <w:rStyle w:val="32"/>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2"/>
          <w:rFonts w:hint="eastAsia" w:ascii="仿宋" w:hAnsi="仿宋" w:eastAsia="仿宋"/>
          <w:b w:val="0"/>
          <w:bCs w:val="0"/>
        </w:rPr>
        <w:t>十二、</w:t>
      </w:r>
      <w:bookmarkEnd w:id="65"/>
      <w:r>
        <w:rPr>
          <w:rStyle w:val="32"/>
          <w:rFonts w:hint="eastAsia" w:ascii="仿宋" w:hAnsi="仿宋" w:eastAsia="仿宋"/>
          <w:b w:val="0"/>
          <w:bCs w:val="0"/>
        </w:rPr>
        <w:t>国有资本经营预算财政拨款支出决算表</w:t>
      </w:r>
    </w:p>
    <w:p>
      <w:pPr>
        <w:pStyle w:val="4"/>
        <w:rPr>
          <w:rFonts w:eastAsia="仿宋"/>
        </w:rPr>
      </w:pPr>
      <w:bookmarkStart w:id="66" w:name="_Toc15396631"/>
      <w:r>
        <w:rPr>
          <w:rStyle w:val="32"/>
          <w:rFonts w:hint="eastAsia" w:ascii="仿宋" w:hAnsi="仿宋" w:eastAsia="仿宋"/>
          <w:b w:val="0"/>
          <w:bCs w:val="0"/>
        </w:rPr>
        <w:t>十三、</w:t>
      </w:r>
      <w:bookmarkEnd w:id="66"/>
      <w:r>
        <w:rPr>
          <w:rStyle w:val="32"/>
          <w:rFonts w:hint="eastAsia" w:ascii="仿宋" w:hAnsi="仿宋" w:eastAsia="仿宋"/>
          <w:b w:val="0"/>
          <w:bCs w:val="0"/>
        </w:rPr>
        <w:t>财政拨款“三公”经费支出决算表</w:t>
      </w:r>
    </w:p>
    <w:sectPr>
      <w:footerReference r:id="rId9" w:type="first"/>
      <w:footerReference r:id="rId8" w:type="default"/>
      <w:type w:val="continuous"/>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378B"/>
    <w:multiLevelType w:val="singleLevel"/>
    <w:tmpl w:val="87E0378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YzJhOTU4OGIwODc1OTZiNWRiMjFjMzAzMTM1MmU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0098"/>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63855"/>
    <w:rsid w:val="015975B8"/>
    <w:rsid w:val="01B92EF8"/>
    <w:rsid w:val="02143E91"/>
    <w:rsid w:val="02D55CAE"/>
    <w:rsid w:val="04ED3D5F"/>
    <w:rsid w:val="066E0107"/>
    <w:rsid w:val="07996F6E"/>
    <w:rsid w:val="0A005E00"/>
    <w:rsid w:val="0A2032A3"/>
    <w:rsid w:val="0CB22F2E"/>
    <w:rsid w:val="0F98263C"/>
    <w:rsid w:val="101860EC"/>
    <w:rsid w:val="10C055FF"/>
    <w:rsid w:val="1123745A"/>
    <w:rsid w:val="118107EC"/>
    <w:rsid w:val="13D50BC4"/>
    <w:rsid w:val="147C7C6F"/>
    <w:rsid w:val="16BB723D"/>
    <w:rsid w:val="17301E6D"/>
    <w:rsid w:val="178D7D38"/>
    <w:rsid w:val="181A1B0A"/>
    <w:rsid w:val="199E7EB3"/>
    <w:rsid w:val="1BE8440E"/>
    <w:rsid w:val="1D155CEE"/>
    <w:rsid w:val="1DB829A2"/>
    <w:rsid w:val="1DDA2EDB"/>
    <w:rsid w:val="1E000578"/>
    <w:rsid w:val="1E9267EC"/>
    <w:rsid w:val="1EC7098C"/>
    <w:rsid w:val="1FF35744"/>
    <w:rsid w:val="209936D5"/>
    <w:rsid w:val="232D40C3"/>
    <w:rsid w:val="23860B96"/>
    <w:rsid w:val="240371BF"/>
    <w:rsid w:val="266A147C"/>
    <w:rsid w:val="26AB22A2"/>
    <w:rsid w:val="26D31662"/>
    <w:rsid w:val="28B1550E"/>
    <w:rsid w:val="29FD04D3"/>
    <w:rsid w:val="2C8A61B5"/>
    <w:rsid w:val="2D464860"/>
    <w:rsid w:val="2DC24F31"/>
    <w:rsid w:val="2DE47B54"/>
    <w:rsid w:val="2DF04E50"/>
    <w:rsid w:val="2F040D46"/>
    <w:rsid w:val="2F6B3D97"/>
    <w:rsid w:val="319F7F4E"/>
    <w:rsid w:val="3304709D"/>
    <w:rsid w:val="36AA5135"/>
    <w:rsid w:val="36F2347A"/>
    <w:rsid w:val="376D39B2"/>
    <w:rsid w:val="37E16F03"/>
    <w:rsid w:val="38D469F0"/>
    <w:rsid w:val="390809E2"/>
    <w:rsid w:val="396666FA"/>
    <w:rsid w:val="39AF0462"/>
    <w:rsid w:val="3C803EB9"/>
    <w:rsid w:val="3D98207C"/>
    <w:rsid w:val="3E200566"/>
    <w:rsid w:val="3E78745D"/>
    <w:rsid w:val="412A5093"/>
    <w:rsid w:val="44E268DA"/>
    <w:rsid w:val="45D21837"/>
    <w:rsid w:val="46270E10"/>
    <w:rsid w:val="473E27A6"/>
    <w:rsid w:val="4A627F82"/>
    <w:rsid w:val="4B0E749A"/>
    <w:rsid w:val="4B4F25DA"/>
    <w:rsid w:val="4BE068DB"/>
    <w:rsid w:val="4D577224"/>
    <w:rsid w:val="4EAB630A"/>
    <w:rsid w:val="4ECE2238"/>
    <w:rsid w:val="50022F02"/>
    <w:rsid w:val="5020523B"/>
    <w:rsid w:val="514F4B9C"/>
    <w:rsid w:val="537E6D0A"/>
    <w:rsid w:val="54835EAE"/>
    <w:rsid w:val="59A51AF7"/>
    <w:rsid w:val="5A3F1F24"/>
    <w:rsid w:val="5AF92295"/>
    <w:rsid w:val="5CD71FC4"/>
    <w:rsid w:val="5FE676EB"/>
    <w:rsid w:val="66AB7FE0"/>
    <w:rsid w:val="67050777"/>
    <w:rsid w:val="694D67A4"/>
    <w:rsid w:val="6C4A05C8"/>
    <w:rsid w:val="6D8276B5"/>
    <w:rsid w:val="6E636341"/>
    <w:rsid w:val="6E7E3605"/>
    <w:rsid w:val="6FF5CC65"/>
    <w:rsid w:val="715C0E4B"/>
    <w:rsid w:val="71A504AF"/>
    <w:rsid w:val="72734D90"/>
    <w:rsid w:val="72BA0857"/>
    <w:rsid w:val="73AD73D5"/>
    <w:rsid w:val="73B6EB34"/>
    <w:rsid w:val="744731E5"/>
    <w:rsid w:val="76A1543C"/>
    <w:rsid w:val="76E3355F"/>
    <w:rsid w:val="778769C8"/>
    <w:rsid w:val="79B167CE"/>
    <w:rsid w:val="79EE5BA4"/>
    <w:rsid w:val="7A894339"/>
    <w:rsid w:val="7B1B79EC"/>
    <w:rsid w:val="7B3F1EDE"/>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4"/>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样式1"/>
    <w:basedOn w:val="1"/>
    <w:qFormat/>
    <w:uiPriority w:val="0"/>
    <w:rPr>
      <w:b/>
      <w:color w:val="538135"/>
      <w:sz w:val="28"/>
    </w:rPr>
  </w:style>
  <w:style w:type="paragraph" w:customStyle="1" w:styleId="21">
    <w:name w:val="默认"/>
    <w:basedOn w:val="1"/>
    <w:next w:val="1"/>
    <w:qFormat/>
    <w:uiPriority w:val="0"/>
    <w:pPr>
      <w:widowControl/>
    </w:pPr>
    <w:rPr>
      <w:rFonts w:hint="default" w:ascii="Helvetica Neue" w:hAnsi="Helvetica Neue" w:cs="Arial Unicode MS"/>
      <w:color w:val="000000"/>
      <w:sz w:val="22"/>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6"/>
    <w:semiHidden/>
    <w:qFormat/>
    <w:uiPriority w:val="99"/>
    <w:rPr>
      <w:rFonts w:ascii="Times New Roman" w:hAnsi="Times New Roman"/>
      <w:sz w:val="18"/>
      <w:szCs w:val="18"/>
    </w:rPr>
  </w:style>
  <w:style w:type="character" w:customStyle="1" w:styleId="24">
    <w:name w:val="页眉 字符"/>
    <w:link w:val="11"/>
    <w:semiHidden/>
    <w:qFormat/>
    <w:locked/>
    <w:uiPriority w:val="99"/>
    <w:rPr>
      <w:sz w:val="18"/>
    </w:rPr>
  </w:style>
  <w:style w:type="character" w:customStyle="1" w:styleId="25">
    <w:name w:val="Footer Char"/>
    <w:basedOn w:val="16"/>
    <w:semiHidden/>
    <w:qFormat/>
    <w:uiPriority w:val="99"/>
    <w:rPr>
      <w:rFonts w:ascii="Times New Roman" w:hAnsi="Times New Roman"/>
      <w:sz w:val="18"/>
      <w:szCs w:val="18"/>
    </w:rPr>
  </w:style>
  <w:style w:type="character" w:customStyle="1" w:styleId="26">
    <w:name w:val="页脚 字符"/>
    <w:link w:val="10"/>
    <w:qFormat/>
    <w:locked/>
    <w:uiPriority w:val="99"/>
    <w:rPr>
      <w:sz w:val="18"/>
    </w:rPr>
  </w:style>
  <w:style w:type="character" w:customStyle="1" w:styleId="27">
    <w:name w:val="Body Text Char"/>
    <w:basedOn w:val="16"/>
    <w:semiHidden/>
    <w:qFormat/>
    <w:uiPriority w:val="99"/>
    <w:rPr>
      <w:rFonts w:ascii="Times New Roman" w:hAnsi="Times New Roman"/>
      <w:szCs w:val="24"/>
    </w:rPr>
  </w:style>
  <w:style w:type="character" w:customStyle="1" w:styleId="28">
    <w:name w:val="正文文本 字符"/>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6"/>
    <w:link w:val="3"/>
    <w:qFormat/>
    <w:uiPriority w:val="9"/>
    <w:rPr>
      <w:rFonts w:ascii="Times New Roman" w:hAnsi="Times New Roman"/>
      <w:b/>
      <w:bCs/>
      <w:kern w:val="44"/>
      <w:sz w:val="44"/>
      <w:szCs w:val="44"/>
    </w:rPr>
  </w:style>
  <w:style w:type="character" w:customStyle="1" w:styleId="32">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6"/>
    <w:link w:val="9"/>
    <w:semiHidden/>
    <w:qFormat/>
    <w:uiPriority w:val="99"/>
    <w:rPr>
      <w:rFonts w:ascii="Times New Roman" w:hAnsi="Times New Roman"/>
      <w:kern w:val="2"/>
      <w:sz w:val="18"/>
      <w:szCs w:val="18"/>
    </w:rPr>
  </w:style>
  <w:style w:type="character" w:customStyle="1" w:styleId="35">
    <w:name w:val="标题 3 字符"/>
    <w:basedOn w:val="16"/>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1232</Words>
  <Characters>7025</Characters>
  <Lines>1</Lines>
  <Paragraphs>1</Paragraphs>
  <TotalTime>10</TotalTime>
  <ScaleCrop>false</ScaleCrop>
  <LinksUpToDate>false</LinksUpToDate>
  <CharactersWithSpaces>8241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高玮</cp:lastModifiedBy>
  <cp:lastPrinted>2023-07-31T02:35:00Z</cp:lastPrinted>
  <dcterms:modified xsi:type="dcterms:W3CDTF">2024-05-23T02:06:59Z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