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78441"/>
      <w:bookmarkStart w:id="1" w:name="_Toc15377425"/>
      <w:bookmarkStart w:id="2" w:name="_Toc15396475"/>
      <w:bookmarkStart w:id="3" w:name="_Toc15396597"/>
      <w:bookmarkStart w:id="4" w:name="_Toc15377193"/>
      <w:bookmarkStart w:id="5"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2022年度</w:t>
      </w:r>
      <w:bookmarkEnd w:id="0"/>
      <w:bookmarkEnd w:id="1"/>
      <w:bookmarkEnd w:id="2"/>
      <w:bookmarkEnd w:id="3"/>
      <w:bookmarkEnd w:id="4"/>
    </w:p>
    <w:p>
      <w:pPr>
        <w:adjustRightInd w:val="0"/>
        <w:snapToGrid w:val="0"/>
        <w:spacing w:line="360" w:lineRule="auto"/>
        <w:jc w:val="center"/>
        <w:outlineLvl w:val="0"/>
        <w:rPr>
          <w:rFonts w:hint="eastAsia" w:ascii="方正小标宋简体" w:hAnsi="方正小标宋简体" w:eastAsia="方正小标宋简体" w:cs="方正小标宋简体"/>
          <w:sz w:val="72"/>
          <w:szCs w:val="72"/>
        </w:rPr>
      </w:pPr>
      <w:bookmarkStart w:id="6" w:name="_Toc15377194"/>
      <w:bookmarkStart w:id="7" w:name="_Toc15396598"/>
      <w:bookmarkStart w:id="8" w:name="_Toc15378442"/>
      <w:bookmarkStart w:id="9" w:name="_Toc15396476"/>
      <w:bookmarkStart w:id="10" w:name="_Toc15377426"/>
      <w:r>
        <w:rPr>
          <w:rFonts w:hint="eastAsia" w:ascii="方正小标宋简体" w:hAnsi="方正小标宋简体" w:eastAsia="方正小标宋简体" w:cs="方正小标宋简体"/>
          <w:sz w:val="72"/>
          <w:szCs w:val="72"/>
        </w:rPr>
        <w:t>攀枝花市西区</w:t>
      </w:r>
      <w:bookmarkEnd w:id="5"/>
      <w:bookmarkStart w:id="11" w:name="_Toc15306268"/>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lang w:eastAsia="zh-CN"/>
        </w:rPr>
        <w:t>退役军人事务</w:t>
      </w:r>
      <w:r>
        <w:rPr>
          <w:rFonts w:hint="eastAsia" w:ascii="方正小标宋简体" w:hAnsi="方正小标宋简体" w:eastAsia="方正小标宋简体" w:cs="方正小标宋简体"/>
          <w:sz w:val="72"/>
          <w:szCs w:val="72"/>
        </w:rPr>
        <w:t>局部门决算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sz w:val="52"/>
          <w:szCs w:val="52"/>
        </w:rPr>
      </w:pPr>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3"/>
      </w:pPr>
      <w:r>
        <w:rPr>
          <w:rFonts w:hint="eastAsia"/>
        </w:rPr>
        <w:t>公开时间：2023年10月2</w:t>
      </w:r>
      <w:r>
        <w:rPr>
          <w:rFonts w:hint="eastAsia"/>
          <w:lang w:val="en-US" w:eastAsia="zh-CN"/>
        </w:rPr>
        <w:t>7</w:t>
      </w:r>
      <w:r>
        <w:rPr>
          <w:rFonts w:hint="eastAsia"/>
        </w:rPr>
        <w:t>日</w:t>
      </w:r>
    </w:p>
    <w:p/>
    <w:p>
      <w:pPr>
        <w:pStyle w:val="13"/>
        <w:adjustRightInd w:val="0"/>
        <w:snapToGrid w:val="0"/>
        <w:spacing w:before="0" w:line="440" w:lineRule="exact"/>
        <w:jc w:val="left"/>
        <w:rPr>
          <w:rFonts w:cstheme="minorBidi"/>
          <w:sz w:val="24"/>
          <w:szCs w:val="24"/>
        </w:rPr>
      </w:pPr>
      <w:r>
        <w:rPr>
          <w:rFonts w:hint="eastAsia"/>
          <w:sz w:val="24"/>
        </w:rPr>
        <w:t>第一部分</w:t>
      </w:r>
      <w:r>
        <w:rPr>
          <w:rFonts w:hint="eastAsia"/>
          <w:sz w:val="24"/>
          <w:lang w:val="en-US" w:eastAsia="zh-CN"/>
        </w:rPr>
        <w:t xml:space="preserve"> </w:t>
      </w:r>
      <w:r>
        <w:rPr>
          <w:rFonts w:hint="eastAsia"/>
          <w:sz w:val="24"/>
        </w:rPr>
        <w:t>部门概况</w:t>
      </w:r>
      <w:r>
        <w:rPr>
          <w:rFonts w:cstheme="minorBidi"/>
          <w:sz w:val="24"/>
          <w:szCs w:val="24"/>
        </w:rPr>
        <w:tab/>
      </w:r>
      <w:r>
        <w:rPr>
          <w:rFonts w:hint="eastAsia" w:cstheme="minorBidi"/>
          <w:sz w:val="24"/>
          <w:szCs w:val="24"/>
        </w:rPr>
        <w:t>4</w:t>
      </w:r>
    </w:p>
    <w:p>
      <w:pPr>
        <w:pStyle w:val="14"/>
        <w:adjustRightInd w:val="0"/>
        <w:snapToGrid w:val="0"/>
        <w:spacing w:line="440" w:lineRule="exact"/>
        <w:jc w:val="left"/>
        <w:rPr>
          <w:rFonts w:ascii="仿宋" w:hAnsi="仿宋" w:eastAsia="仿宋"/>
          <w:sz w:val="24"/>
        </w:rPr>
      </w:pPr>
      <w:r>
        <w:rPr>
          <w:rFonts w:hint="eastAsia"/>
          <w:sz w:val="24"/>
        </w:rPr>
        <w:t>一、部门职责</w:t>
      </w:r>
      <w:r>
        <w:rPr>
          <w:rFonts w:cstheme="minorBidi"/>
          <w:sz w:val="24"/>
        </w:rPr>
        <w:tab/>
      </w:r>
      <w:r>
        <w:rPr>
          <w:rFonts w:hint="eastAsia" w:cstheme="minorBidi"/>
          <w:sz w:val="24"/>
        </w:rPr>
        <w:t>4</w:t>
      </w:r>
    </w:p>
    <w:p>
      <w:pPr>
        <w:pStyle w:val="14"/>
        <w:adjustRightInd w:val="0"/>
        <w:snapToGrid w:val="0"/>
        <w:spacing w:line="440" w:lineRule="exact"/>
        <w:jc w:val="left"/>
        <w:rPr>
          <w:rFonts w:ascii="仿宋" w:hAnsi="仿宋" w:eastAsia="仿宋" w:cstheme="minorBidi"/>
          <w:sz w:val="24"/>
        </w:rPr>
      </w:pPr>
      <w:r>
        <w:rPr>
          <w:rFonts w:hint="eastAsia"/>
          <w:sz w:val="24"/>
        </w:rPr>
        <w:t>二、机构设置</w:t>
      </w:r>
      <w:r>
        <w:rPr>
          <w:rFonts w:cstheme="minorBidi"/>
          <w:sz w:val="24"/>
        </w:rPr>
        <w:tab/>
      </w:r>
      <w:r>
        <w:rPr>
          <w:rFonts w:hint="eastAsia" w:cstheme="minorBidi"/>
          <w:sz w:val="24"/>
          <w:lang w:val="en-US" w:eastAsia="zh-CN"/>
        </w:rPr>
        <w:t>4</w:t>
      </w:r>
    </w:p>
    <w:p>
      <w:pPr>
        <w:pStyle w:val="13"/>
        <w:adjustRightInd w:val="0"/>
        <w:snapToGrid w:val="0"/>
        <w:spacing w:before="0" w:line="440" w:lineRule="exact"/>
        <w:jc w:val="left"/>
        <w:rPr>
          <w:sz w:val="24"/>
          <w:szCs w:val="24"/>
        </w:rPr>
      </w:pPr>
      <w:r>
        <w:rPr>
          <w:rFonts w:hint="eastAsia"/>
          <w:sz w:val="24"/>
        </w:rPr>
        <w:t>第二部分 2022年度部门决算情况说明</w:t>
      </w:r>
      <w:r>
        <w:rPr>
          <w:rFonts w:cstheme="minorBidi"/>
          <w:sz w:val="24"/>
        </w:rPr>
        <w:tab/>
      </w:r>
      <w:r>
        <w:rPr>
          <w:rFonts w:hint="eastAsia" w:cstheme="minorBidi"/>
          <w:sz w:val="24"/>
          <w:lang w:val="en-US" w:eastAsia="zh-CN"/>
        </w:rPr>
        <w:t>5</w:t>
      </w:r>
    </w:p>
    <w:p>
      <w:pPr>
        <w:pStyle w:val="14"/>
        <w:adjustRightInd w:val="0"/>
        <w:snapToGrid w:val="0"/>
        <w:spacing w:line="440" w:lineRule="exact"/>
        <w:jc w:val="left"/>
        <w:rPr>
          <w:rFonts w:ascii="仿宋" w:hAnsi="仿宋" w:eastAsia="仿宋" w:cstheme="minorBidi"/>
          <w:sz w:val="24"/>
        </w:rPr>
      </w:pPr>
      <w:r>
        <w:rPr>
          <w:rFonts w:hint="eastAsia"/>
          <w:sz w:val="24"/>
        </w:rPr>
        <w:t>一、收入支出决算总体情况说明</w:t>
      </w:r>
      <w:r>
        <w:rPr>
          <w:rFonts w:cstheme="minorBidi"/>
          <w:sz w:val="24"/>
        </w:rPr>
        <w:tab/>
      </w:r>
      <w:r>
        <w:rPr>
          <w:rFonts w:hint="eastAsia" w:cstheme="minorBidi"/>
          <w:sz w:val="24"/>
          <w:lang w:val="en-US" w:eastAsia="zh-CN"/>
        </w:rPr>
        <w:t>5</w:t>
      </w:r>
    </w:p>
    <w:p>
      <w:pPr>
        <w:pStyle w:val="14"/>
        <w:adjustRightInd w:val="0"/>
        <w:snapToGrid w:val="0"/>
        <w:spacing w:line="440" w:lineRule="exact"/>
        <w:jc w:val="left"/>
        <w:rPr>
          <w:rFonts w:ascii="仿宋" w:hAnsi="仿宋" w:eastAsia="仿宋" w:cstheme="minorBidi"/>
          <w:sz w:val="24"/>
        </w:rPr>
      </w:pPr>
      <w:r>
        <w:rPr>
          <w:rFonts w:hint="eastAsia"/>
          <w:sz w:val="24"/>
        </w:rPr>
        <w:t>二、收入决算情况说明</w:t>
      </w:r>
      <w:r>
        <w:rPr>
          <w:rFonts w:cstheme="minorBidi"/>
          <w:sz w:val="24"/>
        </w:rPr>
        <w:tab/>
      </w:r>
      <w:r>
        <w:rPr>
          <w:rFonts w:hint="eastAsia" w:cstheme="minorBidi"/>
          <w:sz w:val="24"/>
          <w:lang w:val="en-US" w:eastAsia="zh-CN"/>
        </w:rPr>
        <w:t>5</w:t>
      </w:r>
    </w:p>
    <w:p>
      <w:pPr>
        <w:pStyle w:val="14"/>
        <w:adjustRightInd w:val="0"/>
        <w:snapToGrid w:val="0"/>
        <w:spacing w:line="440" w:lineRule="exact"/>
        <w:jc w:val="left"/>
        <w:rPr>
          <w:rFonts w:ascii="仿宋" w:hAnsi="仿宋" w:eastAsia="仿宋" w:cstheme="minorBidi"/>
          <w:sz w:val="24"/>
        </w:rPr>
      </w:pPr>
      <w:r>
        <w:rPr>
          <w:rFonts w:hint="eastAsia"/>
          <w:sz w:val="24"/>
        </w:rPr>
        <w:t>三、支出决算情况说明</w:t>
      </w:r>
      <w:r>
        <w:rPr>
          <w:rFonts w:cstheme="minorBidi"/>
          <w:sz w:val="24"/>
        </w:rPr>
        <w:tab/>
      </w:r>
      <w:r>
        <w:rPr>
          <w:rFonts w:hint="eastAsia" w:cstheme="minorBidi"/>
          <w:sz w:val="24"/>
          <w:lang w:val="en-US" w:eastAsia="zh-CN"/>
        </w:rPr>
        <w:t>6</w:t>
      </w:r>
    </w:p>
    <w:p>
      <w:pPr>
        <w:pStyle w:val="14"/>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r>
        <w:rPr>
          <w:rFonts w:cstheme="minorBidi"/>
          <w:sz w:val="24"/>
        </w:rPr>
        <w:tab/>
      </w:r>
      <w:r>
        <w:rPr>
          <w:rFonts w:hint="eastAsia" w:cstheme="minorBidi"/>
          <w:sz w:val="24"/>
          <w:lang w:val="en-US" w:eastAsia="zh-CN"/>
        </w:rPr>
        <w:t>6</w:t>
      </w:r>
    </w:p>
    <w:p>
      <w:pPr>
        <w:pStyle w:val="14"/>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r>
        <w:rPr>
          <w:rFonts w:cstheme="minorBidi"/>
          <w:sz w:val="24"/>
        </w:rPr>
        <w:tab/>
      </w:r>
      <w:r>
        <w:rPr>
          <w:rFonts w:hint="eastAsia" w:cstheme="minorBidi"/>
          <w:sz w:val="24"/>
          <w:lang w:val="en-US" w:eastAsia="zh-CN"/>
        </w:rPr>
        <w:t>7</w:t>
      </w:r>
    </w:p>
    <w:p>
      <w:pPr>
        <w:pStyle w:val="14"/>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r>
        <w:rPr>
          <w:rFonts w:cstheme="minorBidi"/>
          <w:sz w:val="24"/>
        </w:rPr>
        <w:tab/>
      </w:r>
      <w:r>
        <w:rPr>
          <w:rFonts w:hint="eastAsia" w:cstheme="minorBidi"/>
          <w:sz w:val="24"/>
        </w:rPr>
        <w:t>11</w:t>
      </w:r>
    </w:p>
    <w:p>
      <w:pPr>
        <w:pStyle w:val="14"/>
        <w:adjustRightInd w:val="0"/>
        <w:snapToGrid w:val="0"/>
        <w:spacing w:line="440" w:lineRule="exact"/>
        <w:jc w:val="left"/>
        <w:rPr>
          <w:rFonts w:ascii="仿宋" w:hAnsi="仿宋" w:eastAsia="仿宋" w:cstheme="minorBidi"/>
          <w:sz w:val="24"/>
        </w:rPr>
      </w:pPr>
      <w:r>
        <w:rPr>
          <w:rFonts w:hint="eastAsia"/>
          <w:sz w:val="24"/>
        </w:rPr>
        <w:t>七、财政拨款“三公”经费支出决算情况说明</w:t>
      </w:r>
      <w:r>
        <w:rPr>
          <w:rFonts w:cstheme="minorBidi"/>
          <w:sz w:val="24"/>
        </w:rPr>
        <w:tab/>
      </w:r>
      <w:r>
        <w:rPr>
          <w:rFonts w:hint="eastAsia" w:cstheme="minorBidi"/>
          <w:sz w:val="24"/>
        </w:rPr>
        <w:t>1</w:t>
      </w:r>
      <w:r>
        <w:rPr>
          <w:rFonts w:hint="eastAsia" w:cstheme="minorBidi"/>
          <w:sz w:val="24"/>
          <w:lang w:val="en-US" w:eastAsia="zh-CN"/>
        </w:rPr>
        <w:t>1</w:t>
      </w:r>
    </w:p>
    <w:p>
      <w:pPr>
        <w:pStyle w:val="14"/>
        <w:adjustRightInd w:val="0"/>
        <w:snapToGrid w:val="0"/>
        <w:spacing w:line="440" w:lineRule="exact"/>
        <w:jc w:val="left"/>
        <w:rPr>
          <w:rFonts w:hint="eastAsia" w:ascii="仿宋" w:hAnsi="仿宋" w:eastAsia="宋体" w:cstheme="minorBidi"/>
          <w:sz w:val="24"/>
          <w:lang w:eastAsia="zh-CN"/>
        </w:rPr>
      </w:pPr>
      <w:r>
        <w:rPr>
          <w:rFonts w:hint="eastAsia"/>
          <w:sz w:val="24"/>
        </w:rPr>
        <w:t>八、政府性基金预算支出决算情况说明</w:t>
      </w:r>
      <w:r>
        <w:rPr>
          <w:rFonts w:cstheme="minorBidi"/>
          <w:sz w:val="24"/>
        </w:rPr>
        <w:tab/>
      </w:r>
      <w:r>
        <w:rPr>
          <w:rFonts w:hint="eastAsia" w:cstheme="minorBidi"/>
          <w:sz w:val="24"/>
        </w:rPr>
        <w:t>1</w:t>
      </w:r>
      <w:r>
        <w:rPr>
          <w:rFonts w:hint="eastAsia" w:cstheme="minorBidi"/>
          <w:sz w:val="24"/>
          <w:lang w:val="en-US" w:eastAsia="zh-CN"/>
        </w:rPr>
        <w:t>2</w:t>
      </w:r>
    </w:p>
    <w:p>
      <w:pPr>
        <w:pStyle w:val="14"/>
        <w:adjustRightInd w:val="0"/>
        <w:snapToGrid w:val="0"/>
        <w:spacing w:line="440" w:lineRule="exact"/>
        <w:ind w:leftChars="0"/>
        <w:jc w:val="left"/>
        <w:rPr>
          <w:rFonts w:hint="eastAsia" w:eastAsia="宋体" w:asciiTheme="minorEastAsia" w:hAnsiTheme="minorEastAsia" w:cstheme="minorEastAsia"/>
          <w:sz w:val="24"/>
          <w:lang w:eastAsia="zh-CN"/>
        </w:rPr>
      </w:pPr>
      <w:r>
        <w:rPr>
          <w:rFonts w:hint="eastAsia" w:asciiTheme="minorEastAsia" w:hAnsiTheme="minorEastAsia" w:eastAsiaTheme="minorEastAsia" w:cstheme="minorEastAsia"/>
          <w:sz w:val="24"/>
        </w:rPr>
        <w:t>九、国有资本经营预算支出决算情况说明</w:t>
      </w:r>
      <w:r>
        <w:rPr>
          <w:rFonts w:cstheme="minorBidi"/>
          <w:sz w:val="24"/>
        </w:rPr>
        <w:tab/>
      </w:r>
      <w:r>
        <w:rPr>
          <w:rFonts w:hint="eastAsia" w:cstheme="minorBidi"/>
          <w:sz w:val="24"/>
        </w:rPr>
        <w:t>1</w:t>
      </w:r>
      <w:r>
        <w:rPr>
          <w:rFonts w:hint="eastAsia" w:cstheme="minorBidi"/>
          <w:sz w:val="24"/>
          <w:lang w:val="en-US" w:eastAsia="zh-CN"/>
        </w:rPr>
        <w:t>2</w:t>
      </w:r>
    </w:p>
    <w:p>
      <w:pPr>
        <w:adjustRightInd w:val="0"/>
        <w:snapToGrid w:val="0"/>
        <w:spacing w:line="440" w:lineRule="exact"/>
        <w:ind w:firstLine="420" w:firstLineChars="175"/>
        <w:jc w:val="left"/>
        <w:rPr>
          <w:rFonts w:asciiTheme="minorEastAsia" w:hAnsiTheme="minorEastAsia" w:eastAsiaTheme="minorEastAsia" w:cstheme="minorEastAsia"/>
          <w:sz w:val="24"/>
        </w:rPr>
      </w:pPr>
      <w:r>
        <w:rPr>
          <w:rStyle w:val="21"/>
          <w:rFonts w:hint="eastAsia" w:asciiTheme="minorEastAsia" w:hAnsiTheme="minorEastAsia" w:eastAsiaTheme="minorEastAsia" w:cstheme="minorEastAsia"/>
          <w:color w:val="auto"/>
          <w:sz w:val="24"/>
          <w:u w:val="none"/>
        </w:rPr>
        <w:t>十、</w:t>
      </w:r>
      <w:r>
        <w:rPr>
          <w:rFonts w:hint="eastAsia" w:asciiTheme="minorEastAsia" w:hAnsiTheme="minorEastAsia" w:eastAsiaTheme="minorEastAsia" w:cstheme="minorEastAsia"/>
          <w:sz w:val="24"/>
        </w:rPr>
        <w:t>其他重要事项的情况说明......................................13</w:t>
      </w:r>
    </w:p>
    <w:p>
      <w:pPr>
        <w:pStyle w:val="13"/>
        <w:adjustRightInd w:val="0"/>
        <w:snapToGrid w:val="0"/>
        <w:spacing w:before="0" w:line="440" w:lineRule="exact"/>
        <w:jc w:val="left"/>
        <w:rPr>
          <w:rFonts w:hint="eastAsia" w:eastAsia="仿宋" w:cstheme="minorBidi"/>
          <w:sz w:val="24"/>
          <w:szCs w:val="24"/>
          <w:lang w:eastAsia="zh-CN"/>
        </w:rPr>
      </w:pPr>
      <w:r>
        <w:rPr>
          <w:rFonts w:hint="eastAsia"/>
          <w:sz w:val="24"/>
        </w:rPr>
        <w:t>第三部分</w:t>
      </w:r>
      <w:r>
        <w:rPr>
          <w:rFonts w:hint="eastAsia"/>
          <w:sz w:val="24"/>
          <w:lang w:val="en-US" w:eastAsia="zh-CN"/>
        </w:rPr>
        <w:t xml:space="preserve"> </w:t>
      </w:r>
      <w:r>
        <w:rPr>
          <w:rFonts w:hint="eastAsia"/>
          <w:sz w:val="24"/>
        </w:rPr>
        <w:t>名词解释</w:t>
      </w:r>
      <w:r>
        <w:rPr>
          <w:rFonts w:cstheme="minorBidi"/>
          <w:sz w:val="24"/>
        </w:rPr>
        <w:tab/>
      </w:r>
      <w:r>
        <w:rPr>
          <w:rFonts w:hint="eastAsia" w:cstheme="minorBidi"/>
          <w:sz w:val="24"/>
        </w:rPr>
        <w:t>1</w:t>
      </w:r>
      <w:r>
        <w:rPr>
          <w:rFonts w:hint="eastAsia" w:cstheme="minorBidi"/>
          <w:sz w:val="24"/>
          <w:lang w:val="en-US" w:eastAsia="zh-CN"/>
        </w:rPr>
        <w:t>5</w:t>
      </w:r>
    </w:p>
    <w:p>
      <w:pPr>
        <w:pStyle w:val="13"/>
        <w:adjustRightInd w:val="0"/>
        <w:snapToGrid w:val="0"/>
        <w:spacing w:before="0" w:line="440" w:lineRule="exact"/>
        <w:jc w:val="left"/>
        <w:rPr>
          <w:rFonts w:cstheme="minorBidi"/>
          <w:sz w:val="24"/>
          <w:szCs w:val="24"/>
        </w:rPr>
      </w:pPr>
      <w:r>
        <w:rPr>
          <w:rFonts w:hint="eastAsia"/>
          <w:sz w:val="24"/>
        </w:rPr>
        <w:t>第四部分</w:t>
      </w:r>
      <w:r>
        <w:rPr>
          <w:rFonts w:hint="eastAsia"/>
          <w:sz w:val="24"/>
          <w:lang w:val="en-US" w:eastAsia="zh-CN"/>
        </w:rPr>
        <w:t xml:space="preserve"> </w:t>
      </w:r>
      <w:r>
        <w:rPr>
          <w:rFonts w:hint="eastAsia"/>
          <w:sz w:val="24"/>
        </w:rPr>
        <w:t>附件</w:t>
      </w:r>
      <w:r>
        <w:rPr>
          <w:rFonts w:cstheme="minorBidi"/>
          <w:sz w:val="24"/>
        </w:rPr>
        <w:tab/>
      </w:r>
      <w:r>
        <w:rPr>
          <w:rFonts w:hint="eastAsia" w:cstheme="minorBidi"/>
          <w:sz w:val="24"/>
        </w:rPr>
        <w:t>2</w:t>
      </w:r>
      <w:r>
        <w:rPr>
          <w:rFonts w:hint="eastAsia" w:cstheme="minorBidi"/>
          <w:sz w:val="24"/>
          <w:lang w:val="en-US" w:eastAsia="zh-CN"/>
        </w:rPr>
        <w:t>0</w:t>
      </w:r>
    </w:p>
    <w:p>
      <w:pPr>
        <w:pStyle w:val="13"/>
        <w:adjustRightInd w:val="0"/>
        <w:snapToGrid w:val="0"/>
        <w:spacing w:before="0" w:line="440" w:lineRule="exact"/>
        <w:jc w:val="left"/>
        <w:rPr>
          <w:rFonts w:hint="default" w:cstheme="minorBidi"/>
          <w:sz w:val="24"/>
          <w:szCs w:val="24"/>
          <w:lang w:val="en-US"/>
        </w:rPr>
      </w:pPr>
      <w:r>
        <w:rPr>
          <w:rFonts w:hint="eastAsia"/>
          <w:sz w:val="24"/>
        </w:rPr>
        <w:t>第五部分</w:t>
      </w:r>
      <w:r>
        <w:rPr>
          <w:rFonts w:hint="eastAsia"/>
          <w:sz w:val="24"/>
          <w:lang w:val="en-US" w:eastAsia="zh-CN"/>
        </w:rPr>
        <w:t xml:space="preserve"> </w:t>
      </w:r>
      <w:r>
        <w:rPr>
          <w:rFonts w:hint="eastAsia"/>
          <w:sz w:val="24"/>
        </w:rPr>
        <w:t>附表</w:t>
      </w:r>
      <w:r>
        <w:rPr>
          <w:rFonts w:cstheme="minorBidi"/>
          <w:sz w:val="24"/>
        </w:rPr>
        <w:tab/>
      </w:r>
      <w:r>
        <w:rPr>
          <w:rFonts w:hint="eastAsia" w:cstheme="minorBidi"/>
          <w:sz w:val="24"/>
          <w:lang w:val="en-US" w:eastAsia="zh-CN"/>
        </w:rPr>
        <w:t>49</w:t>
      </w:r>
    </w:p>
    <w:p>
      <w:pPr>
        <w:pStyle w:val="14"/>
        <w:adjustRightInd w:val="0"/>
        <w:snapToGrid w:val="0"/>
        <w:spacing w:line="440" w:lineRule="exact"/>
        <w:jc w:val="left"/>
        <w:rPr>
          <w:rFonts w:hint="default"/>
          <w:sz w:val="24"/>
          <w:lang w:val="en-US"/>
        </w:rPr>
      </w:pPr>
      <w:r>
        <w:rPr>
          <w:rFonts w:hint="eastAsia"/>
          <w:sz w:val="24"/>
        </w:rPr>
        <w:t>一、收入支出决算总表</w:t>
      </w:r>
      <w:r>
        <w:rPr>
          <w:rFonts w:cstheme="minorBidi"/>
          <w:sz w:val="24"/>
        </w:rPr>
        <w:tab/>
      </w:r>
      <w:r>
        <w:rPr>
          <w:rFonts w:hint="eastAsia" w:cstheme="minorBidi"/>
          <w:sz w:val="24"/>
          <w:lang w:val="en-US" w:eastAsia="zh-CN"/>
        </w:rPr>
        <w:t>49</w:t>
      </w:r>
    </w:p>
    <w:p>
      <w:pPr>
        <w:pStyle w:val="14"/>
        <w:adjustRightInd w:val="0"/>
        <w:snapToGrid w:val="0"/>
        <w:spacing w:line="440" w:lineRule="exact"/>
        <w:jc w:val="left"/>
        <w:rPr>
          <w:rFonts w:hint="default"/>
          <w:sz w:val="24"/>
          <w:lang w:val="en-US"/>
        </w:rPr>
      </w:pPr>
      <w:r>
        <w:rPr>
          <w:rFonts w:hint="eastAsia"/>
          <w:sz w:val="24"/>
        </w:rPr>
        <w:t>二、收入决算表</w:t>
      </w:r>
      <w:r>
        <w:rPr>
          <w:rFonts w:cstheme="minorBidi"/>
          <w:sz w:val="24"/>
        </w:rPr>
        <w:tab/>
      </w:r>
      <w:r>
        <w:rPr>
          <w:rFonts w:hint="eastAsia" w:cstheme="minorBidi"/>
          <w:sz w:val="24"/>
          <w:lang w:val="en-US" w:eastAsia="zh-CN"/>
        </w:rPr>
        <w:t>49</w:t>
      </w:r>
    </w:p>
    <w:p>
      <w:pPr>
        <w:pStyle w:val="14"/>
        <w:adjustRightInd w:val="0"/>
        <w:snapToGrid w:val="0"/>
        <w:spacing w:line="440" w:lineRule="exact"/>
        <w:jc w:val="left"/>
        <w:rPr>
          <w:rFonts w:hint="default"/>
          <w:sz w:val="24"/>
          <w:lang w:val="en-US"/>
        </w:rPr>
      </w:pPr>
      <w:r>
        <w:rPr>
          <w:rFonts w:hint="eastAsia"/>
          <w:sz w:val="24"/>
        </w:rPr>
        <w:t>三、支出决算表</w:t>
      </w:r>
      <w:r>
        <w:rPr>
          <w:rFonts w:cstheme="minorBidi"/>
          <w:sz w:val="24"/>
        </w:rPr>
        <w:tab/>
      </w:r>
      <w:r>
        <w:rPr>
          <w:rFonts w:hint="eastAsia" w:cstheme="minorBidi"/>
          <w:sz w:val="24"/>
          <w:lang w:val="en-US" w:eastAsia="zh-CN"/>
        </w:rPr>
        <w:t>49</w:t>
      </w:r>
    </w:p>
    <w:p>
      <w:pPr>
        <w:pStyle w:val="14"/>
        <w:adjustRightInd w:val="0"/>
        <w:snapToGrid w:val="0"/>
        <w:spacing w:line="440" w:lineRule="exact"/>
        <w:jc w:val="left"/>
        <w:rPr>
          <w:rFonts w:hint="default"/>
          <w:sz w:val="24"/>
          <w:lang w:val="en-US"/>
        </w:rPr>
      </w:pPr>
      <w:r>
        <w:rPr>
          <w:rFonts w:hint="eastAsia"/>
          <w:sz w:val="24"/>
        </w:rPr>
        <w:t>四、财政拨款收入支出决算总表</w:t>
      </w:r>
      <w:r>
        <w:rPr>
          <w:rFonts w:cstheme="minorBidi"/>
          <w:sz w:val="24"/>
        </w:rPr>
        <w:tab/>
      </w:r>
      <w:r>
        <w:rPr>
          <w:rFonts w:hint="eastAsia" w:cstheme="minorBidi"/>
          <w:sz w:val="24"/>
          <w:lang w:val="en-US" w:eastAsia="zh-CN"/>
        </w:rPr>
        <w:t>49</w:t>
      </w:r>
    </w:p>
    <w:p>
      <w:pPr>
        <w:pStyle w:val="14"/>
        <w:adjustRightInd w:val="0"/>
        <w:snapToGrid w:val="0"/>
        <w:spacing w:line="440" w:lineRule="exact"/>
        <w:jc w:val="left"/>
        <w:rPr>
          <w:rFonts w:hint="default"/>
          <w:sz w:val="24"/>
          <w:lang w:val="en-US"/>
        </w:rPr>
      </w:pPr>
      <w:r>
        <w:rPr>
          <w:rFonts w:hint="eastAsia"/>
          <w:sz w:val="24"/>
        </w:rPr>
        <w:t>五、财政拨款支出决算明细表</w:t>
      </w:r>
      <w:r>
        <w:rPr>
          <w:rFonts w:cstheme="minorBidi"/>
          <w:sz w:val="24"/>
        </w:rPr>
        <w:tab/>
      </w:r>
      <w:r>
        <w:rPr>
          <w:rFonts w:hint="eastAsia" w:cstheme="minorBidi"/>
          <w:sz w:val="24"/>
          <w:lang w:val="en-US" w:eastAsia="zh-CN"/>
        </w:rPr>
        <w:t>49</w:t>
      </w:r>
    </w:p>
    <w:p>
      <w:pPr>
        <w:pStyle w:val="14"/>
        <w:adjustRightInd w:val="0"/>
        <w:snapToGrid w:val="0"/>
        <w:spacing w:line="440" w:lineRule="exact"/>
        <w:jc w:val="left"/>
        <w:rPr>
          <w:rFonts w:hint="default"/>
          <w:sz w:val="24"/>
          <w:lang w:val="en-US"/>
        </w:rPr>
      </w:pPr>
      <w:r>
        <w:rPr>
          <w:rFonts w:hint="eastAsia"/>
          <w:sz w:val="24"/>
        </w:rPr>
        <w:t>六、一般公共预算财政拨款支出决算表</w:t>
      </w:r>
      <w:r>
        <w:rPr>
          <w:rFonts w:cstheme="minorBidi"/>
          <w:sz w:val="24"/>
        </w:rPr>
        <w:tab/>
      </w:r>
      <w:r>
        <w:rPr>
          <w:rFonts w:hint="eastAsia" w:cstheme="minorBidi"/>
          <w:sz w:val="24"/>
          <w:lang w:val="en-US" w:eastAsia="zh-CN"/>
        </w:rPr>
        <w:t>49</w:t>
      </w:r>
    </w:p>
    <w:p>
      <w:pPr>
        <w:pStyle w:val="14"/>
        <w:adjustRightInd w:val="0"/>
        <w:snapToGrid w:val="0"/>
        <w:spacing w:line="440" w:lineRule="exact"/>
        <w:jc w:val="left"/>
        <w:rPr>
          <w:rFonts w:hint="default"/>
          <w:sz w:val="24"/>
          <w:lang w:val="en-US"/>
        </w:rPr>
      </w:pPr>
      <w:r>
        <w:rPr>
          <w:rFonts w:hint="eastAsia"/>
          <w:sz w:val="24"/>
        </w:rPr>
        <w:t>七、一般公共预算财政拨款支出决算明细表</w:t>
      </w:r>
      <w:r>
        <w:rPr>
          <w:rFonts w:cstheme="minorBidi"/>
          <w:sz w:val="24"/>
        </w:rPr>
        <w:tab/>
      </w:r>
      <w:r>
        <w:rPr>
          <w:rFonts w:hint="eastAsia" w:cstheme="minorBidi"/>
          <w:sz w:val="24"/>
          <w:lang w:val="en-US" w:eastAsia="zh-CN"/>
        </w:rPr>
        <w:t>49</w:t>
      </w:r>
    </w:p>
    <w:p>
      <w:pPr>
        <w:pStyle w:val="14"/>
        <w:adjustRightInd w:val="0"/>
        <w:snapToGrid w:val="0"/>
        <w:spacing w:line="440" w:lineRule="exact"/>
        <w:jc w:val="left"/>
        <w:rPr>
          <w:rFonts w:hint="default"/>
          <w:sz w:val="24"/>
          <w:lang w:val="en-US"/>
        </w:rPr>
      </w:pPr>
      <w:r>
        <w:rPr>
          <w:rFonts w:hint="eastAsia"/>
          <w:sz w:val="24"/>
        </w:rPr>
        <w:t>八、一般公共预算财政拨款基本支出决算明细表</w:t>
      </w:r>
      <w:r>
        <w:rPr>
          <w:rFonts w:cstheme="minorBidi"/>
          <w:sz w:val="24"/>
        </w:rPr>
        <w:tab/>
      </w:r>
      <w:r>
        <w:rPr>
          <w:rFonts w:hint="eastAsia" w:cstheme="minorBidi"/>
          <w:sz w:val="24"/>
          <w:lang w:val="en-US" w:eastAsia="zh-CN"/>
        </w:rPr>
        <w:t>49</w:t>
      </w:r>
    </w:p>
    <w:p>
      <w:pPr>
        <w:pStyle w:val="14"/>
        <w:adjustRightInd w:val="0"/>
        <w:snapToGrid w:val="0"/>
        <w:spacing w:line="440" w:lineRule="exact"/>
        <w:jc w:val="left"/>
        <w:rPr>
          <w:rFonts w:hint="default"/>
          <w:sz w:val="24"/>
          <w:lang w:val="en-US"/>
        </w:rPr>
      </w:pPr>
      <w:r>
        <w:rPr>
          <w:rFonts w:hint="eastAsia"/>
          <w:sz w:val="24"/>
        </w:rPr>
        <w:t>九、一般公共预算财政拨款项目支出决算表</w:t>
      </w:r>
      <w:r>
        <w:rPr>
          <w:rFonts w:cstheme="minorBidi"/>
          <w:sz w:val="24"/>
        </w:rPr>
        <w:tab/>
      </w:r>
      <w:r>
        <w:rPr>
          <w:rFonts w:hint="eastAsia" w:cstheme="minorBidi"/>
          <w:sz w:val="24"/>
          <w:lang w:val="en-US" w:eastAsia="zh-CN"/>
        </w:rPr>
        <w:t>49</w:t>
      </w:r>
    </w:p>
    <w:p>
      <w:pPr>
        <w:pStyle w:val="14"/>
        <w:adjustRightInd w:val="0"/>
        <w:snapToGrid w:val="0"/>
        <w:spacing w:line="440" w:lineRule="exact"/>
        <w:jc w:val="left"/>
        <w:rPr>
          <w:rFonts w:hint="default"/>
          <w:sz w:val="24"/>
          <w:lang w:val="en-US"/>
        </w:rPr>
      </w:pPr>
      <w:r>
        <w:rPr>
          <w:rFonts w:hint="eastAsia"/>
          <w:sz w:val="24"/>
        </w:rPr>
        <w:t>十、政府性基金预算财政拨款收入支出决算表</w:t>
      </w:r>
      <w:r>
        <w:rPr>
          <w:rFonts w:cstheme="minorBidi"/>
          <w:sz w:val="24"/>
        </w:rPr>
        <w:tab/>
      </w:r>
      <w:r>
        <w:rPr>
          <w:rFonts w:hint="eastAsia" w:cstheme="minorBidi"/>
          <w:sz w:val="24"/>
          <w:lang w:val="en-US" w:eastAsia="zh-CN"/>
        </w:rPr>
        <w:t>49</w:t>
      </w:r>
    </w:p>
    <w:p>
      <w:pPr>
        <w:pStyle w:val="14"/>
        <w:adjustRightInd w:val="0"/>
        <w:snapToGrid w:val="0"/>
        <w:spacing w:line="440" w:lineRule="exact"/>
        <w:jc w:val="left"/>
        <w:rPr>
          <w:rFonts w:hint="default"/>
          <w:sz w:val="24"/>
          <w:lang w:val="en-US"/>
        </w:rPr>
      </w:pPr>
      <w:r>
        <w:rPr>
          <w:rFonts w:hint="eastAsia"/>
          <w:sz w:val="24"/>
        </w:rPr>
        <w:t>十一、国有资本经营预算财政拨款收入支出决算表</w:t>
      </w:r>
      <w:r>
        <w:rPr>
          <w:rFonts w:cstheme="minorBidi"/>
          <w:sz w:val="24"/>
        </w:rPr>
        <w:tab/>
      </w:r>
      <w:r>
        <w:rPr>
          <w:rFonts w:hint="eastAsia" w:cstheme="minorBidi"/>
          <w:sz w:val="24"/>
          <w:lang w:val="en-US" w:eastAsia="zh-CN"/>
        </w:rPr>
        <w:t>49</w:t>
      </w:r>
    </w:p>
    <w:p>
      <w:pPr>
        <w:pStyle w:val="14"/>
        <w:adjustRightInd w:val="0"/>
        <w:snapToGrid w:val="0"/>
        <w:spacing w:line="440" w:lineRule="exact"/>
        <w:jc w:val="left"/>
        <w:rPr>
          <w:rFonts w:hint="default"/>
          <w:sz w:val="24"/>
          <w:lang w:val="en-US"/>
        </w:rPr>
      </w:pPr>
      <w:r>
        <w:rPr>
          <w:rFonts w:hint="eastAsia"/>
          <w:sz w:val="24"/>
        </w:rPr>
        <w:t>十二、国有资本经营预算财政拨款支出决算表</w:t>
      </w:r>
      <w:r>
        <w:rPr>
          <w:rFonts w:cstheme="minorBidi"/>
          <w:sz w:val="24"/>
        </w:rPr>
        <w:tab/>
      </w:r>
      <w:r>
        <w:rPr>
          <w:rFonts w:hint="eastAsia" w:cstheme="minorBidi"/>
          <w:sz w:val="24"/>
          <w:lang w:val="en-US" w:eastAsia="zh-CN"/>
        </w:rPr>
        <w:t>49</w:t>
      </w:r>
    </w:p>
    <w:p>
      <w:pPr>
        <w:pStyle w:val="14"/>
        <w:adjustRightInd w:val="0"/>
        <w:snapToGrid w:val="0"/>
        <w:spacing w:line="440" w:lineRule="exact"/>
        <w:jc w:val="left"/>
        <w:rPr>
          <w:rFonts w:hint="default" w:asciiTheme="minorEastAsia" w:hAnsiTheme="minorEastAsia" w:eastAsiaTheme="minorEastAsia" w:cstheme="minorEastAsia"/>
          <w:sz w:val="24"/>
          <w:lang w:val="en-US"/>
        </w:rPr>
      </w:pPr>
      <w:r>
        <w:rPr>
          <w:rFonts w:hint="eastAsia"/>
          <w:sz w:val="24"/>
        </w:rPr>
        <w:t>十三、财政拨款“三公”经费支出决算表</w:t>
      </w:r>
      <w:r>
        <w:rPr>
          <w:rFonts w:cstheme="minorBidi"/>
          <w:sz w:val="24"/>
        </w:rPr>
        <w:tab/>
      </w:r>
      <w:r>
        <w:rPr>
          <w:rFonts w:hint="eastAsia" w:cstheme="minorBidi"/>
          <w:sz w:val="24"/>
          <w:lang w:val="en-US" w:eastAsia="zh-CN"/>
        </w:rPr>
        <w:t>49</w:t>
      </w:r>
    </w:p>
    <w:p>
      <w:pPr>
        <w:widowControl/>
        <w:adjustRightInd w:val="0"/>
        <w:snapToGrid w:val="0"/>
        <w:spacing w:line="440" w:lineRule="exact"/>
        <w:ind w:firstLine="1320" w:firstLineChars="550"/>
        <w:jc w:val="left"/>
        <w:rPr>
          <w:rFonts w:ascii="仿宋" w:hAnsi="仿宋" w:eastAsia="仿宋"/>
          <w:sz w:val="24"/>
        </w:rPr>
      </w:pPr>
    </w:p>
    <w:p>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pPr>
        <w:pStyle w:val="3"/>
        <w:jc w:val="center"/>
        <w:rPr>
          <w:rFonts w:ascii="黑体" w:hAnsi="黑体" w:eastAsia="黑体"/>
          <w:bCs w:val="0"/>
        </w:rPr>
      </w:pPr>
      <w:r>
        <w:rPr>
          <w:rFonts w:hint="eastAsia" w:ascii="黑体" w:hAnsi="黑体" w:eastAsia="黑体"/>
          <w:b w:val="0"/>
        </w:rPr>
        <w:t xml:space="preserve">第一部分 </w:t>
      </w:r>
      <w:r>
        <w:rPr>
          <w:rStyle w:val="31"/>
          <w:rFonts w:hint="eastAsia" w:ascii="黑体" w:hAnsi="黑体" w:eastAsia="黑体"/>
          <w:b w:val="0"/>
          <w:bCs w:val="0"/>
        </w:rPr>
        <w:t>部门概况</w:t>
      </w:r>
      <w:bookmarkEnd w:id="12"/>
      <w:bookmarkEnd w:id="13"/>
    </w:p>
    <w:p>
      <w:pPr>
        <w:pStyle w:val="4"/>
        <w:pageBreakBefore w:val="0"/>
        <w:widowControl w:val="0"/>
        <w:numPr>
          <w:ilvl w:val="0"/>
          <w:numId w:val="0"/>
        </w:numPr>
        <w:kinsoku/>
        <w:wordWrap/>
        <w:overflowPunct/>
        <w:topLinePunct w:val="0"/>
        <w:autoSpaceDE/>
        <w:autoSpaceDN/>
        <w:bidi w:val="0"/>
        <w:spacing w:line="570" w:lineRule="exact"/>
        <w:ind w:leftChars="0" w:firstLine="640" w:firstLineChars="200"/>
        <w:textAlignment w:val="auto"/>
        <w:rPr>
          <w:rFonts w:ascii="黑体" w:hAnsi="黑体" w:eastAsia="黑体"/>
          <w:b w:val="0"/>
        </w:rPr>
      </w:pPr>
      <w:r>
        <w:rPr>
          <w:rFonts w:hint="eastAsia" w:ascii="黑体" w:hAnsi="黑体" w:eastAsia="黑体"/>
          <w:b w:val="0"/>
          <w:lang w:eastAsia="zh-CN"/>
        </w:rPr>
        <w:t>一、</w:t>
      </w:r>
      <w:r>
        <w:rPr>
          <w:rFonts w:hint="eastAsia" w:ascii="黑体" w:hAnsi="黑体" w:eastAsia="黑体"/>
          <w:b w:val="0"/>
        </w:rPr>
        <w:t>部门职责</w:t>
      </w:r>
    </w:p>
    <w:p>
      <w:pPr>
        <w:pStyle w:val="6"/>
        <w:pageBreakBefore w:val="0"/>
        <w:widowControl w:val="0"/>
        <w:kinsoku/>
        <w:wordWrap/>
        <w:overflowPunct/>
        <w:topLinePunct w:val="0"/>
        <w:autoSpaceDE/>
        <w:autoSpaceDN/>
        <w:bidi w:val="0"/>
        <w:adjustRightInd w:val="0"/>
        <w:snapToGrid w:val="0"/>
        <w:spacing w:before="93" w:line="570" w:lineRule="exact"/>
        <w:ind w:firstLine="672" w:firstLineChars="210"/>
        <w:textAlignment w:val="auto"/>
        <w:outlineLvl w:val="2"/>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维护军人军属合法权益，加强退役军人服务保障体系建设，建立健全集中统一、职责清晰的退役军人管理保障体制。</w:t>
      </w:r>
    </w:p>
    <w:p>
      <w:pPr>
        <w:pStyle w:val="4"/>
        <w:pageBreakBefore w:val="0"/>
        <w:widowControl w:val="0"/>
        <w:kinsoku/>
        <w:wordWrap/>
        <w:overflowPunct/>
        <w:topLinePunct w:val="0"/>
        <w:autoSpaceDE/>
        <w:autoSpaceDN/>
        <w:bidi w:val="0"/>
        <w:spacing w:line="570" w:lineRule="exact"/>
        <w:ind w:firstLine="640" w:firstLineChars="200"/>
        <w:textAlignment w:val="auto"/>
        <w:rPr>
          <w:rStyle w:val="32"/>
          <w:b w:val="0"/>
          <w:bCs w:val="0"/>
        </w:rPr>
      </w:pPr>
      <w:bookmarkStart w:id="14" w:name="_Toc15396601"/>
      <w:bookmarkStart w:id="15" w:name="_Toc15377200"/>
      <w:r>
        <w:rPr>
          <w:rFonts w:hint="eastAsia" w:ascii="黑体" w:hAnsi="黑体" w:eastAsia="黑体"/>
          <w:b w:val="0"/>
          <w:lang w:eastAsia="zh-CN"/>
        </w:rPr>
        <w:t>二、</w:t>
      </w:r>
      <w:r>
        <w:rPr>
          <w:rFonts w:hint="eastAsia" w:ascii="黑体" w:hAnsi="黑体" w:eastAsia="黑体"/>
          <w:b w:val="0"/>
        </w:rPr>
        <w:t>机</w:t>
      </w:r>
      <w:r>
        <w:rPr>
          <w:rStyle w:val="32"/>
          <w:rFonts w:hint="eastAsia" w:ascii="黑体" w:hAnsi="黑体" w:eastAsia="黑体"/>
          <w:b w:val="0"/>
          <w:bCs w:val="0"/>
        </w:rPr>
        <w:t>构设置</w:t>
      </w:r>
      <w:bookmarkEnd w:id="14"/>
      <w:bookmarkEnd w:id="15"/>
    </w:p>
    <w:p>
      <w:pPr>
        <w:pStyle w:val="6"/>
        <w:pageBreakBefore w:val="0"/>
        <w:widowControl w:val="0"/>
        <w:kinsoku/>
        <w:wordWrap/>
        <w:overflowPunct/>
        <w:topLinePunct w:val="0"/>
        <w:autoSpaceDE/>
        <w:autoSpaceDN/>
        <w:bidi w:val="0"/>
        <w:adjustRightInd w:val="0"/>
        <w:snapToGrid w:val="0"/>
        <w:spacing w:before="93" w:line="570" w:lineRule="exact"/>
        <w:ind w:firstLine="672" w:firstLineChars="210"/>
        <w:textAlignment w:val="auto"/>
        <w:outlineLvl w:val="2"/>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西区退役军人事务局下属二级预算单位1个，其中行政单位0个，参照公务员法管理的事业单位0个，其他事业单位1个。</w:t>
      </w:r>
    </w:p>
    <w:p>
      <w:pPr>
        <w:pStyle w:val="6"/>
        <w:pageBreakBefore w:val="0"/>
        <w:widowControl w:val="0"/>
        <w:kinsoku/>
        <w:wordWrap/>
        <w:overflowPunct/>
        <w:topLinePunct w:val="0"/>
        <w:autoSpaceDE/>
        <w:autoSpaceDN/>
        <w:bidi w:val="0"/>
        <w:adjustRightInd w:val="0"/>
        <w:snapToGrid w:val="0"/>
        <w:spacing w:before="93" w:line="570" w:lineRule="exact"/>
        <w:ind w:firstLine="672" w:firstLineChars="210"/>
        <w:textAlignment w:val="auto"/>
        <w:outlineLvl w:val="2"/>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纳入西区退役军人事务局2022年度部门决算编制范围的二级预算单位包括：</w:t>
      </w:r>
    </w:p>
    <w:p>
      <w:pPr>
        <w:pStyle w:val="6"/>
        <w:pageBreakBefore w:val="0"/>
        <w:widowControl w:val="0"/>
        <w:kinsoku/>
        <w:wordWrap/>
        <w:overflowPunct/>
        <w:topLinePunct w:val="0"/>
        <w:autoSpaceDE/>
        <w:autoSpaceDN/>
        <w:bidi w:val="0"/>
        <w:adjustRightInd w:val="0"/>
        <w:snapToGrid w:val="0"/>
        <w:spacing w:before="93" w:line="570" w:lineRule="exact"/>
        <w:ind w:firstLine="672" w:firstLineChars="210"/>
        <w:textAlignment w:val="auto"/>
        <w:outlineLvl w:val="2"/>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1.攀枝花市西区退役军人服务中心。</w:t>
      </w:r>
    </w:p>
    <w:p>
      <w:pPr>
        <w:widowControl/>
        <w:jc w:val="left"/>
        <w:rPr>
          <w:rFonts w:ascii="仿宋" w:hAnsi="仿宋" w:eastAsia="仿宋"/>
          <w:kern w:val="0"/>
          <w:sz w:val="32"/>
          <w:szCs w:val="32"/>
        </w:rPr>
      </w:pPr>
      <w:r>
        <w:rPr>
          <w:rFonts w:ascii="仿宋" w:hAnsi="仿宋" w:eastAsia="仿宋"/>
          <w:sz w:val="32"/>
          <w:szCs w:val="32"/>
        </w:rPr>
        <w:br w:type="page"/>
      </w:r>
    </w:p>
    <w:p>
      <w:pPr>
        <w:pStyle w:val="3"/>
        <w:ind w:right="440"/>
        <w:jc w:val="center"/>
        <w:rPr>
          <w:rStyle w:val="31"/>
          <w:rFonts w:ascii="黑体" w:hAnsi="黑体" w:eastAsia="黑体"/>
          <w:b w:val="0"/>
          <w:bCs/>
        </w:rPr>
      </w:pPr>
      <w:bookmarkStart w:id="16" w:name="_Toc15396602"/>
      <w:bookmarkStart w:id="17" w:name="_Toc15377204"/>
      <w:r>
        <w:rPr>
          <w:rFonts w:hint="eastAsia" w:ascii="黑体" w:hAnsi="黑体" w:eastAsia="黑体"/>
          <w:b w:val="0"/>
          <w:lang w:val="en-US" w:eastAsia="zh-CN"/>
        </w:rPr>
        <w:t xml:space="preserve">  </w:t>
      </w:r>
      <w:r>
        <w:rPr>
          <w:rFonts w:hint="eastAsia" w:ascii="黑体" w:hAnsi="黑体" w:eastAsia="黑体"/>
          <w:b w:val="0"/>
        </w:rPr>
        <w:t>第二部分 2022年度</w:t>
      </w:r>
      <w:r>
        <w:rPr>
          <w:rStyle w:val="31"/>
          <w:rFonts w:hint="eastAsia" w:ascii="黑体" w:hAnsi="黑体" w:eastAsia="黑体"/>
          <w:b w:val="0"/>
          <w:bCs/>
        </w:rPr>
        <w:t>部门决算情况说明</w:t>
      </w:r>
      <w:bookmarkEnd w:id="16"/>
      <w:bookmarkEnd w:id="17"/>
    </w:p>
    <w:p/>
    <w:p>
      <w:pPr>
        <w:pStyle w:val="30"/>
        <w:numPr>
          <w:ilvl w:val="0"/>
          <w:numId w:val="1"/>
        </w:numPr>
        <w:spacing w:line="600" w:lineRule="exact"/>
        <w:ind w:firstLineChars="0"/>
        <w:outlineLvl w:val="1"/>
        <w:rPr>
          <w:rStyle w:val="32"/>
          <w:rFonts w:ascii="黑体" w:hAnsi="黑体" w:eastAsia="黑体"/>
          <w:b w:val="0"/>
        </w:rPr>
      </w:pPr>
      <w:bookmarkStart w:id="18" w:name="_Toc15377205"/>
      <w:bookmarkStart w:id="19" w:name="_Toc15396603"/>
      <w:r>
        <w:rPr>
          <w:rFonts w:hint="eastAsia" w:ascii="黑体" w:hAnsi="黑体" w:eastAsia="黑体"/>
          <w:sz w:val="32"/>
          <w:szCs w:val="32"/>
        </w:rPr>
        <w:t>收</w:t>
      </w:r>
      <w:r>
        <w:rPr>
          <w:rStyle w:val="32"/>
          <w:rFonts w:hint="eastAsia" w:ascii="黑体" w:hAnsi="黑体" w:eastAsia="黑体"/>
          <w:b w:val="0"/>
        </w:rPr>
        <w:t>入支出决算总体情况说明</w:t>
      </w:r>
      <w:bookmarkEnd w:id="18"/>
      <w:bookmarkEnd w:id="19"/>
    </w:p>
    <w:p>
      <w:pPr>
        <w:pStyle w:val="6"/>
        <w:adjustRightInd w:val="0"/>
        <w:snapToGrid w:val="0"/>
        <w:spacing w:before="93" w:line="600" w:lineRule="exact"/>
        <w:ind w:firstLine="672" w:firstLineChars="210"/>
        <w:outlineLvl w:val="2"/>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2022年度收、支总计915.3万元。与2021年相比，收、支总计各增加157.29万元，增长21%。主要变动原因是优抚对象抚恤补助、双拥经费等项目经费增加。</w:t>
      </w:r>
    </w:p>
    <w:p>
      <w:pPr>
        <w:keepNext w:val="0"/>
        <w:keepLines w:val="0"/>
        <w:widowControl/>
        <w:suppressLineNumbers w:val="0"/>
        <w:jc w:val="left"/>
        <w:rPr>
          <w:rFonts w:ascii="宋体" w:hAnsi="宋体" w:cs="宋体"/>
          <w:kern w:val="0"/>
          <w:sz w:val="24"/>
        </w:rPr>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"C:\\Users\\lenovo\\AppData\\Roaming\\Tencent\\Users\\248301485\\QQ\\WinTemp\\RichOle\\N$FSQ[0TOQV9P{E4Y)6YG%9.png"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5066665" cy="2276475"/>
            <wp:effectExtent l="0" t="0" r="635" b="9525"/>
            <wp:docPr id="9"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IMG_256"/>
                    <pic:cNvPicPr>
                      <a:picLocks noChangeAspect="1"/>
                    </pic:cNvPicPr>
                  </pic:nvPicPr>
                  <pic:blipFill>
                    <a:blip r:embed="rId6"/>
                    <a:stretch>
                      <a:fillRect/>
                    </a:stretch>
                  </pic:blipFill>
                  <pic:spPr>
                    <a:xfrm>
                      <a:off x="0" y="0"/>
                      <a:ext cx="5066665" cy="2276475"/>
                    </a:xfrm>
                    <a:prstGeom prst="rect">
                      <a:avLst/>
                    </a:prstGeom>
                    <a:noFill/>
                    <a:ln w="9525">
                      <a:noFill/>
                    </a:ln>
                  </pic:spPr>
                </pic:pic>
              </a:graphicData>
            </a:graphic>
          </wp:inline>
        </w:drawing>
      </w:r>
      <w:r>
        <w:rPr>
          <w:rFonts w:ascii="宋体" w:hAnsi="宋体" w:eastAsia="宋体" w:cs="宋体"/>
          <w:kern w:val="0"/>
          <w:sz w:val="24"/>
          <w:szCs w:val="24"/>
          <w:lang w:val="en-US" w:eastAsia="zh-CN" w:bidi="ar"/>
        </w:rPr>
        <w:fldChar w:fldCharType="end"/>
      </w:r>
    </w:p>
    <w:p>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spacing w:line="600" w:lineRule="exact"/>
        <w:ind w:firstLine="640" w:firstLineChars="200"/>
        <w:jc w:val="left"/>
        <w:rPr>
          <w:rFonts w:ascii="仿宋_GB2312" w:eastAsia="仿宋_GB2312"/>
          <w:sz w:val="32"/>
          <w:szCs w:val="32"/>
        </w:rPr>
      </w:pPr>
    </w:p>
    <w:p>
      <w:pPr>
        <w:pStyle w:val="30"/>
        <w:numPr>
          <w:ilvl w:val="0"/>
          <w:numId w:val="1"/>
        </w:numPr>
        <w:spacing w:line="600" w:lineRule="exact"/>
        <w:ind w:firstLineChars="0"/>
        <w:outlineLvl w:val="1"/>
        <w:rPr>
          <w:rStyle w:val="32"/>
          <w:rFonts w:ascii="黑体" w:hAnsi="黑体" w:eastAsia="黑体"/>
          <w:b w:val="0"/>
        </w:rPr>
      </w:pPr>
      <w:bookmarkStart w:id="20" w:name="_Toc15377206"/>
      <w:bookmarkStart w:id="21" w:name="_Toc15396604"/>
      <w:r>
        <w:rPr>
          <w:rFonts w:hint="eastAsia" w:ascii="黑体" w:hAnsi="黑体" w:eastAsia="黑体"/>
          <w:sz w:val="32"/>
          <w:szCs w:val="32"/>
        </w:rPr>
        <w:t>收</w:t>
      </w:r>
      <w:r>
        <w:rPr>
          <w:rStyle w:val="32"/>
          <w:rFonts w:hint="eastAsia" w:ascii="黑体" w:hAnsi="黑体" w:eastAsia="黑体"/>
          <w:b w:val="0"/>
        </w:rPr>
        <w:t>入决算情况说明</w:t>
      </w:r>
      <w:bookmarkEnd w:id="20"/>
      <w:bookmarkEnd w:id="21"/>
    </w:p>
    <w:p>
      <w:pPr>
        <w:pStyle w:val="6"/>
        <w:adjustRightInd w:val="0"/>
        <w:snapToGrid w:val="0"/>
        <w:spacing w:before="93" w:line="600" w:lineRule="exact"/>
        <w:ind w:firstLine="672" w:firstLineChars="210"/>
        <w:outlineLvl w:val="2"/>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2022年本年收入合计878.72万元，其中：一般公共预算财政拨款收入878.72万元，占100%；政府性基金预算财政拨款收入0万元，占0%；国有资本经营预算财政拨款收入0万元，占0%；上级补助收入0万元，占0%；事业收入0万元，占0%；经营收入0万元，占0%；附属单位上缴收入0万元，占0%；其他收入0万元，占0%。</w:t>
      </w:r>
    </w:p>
    <w:p>
      <w:pPr>
        <w:keepNext w:val="0"/>
        <w:keepLines w:val="0"/>
        <w:widowControl/>
        <w:suppressLineNumbers w:val="0"/>
        <w:jc w:val="left"/>
        <w:rPr>
          <w:rFonts w:ascii="宋体" w:hAnsi="宋体" w:cs="宋体"/>
          <w:kern w:val="0"/>
          <w:sz w:val="24"/>
        </w:rPr>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"C:\\Users\\lenovo\\AppData\\Roaming\\Tencent\\Users\\248301485\\QQ\\WinTemp\\RichOle\\Q9{WI9B8BK%]XEOOLP]NABK.png"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5038725" cy="2381250"/>
            <wp:effectExtent l="0" t="0" r="9525" b="0"/>
            <wp:docPr id="10"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IMG_256"/>
                    <pic:cNvPicPr>
                      <a:picLocks noChangeAspect="1"/>
                    </pic:cNvPicPr>
                  </pic:nvPicPr>
                  <pic:blipFill>
                    <a:blip r:embed="rId7"/>
                    <a:stretch>
                      <a:fillRect/>
                    </a:stretch>
                  </pic:blipFill>
                  <pic:spPr>
                    <a:xfrm>
                      <a:off x="0" y="0"/>
                      <a:ext cx="5038725" cy="2381250"/>
                    </a:xfrm>
                    <a:prstGeom prst="rect">
                      <a:avLst/>
                    </a:prstGeom>
                    <a:noFill/>
                    <a:ln w="9525">
                      <a:noFill/>
                    </a:ln>
                  </pic:spPr>
                </pic:pic>
              </a:graphicData>
            </a:graphic>
          </wp:inline>
        </w:drawing>
      </w:r>
      <w:r>
        <w:rPr>
          <w:rFonts w:ascii="宋体" w:hAnsi="宋体" w:eastAsia="宋体" w:cs="宋体"/>
          <w:kern w:val="0"/>
          <w:sz w:val="24"/>
          <w:szCs w:val="24"/>
          <w:lang w:val="en-US" w:eastAsia="zh-CN" w:bidi="ar"/>
        </w:rPr>
        <w:fldChar w:fldCharType="end"/>
      </w:r>
    </w:p>
    <w:p>
      <w:pPr>
        <w:spacing w:line="600" w:lineRule="exact"/>
        <w:ind w:firstLine="640" w:firstLineChars="200"/>
        <w:jc w:val="center"/>
        <w:rPr>
          <w:rFonts w:hint="eastAsia" w:ascii="仿宋" w:hAnsi="仿宋" w:eastAsia="仿宋"/>
          <w:sz w:val="32"/>
          <w:szCs w:val="32"/>
        </w:rPr>
      </w:pPr>
      <w:r>
        <w:rPr>
          <w:rFonts w:hint="eastAsia" w:ascii="仿宋" w:hAnsi="仿宋" w:eastAsia="仿宋"/>
          <w:sz w:val="32"/>
          <w:szCs w:val="32"/>
        </w:rPr>
        <w:t>（图2：收入决算结构图）（饼状图）</w:t>
      </w:r>
    </w:p>
    <w:p>
      <w:pPr>
        <w:pStyle w:val="2"/>
      </w:pPr>
    </w:p>
    <w:p>
      <w:pPr>
        <w:pStyle w:val="30"/>
        <w:numPr>
          <w:ilvl w:val="0"/>
          <w:numId w:val="1"/>
        </w:numPr>
        <w:spacing w:line="600" w:lineRule="exact"/>
        <w:ind w:firstLineChars="0"/>
        <w:outlineLvl w:val="1"/>
        <w:rPr>
          <w:rStyle w:val="32"/>
          <w:rFonts w:ascii="黑体" w:hAnsi="黑体" w:eastAsia="黑体"/>
          <w:b w:val="0"/>
        </w:rPr>
      </w:pPr>
      <w:bookmarkStart w:id="22" w:name="_Toc15396605"/>
      <w:bookmarkStart w:id="23" w:name="_Toc15377207"/>
      <w:r>
        <w:rPr>
          <w:rFonts w:hint="eastAsia" w:ascii="黑体" w:hAnsi="黑体" w:eastAsia="黑体"/>
          <w:sz w:val="32"/>
          <w:szCs w:val="32"/>
        </w:rPr>
        <w:t>支</w:t>
      </w:r>
      <w:r>
        <w:rPr>
          <w:rStyle w:val="32"/>
          <w:rFonts w:hint="eastAsia" w:ascii="黑体" w:hAnsi="黑体" w:eastAsia="黑体"/>
          <w:b w:val="0"/>
        </w:rPr>
        <w:t>出决算情况说明</w:t>
      </w:r>
      <w:bookmarkEnd w:id="22"/>
      <w:bookmarkEnd w:id="23"/>
    </w:p>
    <w:p>
      <w:pPr>
        <w:pStyle w:val="6"/>
        <w:adjustRightInd w:val="0"/>
        <w:snapToGrid w:val="0"/>
        <w:spacing w:before="93" w:line="600" w:lineRule="exact"/>
        <w:ind w:firstLine="672" w:firstLineChars="210"/>
        <w:outlineLvl w:val="2"/>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2022年本年支出合计915.3万元，其中：基本支出130.57万元，占14%；项目支出784.73万元，占86%；上缴上级支出0万元，占0%；经营支出0万元，占0%；对附属单位补助支出0万元，占0%。</w:t>
      </w:r>
    </w:p>
    <w:p>
      <w:pPr>
        <w:keepNext w:val="0"/>
        <w:keepLines w:val="0"/>
        <w:widowControl/>
        <w:suppressLineNumbers w:val="0"/>
        <w:jc w:val="left"/>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"C:\\Users\\lenovo\\AppData\\Roaming\\Tencent\\Users\\248301485\\QQ\\WinTemp\\RichOle\\KCX{%_6C~EFFAT2$O9GJ%OI.png"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5133975" cy="2428875"/>
            <wp:effectExtent l="0" t="0" r="9525" b="9525"/>
            <wp:docPr id="12"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descr="IMG_256"/>
                    <pic:cNvPicPr>
                      <a:picLocks noChangeAspect="1"/>
                    </pic:cNvPicPr>
                  </pic:nvPicPr>
                  <pic:blipFill>
                    <a:blip r:embed="rId8"/>
                    <a:stretch>
                      <a:fillRect/>
                    </a:stretch>
                  </pic:blipFill>
                  <pic:spPr>
                    <a:xfrm>
                      <a:off x="0" y="0"/>
                      <a:ext cx="5133975" cy="2428875"/>
                    </a:xfrm>
                    <a:prstGeom prst="rect">
                      <a:avLst/>
                    </a:prstGeom>
                    <a:noFill/>
                    <a:ln w="9525">
                      <a:noFill/>
                    </a:ln>
                  </pic:spPr>
                </pic:pic>
              </a:graphicData>
            </a:graphic>
          </wp:inline>
        </w:drawing>
      </w:r>
      <w:r>
        <w:rPr>
          <w:rFonts w:ascii="宋体" w:hAnsi="宋体" w:eastAsia="宋体" w:cs="宋体"/>
          <w:kern w:val="0"/>
          <w:sz w:val="24"/>
          <w:szCs w:val="24"/>
          <w:lang w:val="en-US" w:eastAsia="zh-CN" w:bidi="ar"/>
        </w:rPr>
        <w:fldChar w:fldCharType="end"/>
      </w:r>
    </w:p>
    <w:p>
      <w:pPr>
        <w:keepNext w:val="0"/>
        <w:keepLines w:val="0"/>
        <w:widowControl/>
        <w:suppressLineNumbers w:val="0"/>
        <w:jc w:val="left"/>
        <w:rPr>
          <w:rFonts w:ascii="宋体" w:hAnsi="宋体" w:cs="宋体"/>
          <w:kern w:val="0"/>
          <w:sz w:val="24"/>
        </w:rPr>
      </w:pPr>
    </w:p>
    <w:p>
      <w:pPr>
        <w:spacing w:line="600" w:lineRule="exact"/>
        <w:ind w:firstLine="640" w:firstLineChars="200"/>
        <w:jc w:val="center"/>
        <w:rPr>
          <w:rFonts w:hint="eastAsia" w:ascii="仿宋" w:hAnsi="仿宋" w:eastAsia="仿宋"/>
          <w:sz w:val="32"/>
          <w:szCs w:val="32"/>
        </w:rPr>
      </w:pPr>
      <w:r>
        <w:rPr>
          <w:rFonts w:hint="eastAsia" w:ascii="仿宋" w:hAnsi="仿宋" w:eastAsia="仿宋"/>
          <w:sz w:val="32"/>
          <w:szCs w:val="32"/>
        </w:rPr>
        <w:t>（图3：支出决算结构图）（饼状图）</w:t>
      </w:r>
    </w:p>
    <w:p>
      <w:pPr>
        <w:pStyle w:val="2"/>
      </w:pPr>
    </w:p>
    <w:p>
      <w:pPr>
        <w:spacing w:line="600" w:lineRule="exact"/>
        <w:ind w:firstLine="640" w:firstLineChars="200"/>
        <w:outlineLvl w:val="1"/>
        <w:rPr>
          <w:rStyle w:val="32"/>
          <w:rFonts w:ascii="黑体" w:hAnsi="黑体" w:eastAsia="黑体"/>
          <w:b w:val="0"/>
        </w:rPr>
      </w:pPr>
      <w:bookmarkStart w:id="24" w:name="_Toc15377208"/>
      <w:bookmarkStart w:id="25" w:name="_Toc15396606"/>
      <w:r>
        <w:rPr>
          <w:rFonts w:hint="eastAsia" w:ascii="黑体" w:hAnsi="黑体" w:eastAsia="黑体"/>
          <w:sz w:val="32"/>
          <w:szCs w:val="32"/>
        </w:rPr>
        <w:t>四、财</w:t>
      </w:r>
      <w:r>
        <w:rPr>
          <w:rStyle w:val="32"/>
          <w:rFonts w:hint="eastAsia" w:ascii="黑体" w:hAnsi="黑体" w:eastAsia="黑体"/>
          <w:b w:val="0"/>
        </w:rPr>
        <w:t>政拨款收入支出决算总体情况说明</w:t>
      </w:r>
      <w:bookmarkEnd w:id="24"/>
      <w:bookmarkEnd w:id="25"/>
    </w:p>
    <w:p>
      <w:pPr>
        <w:pStyle w:val="6"/>
        <w:adjustRightInd w:val="0"/>
        <w:snapToGrid w:val="0"/>
        <w:spacing w:before="93" w:line="600" w:lineRule="exact"/>
        <w:ind w:firstLine="672" w:firstLineChars="210"/>
        <w:outlineLvl w:val="2"/>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2022年财政拨款收、支总计915.3万元。与2021年相比，收、支总计各增加157.29万元，增长21%。主要变动原因是优抚对象抚恤补助、双拥经费等项目经费增加。</w:t>
      </w:r>
    </w:p>
    <w:p>
      <w:pPr>
        <w:keepNext w:val="0"/>
        <w:keepLines w:val="0"/>
        <w:widowControl/>
        <w:suppressLineNumbers w:val="0"/>
        <w:jc w:val="left"/>
        <w:rPr>
          <w:rFonts w:ascii="宋体" w:hAnsi="宋体" w:cs="宋体"/>
          <w:kern w:val="0"/>
          <w:sz w:val="24"/>
        </w:rPr>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"C:\\Users\\lenovo\\AppData\\Roaming\\Tencent\\Users\\248301485\\QQ\\WinTemp\\RichOle\\{H287}45P0]1T7B0OD61)AJ.png"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5200015" cy="2486025"/>
            <wp:effectExtent l="0" t="0" r="635" b="9525"/>
            <wp:docPr id="13"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descr="IMG_256"/>
                    <pic:cNvPicPr>
                      <a:picLocks noChangeAspect="1"/>
                    </pic:cNvPicPr>
                  </pic:nvPicPr>
                  <pic:blipFill>
                    <a:blip r:embed="rId9"/>
                    <a:stretch>
                      <a:fillRect/>
                    </a:stretch>
                  </pic:blipFill>
                  <pic:spPr>
                    <a:xfrm>
                      <a:off x="0" y="0"/>
                      <a:ext cx="5200015" cy="2486025"/>
                    </a:xfrm>
                    <a:prstGeom prst="rect">
                      <a:avLst/>
                    </a:prstGeom>
                    <a:noFill/>
                    <a:ln w="9525">
                      <a:noFill/>
                    </a:ln>
                  </pic:spPr>
                </pic:pic>
              </a:graphicData>
            </a:graphic>
          </wp:inline>
        </w:drawing>
      </w:r>
      <w:r>
        <w:rPr>
          <w:rFonts w:ascii="宋体" w:hAnsi="宋体" w:eastAsia="宋体" w:cs="宋体"/>
          <w:kern w:val="0"/>
          <w:sz w:val="24"/>
          <w:szCs w:val="24"/>
          <w:lang w:val="en-US" w:eastAsia="zh-CN" w:bidi="ar"/>
        </w:rPr>
        <w:fldChar w:fldCharType="end"/>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（图4：财政拨款收、支决算总计变动情况）（柱状图）</w:t>
      </w:r>
    </w:p>
    <w:p>
      <w:pPr>
        <w:pStyle w:val="2"/>
      </w:pPr>
    </w:p>
    <w:p>
      <w:pPr>
        <w:spacing w:line="600" w:lineRule="exact"/>
        <w:ind w:firstLine="640" w:firstLineChars="200"/>
        <w:outlineLvl w:val="1"/>
        <w:rPr>
          <w:rStyle w:val="32"/>
          <w:rFonts w:ascii="黑体" w:hAnsi="黑体" w:eastAsia="黑体"/>
          <w:b w:val="0"/>
        </w:rPr>
      </w:pPr>
      <w:bookmarkStart w:id="26" w:name="_Toc15377209"/>
      <w:bookmarkStart w:id="27" w:name="_Toc15396607"/>
      <w:r>
        <w:rPr>
          <w:rFonts w:hint="eastAsia" w:ascii="黑体" w:hAnsi="黑体" w:eastAsia="黑体"/>
          <w:sz w:val="32"/>
          <w:szCs w:val="32"/>
        </w:rPr>
        <w:t>五、</w:t>
      </w:r>
      <w:r>
        <w:rPr>
          <w:rFonts w:hint="eastAsia" w:ascii="黑体" w:hAnsi="黑体" w:eastAsia="黑体"/>
          <w:b/>
          <w:sz w:val="32"/>
          <w:szCs w:val="32"/>
        </w:rPr>
        <w:t>一</w:t>
      </w:r>
      <w:r>
        <w:rPr>
          <w:rStyle w:val="32"/>
          <w:rFonts w:hint="eastAsia" w:ascii="黑体" w:hAnsi="黑体" w:eastAsia="黑体"/>
          <w:b w:val="0"/>
        </w:rPr>
        <w:t>般公共预算财政拨款支出决算情况说明</w:t>
      </w:r>
      <w:bookmarkEnd w:id="26"/>
      <w:bookmarkEnd w:id="27"/>
    </w:p>
    <w:p>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pPr>
        <w:pStyle w:val="6"/>
        <w:adjustRightInd w:val="0"/>
        <w:snapToGrid w:val="0"/>
        <w:spacing w:before="93" w:line="600" w:lineRule="exact"/>
        <w:ind w:firstLine="672" w:firstLineChars="210"/>
        <w:outlineLvl w:val="2"/>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2022年一般公共预算财政拨款支出915.3万元，占本年支出合计的100%。与2021年相比，一般公共预算财政拨款支出增加160.23万元，增长21%。主要变动原因是优抚对象抚恤补助、双拥经费等项目经费增加。</w:t>
      </w:r>
    </w:p>
    <w:p>
      <w:pPr>
        <w:keepNext w:val="0"/>
        <w:keepLines w:val="0"/>
        <w:widowControl/>
        <w:suppressLineNumbers w:val="0"/>
        <w:jc w:val="left"/>
        <w:rPr>
          <w:rFonts w:ascii="宋体" w:hAnsi="宋体" w:cs="宋体"/>
          <w:kern w:val="0"/>
          <w:sz w:val="24"/>
        </w:rPr>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"C:\\Users\\lenovo\\AppData\\Roaming\\Tencent\\Users\\248301485\\QQ\\WinTemp\\RichOle\\$3M@C5QLQBT0YZRL)Z0CHVJ.png"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5076825" cy="1762760"/>
            <wp:effectExtent l="0" t="0" r="9525" b="8890"/>
            <wp:docPr id="14"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 descr="IMG_256"/>
                    <pic:cNvPicPr>
                      <a:picLocks noChangeAspect="1"/>
                    </pic:cNvPicPr>
                  </pic:nvPicPr>
                  <pic:blipFill>
                    <a:blip r:embed="rId10"/>
                    <a:stretch>
                      <a:fillRect/>
                    </a:stretch>
                  </pic:blipFill>
                  <pic:spPr>
                    <a:xfrm>
                      <a:off x="0" y="0"/>
                      <a:ext cx="5076825" cy="1762760"/>
                    </a:xfrm>
                    <a:prstGeom prst="rect">
                      <a:avLst/>
                    </a:prstGeom>
                    <a:noFill/>
                    <a:ln w="9525">
                      <a:noFill/>
                    </a:ln>
                  </pic:spPr>
                </pic:pic>
              </a:graphicData>
            </a:graphic>
          </wp:inline>
        </w:drawing>
      </w:r>
      <w:r>
        <w:rPr>
          <w:rFonts w:ascii="宋体" w:hAnsi="宋体" w:eastAsia="宋体" w:cs="宋体"/>
          <w:kern w:val="0"/>
          <w:sz w:val="24"/>
          <w:szCs w:val="24"/>
          <w:lang w:val="en-US" w:eastAsia="zh-CN" w:bidi="ar"/>
        </w:rPr>
        <w:fldChar w:fldCharType="end"/>
      </w:r>
    </w:p>
    <w:p>
      <w:pPr>
        <w:spacing w:line="600" w:lineRule="exact"/>
        <w:ind w:firstLine="560" w:firstLineChars="200"/>
      </w:pPr>
      <w:r>
        <w:rPr>
          <w:rFonts w:hint="eastAsia" w:ascii="仿宋" w:hAnsi="仿宋" w:eastAsia="仿宋"/>
          <w:spacing w:val="-20"/>
          <w:sz w:val="32"/>
          <w:szCs w:val="32"/>
        </w:rPr>
        <w:t>（图5：一般公共预算财政拨款支出决算变动情况）（柱状图）</w:t>
      </w:r>
    </w:p>
    <w:p>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w:t>
      </w:r>
      <w:r>
        <w:rPr>
          <w:rFonts w:hint="eastAsia" w:ascii="仿宋" w:hAnsi="仿宋" w:eastAsia="仿宋"/>
          <w:sz w:val="32"/>
          <w:szCs w:val="32"/>
          <w:lang w:val="en-US" w:eastAsia="zh-CN"/>
        </w:rPr>
        <w:t>915.3</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lang w:val="en-US" w:eastAsia="zh-CN"/>
        </w:rPr>
        <w:t>4.49</w:t>
      </w:r>
      <w:r>
        <w:rPr>
          <w:rFonts w:hint="eastAsia" w:ascii="仿宋" w:hAnsi="仿宋" w:eastAsia="仿宋"/>
          <w:sz w:val="32"/>
          <w:szCs w:val="32"/>
        </w:rPr>
        <w:t>万元，占</w:t>
      </w:r>
      <w:r>
        <w:rPr>
          <w:rFonts w:hint="eastAsia" w:ascii="仿宋" w:hAnsi="仿宋" w:eastAsia="仿宋"/>
          <w:sz w:val="32"/>
          <w:szCs w:val="32"/>
          <w:lang w:val="en-US" w:eastAsia="zh-CN"/>
        </w:rPr>
        <w:t>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lang w:val="en-US" w:eastAsia="zh-CN"/>
        </w:rPr>
        <w:t>880.9</w:t>
      </w:r>
      <w:r>
        <w:rPr>
          <w:rFonts w:hint="eastAsia" w:ascii="仿宋" w:hAnsi="仿宋" w:eastAsia="仿宋"/>
          <w:sz w:val="32"/>
          <w:szCs w:val="32"/>
        </w:rPr>
        <w:t>万元，占</w:t>
      </w:r>
      <w:r>
        <w:rPr>
          <w:rFonts w:hint="eastAsia" w:ascii="仿宋" w:hAnsi="仿宋" w:eastAsia="仿宋"/>
          <w:sz w:val="32"/>
          <w:szCs w:val="32"/>
          <w:lang w:val="en-US" w:eastAsia="zh-CN"/>
        </w:rPr>
        <w:t>96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20.01</w:t>
      </w:r>
      <w:r>
        <w:rPr>
          <w:rFonts w:hint="eastAsia" w:ascii="仿宋" w:hAnsi="仿宋" w:eastAsia="仿宋"/>
          <w:sz w:val="32"/>
          <w:szCs w:val="32"/>
        </w:rPr>
        <w:t>万元，占</w:t>
      </w:r>
      <w:r>
        <w:rPr>
          <w:rFonts w:hint="eastAsia" w:ascii="仿宋" w:hAnsi="仿宋" w:eastAsia="仿宋"/>
          <w:sz w:val="32"/>
          <w:szCs w:val="32"/>
          <w:lang w:val="en-US" w:eastAsia="zh-CN"/>
        </w:rPr>
        <w:t>2</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rPr>
        <w:t>16.06万元，占</w:t>
      </w:r>
      <w:r>
        <w:rPr>
          <w:rFonts w:hint="eastAsia" w:ascii="仿宋" w:hAnsi="仿宋" w:eastAsia="仿宋"/>
          <w:sz w:val="32"/>
          <w:szCs w:val="32"/>
          <w:lang w:val="en-US" w:eastAsia="zh-CN"/>
        </w:rPr>
        <w:t>1</w:t>
      </w:r>
      <w:r>
        <w:rPr>
          <w:rFonts w:ascii="仿宋" w:hAnsi="仿宋" w:eastAsia="仿宋"/>
          <w:sz w:val="32"/>
          <w:szCs w:val="32"/>
        </w:rPr>
        <w:t>%</w:t>
      </w:r>
      <w:r>
        <w:rPr>
          <w:rFonts w:hint="eastAsia" w:ascii="仿宋" w:hAnsi="仿宋" w:eastAsia="仿宋"/>
          <w:sz w:val="32"/>
          <w:szCs w:val="32"/>
        </w:rPr>
        <w:t>。</w:t>
      </w:r>
    </w:p>
    <w:p>
      <w:pPr>
        <w:keepNext w:val="0"/>
        <w:keepLines w:val="0"/>
        <w:widowControl/>
        <w:suppressLineNumbers w:val="0"/>
        <w:jc w:val="left"/>
        <w:rPr>
          <w:rFonts w:ascii="宋体" w:hAnsi="宋体" w:cs="宋体"/>
          <w:kern w:val="0"/>
          <w:sz w:val="24"/>
        </w:rPr>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"C:\\Users\\lenovo\\AppData\\Roaming\\Tencent\\Users\\248301485\\QQ\\WinTemp\\RichOle\\WB]@YF$5U47~$EOR[JE8[T4.png"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5210175" cy="2524125"/>
            <wp:effectExtent l="0" t="0" r="9525" b="9525"/>
            <wp:docPr id="15"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8" descr="IMG_256"/>
                    <pic:cNvPicPr>
                      <a:picLocks noChangeAspect="1"/>
                    </pic:cNvPicPr>
                  </pic:nvPicPr>
                  <pic:blipFill>
                    <a:blip r:embed="rId11"/>
                    <a:stretch>
                      <a:fillRect/>
                    </a:stretch>
                  </pic:blipFill>
                  <pic:spPr>
                    <a:xfrm>
                      <a:off x="0" y="0"/>
                      <a:ext cx="5210175" cy="2524125"/>
                    </a:xfrm>
                    <a:prstGeom prst="rect">
                      <a:avLst/>
                    </a:prstGeom>
                    <a:noFill/>
                    <a:ln w="9525">
                      <a:noFill/>
                    </a:ln>
                  </pic:spPr>
                </pic:pic>
              </a:graphicData>
            </a:graphic>
          </wp:inline>
        </w:drawing>
      </w:r>
      <w:r>
        <w:rPr>
          <w:rFonts w:ascii="宋体" w:hAnsi="宋体" w:eastAsia="宋体" w:cs="宋体"/>
          <w:kern w:val="0"/>
          <w:sz w:val="24"/>
          <w:szCs w:val="24"/>
          <w:lang w:val="en-US" w:eastAsia="zh-CN" w:bidi="ar"/>
        </w:rPr>
        <w:fldChar w:fldCharType="end"/>
      </w:r>
    </w:p>
    <w:p>
      <w:pPr>
        <w:spacing w:line="600" w:lineRule="exact"/>
        <w:ind w:firstLine="560" w:firstLineChars="200"/>
        <w:rPr>
          <w:rFonts w:ascii="仿宋" w:hAnsi="仿宋" w:eastAsia="仿宋"/>
          <w:spacing w:val="-20"/>
          <w:sz w:val="32"/>
          <w:szCs w:val="32"/>
        </w:rPr>
      </w:pPr>
      <w:r>
        <w:rPr>
          <w:rFonts w:hint="eastAsia" w:ascii="仿宋" w:hAnsi="仿宋" w:eastAsia="仿宋"/>
          <w:spacing w:val="-20"/>
          <w:sz w:val="32"/>
          <w:szCs w:val="32"/>
        </w:rPr>
        <w:t>（图6：一般公共预算财政拨款支出决算结构）（饼状图）</w:t>
      </w:r>
    </w:p>
    <w:p>
      <w:pPr>
        <w:spacing w:line="600" w:lineRule="exact"/>
        <w:ind w:firstLine="643" w:firstLineChars="200"/>
        <w:outlineLvl w:val="2"/>
      </w:pPr>
      <w:bookmarkStart w:id="30" w:name="_Toc15377212"/>
      <w:r>
        <w:rPr>
          <w:rFonts w:hint="eastAsia" w:ascii="仿宋" w:hAnsi="仿宋" w:eastAsia="仿宋"/>
          <w:b/>
          <w:sz w:val="32"/>
          <w:szCs w:val="32"/>
        </w:rPr>
        <w:t>（三）一般公共预算财政拨款支出决算具体情况</w:t>
      </w:r>
      <w:bookmarkEnd w:id="30"/>
    </w:p>
    <w:p>
      <w:pPr>
        <w:spacing w:line="600" w:lineRule="exact"/>
        <w:ind w:firstLine="643" w:firstLineChars="200"/>
        <w:outlineLvl w:val="2"/>
        <w:rPr>
          <w:rFonts w:ascii="仿宋" w:hAnsi="仿宋" w:eastAsia="仿宋"/>
          <w:sz w:val="32"/>
          <w:szCs w:val="32"/>
        </w:rPr>
      </w:pPr>
      <w:bookmarkStart w:id="31" w:name="_Toc15377444"/>
      <w:bookmarkStart w:id="32" w:name="_Toc15377213"/>
      <w:bookmarkStart w:id="33" w:name="_Toc15378460"/>
      <w:r>
        <w:rPr>
          <w:rFonts w:hint="eastAsia" w:ascii="仿宋" w:hAnsi="仿宋" w:eastAsia="仿宋"/>
          <w:b/>
          <w:sz w:val="32"/>
          <w:szCs w:val="32"/>
        </w:rPr>
        <w:t>2022年一般公共预算支出决算数为</w:t>
      </w:r>
      <w:r>
        <w:rPr>
          <w:rFonts w:hint="eastAsia" w:ascii="仿宋" w:hAnsi="仿宋" w:eastAsia="仿宋"/>
          <w:b/>
          <w:sz w:val="32"/>
          <w:szCs w:val="32"/>
          <w:lang w:val="en-US" w:eastAsia="zh-CN"/>
        </w:rPr>
        <w:t>915.3万元</w:t>
      </w:r>
      <w:r>
        <w:rPr>
          <w:rFonts w:hint="eastAsia" w:ascii="仿宋" w:hAnsi="仿宋" w:eastAsia="仿宋"/>
          <w:sz w:val="32"/>
          <w:szCs w:val="32"/>
        </w:rPr>
        <w:t>，</w:t>
      </w:r>
      <w:r>
        <w:rPr>
          <w:rStyle w:val="19"/>
          <w:rFonts w:hint="eastAsia" w:ascii="仿宋" w:hAnsi="仿宋" w:eastAsia="仿宋"/>
          <w:bCs/>
          <w:sz w:val="32"/>
          <w:szCs w:val="32"/>
        </w:rPr>
        <w:t>完成预算100</w:t>
      </w:r>
      <w:r>
        <w:rPr>
          <w:rStyle w:val="19"/>
          <w:rFonts w:ascii="仿宋" w:hAnsi="仿宋" w:eastAsia="仿宋"/>
          <w:bCs/>
          <w:sz w:val="32"/>
          <w:szCs w:val="32"/>
        </w:rPr>
        <w:t>%</w:t>
      </w:r>
      <w:r>
        <w:rPr>
          <w:rStyle w:val="19"/>
          <w:rFonts w:hint="eastAsia" w:ascii="仿宋" w:hAnsi="仿宋" w:eastAsia="仿宋"/>
          <w:bCs/>
          <w:sz w:val="32"/>
          <w:szCs w:val="32"/>
        </w:rPr>
        <w:t>。其中：</w:t>
      </w:r>
      <w:bookmarkEnd w:id="31"/>
      <w:bookmarkEnd w:id="32"/>
      <w:bookmarkEnd w:id="33"/>
    </w:p>
    <w:p>
      <w:pPr>
        <w:spacing w:line="600" w:lineRule="exact"/>
        <w:ind w:firstLine="643" w:firstLineChars="200"/>
        <w:rPr>
          <w:rFonts w:ascii="仿宋" w:hAnsi="仿宋" w:eastAsia="仿宋"/>
          <w:b/>
          <w:sz w:val="32"/>
          <w:szCs w:val="32"/>
        </w:rPr>
      </w:pPr>
      <w:r>
        <w:rPr>
          <w:rStyle w:val="19"/>
          <w:rFonts w:ascii="仿宋" w:hAnsi="仿宋" w:eastAsia="仿宋"/>
          <w:bCs/>
          <w:sz w:val="32"/>
          <w:szCs w:val="32"/>
        </w:rPr>
        <w:t>1.</w:t>
      </w:r>
      <w:r>
        <w:rPr>
          <w:rStyle w:val="19"/>
          <w:rFonts w:hint="eastAsia" w:ascii="仿宋" w:hAnsi="仿宋" w:eastAsia="仿宋"/>
          <w:bCs/>
          <w:sz w:val="32"/>
          <w:szCs w:val="32"/>
        </w:rPr>
        <w:t>一般公共服务支出（类）政府办公厅（室）及相关机构事务（款）一般行政管理事务（项）</w:t>
      </w:r>
      <w:r>
        <w:rPr>
          <w:rStyle w:val="19"/>
          <w:rFonts w:ascii="仿宋" w:hAnsi="仿宋" w:eastAsia="仿宋"/>
          <w:bCs/>
          <w:sz w:val="32"/>
          <w:szCs w:val="32"/>
        </w:rPr>
        <w:t>:</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1.49</w:t>
      </w:r>
      <w:r>
        <w:rPr>
          <w:rStyle w:val="19"/>
          <w:rFonts w:hint="eastAsia" w:ascii="仿宋" w:hAnsi="仿宋" w:eastAsia="仿宋"/>
          <w:b w:val="0"/>
          <w:bCs/>
          <w:sz w:val="32"/>
          <w:szCs w:val="32"/>
        </w:rPr>
        <w:t>万元，完成预算100</w:t>
      </w:r>
      <w:r>
        <w:rPr>
          <w:rStyle w:val="19"/>
          <w:rFonts w:ascii="仿宋" w:hAnsi="仿宋" w:eastAsia="仿宋"/>
          <w:b w:val="0"/>
          <w:bCs/>
          <w:sz w:val="32"/>
          <w:szCs w:val="32"/>
        </w:rPr>
        <w:t>%</w:t>
      </w:r>
      <w:r>
        <w:rPr>
          <w:rStyle w:val="19"/>
          <w:rFonts w:hint="eastAsia" w:ascii="仿宋" w:hAnsi="仿宋" w:eastAsia="仿宋"/>
          <w:b w:val="0"/>
          <w:bCs/>
          <w:sz w:val="32"/>
          <w:szCs w:val="32"/>
        </w:rPr>
        <w:t>，决算数等于预算数。</w:t>
      </w:r>
    </w:p>
    <w:p>
      <w:pPr>
        <w:spacing w:line="600" w:lineRule="exact"/>
        <w:ind w:firstLine="643" w:firstLineChars="200"/>
        <w:rPr>
          <w:rFonts w:ascii="仿宋" w:hAnsi="仿宋" w:eastAsia="仿宋"/>
          <w:b/>
          <w:sz w:val="32"/>
          <w:szCs w:val="32"/>
        </w:rPr>
      </w:pPr>
      <w:r>
        <w:rPr>
          <w:rStyle w:val="19"/>
          <w:rFonts w:ascii="仿宋" w:hAnsi="仿宋" w:eastAsia="仿宋"/>
          <w:bCs/>
          <w:sz w:val="32"/>
          <w:szCs w:val="32"/>
        </w:rPr>
        <w:t>2.</w:t>
      </w:r>
      <w:r>
        <w:rPr>
          <w:rStyle w:val="19"/>
          <w:rFonts w:hint="eastAsia" w:ascii="仿宋" w:hAnsi="仿宋" w:eastAsia="仿宋"/>
          <w:bCs/>
          <w:sz w:val="32"/>
          <w:szCs w:val="32"/>
        </w:rPr>
        <w:t>一般公共服务支出（类）其他共产党事务支出（款）一般行政管理事务（项）</w:t>
      </w:r>
      <w:r>
        <w:rPr>
          <w:rStyle w:val="19"/>
          <w:rFonts w:ascii="仿宋" w:hAnsi="仿宋" w:eastAsia="仿宋"/>
          <w:bCs/>
          <w:sz w:val="32"/>
          <w:szCs w:val="32"/>
        </w:rPr>
        <w:t>:</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3</w:t>
      </w:r>
      <w:r>
        <w:rPr>
          <w:rStyle w:val="19"/>
          <w:rFonts w:hint="eastAsia" w:ascii="仿宋" w:hAnsi="仿宋" w:eastAsia="仿宋"/>
          <w:b w:val="0"/>
          <w:bCs/>
          <w:sz w:val="32"/>
          <w:szCs w:val="32"/>
        </w:rPr>
        <w:t>万元，完成预算100</w:t>
      </w:r>
      <w:r>
        <w:rPr>
          <w:rStyle w:val="19"/>
          <w:rFonts w:ascii="仿宋" w:hAnsi="仿宋" w:eastAsia="仿宋"/>
          <w:b w:val="0"/>
          <w:bCs/>
          <w:sz w:val="32"/>
          <w:szCs w:val="32"/>
        </w:rPr>
        <w:t>%</w:t>
      </w:r>
      <w:r>
        <w:rPr>
          <w:rStyle w:val="19"/>
          <w:rFonts w:hint="eastAsia" w:ascii="仿宋" w:hAnsi="仿宋" w:eastAsia="仿宋"/>
          <w:b w:val="0"/>
          <w:bCs/>
          <w:sz w:val="32"/>
          <w:szCs w:val="32"/>
        </w:rPr>
        <w:t>，决算数等于预算数。</w:t>
      </w:r>
    </w:p>
    <w:p>
      <w:pPr>
        <w:spacing w:line="600" w:lineRule="exact"/>
        <w:ind w:firstLine="643" w:firstLineChars="200"/>
        <w:rPr>
          <w:rFonts w:ascii="仿宋" w:hAnsi="仿宋" w:eastAsia="仿宋"/>
          <w:b/>
          <w:sz w:val="32"/>
          <w:szCs w:val="32"/>
        </w:rPr>
      </w:pPr>
      <w:r>
        <w:rPr>
          <w:rStyle w:val="19"/>
          <w:rFonts w:ascii="仿宋" w:hAnsi="仿宋" w:eastAsia="仿宋"/>
          <w:bCs/>
          <w:sz w:val="32"/>
          <w:szCs w:val="32"/>
        </w:rPr>
        <w:t>3.</w:t>
      </w:r>
      <w:r>
        <w:rPr>
          <w:rStyle w:val="19"/>
          <w:rFonts w:hint="eastAsia" w:ascii="仿宋" w:hAnsi="仿宋" w:eastAsia="仿宋"/>
          <w:bCs/>
          <w:sz w:val="32"/>
          <w:szCs w:val="32"/>
        </w:rPr>
        <w:t>社会保障和就业支出（类）行政事业单位养老支出（款）机关事业单位基本养老保险缴费支出（项）</w:t>
      </w:r>
      <w:r>
        <w:rPr>
          <w:rStyle w:val="19"/>
          <w:rFonts w:ascii="仿宋" w:hAnsi="仿宋" w:eastAsia="仿宋"/>
          <w:bCs/>
          <w:sz w:val="32"/>
          <w:szCs w:val="32"/>
        </w:rPr>
        <w:t>:</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8.15</w:t>
      </w:r>
      <w:r>
        <w:rPr>
          <w:rStyle w:val="19"/>
          <w:rFonts w:hint="eastAsia" w:ascii="仿宋" w:hAnsi="仿宋" w:eastAsia="仿宋"/>
          <w:b w:val="0"/>
          <w:bCs/>
          <w:sz w:val="32"/>
          <w:szCs w:val="32"/>
        </w:rPr>
        <w:t>万元，完成预算100</w:t>
      </w:r>
      <w:r>
        <w:rPr>
          <w:rStyle w:val="19"/>
          <w:rFonts w:ascii="仿宋" w:hAnsi="仿宋" w:eastAsia="仿宋"/>
          <w:b w:val="0"/>
          <w:bCs/>
          <w:sz w:val="32"/>
          <w:szCs w:val="32"/>
        </w:rPr>
        <w:t>%</w:t>
      </w:r>
      <w:r>
        <w:rPr>
          <w:rStyle w:val="19"/>
          <w:rFonts w:hint="eastAsia" w:ascii="仿宋" w:hAnsi="仿宋" w:eastAsia="仿宋"/>
          <w:b w:val="0"/>
          <w:bCs/>
          <w:sz w:val="32"/>
          <w:szCs w:val="32"/>
        </w:rPr>
        <w:t>，决算数等于预算数。</w:t>
      </w:r>
    </w:p>
    <w:p>
      <w:pPr>
        <w:spacing w:line="600" w:lineRule="exact"/>
        <w:ind w:firstLine="643" w:firstLineChars="200"/>
        <w:rPr>
          <w:rFonts w:ascii="仿宋" w:hAnsi="仿宋" w:eastAsia="仿宋"/>
          <w:b/>
          <w:bCs/>
          <w:sz w:val="32"/>
          <w:szCs w:val="32"/>
        </w:rPr>
      </w:pPr>
      <w:r>
        <w:rPr>
          <w:rStyle w:val="19"/>
          <w:rFonts w:ascii="仿宋" w:hAnsi="仿宋" w:eastAsia="仿宋"/>
          <w:bCs/>
          <w:sz w:val="32"/>
          <w:szCs w:val="32"/>
        </w:rPr>
        <w:t>4.</w:t>
      </w:r>
      <w:r>
        <w:rPr>
          <w:rStyle w:val="19"/>
          <w:rFonts w:hint="eastAsia" w:ascii="仿宋" w:hAnsi="仿宋" w:eastAsia="仿宋"/>
          <w:bCs/>
          <w:sz w:val="32"/>
          <w:szCs w:val="32"/>
        </w:rPr>
        <w:t>社会保障和就业支出（类）抚恤（款）伤残抚恤（项）</w:t>
      </w:r>
      <w:r>
        <w:rPr>
          <w:rStyle w:val="19"/>
          <w:rFonts w:ascii="仿宋" w:hAnsi="仿宋" w:eastAsia="仿宋"/>
          <w:bCs/>
          <w:sz w:val="32"/>
          <w:szCs w:val="32"/>
        </w:rPr>
        <w:t>:</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14.9</w:t>
      </w:r>
      <w:r>
        <w:rPr>
          <w:rStyle w:val="19"/>
          <w:rFonts w:hint="eastAsia" w:ascii="仿宋" w:hAnsi="仿宋" w:eastAsia="仿宋"/>
          <w:b w:val="0"/>
          <w:bCs/>
          <w:sz w:val="32"/>
          <w:szCs w:val="32"/>
        </w:rPr>
        <w:t>万元，完成预算100</w:t>
      </w:r>
      <w:r>
        <w:rPr>
          <w:rStyle w:val="19"/>
          <w:rFonts w:ascii="仿宋" w:hAnsi="仿宋" w:eastAsia="仿宋"/>
          <w:b w:val="0"/>
          <w:bCs/>
          <w:sz w:val="32"/>
          <w:szCs w:val="32"/>
        </w:rPr>
        <w:t>%</w:t>
      </w:r>
      <w:r>
        <w:rPr>
          <w:rStyle w:val="19"/>
          <w:rFonts w:hint="eastAsia" w:ascii="仿宋" w:hAnsi="仿宋" w:eastAsia="仿宋"/>
          <w:b w:val="0"/>
          <w:bCs/>
          <w:sz w:val="32"/>
          <w:szCs w:val="32"/>
        </w:rPr>
        <w:t>，决算数等于预算数。</w:t>
      </w:r>
    </w:p>
    <w:p>
      <w:pPr>
        <w:spacing w:line="600" w:lineRule="exact"/>
        <w:ind w:firstLine="643" w:firstLineChars="200"/>
        <w:rPr>
          <w:rFonts w:ascii="仿宋" w:hAnsi="仿宋" w:eastAsia="仿宋"/>
          <w:b/>
          <w:sz w:val="32"/>
          <w:szCs w:val="32"/>
        </w:rPr>
      </w:pPr>
      <w:r>
        <w:rPr>
          <w:rStyle w:val="19"/>
          <w:rFonts w:hint="eastAsia" w:ascii="仿宋" w:hAnsi="仿宋" w:eastAsia="仿宋"/>
          <w:bCs/>
          <w:sz w:val="32"/>
          <w:szCs w:val="32"/>
        </w:rPr>
        <w:t>5</w:t>
      </w:r>
      <w:r>
        <w:rPr>
          <w:rStyle w:val="19"/>
          <w:rFonts w:ascii="仿宋" w:hAnsi="仿宋" w:eastAsia="仿宋"/>
          <w:bCs/>
          <w:sz w:val="32"/>
          <w:szCs w:val="32"/>
        </w:rPr>
        <w:t>.</w:t>
      </w:r>
      <w:r>
        <w:rPr>
          <w:rStyle w:val="19"/>
          <w:rFonts w:hint="eastAsia" w:ascii="仿宋" w:hAnsi="仿宋" w:eastAsia="仿宋"/>
          <w:bCs/>
          <w:sz w:val="32"/>
          <w:szCs w:val="32"/>
        </w:rPr>
        <w:t xml:space="preserve"> 社会保障和就业支出（类）抚恤（款）义务兵优待（项）</w:t>
      </w:r>
      <w:r>
        <w:rPr>
          <w:rStyle w:val="19"/>
          <w:rFonts w:ascii="仿宋" w:hAnsi="仿宋" w:eastAsia="仿宋"/>
          <w:bCs/>
          <w:sz w:val="32"/>
          <w:szCs w:val="32"/>
        </w:rPr>
        <w:t>:</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195.28</w:t>
      </w:r>
      <w:r>
        <w:rPr>
          <w:rStyle w:val="19"/>
          <w:rFonts w:hint="eastAsia" w:ascii="仿宋" w:hAnsi="仿宋" w:eastAsia="仿宋"/>
          <w:b w:val="0"/>
          <w:bCs/>
          <w:sz w:val="32"/>
          <w:szCs w:val="32"/>
        </w:rPr>
        <w:t>万元，完成预算100</w:t>
      </w:r>
      <w:r>
        <w:rPr>
          <w:rStyle w:val="19"/>
          <w:rFonts w:ascii="仿宋" w:hAnsi="仿宋" w:eastAsia="仿宋"/>
          <w:b w:val="0"/>
          <w:bCs/>
          <w:sz w:val="32"/>
          <w:szCs w:val="32"/>
        </w:rPr>
        <w:t>%</w:t>
      </w:r>
      <w:r>
        <w:rPr>
          <w:rStyle w:val="19"/>
          <w:rFonts w:hint="eastAsia" w:ascii="仿宋" w:hAnsi="仿宋" w:eastAsia="仿宋"/>
          <w:b w:val="0"/>
          <w:bCs/>
          <w:sz w:val="32"/>
          <w:szCs w:val="32"/>
        </w:rPr>
        <w:t>，决算数等于预算数。</w:t>
      </w:r>
    </w:p>
    <w:p>
      <w:pPr>
        <w:spacing w:line="600" w:lineRule="exact"/>
        <w:ind w:firstLine="640"/>
        <w:rPr>
          <w:rStyle w:val="19"/>
          <w:rFonts w:hint="eastAsia" w:ascii="仿宋" w:hAnsi="仿宋" w:eastAsia="仿宋"/>
          <w:b w:val="0"/>
          <w:bCs/>
          <w:sz w:val="32"/>
          <w:szCs w:val="32"/>
        </w:rPr>
      </w:pPr>
      <w:r>
        <w:rPr>
          <w:rStyle w:val="19"/>
          <w:rFonts w:hint="eastAsia" w:ascii="仿宋" w:hAnsi="仿宋" w:eastAsia="仿宋"/>
          <w:bCs/>
          <w:sz w:val="32"/>
          <w:szCs w:val="32"/>
        </w:rPr>
        <w:t>6</w:t>
      </w:r>
      <w:r>
        <w:rPr>
          <w:rStyle w:val="19"/>
          <w:rFonts w:ascii="仿宋" w:hAnsi="仿宋" w:eastAsia="仿宋"/>
          <w:bCs/>
          <w:sz w:val="32"/>
          <w:szCs w:val="32"/>
        </w:rPr>
        <w:t>.</w:t>
      </w:r>
      <w:r>
        <w:rPr>
          <w:rStyle w:val="19"/>
          <w:rFonts w:hint="eastAsia" w:ascii="仿宋" w:hAnsi="仿宋" w:eastAsia="仿宋"/>
          <w:bCs/>
          <w:sz w:val="32"/>
          <w:szCs w:val="32"/>
        </w:rPr>
        <w:t>社会保障和就业支出（类）抚恤（款）其他优抚支出（项）</w:t>
      </w:r>
      <w:r>
        <w:rPr>
          <w:rStyle w:val="19"/>
          <w:rFonts w:ascii="仿宋" w:hAnsi="仿宋" w:eastAsia="仿宋"/>
          <w:bCs/>
          <w:sz w:val="32"/>
          <w:szCs w:val="32"/>
        </w:rPr>
        <w:t>:</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417.96</w:t>
      </w:r>
      <w:r>
        <w:rPr>
          <w:rStyle w:val="19"/>
          <w:rFonts w:hint="eastAsia" w:ascii="仿宋" w:hAnsi="仿宋" w:eastAsia="仿宋"/>
          <w:b w:val="0"/>
          <w:bCs/>
          <w:sz w:val="32"/>
          <w:szCs w:val="32"/>
        </w:rPr>
        <w:t>万元，完成预算100</w:t>
      </w:r>
      <w:r>
        <w:rPr>
          <w:rStyle w:val="19"/>
          <w:rFonts w:ascii="仿宋" w:hAnsi="仿宋" w:eastAsia="仿宋"/>
          <w:b w:val="0"/>
          <w:bCs/>
          <w:sz w:val="32"/>
          <w:szCs w:val="32"/>
        </w:rPr>
        <w:t>%</w:t>
      </w:r>
      <w:r>
        <w:rPr>
          <w:rStyle w:val="19"/>
          <w:rFonts w:hint="eastAsia" w:ascii="仿宋" w:hAnsi="仿宋" w:eastAsia="仿宋"/>
          <w:b w:val="0"/>
          <w:bCs/>
          <w:sz w:val="32"/>
          <w:szCs w:val="32"/>
        </w:rPr>
        <w:t>，决算数等于预算数。</w:t>
      </w:r>
    </w:p>
    <w:p>
      <w:pPr>
        <w:pStyle w:val="6"/>
        <w:rPr>
          <w:rFonts w:hint="eastAsia" w:eastAsia="仿宋"/>
          <w:lang w:val="en-US" w:eastAsia="zh-CN"/>
        </w:rPr>
      </w:pPr>
      <w:r>
        <w:rPr>
          <w:rStyle w:val="19"/>
          <w:rFonts w:hint="eastAsia" w:ascii="仿宋" w:hAnsi="仿宋" w:eastAsia="仿宋"/>
          <w:bCs/>
          <w:sz w:val="32"/>
          <w:szCs w:val="32"/>
          <w:lang w:val="en-US" w:eastAsia="zh-CN"/>
        </w:rPr>
        <w:t xml:space="preserve">    7.</w:t>
      </w:r>
      <w:r>
        <w:rPr>
          <w:rStyle w:val="19"/>
          <w:rFonts w:hint="eastAsia" w:ascii="仿宋" w:hAnsi="仿宋" w:eastAsia="仿宋"/>
          <w:bCs/>
          <w:sz w:val="32"/>
          <w:szCs w:val="32"/>
        </w:rPr>
        <w:t>社会保障和就业支出（类）退役安置（款）退役士兵安置（项）</w:t>
      </w:r>
      <w:r>
        <w:rPr>
          <w:rStyle w:val="19"/>
          <w:rFonts w:ascii="仿宋" w:hAnsi="仿宋" w:eastAsia="仿宋"/>
          <w:bCs/>
          <w:sz w:val="32"/>
          <w:szCs w:val="32"/>
        </w:rPr>
        <w:t>:</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38.5</w:t>
      </w:r>
      <w:r>
        <w:rPr>
          <w:rStyle w:val="19"/>
          <w:rFonts w:hint="eastAsia" w:ascii="仿宋" w:hAnsi="仿宋" w:eastAsia="仿宋"/>
          <w:b w:val="0"/>
          <w:bCs/>
          <w:sz w:val="32"/>
          <w:szCs w:val="32"/>
        </w:rPr>
        <w:t>万元，完成预算100</w:t>
      </w:r>
      <w:r>
        <w:rPr>
          <w:rStyle w:val="19"/>
          <w:rFonts w:ascii="仿宋" w:hAnsi="仿宋" w:eastAsia="仿宋"/>
          <w:b w:val="0"/>
          <w:bCs/>
          <w:sz w:val="32"/>
          <w:szCs w:val="32"/>
        </w:rPr>
        <w:t>%</w:t>
      </w:r>
      <w:r>
        <w:rPr>
          <w:rStyle w:val="19"/>
          <w:rFonts w:hint="eastAsia" w:ascii="仿宋" w:hAnsi="仿宋" w:eastAsia="仿宋"/>
          <w:b w:val="0"/>
          <w:bCs/>
          <w:sz w:val="32"/>
          <w:szCs w:val="32"/>
        </w:rPr>
        <w:t>，决算数等于预算数。</w:t>
      </w:r>
    </w:p>
    <w:p>
      <w:pPr>
        <w:spacing w:line="600" w:lineRule="exact"/>
        <w:ind w:firstLine="640"/>
        <w:rPr>
          <w:rStyle w:val="19"/>
          <w:rFonts w:hint="eastAsia" w:ascii="仿宋" w:hAnsi="仿宋" w:eastAsia="仿宋"/>
          <w:bCs/>
          <w:sz w:val="32"/>
          <w:szCs w:val="32"/>
        </w:rPr>
      </w:pPr>
      <w:r>
        <w:rPr>
          <w:rStyle w:val="19"/>
          <w:rFonts w:hint="eastAsia" w:ascii="仿宋" w:hAnsi="仿宋" w:eastAsia="仿宋"/>
          <w:bCs/>
          <w:sz w:val="32"/>
          <w:szCs w:val="32"/>
          <w:lang w:val="en-US" w:eastAsia="zh-CN"/>
        </w:rPr>
        <w:t>8.</w:t>
      </w:r>
      <w:r>
        <w:rPr>
          <w:rStyle w:val="19"/>
          <w:rFonts w:hint="eastAsia" w:ascii="仿宋" w:hAnsi="仿宋" w:eastAsia="仿宋"/>
          <w:bCs/>
          <w:sz w:val="32"/>
          <w:szCs w:val="32"/>
        </w:rPr>
        <w:t>社会保障和就业支出（类）退役安置（款）退役士兵管理教育（项）</w:t>
      </w:r>
      <w:r>
        <w:rPr>
          <w:rStyle w:val="19"/>
          <w:rFonts w:ascii="仿宋" w:hAnsi="仿宋" w:eastAsia="仿宋"/>
          <w:bCs/>
          <w:sz w:val="32"/>
          <w:szCs w:val="32"/>
        </w:rPr>
        <w:t>:</w:t>
      </w:r>
      <w:r>
        <w:rPr>
          <w:rStyle w:val="19"/>
          <w:rFonts w:hint="eastAsia" w:ascii="仿宋" w:hAnsi="仿宋" w:eastAsia="仿宋"/>
          <w:b w:val="0"/>
          <w:bCs/>
          <w:sz w:val="32"/>
          <w:szCs w:val="32"/>
        </w:rPr>
        <w:t>支出决算</w:t>
      </w:r>
      <w:r>
        <w:rPr>
          <w:rStyle w:val="19"/>
          <w:rFonts w:hint="eastAsia" w:ascii="仿宋" w:hAnsi="仿宋" w:eastAsia="仿宋"/>
          <w:b w:val="0"/>
          <w:bCs/>
          <w:sz w:val="32"/>
          <w:szCs w:val="32"/>
          <w:lang w:val="en-US" w:eastAsia="zh-CN"/>
        </w:rPr>
        <w:t>2.91</w:t>
      </w:r>
      <w:r>
        <w:rPr>
          <w:rStyle w:val="19"/>
          <w:rFonts w:hint="eastAsia" w:ascii="仿宋" w:hAnsi="仿宋" w:eastAsia="仿宋"/>
          <w:b w:val="0"/>
          <w:bCs/>
          <w:sz w:val="32"/>
          <w:szCs w:val="32"/>
        </w:rPr>
        <w:t>万元，完成预算100</w:t>
      </w:r>
      <w:r>
        <w:rPr>
          <w:rStyle w:val="19"/>
          <w:rFonts w:ascii="仿宋" w:hAnsi="仿宋" w:eastAsia="仿宋"/>
          <w:b w:val="0"/>
          <w:bCs/>
          <w:sz w:val="32"/>
          <w:szCs w:val="32"/>
        </w:rPr>
        <w:t>%</w:t>
      </w:r>
      <w:r>
        <w:rPr>
          <w:rStyle w:val="19"/>
          <w:rFonts w:hint="eastAsia" w:ascii="仿宋" w:hAnsi="仿宋" w:eastAsia="仿宋"/>
          <w:b w:val="0"/>
          <w:bCs/>
          <w:sz w:val="32"/>
          <w:szCs w:val="32"/>
        </w:rPr>
        <w:t>，决算数等于预算数。</w:t>
      </w:r>
    </w:p>
    <w:p>
      <w:pPr>
        <w:spacing w:line="600" w:lineRule="exact"/>
        <w:ind w:firstLine="640"/>
        <w:rPr>
          <w:rStyle w:val="19"/>
          <w:rFonts w:hint="eastAsia" w:ascii="仿宋" w:hAnsi="仿宋" w:eastAsia="仿宋"/>
          <w:bCs/>
          <w:sz w:val="32"/>
          <w:szCs w:val="32"/>
        </w:rPr>
      </w:pPr>
      <w:r>
        <w:rPr>
          <w:rStyle w:val="19"/>
          <w:rFonts w:hint="eastAsia" w:ascii="仿宋" w:hAnsi="仿宋" w:eastAsia="仿宋"/>
          <w:bCs/>
          <w:sz w:val="32"/>
          <w:szCs w:val="32"/>
          <w:lang w:val="en-US" w:eastAsia="zh-CN"/>
        </w:rPr>
        <w:t>9.</w:t>
      </w:r>
      <w:r>
        <w:rPr>
          <w:rStyle w:val="19"/>
          <w:rFonts w:hint="eastAsia" w:ascii="仿宋" w:hAnsi="仿宋" w:eastAsia="仿宋"/>
          <w:bCs/>
          <w:sz w:val="32"/>
          <w:szCs w:val="32"/>
        </w:rPr>
        <w:t>社会保障和就业支出（类）退役安置（款）军队转业干部安置（项）</w:t>
      </w:r>
      <w:r>
        <w:rPr>
          <w:rStyle w:val="19"/>
          <w:rFonts w:ascii="仿宋" w:hAnsi="仿宋" w:eastAsia="仿宋"/>
          <w:bCs/>
          <w:sz w:val="32"/>
          <w:szCs w:val="32"/>
        </w:rPr>
        <w:t>:</w:t>
      </w:r>
      <w:r>
        <w:rPr>
          <w:rStyle w:val="19"/>
          <w:rFonts w:hint="eastAsia" w:ascii="仿宋" w:hAnsi="仿宋" w:eastAsia="仿宋"/>
          <w:b w:val="0"/>
          <w:bCs/>
          <w:sz w:val="32"/>
          <w:szCs w:val="32"/>
        </w:rPr>
        <w:t>支出决算</w:t>
      </w:r>
      <w:r>
        <w:rPr>
          <w:rStyle w:val="19"/>
          <w:rFonts w:hint="eastAsia" w:ascii="仿宋" w:hAnsi="仿宋" w:eastAsia="仿宋"/>
          <w:b w:val="0"/>
          <w:bCs/>
          <w:sz w:val="32"/>
          <w:szCs w:val="32"/>
          <w:lang w:val="en-US" w:eastAsia="zh-CN"/>
        </w:rPr>
        <w:t>26.53</w:t>
      </w:r>
      <w:r>
        <w:rPr>
          <w:rStyle w:val="19"/>
          <w:rFonts w:hint="eastAsia" w:ascii="仿宋" w:hAnsi="仿宋" w:eastAsia="仿宋"/>
          <w:b w:val="0"/>
          <w:bCs/>
          <w:sz w:val="32"/>
          <w:szCs w:val="32"/>
        </w:rPr>
        <w:t>万元，完成预算100</w:t>
      </w:r>
      <w:r>
        <w:rPr>
          <w:rStyle w:val="19"/>
          <w:rFonts w:ascii="仿宋" w:hAnsi="仿宋" w:eastAsia="仿宋"/>
          <w:b w:val="0"/>
          <w:bCs/>
          <w:sz w:val="32"/>
          <w:szCs w:val="32"/>
        </w:rPr>
        <w:t>%</w:t>
      </w:r>
      <w:r>
        <w:rPr>
          <w:rStyle w:val="19"/>
          <w:rFonts w:hint="eastAsia" w:ascii="仿宋" w:hAnsi="仿宋" w:eastAsia="仿宋"/>
          <w:b w:val="0"/>
          <w:bCs/>
          <w:sz w:val="32"/>
          <w:szCs w:val="32"/>
        </w:rPr>
        <w:t>，决算数等于预算数。</w:t>
      </w:r>
    </w:p>
    <w:p>
      <w:pPr>
        <w:spacing w:line="600" w:lineRule="exact"/>
        <w:ind w:firstLine="640"/>
        <w:rPr>
          <w:rStyle w:val="19"/>
          <w:rFonts w:hint="eastAsia" w:ascii="仿宋" w:hAnsi="仿宋" w:eastAsia="仿宋"/>
          <w:bCs/>
          <w:sz w:val="32"/>
          <w:szCs w:val="32"/>
        </w:rPr>
      </w:pPr>
      <w:r>
        <w:rPr>
          <w:rStyle w:val="19"/>
          <w:rFonts w:hint="eastAsia" w:ascii="仿宋" w:hAnsi="仿宋" w:eastAsia="仿宋"/>
          <w:bCs/>
          <w:sz w:val="32"/>
          <w:szCs w:val="32"/>
          <w:lang w:val="en-US" w:eastAsia="zh-CN"/>
        </w:rPr>
        <w:t>10.</w:t>
      </w:r>
      <w:r>
        <w:rPr>
          <w:rStyle w:val="19"/>
          <w:rFonts w:hint="eastAsia" w:ascii="仿宋" w:hAnsi="仿宋" w:eastAsia="仿宋"/>
          <w:bCs/>
          <w:sz w:val="32"/>
          <w:szCs w:val="32"/>
        </w:rPr>
        <w:t>社会保障和就业支出（类）退役安置（款）其他退役安置支出（项）</w:t>
      </w:r>
      <w:r>
        <w:rPr>
          <w:rStyle w:val="19"/>
          <w:rFonts w:ascii="仿宋" w:hAnsi="仿宋" w:eastAsia="仿宋"/>
          <w:bCs/>
          <w:sz w:val="32"/>
          <w:szCs w:val="32"/>
        </w:rPr>
        <w:t>:</w:t>
      </w:r>
      <w:r>
        <w:rPr>
          <w:rStyle w:val="19"/>
          <w:rFonts w:hint="eastAsia" w:ascii="仿宋" w:hAnsi="仿宋" w:eastAsia="仿宋"/>
          <w:b w:val="0"/>
          <w:bCs/>
          <w:sz w:val="32"/>
          <w:szCs w:val="32"/>
        </w:rPr>
        <w:t>支出决算</w:t>
      </w:r>
      <w:r>
        <w:rPr>
          <w:rStyle w:val="19"/>
          <w:rFonts w:hint="eastAsia" w:ascii="仿宋" w:hAnsi="仿宋" w:eastAsia="仿宋"/>
          <w:b w:val="0"/>
          <w:bCs/>
          <w:sz w:val="32"/>
          <w:szCs w:val="32"/>
          <w:lang w:val="en-US" w:eastAsia="zh-CN"/>
        </w:rPr>
        <w:t>5.02</w:t>
      </w:r>
      <w:r>
        <w:rPr>
          <w:rStyle w:val="19"/>
          <w:rFonts w:hint="eastAsia" w:ascii="仿宋" w:hAnsi="仿宋" w:eastAsia="仿宋"/>
          <w:b w:val="0"/>
          <w:bCs/>
          <w:sz w:val="32"/>
          <w:szCs w:val="32"/>
        </w:rPr>
        <w:t>万元，完成预算100</w:t>
      </w:r>
      <w:r>
        <w:rPr>
          <w:rStyle w:val="19"/>
          <w:rFonts w:ascii="仿宋" w:hAnsi="仿宋" w:eastAsia="仿宋"/>
          <w:b w:val="0"/>
          <w:bCs/>
          <w:sz w:val="32"/>
          <w:szCs w:val="32"/>
        </w:rPr>
        <w:t>%</w:t>
      </w:r>
      <w:r>
        <w:rPr>
          <w:rStyle w:val="19"/>
          <w:rFonts w:hint="eastAsia" w:ascii="仿宋" w:hAnsi="仿宋" w:eastAsia="仿宋"/>
          <w:b w:val="0"/>
          <w:bCs/>
          <w:sz w:val="32"/>
          <w:szCs w:val="32"/>
        </w:rPr>
        <w:t>，决算数等于预算数。</w:t>
      </w:r>
    </w:p>
    <w:p>
      <w:pPr>
        <w:spacing w:line="600" w:lineRule="exact"/>
        <w:ind w:firstLine="640"/>
        <w:rPr>
          <w:rStyle w:val="19"/>
          <w:rFonts w:hint="eastAsia" w:ascii="仿宋" w:hAnsi="仿宋" w:eastAsia="仿宋"/>
          <w:bCs/>
          <w:sz w:val="32"/>
          <w:szCs w:val="32"/>
        </w:rPr>
      </w:pPr>
      <w:r>
        <w:rPr>
          <w:rStyle w:val="19"/>
          <w:rFonts w:hint="eastAsia" w:ascii="仿宋" w:hAnsi="仿宋" w:eastAsia="仿宋"/>
          <w:bCs/>
          <w:sz w:val="32"/>
          <w:szCs w:val="32"/>
          <w:lang w:val="en-US" w:eastAsia="zh-CN"/>
        </w:rPr>
        <w:t>11.</w:t>
      </w:r>
      <w:r>
        <w:rPr>
          <w:rStyle w:val="19"/>
          <w:rFonts w:hint="eastAsia" w:ascii="仿宋" w:hAnsi="仿宋" w:eastAsia="仿宋"/>
          <w:bCs/>
          <w:sz w:val="32"/>
          <w:szCs w:val="32"/>
        </w:rPr>
        <w:t>社会保障和就业支出（类）退役军人管理事务</w:t>
      </w:r>
      <w:r>
        <w:rPr>
          <w:rStyle w:val="19"/>
          <w:rFonts w:hint="eastAsia" w:ascii="仿宋" w:hAnsi="仿宋" w:eastAsia="仿宋"/>
          <w:bCs/>
          <w:sz w:val="32"/>
          <w:szCs w:val="32"/>
          <w:lang w:eastAsia="zh-CN"/>
        </w:rPr>
        <w:t>（</w:t>
      </w:r>
      <w:r>
        <w:rPr>
          <w:rStyle w:val="19"/>
          <w:rFonts w:hint="eastAsia" w:ascii="仿宋" w:hAnsi="仿宋" w:eastAsia="仿宋"/>
          <w:bCs/>
          <w:sz w:val="32"/>
          <w:szCs w:val="32"/>
        </w:rPr>
        <w:t>款）行政运行（项）</w:t>
      </w:r>
      <w:r>
        <w:rPr>
          <w:rStyle w:val="19"/>
          <w:rFonts w:ascii="仿宋" w:hAnsi="仿宋" w:eastAsia="仿宋"/>
          <w:bCs/>
          <w:sz w:val="32"/>
          <w:szCs w:val="32"/>
        </w:rPr>
        <w:t>:</w:t>
      </w:r>
      <w:r>
        <w:rPr>
          <w:rStyle w:val="19"/>
          <w:rFonts w:hint="eastAsia" w:ascii="仿宋" w:hAnsi="仿宋" w:eastAsia="仿宋"/>
          <w:b w:val="0"/>
          <w:bCs/>
          <w:sz w:val="32"/>
          <w:szCs w:val="32"/>
        </w:rPr>
        <w:t>支出决算</w:t>
      </w:r>
      <w:r>
        <w:rPr>
          <w:rStyle w:val="19"/>
          <w:rFonts w:hint="eastAsia" w:ascii="仿宋" w:hAnsi="仿宋" w:eastAsia="仿宋"/>
          <w:b w:val="0"/>
          <w:bCs/>
          <w:sz w:val="32"/>
          <w:szCs w:val="32"/>
          <w:lang w:val="en-US" w:eastAsia="zh-CN"/>
        </w:rPr>
        <w:t>55.93</w:t>
      </w:r>
      <w:r>
        <w:rPr>
          <w:rStyle w:val="19"/>
          <w:rFonts w:hint="eastAsia" w:ascii="仿宋" w:hAnsi="仿宋" w:eastAsia="仿宋"/>
          <w:b w:val="0"/>
          <w:bCs/>
          <w:sz w:val="32"/>
          <w:szCs w:val="32"/>
        </w:rPr>
        <w:t>万元，完成预算100</w:t>
      </w:r>
      <w:r>
        <w:rPr>
          <w:rStyle w:val="19"/>
          <w:rFonts w:ascii="仿宋" w:hAnsi="仿宋" w:eastAsia="仿宋"/>
          <w:b w:val="0"/>
          <w:bCs/>
          <w:sz w:val="32"/>
          <w:szCs w:val="32"/>
        </w:rPr>
        <w:t>%</w:t>
      </w:r>
      <w:r>
        <w:rPr>
          <w:rStyle w:val="19"/>
          <w:rFonts w:hint="eastAsia" w:ascii="仿宋" w:hAnsi="仿宋" w:eastAsia="仿宋"/>
          <w:b w:val="0"/>
          <w:bCs/>
          <w:sz w:val="32"/>
          <w:szCs w:val="32"/>
        </w:rPr>
        <w:t>，决算数等于预算数。</w:t>
      </w:r>
    </w:p>
    <w:p>
      <w:pPr>
        <w:spacing w:line="600" w:lineRule="exact"/>
        <w:ind w:firstLine="640"/>
        <w:rPr>
          <w:rStyle w:val="19"/>
          <w:rFonts w:hint="eastAsia" w:ascii="仿宋" w:hAnsi="仿宋" w:eastAsia="仿宋"/>
          <w:bCs/>
          <w:sz w:val="32"/>
          <w:szCs w:val="32"/>
        </w:rPr>
      </w:pPr>
      <w:r>
        <w:rPr>
          <w:rStyle w:val="19"/>
          <w:rFonts w:hint="eastAsia" w:ascii="仿宋" w:hAnsi="仿宋" w:eastAsia="仿宋"/>
          <w:bCs/>
          <w:sz w:val="32"/>
          <w:szCs w:val="32"/>
          <w:lang w:val="en-US" w:eastAsia="zh-CN"/>
        </w:rPr>
        <w:t>12.</w:t>
      </w:r>
      <w:r>
        <w:rPr>
          <w:rStyle w:val="19"/>
          <w:rFonts w:hint="eastAsia" w:ascii="仿宋" w:hAnsi="仿宋" w:eastAsia="仿宋"/>
          <w:bCs/>
          <w:sz w:val="32"/>
          <w:szCs w:val="32"/>
        </w:rPr>
        <w:t>社会保障和就业支出（类）退役军人管理事务</w:t>
      </w:r>
      <w:r>
        <w:rPr>
          <w:rStyle w:val="19"/>
          <w:rFonts w:hint="eastAsia" w:ascii="仿宋" w:hAnsi="仿宋" w:eastAsia="仿宋"/>
          <w:bCs/>
          <w:sz w:val="32"/>
          <w:szCs w:val="32"/>
          <w:lang w:eastAsia="zh-CN"/>
        </w:rPr>
        <w:t>（</w:t>
      </w:r>
      <w:r>
        <w:rPr>
          <w:rStyle w:val="19"/>
          <w:rFonts w:hint="eastAsia" w:ascii="仿宋" w:hAnsi="仿宋" w:eastAsia="仿宋"/>
          <w:bCs/>
          <w:sz w:val="32"/>
          <w:szCs w:val="32"/>
        </w:rPr>
        <w:t>款）拥军优属（项）</w:t>
      </w:r>
      <w:r>
        <w:rPr>
          <w:rStyle w:val="19"/>
          <w:rFonts w:ascii="仿宋" w:hAnsi="仿宋" w:eastAsia="仿宋"/>
          <w:bCs/>
          <w:sz w:val="32"/>
          <w:szCs w:val="32"/>
        </w:rPr>
        <w:t>:</w:t>
      </w:r>
      <w:r>
        <w:rPr>
          <w:rStyle w:val="19"/>
          <w:rFonts w:hint="eastAsia" w:ascii="仿宋" w:hAnsi="仿宋" w:eastAsia="仿宋"/>
          <w:b w:val="0"/>
          <w:bCs/>
          <w:sz w:val="32"/>
          <w:szCs w:val="32"/>
        </w:rPr>
        <w:t>支出决算</w:t>
      </w:r>
      <w:r>
        <w:rPr>
          <w:rStyle w:val="19"/>
          <w:rFonts w:hint="eastAsia" w:ascii="仿宋" w:hAnsi="仿宋" w:eastAsia="仿宋"/>
          <w:b w:val="0"/>
          <w:bCs/>
          <w:sz w:val="32"/>
          <w:szCs w:val="32"/>
          <w:lang w:val="en-US" w:eastAsia="zh-CN"/>
        </w:rPr>
        <w:t>58.65</w:t>
      </w:r>
      <w:r>
        <w:rPr>
          <w:rStyle w:val="19"/>
          <w:rFonts w:hint="eastAsia" w:ascii="仿宋" w:hAnsi="仿宋" w:eastAsia="仿宋"/>
          <w:b w:val="0"/>
          <w:bCs/>
          <w:sz w:val="32"/>
          <w:szCs w:val="32"/>
        </w:rPr>
        <w:t>万元，完成预算100</w:t>
      </w:r>
      <w:r>
        <w:rPr>
          <w:rStyle w:val="19"/>
          <w:rFonts w:ascii="仿宋" w:hAnsi="仿宋" w:eastAsia="仿宋"/>
          <w:b w:val="0"/>
          <w:bCs/>
          <w:sz w:val="32"/>
          <w:szCs w:val="32"/>
        </w:rPr>
        <w:t>%</w:t>
      </w:r>
      <w:r>
        <w:rPr>
          <w:rStyle w:val="19"/>
          <w:rFonts w:hint="eastAsia" w:ascii="仿宋" w:hAnsi="仿宋" w:eastAsia="仿宋"/>
          <w:b w:val="0"/>
          <w:bCs/>
          <w:sz w:val="32"/>
          <w:szCs w:val="32"/>
        </w:rPr>
        <w:t>，决算数等于预算数。</w:t>
      </w:r>
    </w:p>
    <w:p>
      <w:pPr>
        <w:spacing w:line="600" w:lineRule="exact"/>
        <w:ind w:firstLine="640"/>
        <w:rPr>
          <w:rStyle w:val="19"/>
          <w:rFonts w:hint="eastAsia" w:ascii="仿宋" w:hAnsi="仿宋" w:eastAsia="仿宋"/>
          <w:bCs/>
          <w:sz w:val="32"/>
          <w:szCs w:val="32"/>
        </w:rPr>
      </w:pPr>
      <w:r>
        <w:rPr>
          <w:rStyle w:val="19"/>
          <w:rFonts w:hint="eastAsia" w:ascii="仿宋" w:hAnsi="仿宋" w:eastAsia="仿宋"/>
          <w:bCs/>
          <w:sz w:val="32"/>
          <w:szCs w:val="32"/>
          <w:lang w:val="en-US" w:eastAsia="zh-CN"/>
        </w:rPr>
        <w:t>13.</w:t>
      </w:r>
      <w:r>
        <w:rPr>
          <w:rStyle w:val="19"/>
          <w:rFonts w:hint="eastAsia" w:ascii="仿宋" w:hAnsi="仿宋" w:eastAsia="仿宋"/>
          <w:bCs/>
          <w:sz w:val="32"/>
          <w:szCs w:val="32"/>
        </w:rPr>
        <w:t>社会保障和就业支出（类）退役军人管理事务</w:t>
      </w:r>
      <w:r>
        <w:rPr>
          <w:rStyle w:val="19"/>
          <w:rFonts w:hint="eastAsia" w:ascii="仿宋" w:hAnsi="仿宋" w:eastAsia="仿宋"/>
          <w:bCs/>
          <w:sz w:val="32"/>
          <w:szCs w:val="32"/>
          <w:lang w:eastAsia="zh-CN"/>
        </w:rPr>
        <w:t>（</w:t>
      </w:r>
      <w:r>
        <w:rPr>
          <w:rStyle w:val="19"/>
          <w:rFonts w:hint="eastAsia" w:ascii="仿宋" w:hAnsi="仿宋" w:eastAsia="仿宋"/>
          <w:bCs/>
          <w:sz w:val="32"/>
          <w:szCs w:val="32"/>
        </w:rPr>
        <w:t>款）事业运行（项）</w:t>
      </w:r>
      <w:r>
        <w:rPr>
          <w:rStyle w:val="19"/>
          <w:rFonts w:ascii="仿宋" w:hAnsi="仿宋" w:eastAsia="仿宋"/>
          <w:bCs/>
          <w:sz w:val="32"/>
          <w:szCs w:val="32"/>
        </w:rPr>
        <w:t>:</w:t>
      </w:r>
      <w:r>
        <w:rPr>
          <w:rStyle w:val="19"/>
          <w:rFonts w:hint="eastAsia" w:ascii="仿宋" w:hAnsi="仿宋" w:eastAsia="仿宋"/>
          <w:b w:val="0"/>
          <w:bCs/>
          <w:sz w:val="32"/>
          <w:szCs w:val="32"/>
        </w:rPr>
        <w:t>支出决算</w:t>
      </w:r>
      <w:r>
        <w:rPr>
          <w:rStyle w:val="19"/>
          <w:rFonts w:hint="eastAsia" w:ascii="仿宋" w:hAnsi="仿宋" w:eastAsia="仿宋"/>
          <w:b w:val="0"/>
          <w:bCs/>
          <w:sz w:val="32"/>
          <w:szCs w:val="32"/>
          <w:lang w:val="en-US" w:eastAsia="zh-CN"/>
        </w:rPr>
        <w:t>50.47</w:t>
      </w:r>
      <w:r>
        <w:rPr>
          <w:rStyle w:val="19"/>
          <w:rFonts w:hint="eastAsia" w:ascii="仿宋" w:hAnsi="仿宋" w:eastAsia="仿宋"/>
          <w:b w:val="0"/>
          <w:bCs/>
          <w:sz w:val="32"/>
          <w:szCs w:val="32"/>
        </w:rPr>
        <w:t>万元，完成预算100</w:t>
      </w:r>
      <w:r>
        <w:rPr>
          <w:rStyle w:val="19"/>
          <w:rFonts w:ascii="仿宋" w:hAnsi="仿宋" w:eastAsia="仿宋"/>
          <w:b w:val="0"/>
          <w:bCs/>
          <w:sz w:val="32"/>
          <w:szCs w:val="32"/>
        </w:rPr>
        <w:t>%</w:t>
      </w:r>
      <w:r>
        <w:rPr>
          <w:rStyle w:val="19"/>
          <w:rFonts w:hint="eastAsia" w:ascii="仿宋" w:hAnsi="仿宋" w:eastAsia="仿宋"/>
          <w:b w:val="0"/>
          <w:bCs/>
          <w:sz w:val="32"/>
          <w:szCs w:val="32"/>
        </w:rPr>
        <w:t>，决算数等于预算数。</w:t>
      </w:r>
    </w:p>
    <w:p>
      <w:pPr>
        <w:spacing w:line="600" w:lineRule="exact"/>
        <w:ind w:firstLine="640"/>
        <w:rPr>
          <w:rStyle w:val="19"/>
          <w:rFonts w:hint="eastAsia" w:ascii="仿宋" w:hAnsi="仿宋" w:eastAsia="仿宋"/>
          <w:bCs/>
          <w:sz w:val="32"/>
          <w:szCs w:val="32"/>
        </w:rPr>
      </w:pPr>
      <w:r>
        <w:rPr>
          <w:rStyle w:val="19"/>
          <w:rFonts w:hint="eastAsia" w:ascii="仿宋" w:hAnsi="仿宋" w:eastAsia="仿宋"/>
          <w:bCs/>
          <w:sz w:val="32"/>
          <w:szCs w:val="32"/>
          <w:lang w:val="en-US" w:eastAsia="zh-CN"/>
        </w:rPr>
        <w:t>14.</w:t>
      </w:r>
      <w:r>
        <w:rPr>
          <w:rStyle w:val="19"/>
          <w:rFonts w:hint="eastAsia" w:ascii="仿宋" w:hAnsi="仿宋" w:eastAsia="仿宋"/>
          <w:bCs/>
          <w:sz w:val="32"/>
          <w:szCs w:val="32"/>
        </w:rPr>
        <w:t>社会保障和就业支出（类）退役军人管理事务</w:t>
      </w:r>
      <w:r>
        <w:rPr>
          <w:rStyle w:val="19"/>
          <w:rFonts w:hint="eastAsia" w:ascii="仿宋" w:hAnsi="仿宋" w:eastAsia="仿宋"/>
          <w:bCs/>
          <w:sz w:val="32"/>
          <w:szCs w:val="32"/>
          <w:lang w:eastAsia="zh-CN"/>
        </w:rPr>
        <w:t>（</w:t>
      </w:r>
      <w:r>
        <w:rPr>
          <w:rStyle w:val="19"/>
          <w:rFonts w:hint="eastAsia" w:ascii="仿宋" w:hAnsi="仿宋" w:eastAsia="仿宋"/>
          <w:bCs/>
          <w:sz w:val="32"/>
          <w:szCs w:val="32"/>
        </w:rPr>
        <w:t>款）其他退役军人事务管理支出（项）</w:t>
      </w:r>
      <w:r>
        <w:rPr>
          <w:rStyle w:val="19"/>
          <w:rFonts w:ascii="仿宋" w:hAnsi="仿宋" w:eastAsia="仿宋"/>
          <w:bCs/>
          <w:sz w:val="32"/>
          <w:szCs w:val="32"/>
        </w:rPr>
        <w:t>:</w:t>
      </w:r>
      <w:r>
        <w:rPr>
          <w:rStyle w:val="19"/>
          <w:rFonts w:hint="eastAsia" w:ascii="仿宋" w:hAnsi="仿宋" w:eastAsia="仿宋"/>
          <w:b w:val="0"/>
          <w:bCs/>
          <w:sz w:val="32"/>
          <w:szCs w:val="32"/>
        </w:rPr>
        <w:t>支出决算</w:t>
      </w:r>
      <w:r>
        <w:rPr>
          <w:rStyle w:val="19"/>
          <w:rFonts w:hint="eastAsia" w:ascii="仿宋" w:hAnsi="仿宋" w:eastAsia="仿宋"/>
          <w:b w:val="0"/>
          <w:bCs/>
          <w:sz w:val="32"/>
          <w:szCs w:val="32"/>
          <w:lang w:val="en-US" w:eastAsia="zh-CN"/>
        </w:rPr>
        <w:t>6.6</w:t>
      </w:r>
      <w:r>
        <w:rPr>
          <w:rStyle w:val="19"/>
          <w:rFonts w:hint="eastAsia" w:ascii="仿宋" w:hAnsi="仿宋" w:eastAsia="仿宋"/>
          <w:b w:val="0"/>
          <w:bCs/>
          <w:sz w:val="32"/>
          <w:szCs w:val="32"/>
        </w:rPr>
        <w:t>万元，完成预算100</w:t>
      </w:r>
      <w:r>
        <w:rPr>
          <w:rStyle w:val="19"/>
          <w:rFonts w:ascii="仿宋" w:hAnsi="仿宋" w:eastAsia="仿宋"/>
          <w:b w:val="0"/>
          <w:bCs/>
          <w:sz w:val="32"/>
          <w:szCs w:val="32"/>
        </w:rPr>
        <w:t>%</w:t>
      </w:r>
      <w:r>
        <w:rPr>
          <w:rStyle w:val="19"/>
          <w:rFonts w:hint="eastAsia" w:ascii="仿宋" w:hAnsi="仿宋" w:eastAsia="仿宋"/>
          <w:b w:val="0"/>
          <w:bCs/>
          <w:sz w:val="32"/>
          <w:szCs w:val="32"/>
        </w:rPr>
        <w:t>，决算数等于预算数。</w:t>
      </w:r>
    </w:p>
    <w:p>
      <w:pPr>
        <w:spacing w:line="600" w:lineRule="exact"/>
        <w:ind w:firstLine="640"/>
        <w:rPr>
          <w:rStyle w:val="19"/>
          <w:rFonts w:ascii="仿宋" w:hAnsi="仿宋" w:eastAsia="仿宋"/>
          <w:b w:val="0"/>
          <w:bCs/>
          <w:sz w:val="32"/>
          <w:szCs w:val="32"/>
        </w:rPr>
      </w:pPr>
      <w:r>
        <w:rPr>
          <w:rStyle w:val="19"/>
          <w:rFonts w:hint="eastAsia" w:ascii="仿宋" w:hAnsi="仿宋" w:eastAsia="仿宋"/>
          <w:bCs/>
          <w:sz w:val="32"/>
          <w:szCs w:val="32"/>
          <w:lang w:val="en-US" w:eastAsia="zh-CN"/>
        </w:rPr>
        <w:t>15.</w:t>
      </w:r>
      <w:r>
        <w:rPr>
          <w:rStyle w:val="19"/>
          <w:rFonts w:hint="eastAsia" w:ascii="仿宋" w:hAnsi="仿宋" w:eastAsia="仿宋"/>
          <w:bCs/>
          <w:sz w:val="32"/>
          <w:szCs w:val="32"/>
        </w:rPr>
        <w:t>卫生健康支出（类）行政事业单位医疗（款）行政单位医疗（项）</w:t>
      </w:r>
      <w:r>
        <w:rPr>
          <w:rStyle w:val="19"/>
          <w:rFonts w:ascii="仿宋" w:hAnsi="仿宋" w:eastAsia="仿宋"/>
          <w:bCs/>
          <w:sz w:val="32"/>
          <w:szCs w:val="32"/>
        </w:rPr>
        <w:t>:</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2.49</w:t>
      </w:r>
      <w:r>
        <w:rPr>
          <w:rStyle w:val="19"/>
          <w:rFonts w:hint="eastAsia" w:ascii="仿宋" w:hAnsi="仿宋" w:eastAsia="仿宋"/>
          <w:b w:val="0"/>
          <w:bCs/>
          <w:sz w:val="32"/>
          <w:szCs w:val="32"/>
        </w:rPr>
        <w:t>万元，完成预算100</w:t>
      </w:r>
      <w:r>
        <w:rPr>
          <w:rStyle w:val="19"/>
          <w:rFonts w:ascii="仿宋" w:hAnsi="仿宋" w:eastAsia="仿宋"/>
          <w:b w:val="0"/>
          <w:bCs/>
          <w:sz w:val="32"/>
          <w:szCs w:val="32"/>
        </w:rPr>
        <w:t>%</w:t>
      </w:r>
      <w:r>
        <w:rPr>
          <w:rStyle w:val="19"/>
          <w:rFonts w:hint="eastAsia" w:ascii="仿宋" w:hAnsi="仿宋" w:eastAsia="仿宋"/>
          <w:b w:val="0"/>
          <w:bCs/>
          <w:sz w:val="32"/>
          <w:szCs w:val="32"/>
        </w:rPr>
        <w:t>，决算数等于预算数。</w:t>
      </w:r>
    </w:p>
    <w:p>
      <w:pPr>
        <w:pStyle w:val="6"/>
        <w:spacing w:before="93"/>
        <w:ind w:firstLine="642"/>
        <w:rPr>
          <w:rStyle w:val="19"/>
          <w:rFonts w:ascii="仿宋" w:hAnsi="仿宋" w:eastAsia="仿宋"/>
          <w:b w:val="0"/>
          <w:bCs/>
          <w:sz w:val="32"/>
          <w:szCs w:val="32"/>
        </w:rPr>
      </w:pPr>
      <w:r>
        <w:rPr>
          <w:rStyle w:val="19"/>
          <w:rFonts w:hint="eastAsia" w:ascii="仿宋" w:hAnsi="仿宋" w:eastAsia="仿宋"/>
          <w:bCs/>
          <w:sz w:val="32"/>
          <w:szCs w:val="32"/>
          <w:lang w:val="en-US" w:eastAsia="zh-CN"/>
        </w:rPr>
        <w:t>16</w:t>
      </w:r>
      <w:r>
        <w:rPr>
          <w:rStyle w:val="19"/>
          <w:rFonts w:ascii="仿宋" w:hAnsi="仿宋" w:eastAsia="仿宋"/>
          <w:bCs/>
          <w:sz w:val="32"/>
          <w:szCs w:val="32"/>
        </w:rPr>
        <w:t>.</w:t>
      </w:r>
      <w:r>
        <w:rPr>
          <w:rStyle w:val="19"/>
          <w:rFonts w:hint="eastAsia" w:ascii="仿宋" w:hAnsi="仿宋" w:eastAsia="仿宋"/>
          <w:bCs/>
          <w:sz w:val="32"/>
          <w:szCs w:val="32"/>
        </w:rPr>
        <w:t>卫生健康支出（类）行政事业单位医疗（款）事业单位医疗（项）</w:t>
      </w:r>
      <w:r>
        <w:rPr>
          <w:rStyle w:val="19"/>
          <w:rFonts w:ascii="仿宋" w:hAnsi="仿宋" w:eastAsia="仿宋"/>
          <w:bCs/>
          <w:sz w:val="32"/>
          <w:szCs w:val="32"/>
        </w:rPr>
        <w:t>:</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3.09</w:t>
      </w:r>
      <w:r>
        <w:rPr>
          <w:rStyle w:val="19"/>
          <w:rFonts w:hint="eastAsia" w:ascii="仿宋" w:hAnsi="仿宋" w:eastAsia="仿宋"/>
          <w:b w:val="0"/>
          <w:bCs/>
          <w:sz w:val="32"/>
          <w:szCs w:val="32"/>
        </w:rPr>
        <w:t>万元，完成预算100</w:t>
      </w:r>
      <w:r>
        <w:rPr>
          <w:rStyle w:val="19"/>
          <w:rFonts w:ascii="仿宋" w:hAnsi="仿宋" w:eastAsia="仿宋"/>
          <w:b w:val="0"/>
          <w:bCs/>
          <w:sz w:val="32"/>
          <w:szCs w:val="32"/>
        </w:rPr>
        <w:t>%</w:t>
      </w:r>
      <w:r>
        <w:rPr>
          <w:rStyle w:val="19"/>
          <w:rFonts w:hint="eastAsia" w:ascii="仿宋" w:hAnsi="仿宋" w:eastAsia="仿宋"/>
          <w:b w:val="0"/>
          <w:bCs/>
          <w:sz w:val="32"/>
          <w:szCs w:val="32"/>
        </w:rPr>
        <w:t>，决算数等于预算数。</w:t>
      </w:r>
    </w:p>
    <w:p>
      <w:pPr>
        <w:pStyle w:val="6"/>
        <w:spacing w:before="93"/>
      </w:pPr>
      <w:r>
        <w:rPr>
          <w:rStyle w:val="19"/>
          <w:rFonts w:hint="eastAsia" w:ascii="仿宋" w:hAnsi="仿宋" w:eastAsia="仿宋"/>
          <w:bCs/>
          <w:sz w:val="32"/>
          <w:szCs w:val="32"/>
        </w:rPr>
        <w:t xml:space="preserve">    </w:t>
      </w:r>
      <w:r>
        <w:rPr>
          <w:rStyle w:val="19"/>
          <w:rFonts w:hint="eastAsia" w:ascii="仿宋" w:hAnsi="仿宋" w:eastAsia="仿宋"/>
          <w:bCs/>
          <w:sz w:val="32"/>
          <w:szCs w:val="32"/>
          <w:lang w:val="en-US" w:eastAsia="zh-CN"/>
        </w:rPr>
        <w:t>17</w:t>
      </w:r>
      <w:r>
        <w:rPr>
          <w:rStyle w:val="19"/>
          <w:rFonts w:ascii="仿宋" w:hAnsi="仿宋" w:eastAsia="仿宋"/>
          <w:bCs/>
          <w:sz w:val="32"/>
          <w:szCs w:val="32"/>
        </w:rPr>
        <w:t>.</w:t>
      </w:r>
      <w:r>
        <w:rPr>
          <w:rStyle w:val="19"/>
          <w:rFonts w:hint="eastAsia" w:ascii="仿宋" w:hAnsi="仿宋" w:eastAsia="仿宋"/>
          <w:bCs/>
          <w:sz w:val="32"/>
          <w:szCs w:val="32"/>
        </w:rPr>
        <w:t>卫生健康支出（类）行政事业单位医疗（款）公务员医疗补助（项）</w:t>
      </w:r>
      <w:r>
        <w:rPr>
          <w:rStyle w:val="19"/>
          <w:rFonts w:ascii="仿宋" w:hAnsi="仿宋" w:eastAsia="仿宋"/>
          <w:bCs/>
          <w:sz w:val="32"/>
          <w:szCs w:val="32"/>
        </w:rPr>
        <w:t>:</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0.21</w:t>
      </w:r>
      <w:r>
        <w:rPr>
          <w:rStyle w:val="19"/>
          <w:rFonts w:hint="eastAsia" w:ascii="仿宋" w:hAnsi="仿宋" w:eastAsia="仿宋"/>
          <w:b w:val="0"/>
          <w:bCs/>
          <w:sz w:val="32"/>
          <w:szCs w:val="32"/>
        </w:rPr>
        <w:t>万元，完成预算100</w:t>
      </w:r>
      <w:r>
        <w:rPr>
          <w:rStyle w:val="19"/>
          <w:rFonts w:ascii="仿宋" w:hAnsi="仿宋" w:eastAsia="仿宋"/>
          <w:b w:val="0"/>
          <w:bCs/>
          <w:sz w:val="32"/>
          <w:szCs w:val="32"/>
        </w:rPr>
        <w:t>%</w:t>
      </w:r>
      <w:r>
        <w:rPr>
          <w:rStyle w:val="19"/>
          <w:rFonts w:hint="eastAsia" w:ascii="仿宋" w:hAnsi="仿宋" w:eastAsia="仿宋"/>
          <w:b w:val="0"/>
          <w:bCs/>
          <w:sz w:val="32"/>
          <w:szCs w:val="32"/>
        </w:rPr>
        <w:t>，决算数等于预算数。</w:t>
      </w:r>
    </w:p>
    <w:p>
      <w:pPr>
        <w:pStyle w:val="6"/>
        <w:spacing w:before="93"/>
      </w:pPr>
      <w:r>
        <w:rPr>
          <w:rStyle w:val="19"/>
          <w:rFonts w:hint="eastAsia" w:ascii="仿宋" w:hAnsi="仿宋" w:eastAsia="仿宋"/>
          <w:bCs/>
          <w:sz w:val="32"/>
          <w:szCs w:val="32"/>
        </w:rPr>
        <w:t xml:space="preserve">    </w:t>
      </w:r>
      <w:r>
        <w:rPr>
          <w:rStyle w:val="19"/>
          <w:rFonts w:hint="eastAsia" w:ascii="仿宋" w:hAnsi="仿宋" w:eastAsia="仿宋"/>
          <w:bCs/>
          <w:sz w:val="32"/>
          <w:szCs w:val="32"/>
          <w:lang w:val="en-US" w:eastAsia="zh-CN"/>
        </w:rPr>
        <w:t>18</w:t>
      </w:r>
      <w:r>
        <w:rPr>
          <w:rStyle w:val="19"/>
          <w:rFonts w:ascii="仿宋" w:hAnsi="仿宋" w:eastAsia="仿宋"/>
          <w:bCs/>
          <w:sz w:val="32"/>
          <w:szCs w:val="32"/>
        </w:rPr>
        <w:t>.</w:t>
      </w:r>
      <w:r>
        <w:rPr>
          <w:rStyle w:val="19"/>
          <w:rFonts w:hint="eastAsia" w:ascii="仿宋" w:hAnsi="仿宋" w:eastAsia="仿宋"/>
          <w:bCs/>
          <w:sz w:val="32"/>
          <w:szCs w:val="32"/>
        </w:rPr>
        <w:t>卫生健康支出（类）行政事业单位医疗（款）</w:t>
      </w:r>
      <w:r>
        <w:rPr>
          <w:rFonts w:hint="eastAsia" w:ascii="Times New Roman"/>
          <w:sz w:val="32"/>
          <w:szCs w:val="32"/>
        </w:rPr>
        <w:t>其他行政事业单位医疗支出</w:t>
      </w:r>
      <w:r>
        <w:rPr>
          <w:rStyle w:val="19"/>
          <w:rFonts w:hint="eastAsia" w:ascii="仿宋" w:hAnsi="仿宋" w:eastAsia="仿宋"/>
          <w:bCs/>
          <w:sz w:val="32"/>
          <w:szCs w:val="32"/>
        </w:rPr>
        <w:t>（项）</w:t>
      </w:r>
      <w:r>
        <w:rPr>
          <w:rStyle w:val="19"/>
          <w:rFonts w:ascii="仿宋" w:hAnsi="仿宋" w:eastAsia="仿宋"/>
          <w:bCs/>
          <w:sz w:val="32"/>
          <w:szCs w:val="32"/>
        </w:rPr>
        <w:t>:</w:t>
      </w:r>
      <w:r>
        <w:rPr>
          <w:rStyle w:val="19"/>
          <w:rFonts w:hint="eastAsia" w:ascii="仿宋" w:hAnsi="仿宋" w:eastAsia="仿宋"/>
          <w:b w:val="0"/>
          <w:bCs/>
          <w:sz w:val="32"/>
          <w:szCs w:val="32"/>
        </w:rPr>
        <w:t>支出决算为0.</w:t>
      </w:r>
      <w:r>
        <w:rPr>
          <w:rStyle w:val="19"/>
          <w:rFonts w:hint="eastAsia" w:ascii="仿宋" w:hAnsi="仿宋" w:eastAsia="仿宋"/>
          <w:b w:val="0"/>
          <w:bCs/>
          <w:sz w:val="32"/>
          <w:szCs w:val="32"/>
          <w:lang w:val="en-US" w:eastAsia="zh-CN"/>
        </w:rPr>
        <w:t>33</w:t>
      </w:r>
      <w:r>
        <w:rPr>
          <w:rStyle w:val="19"/>
          <w:rFonts w:hint="eastAsia" w:ascii="仿宋" w:hAnsi="仿宋" w:eastAsia="仿宋"/>
          <w:b w:val="0"/>
          <w:bCs/>
          <w:sz w:val="32"/>
          <w:szCs w:val="32"/>
        </w:rPr>
        <w:t>万元，完成预算100</w:t>
      </w:r>
      <w:r>
        <w:rPr>
          <w:rStyle w:val="19"/>
          <w:rFonts w:ascii="仿宋" w:hAnsi="仿宋" w:eastAsia="仿宋"/>
          <w:b w:val="0"/>
          <w:bCs/>
          <w:sz w:val="32"/>
          <w:szCs w:val="32"/>
        </w:rPr>
        <w:t>%</w:t>
      </w:r>
      <w:r>
        <w:rPr>
          <w:rStyle w:val="19"/>
          <w:rFonts w:hint="eastAsia" w:ascii="仿宋" w:hAnsi="仿宋" w:eastAsia="仿宋"/>
          <w:b w:val="0"/>
          <w:bCs/>
          <w:sz w:val="32"/>
          <w:szCs w:val="32"/>
        </w:rPr>
        <w:t>，决算数等于预算数。</w:t>
      </w:r>
    </w:p>
    <w:p>
      <w:pPr>
        <w:pStyle w:val="6"/>
        <w:spacing w:before="93"/>
        <w:ind w:firstLine="642"/>
        <w:rPr>
          <w:rStyle w:val="19"/>
          <w:rFonts w:ascii="仿宋" w:hAnsi="仿宋" w:eastAsia="仿宋"/>
          <w:bCs/>
          <w:sz w:val="32"/>
          <w:szCs w:val="32"/>
        </w:rPr>
      </w:pPr>
      <w:r>
        <w:rPr>
          <w:rStyle w:val="19"/>
          <w:rFonts w:hint="eastAsia" w:ascii="仿宋" w:hAnsi="仿宋" w:eastAsia="仿宋"/>
          <w:bCs/>
          <w:sz w:val="32"/>
          <w:szCs w:val="32"/>
          <w:lang w:val="en-US" w:eastAsia="zh-CN"/>
        </w:rPr>
        <w:t>19</w:t>
      </w:r>
      <w:r>
        <w:rPr>
          <w:rStyle w:val="19"/>
          <w:rFonts w:ascii="仿宋" w:hAnsi="仿宋" w:eastAsia="仿宋"/>
          <w:bCs/>
          <w:sz w:val="32"/>
          <w:szCs w:val="32"/>
        </w:rPr>
        <w:t>.</w:t>
      </w:r>
      <w:r>
        <w:rPr>
          <w:rStyle w:val="19"/>
          <w:rFonts w:hint="eastAsia" w:ascii="仿宋" w:hAnsi="仿宋" w:eastAsia="仿宋"/>
          <w:bCs/>
          <w:sz w:val="32"/>
          <w:szCs w:val="32"/>
        </w:rPr>
        <w:t>卫生健康支出（类）优抚对象医疗（款）</w:t>
      </w:r>
      <w:r>
        <w:rPr>
          <w:rFonts w:hint="eastAsia" w:ascii="Times New Roman"/>
          <w:sz w:val="32"/>
          <w:szCs w:val="32"/>
        </w:rPr>
        <w:t>优抚对象医疗补助</w:t>
      </w:r>
      <w:r>
        <w:rPr>
          <w:rStyle w:val="19"/>
          <w:rFonts w:hint="eastAsia" w:ascii="仿宋" w:hAnsi="仿宋" w:eastAsia="仿宋"/>
          <w:bCs/>
          <w:sz w:val="32"/>
          <w:szCs w:val="32"/>
        </w:rPr>
        <w:t>（项）</w:t>
      </w:r>
      <w:r>
        <w:rPr>
          <w:rStyle w:val="19"/>
          <w:rFonts w:ascii="仿宋" w:hAnsi="仿宋" w:eastAsia="仿宋"/>
          <w:bCs/>
          <w:sz w:val="32"/>
          <w:szCs w:val="32"/>
        </w:rPr>
        <w:t>:</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13.89</w:t>
      </w:r>
      <w:r>
        <w:rPr>
          <w:rStyle w:val="19"/>
          <w:rFonts w:hint="eastAsia" w:ascii="仿宋" w:hAnsi="仿宋" w:eastAsia="仿宋"/>
          <w:b w:val="0"/>
          <w:bCs/>
          <w:sz w:val="32"/>
          <w:szCs w:val="32"/>
        </w:rPr>
        <w:t>万元，完成预算100</w:t>
      </w:r>
      <w:r>
        <w:rPr>
          <w:rStyle w:val="19"/>
          <w:rFonts w:ascii="仿宋" w:hAnsi="仿宋" w:eastAsia="仿宋"/>
          <w:b w:val="0"/>
          <w:bCs/>
          <w:sz w:val="32"/>
          <w:szCs w:val="32"/>
        </w:rPr>
        <w:t>%</w:t>
      </w:r>
      <w:r>
        <w:rPr>
          <w:rStyle w:val="19"/>
          <w:rFonts w:hint="eastAsia" w:ascii="仿宋" w:hAnsi="仿宋" w:eastAsia="仿宋"/>
          <w:b w:val="0"/>
          <w:bCs/>
          <w:sz w:val="32"/>
          <w:szCs w:val="32"/>
        </w:rPr>
        <w:t>，决算数等于预算数。</w:t>
      </w:r>
    </w:p>
    <w:p>
      <w:pPr>
        <w:pStyle w:val="6"/>
        <w:spacing w:before="93"/>
        <w:ind w:firstLine="642"/>
        <w:rPr>
          <w:rStyle w:val="19"/>
          <w:b w:val="0"/>
        </w:rPr>
      </w:pPr>
      <w:r>
        <w:rPr>
          <w:rStyle w:val="19"/>
          <w:rFonts w:hint="eastAsia" w:ascii="仿宋" w:hAnsi="仿宋" w:eastAsia="仿宋"/>
          <w:bCs/>
          <w:sz w:val="32"/>
          <w:szCs w:val="32"/>
          <w:lang w:val="en-US" w:eastAsia="zh-CN"/>
        </w:rPr>
        <w:t>20.</w:t>
      </w:r>
      <w:r>
        <w:rPr>
          <w:rStyle w:val="19"/>
          <w:rFonts w:hint="eastAsia" w:ascii="仿宋" w:hAnsi="仿宋" w:eastAsia="仿宋"/>
          <w:bCs/>
          <w:sz w:val="32"/>
          <w:szCs w:val="32"/>
        </w:rPr>
        <w:t>住房保障支出（类）住房改革支出（款）住房公积金（项）</w:t>
      </w:r>
      <w:r>
        <w:rPr>
          <w:rStyle w:val="19"/>
          <w:rFonts w:ascii="仿宋" w:hAnsi="仿宋" w:eastAsia="仿宋"/>
          <w:bCs/>
          <w:sz w:val="32"/>
          <w:szCs w:val="32"/>
        </w:rPr>
        <w:t>:</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9.91</w:t>
      </w:r>
      <w:r>
        <w:rPr>
          <w:rStyle w:val="19"/>
          <w:rFonts w:hint="eastAsia" w:ascii="仿宋" w:hAnsi="仿宋" w:eastAsia="仿宋"/>
          <w:b w:val="0"/>
          <w:bCs/>
          <w:sz w:val="32"/>
          <w:szCs w:val="32"/>
        </w:rPr>
        <w:t>万元，完成预算100</w:t>
      </w:r>
      <w:r>
        <w:rPr>
          <w:rStyle w:val="19"/>
          <w:rFonts w:ascii="仿宋" w:hAnsi="仿宋" w:eastAsia="仿宋"/>
          <w:b w:val="0"/>
          <w:bCs/>
          <w:sz w:val="32"/>
          <w:szCs w:val="32"/>
        </w:rPr>
        <w:t>%</w:t>
      </w:r>
      <w:r>
        <w:rPr>
          <w:rStyle w:val="19"/>
          <w:rFonts w:hint="eastAsia" w:ascii="仿宋" w:hAnsi="仿宋" w:eastAsia="仿宋"/>
          <w:b w:val="0"/>
          <w:bCs/>
          <w:sz w:val="32"/>
          <w:szCs w:val="32"/>
        </w:rPr>
        <w:t>，决算数等于预算数。</w:t>
      </w:r>
    </w:p>
    <w:p>
      <w:pPr>
        <w:tabs>
          <w:tab w:val="right" w:pos="8306"/>
        </w:tabs>
        <w:spacing w:line="600" w:lineRule="exact"/>
        <w:ind w:firstLine="640"/>
        <w:outlineLvl w:val="1"/>
        <w:rPr>
          <w:rStyle w:val="32"/>
        </w:rPr>
      </w:pPr>
      <w:bookmarkStart w:id="34" w:name="_Toc15377214"/>
      <w:bookmarkStart w:id="35"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2"/>
          <w:rFonts w:hint="eastAsia" w:ascii="黑体" w:hAnsi="黑体" w:eastAsia="黑体"/>
          <w:b w:val="0"/>
        </w:rPr>
        <w:t>般公共预算财政拨款基本支出决算情况说明</w:t>
      </w:r>
      <w:bookmarkEnd w:id="34"/>
      <w:bookmarkEnd w:id="35"/>
      <w:r>
        <w:rPr>
          <w:rStyle w:val="32"/>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22年一般公共预算财政拨款基本支出</w:t>
      </w:r>
      <w:r>
        <w:rPr>
          <w:rFonts w:hint="eastAsia" w:ascii="仿宋" w:hAnsi="仿宋" w:eastAsia="仿宋"/>
          <w:sz w:val="32"/>
          <w:szCs w:val="32"/>
          <w:lang w:val="en-US" w:eastAsia="zh-CN"/>
        </w:rPr>
        <w:t>915.3</w:t>
      </w:r>
      <w:r>
        <w:rPr>
          <w:rFonts w:hint="eastAsia" w:ascii="仿宋" w:hAnsi="仿宋" w:eastAsia="仿宋"/>
          <w:sz w:val="32"/>
          <w:szCs w:val="32"/>
        </w:rPr>
        <w:t>万元，其中：</w:t>
      </w:r>
    </w:p>
    <w:p>
      <w:pPr>
        <w:spacing w:line="600" w:lineRule="exact"/>
        <w:ind w:firstLine="645"/>
        <w:rPr>
          <w:rFonts w:ascii="仿宋" w:hAnsi="仿宋" w:eastAsia="仿宋"/>
          <w:b/>
          <w:sz w:val="32"/>
          <w:szCs w:val="32"/>
        </w:rPr>
      </w:pPr>
      <w:r>
        <w:rPr>
          <w:rFonts w:hint="eastAsia" w:ascii="仿宋" w:hAnsi="仿宋" w:eastAsia="仿宋"/>
          <w:sz w:val="32"/>
          <w:szCs w:val="32"/>
        </w:rPr>
        <w:t>人员经费</w:t>
      </w:r>
      <w:r>
        <w:rPr>
          <w:rFonts w:hint="eastAsia" w:ascii="仿宋" w:hAnsi="仿宋" w:eastAsia="仿宋"/>
          <w:sz w:val="32"/>
          <w:szCs w:val="32"/>
          <w:lang w:val="en-US" w:eastAsia="zh-CN"/>
        </w:rPr>
        <w:t>121.54</w:t>
      </w:r>
      <w:r>
        <w:rPr>
          <w:rFonts w:hint="eastAsia" w:ascii="仿宋" w:hAnsi="仿宋" w:eastAsia="仿宋"/>
          <w:sz w:val="32"/>
          <w:szCs w:val="32"/>
        </w:rPr>
        <w:t>万元，主要包括：基本工资、津贴补贴、奖金、绩效工资、机关事业单位基本养老保险缴费、职工基本医疗保险缴费、公务员医疗补助缴费、其他社会保障缴费、其他工资福利支出、住房公积金。</w:t>
      </w:r>
      <w:r>
        <w:rPr>
          <w:rFonts w:ascii="仿宋" w:hAnsi="仿宋" w:eastAsia="仿宋"/>
          <w:sz w:val="32"/>
          <w:szCs w:val="32"/>
        </w:rPr>
        <w:br w:type="textWrapping"/>
      </w:r>
      <w:r>
        <w:rPr>
          <w:rFonts w:hint="eastAsia" w:ascii="仿宋" w:hAnsi="仿宋" w:eastAsia="仿宋"/>
          <w:sz w:val="32"/>
          <w:szCs w:val="32"/>
        </w:rPr>
        <w:t>　　公用经费</w:t>
      </w:r>
      <w:r>
        <w:rPr>
          <w:rFonts w:hint="eastAsia" w:ascii="仿宋" w:hAnsi="仿宋" w:eastAsia="仿宋"/>
          <w:sz w:val="32"/>
          <w:szCs w:val="32"/>
          <w:lang w:val="en-US" w:eastAsia="zh-CN"/>
        </w:rPr>
        <w:t>9.03</w:t>
      </w:r>
      <w:r>
        <w:rPr>
          <w:rFonts w:hint="eastAsia" w:ascii="仿宋" w:hAnsi="仿宋" w:eastAsia="仿宋"/>
          <w:sz w:val="32"/>
          <w:szCs w:val="32"/>
        </w:rPr>
        <w:t>万元，主要包括：办公费、</w:t>
      </w:r>
      <w:r>
        <w:rPr>
          <w:rFonts w:hint="eastAsia" w:ascii="仿宋" w:hAnsi="仿宋" w:eastAsia="仿宋"/>
          <w:sz w:val="32"/>
          <w:szCs w:val="32"/>
          <w:lang w:eastAsia="zh-CN"/>
        </w:rPr>
        <w:t>印刷</w:t>
      </w:r>
      <w:r>
        <w:rPr>
          <w:rFonts w:hint="eastAsia" w:ascii="仿宋" w:hAnsi="仿宋" w:eastAsia="仿宋"/>
          <w:sz w:val="32"/>
          <w:szCs w:val="32"/>
        </w:rPr>
        <w:t>费、邮电费、差旅费、劳务费、工会经费、其他交通费。</w:t>
      </w:r>
    </w:p>
    <w:p>
      <w:pPr>
        <w:spacing w:line="600" w:lineRule="exact"/>
        <w:ind w:firstLine="640"/>
        <w:outlineLvl w:val="1"/>
        <w:rPr>
          <w:rStyle w:val="32"/>
          <w:rFonts w:ascii="黑体" w:hAnsi="黑体" w:eastAsia="黑体"/>
          <w:b w:val="0"/>
        </w:rPr>
      </w:pPr>
      <w:bookmarkStart w:id="36" w:name="_Toc15377215"/>
      <w:bookmarkStart w:id="37" w:name="_Toc15396609"/>
      <w:r>
        <w:rPr>
          <w:rFonts w:hint="eastAsia" w:ascii="黑体" w:eastAsia="黑体"/>
          <w:sz w:val="32"/>
          <w:szCs w:val="32"/>
        </w:rPr>
        <w:t>七、</w:t>
      </w:r>
      <w:r>
        <w:rPr>
          <w:rStyle w:val="32"/>
          <w:rFonts w:hint="eastAsia" w:ascii="黑体" w:hAnsi="黑体" w:eastAsia="黑体"/>
          <w:b w:val="0"/>
        </w:rPr>
        <w:t>财政拨款</w:t>
      </w:r>
      <w:r>
        <w:rPr>
          <w:rStyle w:val="32"/>
          <w:rFonts w:hint="eastAsia" w:ascii="黑体" w:hAnsi="黑体" w:eastAsia="黑体"/>
        </w:rPr>
        <w:t>“</w:t>
      </w:r>
      <w:r>
        <w:rPr>
          <w:rStyle w:val="32"/>
          <w:rFonts w:hint="eastAsia" w:ascii="黑体" w:hAnsi="黑体" w:eastAsia="黑体"/>
          <w:b w:val="0"/>
        </w:rPr>
        <w:t>三公”经费支出决算情况说明</w:t>
      </w:r>
      <w:bookmarkEnd w:id="36"/>
      <w:bookmarkEnd w:id="37"/>
    </w:p>
    <w:p>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22年“三公”经费财政拨款支出决算为</w:t>
      </w:r>
      <w:r>
        <w:rPr>
          <w:rFonts w:hint="eastAsia" w:ascii="仿宋" w:hAnsi="仿宋" w:eastAsia="仿宋"/>
          <w:sz w:val="32"/>
          <w:szCs w:val="32"/>
          <w:lang w:val="en-US" w:eastAsia="zh-CN"/>
        </w:rPr>
        <w:t>0</w:t>
      </w:r>
      <w:r>
        <w:rPr>
          <w:rFonts w:hint="eastAsia" w:ascii="仿宋" w:hAnsi="仿宋" w:eastAsia="仿宋"/>
          <w:sz w:val="32"/>
          <w:szCs w:val="32"/>
        </w:rPr>
        <w:t>万元，完成预算0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sz w:val="32"/>
          <w:szCs w:val="32"/>
          <w:lang w:val="en-US" w:eastAsia="zh-CN"/>
        </w:rPr>
        <w:t>与上年数据持平</w:t>
      </w:r>
      <w:r>
        <w:rPr>
          <w:rFonts w:hint="eastAsia" w:ascii="仿宋" w:hAnsi="仿宋" w:eastAsia="仿宋"/>
          <w:sz w:val="32"/>
          <w:szCs w:val="32"/>
        </w:rPr>
        <w:t>。</w:t>
      </w:r>
    </w:p>
    <w:p>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w:t>
      </w:r>
      <w:r>
        <w:rPr>
          <w:rFonts w:hint="eastAsia" w:ascii="仿宋" w:hAnsi="仿宋" w:eastAsia="仿宋"/>
          <w:sz w:val="32"/>
          <w:szCs w:val="32"/>
          <w:lang w:val="en-US" w:eastAsia="zh-CN"/>
        </w:rPr>
        <w:t>0</w:t>
      </w:r>
      <w:r>
        <w:rPr>
          <w:rFonts w:hint="eastAsia" w:ascii="仿宋" w:hAnsi="仿宋" w:eastAsia="仿宋"/>
          <w:sz w:val="32"/>
          <w:szCs w:val="32"/>
        </w:rPr>
        <w:t>万元，占0</w:t>
      </w:r>
      <w:r>
        <w:rPr>
          <w:rFonts w:ascii="仿宋" w:hAnsi="仿宋" w:eastAsia="仿宋"/>
          <w:sz w:val="32"/>
          <w:szCs w:val="32"/>
        </w:rPr>
        <w:t>%</w:t>
      </w:r>
      <w:r>
        <w:rPr>
          <w:rFonts w:hint="eastAsia" w:ascii="仿宋" w:hAnsi="仿宋" w:eastAsia="仿宋"/>
          <w:sz w:val="32"/>
          <w:szCs w:val="32"/>
        </w:rPr>
        <w:t>；公务接待费支出决算0万元，占0</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ascii="仿宋" w:hAnsi="仿宋" w:eastAsia="仿宋"/>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9"/>
          <w:rFonts w:hint="eastAsia" w:ascii="仿宋" w:hAnsi="仿宋" w:eastAsia="仿宋"/>
          <w:b w:val="0"/>
          <w:bCs/>
          <w:sz w:val="32"/>
          <w:szCs w:val="32"/>
        </w:rPr>
        <w:t>完成预算0</w:t>
      </w:r>
      <w:r>
        <w:rPr>
          <w:rStyle w:val="19"/>
          <w:rFonts w:ascii="仿宋" w:hAnsi="仿宋" w:eastAsia="仿宋"/>
          <w:b w:val="0"/>
          <w:bCs/>
          <w:sz w:val="32"/>
          <w:szCs w:val="32"/>
        </w:rPr>
        <w:t>%</w:t>
      </w:r>
      <w:r>
        <w:rPr>
          <w:rFonts w:hint="eastAsia" w:ascii="仿宋" w:hAnsi="仿宋" w:eastAsia="仿宋"/>
          <w:sz w:val="32"/>
          <w:szCs w:val="32"/>
        </w:rPr>
        <w:t>，</w:t>
      </w:r>
      <w:r>
        <w:rPr>
          <w:rFonts w:hint="eastAsia" w:ascii="仿宋" w:hAnsi="仿宋" w:eastAsia="仿宋"/>
          <w:sz w:val="32"/>
          <w:szCs w:val="32"/>
          <w:lang w:val="en-US" w:eastAsia="zh-CN"/>
        </w:rPr>
        <w:t>与上年数据持平</w:t>
      </w:r>
      <w:r>
        <w:rPr>
          <w:rStyle w:val="19"/>
          <w:rFonts w:hint="eastAsia" w:ascii="仿宋" w:hAnsi="仿宋" w:eastAsia="仿宋"/>
          <w:b w:val="0"/>
          <w:bCs/>
          <w:sz w:val="32"/>
          <w:szCs w:val="32"/>
        </w:rPr>
        <w:t>。</w:t>
      </w:r>
      <w:r>
        <w:rPr>
          <w:rFonts w:hint="eastAsia" w:ascii="仿宋" w:hAnsi="仿宋" w:eastAsia="仿宋"/>
          <w:sz w:val="32"/>
          <w:szCs w:val="32"/>
        </w:rPr>
        <w:t>全年安排因公出国（境）团组0次，出国（境）0人。</w:t>
      </w:r>
    </w:p>
    <w:p>
      <w:pPr>
        <w:spacing w:line="600" w:lineRule="exact"/>
        <w:ind w:firstLine="640"/>
        <w:rPr>
          <w:rFonts w:ascii="仿宋" w:hAnsi="仿宋" w:eastAsia="仿宋"/>
          <w:sz w:val="32"/>
          <w:szCs w:val="32"/>
        </w:rPr>
      </w:pPr>
      <w:r>
        <w:rPr>
          <w:rFonts w:hint="eastAsia" w:ascii="仿宋" w:hAnsi="仿宋" w:eastAsia="仿宋"/>
          <w:sz w:val="32"/>
          <w:szCs w:val="32"/>
        </w:rPr>
        <w:t>开支内容包括：无。</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Style w:val="19"/>
          <w:rFonts w:hint="eastAsia" w:ascii="仿宋" w:hAnsi="仿宋" w:eastAsia="仿宋"/>
          <w:b w:val="0"/>
          <w:bCs/>
          <w:sz w:val="32"/>
          <w:szCs w:val="32"/>
        </w:rPr>
        <w:t>完成预算</w:t>
      </w:r>
      <w:r>
        <w:rPr>
          <w:rStyle w:val="19"/>
          <w:rFonts w:hint="eastAsia" w:ascii="仿宋" w:hAnsi="仿宋" w:eastAsia="仿宋"/>
          <w:b w:val="0"/>
          <w:bCs/>
          <w:sz w:val="32"/>
          <w:szCs w:val="32"/>
          <w:lang w:val="en-US" w:eastAsia="zh-CN"/>
        </w:rPr>
        <w:t>0</w:t>
      </w:r>
      <w:r>
        <w:rPr>
          <w:rStyle w:val="19"/>
          <w:rFonts w:ascii="仿宋" w:hAnsi="仿宋" w:eastAsia="仿宋"/>
          <w:b w:val="0"/>
          <w:bCs/>
          <w:sz w:val="32"/>
          <w:szCs w:val="32"/>
        </w:rPr>
        <w:t>%</w:t>
      </w:r>
      <w:r>
        <w:rPr>
          <w:rFonts w:hint="eastAsia" w:ascii="仿宋" w:hAnsi="仿宋" w:eastAsia="仿宋"/>
          <w:sz w:val="32"/>
          <w:szCs w:val="32"/>
        </w:rPr>
        <w:t>，</w:t>
      </w:r>
      <w:r>
        <w:rPr>
          <w:rFonts w:hint="eastAsia" w:ascii="仿宋" w:hAnsi="仿宋" w:eastAsia="仿宋"/>
          <w:sz w:val="32"/>
          <w:szCs w:val="32"/>
          <w:lang w:val="en-US" w:eastAsia="zh-CN"/>
        </w:rPr>
        <w:t>与上年数据持平</w:t>
      </w:r>
      <w:r>
        <w:rPr>
          <w:rStyle w:val="19"/>
          <w:rFonts w:hint="eastAsia" w:ascii="仿宋" w:hAnsi="仿宋" w:eastAsia="仿宋"/>
          <w:b w:val="0"/>
          <w:bCs/>
          <w:sz w:val="32"/>
          <w:szCs w:val="32"/>
        </w:rPr>
        <w:t>。</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w:t>
      </w:r>
      <w:r>
        <w:rPr>
          <w:rFonts w:hint="eastAsia" w:ascii="仿宋" w:hAnsi="仿宋" w:eastAsia="仿宋"/>
          <w:sz w:val="32"/>
          <w:szCs w:val="32"/>
        </w:rPr>
        <w:t>全年按规定更新购置公务用车0辆，其中：轿车0辆、金额0万元，越野车0辆、金额0万元，载客汽车0辆、金额0万元。截至</w:t>
      </w:r>
      <w:r>
        <w:rPr>
          <w:rFonts w:ascii="仿宋" w:hAnsi="仿宋" w:eastAsia="仿宋"/>
          <w:sz w:val="32"/>
          <w:szCs w:val="32"/>
        </w:rPr>
        <w:t>20</w:t>
      </w:r>
      <w:r>
        <w:rPr>
          <w:rFonts w:hint="eastAsia" w:ascii="仿宋" w:hAnsi="仿宋" w:eastAsia="仿宋"/>
          <w:sz w:val="32"/>
          <w:szCs w:val="32"/>
        </w:rPr>
        <w:t>22年</w:t>
      </w:r>
      <w:r>
        <w:rPr>
          <w:rFonts w:ascii="仿宋" w:hAnsi="仿宋" w:eastAsia="仿宋"/>
          <w:sz w:val="32"/>
          <w:szCs w:val="32"/>
        </w:rPr>
        <w:t>12</w:t>
      </w:r>
      <w:r>
        <w:rPr>
          <w:rFonts w:hint="eastAsia" w:ascii="仿宋" w:hAnsi="仿宋" w:eastAsia="仿宋"/>
          <w:sz w:val="32"/>
          <w:szCs w:val="32"/>
        </w:rPr>
        <w:t>月底，单位共有公务用车</w:t>
      </w:r>
      <w:r>
        <w:rPr>
          <w:rFonts w:hint="eastAsia" w:ascii="仿宋" w:hAnsi="仿宋" w:eastAsia="仿宋"/>
          <w:sz w:val="32"/>
          <w:szCs w:val="32"/>
          <w:lang w:val="en-US" w:eastAsia="zh-CN"/>
        </w:rPr>
        <w:t>0</w:t>
      </w:r>
      <w:r>
        <w:rPr>
          <w:rFonts w:hint="eastAsia" w:ascii="仿宋" w:hAnsi="仿宋" w:eastAsia="仿宋"/>
          <w:sz w:val="32"/>
          <w:szCs w:val="32"/>
        </w:rPr>
        <w:t>辆，其中：轿车0辆、越野车</w:t>
      </w:r>
      <w:r>
        <w:rPr>
          <w:rFonts w:hint="eastAsia" w:ascii="仿宋" w:hAnsi="仿宋" w:eastAsia="仿宋"/>
          <w:sz w:val="32"/>
          <w:szCs w:val="32"/>
          <w:lang w:val="en-US" w:eastAsia="zh-CN"/>
        </w:rPr>
        <w:t>0</w:t>
      </w:r>
      <w:r>
        <w:rPr>
          <w:rFonts w:hint="eastAsia" w:ascii="仿宋" w:hAnsi="仿宋" w:eastAsia="仿宋"/>
          <w:sz w:val="32"/>
          <w:szCs w:val="32"/>
        </w:rPr>
        <w:t>辆、载客汽车0辆。</w:t>
      </w:r>
    </w:p>
    <w:p>
      <w:pPr>
        <w:spacing w:line="600" w:lineRule="exact"/>
        <w:ind w:firstLine="640"/>
        <w:rPr>
          <w:rFonts w:hint="eastAsia"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600" w:lineRule="exact"/>
        <w:ind w:firstLine="640"/>
        <w:rPr>
          <w:rStyle w:val="19"/>
          <w:rFonts w:ascii="仿宋" w:hAnsi="仿宋" w:eastAsia="仿宋"/>
          <w:bCs/>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0万元，</w:t>
      </w:r>
      <w:r>
        <w:rPr>
          <w:rStyle w:val="19"/>
          <w:rFonts w:hint="eastAsia" w:ascii="仿宋" w:hAnsi="仿宋" w:eastAsia="仿宋"/>
          <w:b w:val="0"/>
          <w:bCs/>
          <w:sz w:val="32"/>
          <w:szCs w:val="32"/>
        </w:rPr>
        <w:t>完成预算0</w:t>
      </w:r>
      <w:r>
        <w:rPr>
          <w:rStyle w:val="19"/>
          <w:rFonts w:ascii="仿宋" w:hAnsi="仿宋" w:eastAsia="仿宋"/>
          <w:b w:val="0"/>
          <w:bCs/>
          <w:sz w:val="32"/>
          <w:szCs w:val="32"/>
        </w:rPr>
        <w:t>%</w:t>
      </w:r>
      <w:r>
        <w:rPr>
          <w:rFonts w:hint="eastAsia" w:ascii="仿宋" w:hAnsi="仿宋" w:eastAsia="仿宋"/>
          <w:sz w:val="32"/>
          <w:szCs w:val="32"/>
        </w:rPr>
        <w:t>，</w:t>
      </w:r>
      <w:r>
        <w:rPr>
          <w:rFonts w:hint="eastAsia" w:ascii="仿宋" w:hAnsi="仿宋" w:eastAsia="仿宋"/>
          <w:sz w:val="32"/>
          <w:szCs w:val="32"/>
          <w:lang w:val="en-US" w:eastAsia="zh-CN"/>
        </w:rPr>
        <w:t>与上年数据持平</w:t>
      </w:r>
      <w:r>
        <w:rPr>
          <w:rStyle w:val="19"/>
          <w:rFonts w:hint="eastAsia" w:ascii="仿宋" w:hAnsi="仿宋" w:eastAsia="仿宋"/>
          <w:b w:val="0"/>
          <w:bCs/>
          <w:sz w:val="32"/>
          <w:szCs w:val="32"/>
        </w:rPr>
        <w:t>。其中：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0</w:t>
      </w:r>
      <w:r>
        <w:rPr>
          <w:rFonts w:hint="eastAsia" w:ascii="仿宋_GB2312" w:eastAsia="仿宋_GB2312"/>
          <w:sz w:val="32"/>
          <w:szCs w:val="32"/>
        </w:rPr>
        <w:t>万元</w:t>
      </w:r>
      <w:r>
        <w:rPr>
          <w:rStyle w:val="19"/>
          <w:rFonts w:hint="eastAsia" w:ascii="仿宋" w:hAnsi="仿宋" w:eastAsia="仿宋"/>
          <w:b w:val="0"/>
          <w:bCs/>
          <w:sz w:val="32"/>
          <w:szCs w:val="32"/>
        </w:rPr>
        <w:t>。</w:t>
      </w:r>
    </w:p>
    <w:p>
      <w:pPr>
        <w:spacing w:line="600" w:lineRule="exact"/>
        <w:ind w:firstLine="643" w:firstLineChars="200"/>
        <w:rPr>
          <w:rFonts w:ascii="仿宋" w:hAnsi="仿宋" w:eastAsia="仿宋"/>
          <w:sz w:val="32"/>
          <w:szCs w:val="32"/>
        </w:rPr>
      </w:pPr>
      <w:r>
        <w:rPr>
          <w:rFonts w:hint="eastAsia" w:ascii="仿宋" w:hAnsi="仿宋" w:eastAsia="仿宋"/>
          <w:b/>
          <w:sz w:val="32"/>
          <w:szCs w:val="32"/>
        </w:rPr>
        <w:t>外事接待支出</w:t>
      </w:r>
      <w:r>
        <w:rPr>
          <w:rFonts w:hint="eastAsia" w:ascii="仿宋" w:hAnsi="仿宋" w:eastAsia="仿宋"/>
          <w:sz w:val="32"/>
          <w:szCs w:val="32"/>
        </w:rPr>
        <w:t>0万元。</w:t>
      </w:r>
      <w:bookmarkStart w:id="40" w:name="_Toc15377218"/>
      <w:bookmarkStart w:id="41" w:name="_Toc15396610"/>
    </w:p>
    <w:p>
      <w:pPr>
        <w:spacing w:line="600" w:lineRule="exact"/>
        <w:ind w:firstLine="640"/>
        <w:outlineLvl w:val="1"/>
        <w:rPr>
          <w:rStyle w:val="32"/>
          <w:rFonts w:ascii="黑体" w:hAnsi="黑体" w:eastAsia="黑体"/>
        </w:rPr>
      </w:pPr>
      <w:r>
        <w:rPr>
          <w:rFonts w:hint="eastAsia" w:ascii="黑体" w:eastAsia="黑体"/>
          <w:sz w:val="32"/>
          <w:szCs w:val="32"/>
        </w:rPr>
        <w:t>八、</w:t>
      </w:r>
      <w:r>
        <w:rPr>
          <w:rStyle w:val="32"/>
          <w:rFonts w:hint="eastAsia" w:ascii="黑体" w:hAnsi="黑体" w:eastAsia="黑体"/>
          <w:b w:val="0"/>
        </w:rPr>
        <w:t>政府性基金预算支出决算情况说明</w:t>
      </w:r>
      <w:bookmarkEnd w:id="40"/>
      <w:bookmarkEnd w:id="41"/>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22年政府性基金预算财政拨款支出</w:t>
      </w:r>
      <w:r>
        <w:rPr>
          <w:rFonts w:hint="eastAsia" w:ascii="仿宋" w:hAnsi="仿宋" w:eastAsia="仿宋"/>
          <w:sz w:val="32"/>
          <w:szCs w:val="32"/>
          <w:lang w:val="en-US" w:eastAsia="zh-CN"/>
        </w:rPr>
        <w:t>0</w:t>
      </w:r>
      <w:r>
        <w:rPr>
          <w:rFonts w:hint="eastAsia" w:ascii="仿宋" w:hAnsi="仿宋" w:eastAsia="仿宋"/>
          <w:sz w:val="32"/>
          <w:szCs w:val="32"/>
        </w:rPr>
        <w:t>万元。</w:t>
      </w:r>
    </w:p>
    <w:p>
      <w:pPr>
        <w:numPr>
          <w:ilvl w:val="0"/>
          <w:numId w:val="2"/>
        </w:numPr>
        <w:spacing w:line="600" w:lineRule="exact"/>
        <w:ind w:firstLine="640"/>
        <w:outlineLvl w:val="1"/>
        <w:rPr>
          <w:rStyle w:val="32"/>
          <w:rFonts w:ascii="黑体" w:hAnsi="黑体" w:eastAsia="黑体"/>
          <w:b w:val="0"/>
        </w:rPr>
      </w:pPr>
      <w:bookmarkStart w:id="42" w:name="_Toc15377219"/>
      <w:bookmarkStart w:id="43" w:name="_Toc15396611"/>
      <w:r>
        <w:rPr>
          <w:rStyle w:val="32"/>
          <w:rFonts w:hint="eastAsia" w:ascii="黑体" w:hAnsi="黑体" w:eastAsia="黑体"/>
          <w:b w:val="0"/>
        </w:rPr>
        <w:t>国有资本经营预算支出决算情况说明</w:t>
      </w:r>
      <w:bookmarkEnd w:id="42"/>
      <w:bookmarkEnd w:id="43"/>
    </w:p>
    <w:p>
      <w:pPr>
        <w:spacing w:line="600" w:lineRule="exact"/>
        <w:ind w:firstLine="640"/>
        <w:rPr>
          <w:rFonts w:ascii="仿宋" w:hAnsi="仿宋" w:eastAsia="仿宋" w:cs="方正小标宋简体"/>
          <w:sz w:val="44"/>
          <w:szCs w:val="44"/>
        </w:rPr>
      </w:pPr>
      <w:r>
        <w:rPr>
          <w:rFonts w:ascii="仿宋" w:hAnsi="仿宋" w:eastAsia="仿宋"/>
          <w:sz w:val="32"/>
          <w:szCs w:val="32"/>
        </w:rPr>
        <w:t>20</w:t>
      </w:r>
      <w:r>
        <w:rPr>
          <w:rFonts w:hint="eastAsia" w:ascii="仿宋" w:hAnsi="仿宋" w:eastAsia="仿宋"/>
          <w:sz w:val="32"/>
          <w:szCs w:val="32"/>
        </w:rPr>
        <w:t>22年国有资本经营预算财政拨款支出0万元。</w:t>
      </w:r>
    </w:p>
    <w:p>
      <w:pPr>
        <w:numPr>
          <w:ilvl w:val="0"/>
          <w:numId w:val="2"/>
        </w:numPr>
        <w:spacing w:line="600" w:lineRule="exact"/>
        <w:ind w:firstLine="640"/>
        <w:outlineLvl w:val="1"/>
        <w:rPr>
          <w:rStyle w:val="32"/>
          <w:rFonts w:ascii="黑体" w:hAnsi="黑体" w:eastAsia="黑体"/>
          <w:b w:val="0"/>
        </w:rPr>
      </w:pPr>
      <w:bookmarkStart w:id="44" w:name="_Toc15396612"/>
      <w:bookmarkStart w:id="45" w:name="_Toc15377221"/>
      <w:r>
        <w:rPr>
          <w:rStyle w:val="32"/>
          <w:rFonts w:hint="eastAsia" w:ascii="黑体" w:hAnsi="黑体" w:eastAsia="黑体"/>
          <w:b w:val="0"/>
        </w:rPr>
        <w:t>其他重要事项的情况说明</w:t>
      </w:r>
      <w:bookmarkEnd w:id="44"/>
      <w:bookmarkEnd w:id="45"/>
    </w:p>
    <w:p>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22年，西区</w:t>
      </w:r>
      <w:r>
        <w:rPr>
          <w:rFonts w:hint="eastAsia" w:ascii="仿宋" w:hAnsi="仿宋" w:eastAsia="仿宋"/>
          <w:sz w:val="32"/>
          <w:szCs w:val="32"/>
          <w:lang w:eastAsia="zh-CN"/>
        </w:rPr>
        <w:t>退役军人事务</w:t>
      </w:r>
      <w:r>
        <w:rPr>
          <w:rFonts w:hint="eastAsia" w:ascii="仿宋" w:hAnsi="仿宋" w:eastAsia="仿宋"/>
          <w:sz w:val="32"/>
          <w:szCs w:val="32"/>
        </w:rPr>
        <w:t>局机关运行经费支出</w:t>
      </w:r>
      <w:r>
        <w:rPr>
          <w:rFonts w:hint="eastAsia" w:ascii="仿宋" w:hAnsi="仿宋" w:eastAsia="仿宋"/>
          <w:sz w:val="32"/>
          <w:szCs w:val="32"/>
          <w:lang w:val="en-US" w:eastAsia="zh-CN"/>
        </w:rPr>
        <w:t>9.03</w:t>
      </w:r>
      <w:r>
        <w:rPr>
          <w:rFonts w:hint="eastAsia" w:ascii="仿宋" w:hAnsi="仿宋" w:eastAsia="仿宋"/>
          <w:sz w:val="32"/>
          <w:szCs w:val="32"/>
        </w:rPr>
        <w:t>万元，比</w:t>
      </w:r>
      <w:r>
        <w:rPr>
          <w:rFonts w:ascii="仿宋" w:hAnsi="仿宋" w:eastAsia="仿宋"/>
          <w:sz w:val="32"/>
          <w:szCs w:val="32"/>
        </w:rPr>
        <w:t>20</w:t>
      </w:r>
      <w:r>
        <w:rPr>
          <w:rFonts w:hint="eastAsia" w:ascii="仿宋" w:hAnsi="仿宋" w:eastAsia="仿宋"/>
          <w:sz w:val="32"/>
          <w:szCs w:val="32"/>
        </w:rPr>
        <w:t>21年</w:t>
      </w:r>
      <w:r>
        <w:rPr>
          <w:rFonts w:hint="eastAsia" w:ascii="仿宋" w:hAnsi="仿宋" w:eastAsia="仿宋"/>
          <w:sz w:val="32"/>
          <w:szCs w:val="32"/>
          <w:lang w:eastAsia="zh-CN"/>
        </w:rPr>
        <w:t>增加</w:t>
      </w:r>
      <w:r>
        <w:rPr>
          <w:rFonts w:hint="eastAsia" w:ascii="仿宋" w:hAnsi="仿宋" w:eastAsia="仿宋"/>
          <w:sz w:val="32"/>
          <w:szCs w:val="32"/>
        </w:rPr>
        <w:t>0.5</w:t>
      </w:r>
      <w:r>
        <w:rPr>
          <w:rFonts w:hint="eastAsia" w:ascii="仿宋" w:hAnsi="仿宋" w:eastAsia="仿宋"/>
          <w:sz w:val="32"/>
          <w:szCs w:val="32"/>
          <w:lang w:val="en-US" w:eastAsia="zh-CN"/>
        </w:rPr>
        <w:t>8</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lang w:val="en-US" w:eastAsia="zh-CN"/>
        </w:rPr>
        <w:t>6.86</w:t>
      </w:r>
      <w:r>
        <w:rPr>
          <w:rFonts w:ascii="仿宋" w:hAnsi="仿宋" w:eastAsia="仿宋"/>
          <w:sz w:val="32"/>
          <w:szCs w:val="32"/>
        </w:rPr>
        <w:t>%</w:t>
      </w:r>
      <w:r>
        <w:rPr>
          <w:rFonts w:hint="eastAsia" w:ascii="仿宋" w:hAnsi="仿宋" w:eastAsia="仿宋"/>
          <w:sz w:val="32"/>
          <w:szCs w:val="32"/>
        </w:rPr>
        <w:t>。主要原因是</w:t>
      </w:r>
      <w:r>
        <w:rPr>
          <w:rFonts w:hint="eastAsia" w:ascii="仿宋" w:hAnsi="仿宋" w:eastAsia="仿宋"/>
          <w:sz w:val="32"/>
          <w:szCs w:val="32"/>
          <w:lang w:eastAsia="zh-CN"/>
        </w:rPr>
        <w:t>人员增加，机关运行经费增加</w:t>
      </w:r>
      <w:r>
        <w:rPr>
          <w:rFonts w:hint="eastAsia" w:ascii="仿宋" w:hAnsi="仿宋" w:eastAsia="仿宋"/>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22年，西区</w:t>
      </w:r>
      <w:r>
        <w:rPr>
          <w:rFonts w:hint="eastAsia" w:ascii="仿宋" w:hAnsi="仿宋" w:eastAsia="仿宋"/>
          <w:sz w:val="32"/>
          <w:szCs w:val="32"/>
          <w:lang w:eastAsia="zh-CN"/>
        </w:rPr>
        <w:t>退役军人事务</w:t>
      </w:r>
      <w:r>
        <w:rPr>
          <w:rFonts w:hint="eastAsia" w:ascii="仿宋" w:hAnsi="仿宋" w:eastAsia="仿宋"/>
          <w:sz w:val="32"/>
          <w:szCs w:val="32"/>
        </w:rPr>
        <w:t>局政府采购支出总额0万元，其中：政府采购货物支出0万元、政府采购工程支出0万元、政府采购服务支出0万元。授予中小企业合同金额0万元，占政府采购支出总额的0</w:t>
      </w:r>
      <w:r>
        <w:rPr>
          <w:rFonts w:ascii="仿宋" w:hAnsi="仿宋" w:eastAsia="仿宋"/>
          <w:sz w:val="32"/>
          <w:szCs w:val="32"/>
        </w:rPr>
        <w:t>%</w:t>
      </w:r>
      <w:r>
        <w:rPr>
          <w:rFonts w:hint="eastAsia" w:ascii="仿宋" w:hAnsi="仿宋" w:eastAsia="仿宋"/>
          <w:sz w:val="32"/>
          <w:szCs w:val="32"/>
        </w:rPr>
        <w:t>，其中：授予小微企业合同金额0万元，占政府采购支出总额的0</w:t>
      </w:r>
      <w:r>
        <w:rPr>
          <w:rFonts w:ascii="仿宋" w:hAnsi="仿宋" w:eastAsia="仿宋"/>
          <w:sz w:val="32"/>
          <w:szCs w:val="32"/>
        </w:rPr>
        <w:t>%</w:t>
      </w:r>
      <w:r>
        <w:rPr>
          <w:rFonts w:hint="eastAsia" w:ascii="仿宋" w:hAnsi="仿宋" w:eastAsia="仿宋"/>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pPr>
        <w:autoSpaceDE w:val="0"/>
        <w:autoSpaceDN w:val="0"/>
        <w:adjustRightInd w:val="0"/>
        <w:spacing w:line="600" w:lineRule="exact"/>
        <w:ind w:firstLine="640" w:firstLineChars="200"/>
        <w:jc w:val="both"/>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w:t>
      </w:r>
      <w:r>
        <w:rPr>
          <w:rFonts w:hint="eastAsia" w:ascii="仿宋" w:hAnsi="仿宋" w:eastAsia="仿宋"/>
          <w:sz w:val="32"/>
          <w:szCs w:val="32"/>
        </w:rPr>
        <w:t>22年</w:t>
      </w:r>
      <w:r>
        <w:rPr>
          <w:rFonts w:ascii="仿宋" w:hAnsi="仿宋" w:eastAsia="仿宋"/>
          <w:sz w:val="32"/>
          <w:szCs w:val="32"/>
        </w:rPr>
        <w:t>12</w:t>
      </w:r>
      <w:r>
        <w:rPr>
          <w:rFonts w:hint="eastAsia" w:ascii="仿宋" w:hAnsi="仿宋" w:eastAsia="仿宋"/>
          <w:sz w:val="32"/>
          <w:szCs w:val="32"/>
        </w:rPr>
        <w:t>月</w:t>
      </w:r>
      <w:r>
        <w:rPr>
          <w:rFonts w:ascii="仿宋" w:hAnsi="仿宋" w:eastAsia="仿宋"/>
          <w:sz w:val="32"/>
          <w:szCs w:val="32"/>
        </w:rPr>
        <w:t>31</w:t>
      </w:r>
      <w:r>
        <w:rPr>
          <w:rFonts w:hint="eastAsia" w:ascii="仿宋" w:hAnsi="仿宋" w:eastAsia="仿宋"/>
          <w:sz w:val="32"/>
          <w:szCs w:val="32"/>
        </w:rPr>
        <w:t>日，西区</w:t>
      </w:r>
      <w:r>
        <w:rPr>
          <w:rFonts w:hint="eastAsia" w:ascii="仿宋" w:hAnsi="仿宋" w:eastAsia="仿宋"/>
          <w:sz w:val="32"/>
          <w:szCs w:val="32"/>
          <w:lang w:eastAsia="zh-CN"/>
        </w:rPr>
        <w:t>退役军人事务</w:t>
      </w:r>
      <w:r>
        <w:rPr>
          <w:rFonts w:hint="eastAsia" w:ascii="仿宋" w:hAnsi="仿宋" w:eastAsia="仿宋"/>
          <w:sz w:val="32"/>
          <w:szCs w:val="32"/>
        </w:rPr>
        <w:t>局共有车辆</w:t>
      </w:r>
      <w:r>
        <w:rPr>
          <w:rFonts w:hint="eastAsia" w:ascii="仿宋" w:hAnsi="仿宋" w:eastAsia="仿宋"/>
          <w:sz w:val="32"/>
          <w:szCs w:val="32"/>
          <w:lang w:val="en-US" w:eastAsia="zh-CN"/>
        </w:rPr>
        <w:t>0</w:t>
      </w:r>
      <w:r>
        <w:rPr>
          <w:rFonts w:hint="eastAsia" w:ascii="仿宋" w:hAnsi="仿宋" w:eastAsia="仿宋"/>
          <w:sz w:val="32"/>
          <w:szCs w:val="32"/>
        </w:rPr>
        <w:t>辆，其中：主要领导干部用车0辆、机要通信用车0辆、应急保障用车</w:t>
      </w:r>
      <w:r>
        <w:rPr>
          <w:rFonts w:hint="eastAsia" w:ascii="仿宋" w:hAnsi="仿宋" w:eastAsia="仿宋"/>
          <w:sz w:val="32"/>
          <w:szCs w:val="32"/>
          <w:lang w:val="en-US" w:eastAsia="zh-CN"/>
        </w:rPr>
        <w:t>0</w:t>
      </w:r>
      <w:r>
        <w:rPr>
          <w:rFonts w:hint="eastAsia" w:ascii="仿宋" w:hAnsi="仿宋" w:eastAsia="仿宋"/>
          <w:sz w:val="32"/>
          <w:szCs w:val="32"/>
        </w:rPr>
        <w:t>辆、其他用车0辆。单价</w:t>
      </w:r>
      <w:r>
        <w:rPr>
          <w:rFonts w:ascii="仿宋" w:hAnsi="仿宋" w:eastAsia="仿宋"/>
          <w:sz w:val="32"/>
          <w:szCs w:val="32"/>
        </w:rPr>
        <w:t>100</w:t>
      </w:r>
      <w:r>
        <w:rPr>
          <w:rFonts w:hint="eastAsia" w:ascii="仿宋" w:hAnsi="仿宋" w:eastAsia="仿宋"/>
          <w:sz w:val="32"/>
          <w:szCs w:val="32"/>
        </w:rPr>
        <w:t>万元以上专用设备0台（套）。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widowControl/>
        <w:ind w:firstLine="640" w:firstLineChars="200"/>
        <w:jc w:val="both"/>
        <w:rPr>
          <w:rFonts w:ascii="仿宋" w:hAnsi="仿宋" w:eastAsia="仿宋"/>
          <w:sz w:val="32"/>
          <w:szCs w:val="32"/>
        </w:rPr>
      </w:pPr>
      <w:r>
        <w:rPr>
          <w:rFonts w:hint="eastAsia" w:ascii="仿宋" w:hAnsi="仿宋" w:eastAsia="仿宋"/>
          <w:sz w:val="32"/>
          <w:szCs w:val="32"/>
        </w:rPr>
        <w:t>根据预算绩效管理要求，本部门在2022年度预算编制阶段，组织对</w:t>
      </w:r>
      <w:r>
        <w:rPr>
          <w:rFonts w:ascii="仿宋" w:hAnsi="仿宋" w:eastAsia="仿宋"/>
          <w:sz w:val="32"/>
          <w:szCs w:val="32"/>
        </w:rPr>
        <w:t>带薪年休假经费、住房公积金、在职医疗补助</w:t>
      </w:r>
      <w:r>
        <w:rPr>
          <w:rFonts w:hint="eastAsia" w:ascii="仿宋" w:hAnsi="仿宋" w:eastAsia="仿宋"/>
          <w:sz w:val="32"/>
          <w:szCs w:val="32"/>
        </w:rPr>
        <w:t>等</w:t>
      </w:r>
      <w:r>
        <w:rPr>
          <w:rFonts w:hint="eastAsia" w:ascii="仿宋" w:hAnsi="仿宋" w:eastAsia="仿宋"/>
          <w:sz w:val="32"/>
          <w:szCs w:val="32"/>
          <w:lang w:val="en-US" w:eastAsia="zh-CN"/>
        </w:rPr>
        <w:t>50</w:t>
      </w:r>
      <w:r>
        <w:rPr>
          <w:rFonts w:hint="eastAsia" w:ascii="仿宋" w:hAnsi="仿宋" w:eastAsia="仿宋"/>
          <w:sz w:val="32"/>
          <w:szCs w:val="32"/>
        </w:rPr>
        <w:t>个项目开展了预算事前绩效评估，对</w:t>
      </w:r>
      <w:r>
        <w:rPr>
          <w:rFonts w:hint="eastAsia" w:ascii="仿宋" w:hAnsi="仿宋" w:eastAsia="仿宋"/>
          <w:sz w:val="32"/>
          <w:szCs w:val="32"/>
          <w:lang w:val="en-US" w:eastAsia="zh-CN"/>
        </w:rPr>
        <w:t>50</w:t>
      </w:r>
      <w:r>
        <w:rPr>
          <w:rFonts w:hint="eastAsia" w:ascii="仿宋" w:hAnsi="仿宋" w:eastAsia="仿宋"/>
          <w:sz w:val="32"/>
          <w:szCs w:val="32"/>
        </w:rPr>
        <w:t>个项目编制了绩效目标，预算执行过程中，选取</w:t>
      </w:r>
      <w:r>
        <w:rPr>
          <w:rFonts w:hint="eastAsia" w:ascii="仿宋" w:hAnsi="仿宋" w:eastAsia="仿宋"/>
          <w:sz w:val="32"/>
          <w:szCs w:val="32"/>
          <w:lang w:val="en-US" w:eastAsia="zh-CN"/>
        </w:rPr>
        <w:t>50</w:t>
      </w:r>
      <w:r>
        <w:rPr>
          <w:rFonts w:hint="eastAsia" w:ascii="仿宋" w:hAnsi="仿宋" w:eastAsia="仿宋"/>
          <w:sz w:val="32"/>
          <w:szCs w:val="32"/>
        </w:rPr>
        <w:t>个项目开展绩效监控。</w:t>
      </w:r>
    </w:p>
    <w:p>
      <w:pPr>
        <w:widowControl/>
        <w:adjustRightInd w:val="0"/>
        <w:snapToGrid w:val="0"/>
        <w:spacing w:line="580" w:lineRule="exact"/>
        <w:ind w:firstLine="640" w:firstLineChars="200"/>
        <w:contextualSpacing/>
        <w:jc w:val="both"/>
        <w:rPr>
          <w:rFonts w:hint="eastAsia" w:ascii="仿宋" w:hAnsi="仿宋" w:eastAsia="仿宋" w:cs="仿宋"/>
          <w:sz w:val="32"/>
          <w:szCs w:val="32"/>
        </w:rPr>
      </w:pPr>
      <w:r>
        <w:rPr>
          <w:rFonts w:hint="eastAsia" w:ascii="仿宋" w:hAnsi="仿宋" w:eastAsia="仿宋" w:cs="仿宋"/>
          <w:sz w:val="32"/>
          <w:szCs w:val="32"/>
        </w:rPr>
        <w:t>组织对2022年度一般公共预算全面开展绩效自评，形成西区</w:t>
      </w:r>
      <w:r>
        <w:rPr>
          <w:rFonts w:hint="eastAsia" w:ascii="仿宋" w:hAnsi="仿宋" w:eastAsia="仿宋" w:cs="仿宋"/>
          <w:sz w:val="32"/>
          <w:szCs w:val="32"/>
          <w:lang w:eastAsia="zh-CN"/>
        </w:rPr>
        <w:t>退役军人事务</w:t>
      </w:r>
      <w:r>
        <w:rPr>
          <w:rFonts w:hint="eastAsia" w:ascii="仿宋" w:hAnsi="仿宋" w:eastAsia="仿宋" w:cs="仿宋"/>
          <w:sz w:val="32"/>
          <w:szCs w:val="32"/>
        </w:rPr>
        <w:t>局部门整体（含部门预算项目）绩效自评报告、义务兵优待</w:t>
      </w:r>
      <w:r>
        <w:rPr>
          <w:rFonts w:hint="eastAsia" w:ascii="仿宋" w:hAnsi="仿宋" w:eastAsia="仿宋" w:cs="仿宋"/>
          <w:sz w:val="32"/>
          <w:szCs w:val="32"/>
          <w:lang w:eastAsia="zh-CN"/>
        </w:rPr>
        <w:t>金、双拥经费、优抚对象抚恤补助、退役安置</w:t>
      </w:r>
      <w:r>
        <w:rPr>
          <w:rFonts w:hint="eastAsia" w:ascii="仿宋" w:hAnsi="仿宋" w:eastAsia="仿宋" w:cs="仿宋"/>
          <w:sz w:val="32"/>
          <w:szCs w:val="32"/>
          <w:lang w:val="en-US" w:eastAsia="zh-CN"/>
        </w:rPr>
        <w:t>4个</w:t>
      </w:r>
      <w:r>
        <w:rPr>
          <w:rFonts w:hint="eastAsia" w:ascii="仿宋" w:hAnsi="仿宋" w:eastAsia="仿宋" w:cs="仿宋"/>
          <w:sz w:val="32"/>
          <w:szCs w:val="32"/>
        </w:rPr>
        <w:t>专项预算项目绩效自评报告，其中，西区</w:t>
      </w:r>
      <w:r>
        <w:rPr>
          <w:rFonts w:hint="eastAsia" w:ascii="仿宋" w:hAnsi="仿宋" w:eastAsia="仿宋" w:cs="仿宋"/>
          <w:sz w:val="32"/>
          <w:szCs w:val="32"/>
          <w:lang w:eastAsia="zh-CN"/>
        </w:rPr>
        <w:t>退役军人事务</w:t>
      </w:r>
      <w:r>
        <w:rPr>
          <w:rFonts w:hint="eastAsia" w:ascii="仿宋" w:hAnsi="仿宋" w:eastAsia="仿宋" w:cs="仿宋"/>
          <w:sz w:val="32"/>
          <w:szCs w:val="32"/>
        </w:rPr>
        <w:t>局部门整体（含部门预算项目）绩效自评得分为93分，绩效自评综述：</w:t>
      </w:r>
      <w:r>
        <w:rPr>
          <w:rFonts w:hint="eastAsia" w:ascii="仿宋" w:hAnsi="仿宋" w:eastAsia="仿宋" w:cs="仿宋"/>
          <w:color w:val="000000"/>
          <w:kern w:val="0"/>
          <w:sz w:val="32"/>
          <w:szCs w:val="32"/>
          <w:shd w:val="clear" w:color="auto" w:fill="FFFFFF"/>
          <w:lang w:val="zh-CN"/>
        </w:rPr>
        <w:t>支出绩效总体良好，各项目标基本达到了相应时期执行进度，使财政收支预算执行都得到了良好的制度保障和实施效果</w:t>
      </w:r>
      <w:r>
        <w:rPr>
          <w:rFonts w:hint="eastAsia" w:ascii="仿宋" w:hAnsi="仿宋" w:eastAsia="仿宋" w:cs="仿宋"/>
          <w:sz w:val="32"/>
          <w:szCs w:val="32"/>
        </w:rPr>
        <w:t>；义务兵优待</w:t>
      </w:r>
      <w:r>
        <w:rPr>
          <w:rFonts w:hint="eastAsia" w:ascii="仿宋" w:hAnsi="仿宋" w:eastAsia="仿宋" w:cs="仿宋"/>
          <w:sz w:val="32"/>
          <w:szCs w:val="32"/>
          <w:lang w:eastAsia="zh-CN"/>
        </w:rPr>
        <w:t>金、双拥经费、优抚对象抚恤补助、退役安置</w:t>
      </w:r>
      <w:r>
        <w:rPr>
          <w:rFonts w:hint="eastAsia" w:ascii="仿宋" w:hAnsi="仿宋" w:eastAsia="仿宋" w:cs="仿宋"/>
          <w:sz w:val="32"/>
          <w:szCs w:val="32"/>
          <w:lang w:val="en-US" w:eastAsia="zh-CN"/>
        </w:rPr>
        <w:t>4个</w:t>
      </w:r>
      <w:r>
        <w:rPr>
          <w:rFonts w:hint="eastAsia" w:ascii="仿宋" w:hAnsi="仿宋" w:eastAsia="仿宋" w:cs="仿宋"/>
          <w:sz w:val="32"/>
          <w:szCs w:val="32"/>
        </w:rPr>
        <w:t>专项预算项目绩效自评得分为100分，绩效自评综述：</w:t>
      </w:r>
      <w:r>
        <w:rPr>
          <w:rFonts w:hint="eastAsia" w:ascii="仿宋" w:hAnsi="仿宋" w:eastAsia="仿宋" w:cs="仿宋"/>
          <w:color w:val="000000"/>
          <w:sz w:val="32"/>
          <w:szCs w:val="32"/>
        </w:rPr>
        <w:t>着力做好军人服务保障工作</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积极配合区人武部征兵工作，大力宣传优抚安置政策，动员大学生应征入伍，切实提高兵员素质</w:t>
      </w:r>
      <w:r>
        <w:rPr>
          <w:rFonts w:hint="eastAsia" w:ascii="仿宋" w:hAnsi="仿宋" w:eastAsia="仿宋" w:cs="仿宋"/>
          <w:sz w:val="32"/>
          <w:szCs w:val="32"/>
        </w:rPr>
        <w:t>。</w:t>
      </w:r>
      <w:r>
        <w:rPr>
          <w:rFonts w:hint="eastAsia" w:ascii="仿宋" w:hAnsi="仿宋" w:eastAsia="仿宋" w:cs="仿宋"/>
          <w:color w:val="000000"/>
          <w:sz w:val="32"/>
          <w:szCs w:val="32"/>
        </w:rPr>
        <w:t>规范退役士兵档案审核和移交接收程序，依法接收退役士兵44人</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春节、“八一”期间，组织走访慰问攀枝花军分区、区人武部及优抚对象2680人次，发放慰问金（品）</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全面落实抚恤优待政策。2022年以来，共发放优抚对象抚恤和生活补助1927人次255.78万元、优抚对象抚恤补助自然增长金93人次43.16万元、优抚对象医疗补助31人次5.59万元，发放一至四级残疾军人护理费4.96万元、一级伤残军人生活费2.14万元，为重点优抚对象、自主择业军转干部缴纳医疗保险8.38万元。切实维护优抚对象合法权益</w:t>
      </w:r>
      <w:r>
        <w:rPr>
          <w:rFonts w:hint="eastAsia" w:ascii="仿宋" w:hAnsi="仿宋" w:eastAsia="仿宋" w:cs="仿宋"/>
          <w:color w:val="000000"/>
          <w:sz w:val="32"/>
          <w:szCs w:val="32"/>
          <w:lang w:eastAsia="zh-CN"/>
        </w:rPr>
        <w:t>。所有项目</w:t>
      </w:r>
      <w:r>
        <w:rPr>
          <w:rFonts w:hint="eastAsia" w:ascii="仿宋" w:hAnsi="仿宋" w:eastAsia="仿宋" w:cs="仿宋"/>
          <w:sz w:val="32"/>
          <w:szCs w:val="32"/>
        </w:rPr>
        <w:t>严格执行相关政策，按工作要求支付</w:t>
      </w:r>
      <w:r>
        <w:rPr>
          <w:rFonts w:hint="eastAsia" w:ascii="仿宋" w:hAnsi="仿宋" w:eastAsia="仿宋" w:cs="仿宋"/>
          <w:sz w:val="32"/>
          <w:szCs w:val="32"/>
          <w:lang w:eastAsia="zh-CN"/>
        </w:rPr>
        <w:t>项目经费</w:t>
      </w:r>
      <w:r>
        <w:rPr>
          <w:rFonts w:hint="eastAsia" w:ascii="仿宋" w:hAnsi="仿宋" w:eastAsia="仿宋" w:cs="仿宋"/>
          <w:sz w:val="32"/>
          <w:szCs w:val="32"/>
        </w:rPr>
        <w:t>支出，圆满完成年度目标任务。绩效自评报告详见附件。</w:t>
      </w:r>
      <w:r>
        <w:rPr>
          <w:rFonts w:hint="eastAsia" w:ascii="仿宋" w:hAnsi="仿宋" w:eastAsia="仿宋" w:cs="仿宋"/>
          <w:b/>
          <w:sz w:val="32"/>
          <w:szCs w:val="32"/>
        </w:rPr>
        <w:br w:type="page"/>
      </w:r>
    </w:p>
    <w:p>
      <w:pPr>
        <w:numPr>
          <w:ilvl w:val="0"/>
          <w:numId w:val="3"/>
        </w:numPr>
        <w:spacing w:line="600" w:lineRule="exact"/>
        <w:ind w:firstLine="660" w:firstLineChars="150"/>
        <w:jc w:val="center"/>
        <w:outlineLvl w:val="0"/>
        <w:rPr>
          <w:rStyle w:val="31"/>
          <w:rFonts w:ascii="黑体" w:hAnsi="黑体" w:eastAsia="黑体"/>
          <w:b w:val="0"/>
        </w:rPr>
      </w:pPr>
      <w:bookmarkStart w:id="49" w:name="_Toc15396613"/>
      <w:bookmarkStart w:id="50" w:name="_Toc15377225"/>
      <w:r>
        <w:rPr>
          <w:rFonts w:hint="eastAsia" w:ascii="黑体" w:hAnsi="黑体" w:eastAsia="黑体"/>
          <w:sz w:val="44"/>
          <w:szCs w:val="44"/>
        </w:rPr>
        <w:t>名</w:t>
      </w:r>
      <w:r>
        <w:rPr>
          <w:rStyle w:val="31"/>
          <w:rFonts w:hint="eastAsia" w:ascii="黑体" w:hAnsi="黑体" w:eastAsia="黑体"/>
          <w:b w:val="0"/>
        </w:rPr>
        <w:t>词解释</w:t>
      </w:r>
      <w:bookmarkEnd w:id="49"/>
      <w:bookmarkEnd w:id="50"/>
    </w:p>
    <w:p>
      <w:pPr>
        <w:spacing w:line="600" w:lineRule="exact"/>
        <w:jc w:val="left"/>
        <w:rPr>
          <w:rFonts w:ascii="宋体"/>
          <w:b/>
          <w:sz w:val="44"/>
          <w:szCs w:val="44"/>
        </w:rPr>
      </w:pPr>
    </w:p>
    <w:p>
      <w:pPr>
        <w:pStyle w:val="29"/>
        <w:spacing w:line="560" w:lineRule="exact"/>
        <w:ind w:firstLine="640" w:firstLineChars="200"/>
        <w:rPr>
          <w:rFonts w:hAnsi="仿宋"/>
          <w:color w:val="auto"/>
          <w:sz w:val="32"/>
          <w:szCs w:val="32"/>
        </w:rPr>
      </w:pPr>
      <w:r>
        <w:rPr>
          <w:rFonts w:hAnsi="仿宋"/>
          <w:color w:val="auto"/>
          <w:sz w:val="32"/>
          <w:szCs w:val="32"/>
        </w:rPr>
        <w:t>1.</w:t>
      </w:r>
      <w:r>
        <w:rPr>
          <w:rFonts w:hint="eastAsia" w:hAnsi="仿宋"/>
          <w:color w:val="auto"/>
          <w:sz w:val="32"/>
          <w:szCs w:val="32"/>
        </w:rPr>
        <w:t>财政拨款收入：指单位从同级财政部门取得的财政预算资金。</w:t>
      </w:r>
    </w:p>
    <w:p>
      <w:pPr>
        <w:pStyle w:val="29"/>
        <w:spacing w:line="560" w:lineRule="exact"/>
        <w:ind w:firstLine="640" w:firstLineChars="200"/>
        <w:rPr>
          <w:rFonts w:hAnsi="仿宋"/>
          <w:color w:val="auto"/>
          <w:sz w:val="32"/>
          <w:szCs w:val="32"/>
        </w:rPr>
      </w:pPr>
      <w:r>
        <w:rPr>
          <w:rFonts w:hAnsi="仿宋"/>
          <w:color w:val="auto"/>
          <w:sz w:val="32"/>
          <w:szCs w:val="32"/>
        </w:rPr>
        <w:t>2.</w:t>
      </w:r>
      <w:r>
        <w:rPr>
          <w:rFonts w:hint="eastAsia" w:hAnsi="仿宋"/>
          <w:color w:val="auto"/>
          <w:sz w:val="32"/>
          <w:szCs w:val="32"/>
        </w:rPr>
        <w:t>事业收入：指事业单位开展专业业务活动及辅助活动取得的收入。</w:t>
      </w:r>
    </w:p>
    <w:p>
      <w:pPr>
        <w:pStyle w:val="29"/>
        <w:spacing w:line="560" w:lineRule="exact"/>
        <w:ind w:firstLine="640" w:firstLineChars="200"/>
        <w:rPr>
          <w:rFonts w:hAnsi="仿宋"/>
          <w:color w:val="auto"/>
          <w:sz w:val="32"/>
          <w:szCs w:val="32"/>
        </w:rPr>
      </w:pPr>
      <w:r>
        <w:rPr>
          <w:rFonts w:hAnsi="仿宋"/>
          <w:color w:val="auto"/>
          <w:sz w:val="32"/>
          <w:szCs w:val="32"/>
        </w:rPr>
        <w:t>3.</w:t>
      </w:r>
      <w:r>
        <w:rPr>
          <w:rFonts w:hint="eastAsia" w:hAnsi="仿宋"/>
          <w:color w:val="auto"/>
          <w:sz w:val="32"/>
          <w:szCs w:val="32"/>
        </w:rPr>
        <w:t>经营收入：指事业单位在专业业务活动及其辅助活动之外开展非独立核算经营活动取得的收入。</w:t>
      </w:r>
    </w:p>
    <w:p>
      <w:pPr>
        <w:pStyle w:val="29"/>
        <w:spacing w:line="560" w:lineRule="exact"/>
        <w:ind w:firstLine="640" w:firstLineChars="200"/>
        <w:rPr>
          <w:rFonts w:hAnsi="仿宋"/>
          <w:color w:val="auto"/>
          <w:sz w:val="32"/>
          <w:szCs w:val="32"/>
        </w:rPr>
      </w:pPr>
      <w:r>
        <w:rPr>
          <w:rFonts w:hAnsi="仿宋"/>
          <w:color w:val="auto"/>
          <w:sz w:val="32"/>
          <w:szCs w:val="32"/>
        </w:rPr>
        <w:t>4.</w:t>
      </w:r>
      <w:r>
        <w:rPr>
          <w:rFonts w:hint="eastAsia" w:hAnsi="仿宋"/>
          <w:color w:val="auto"/>
          <w:sz w:val="32"/>
          <w:szCs w:val="32"/>
        </w:rPr>
        <w:t>其他收入：指单位取得的除上述收入以外的各项收入。</w:t>
      </w:r>
    </w:p>
    <w:p>
      <w:pPr>
        <w:pStyle w:val="29"/>
        <w:spacing w:line="560" w:lineRule="exact"/>
        <w:ind w:firstLine="640" w:firstLineChars="200"/>
        <w:rPr>
          <w:rFonts w:hAnsi="仿宋"/>
          <w:color w:val="auto"/>
          <w:sz w:val="32"/>
          <w:szCs w:val="32"/>
        </w:rPr>
      </w:pPr>
      <w:r>
        <w:rPr>
          <w:rFonts w:hAnsi="仿宋"/>
          <w:color w:val="auto"/>
          <w:sz w:val="32"/>
          <w:szCs w:val="32"/>
        </w:rPr>
        <w:t>5.</w:t>
      </w:r>
      <w:r>
        <w:rPr>
          <w:rFonts w:hint="eastAsia" w:hAnsi="仿宋"/>
          <w:color w:val="auto"/>
          <w:sz w:val="32"/>
          <w:szCs w:val="32"/>
        </w:rPr>
        <w:t>使用非财政拨款结余：指事业单位使用以前年度积累的非财政拨款结余弥补当年收支差额的金额。</w:t>
      </w:r>
    </w:p>
    <w:p>
      <w:pPr>
        <w:pStyle w:val="29"/>
        <w:spacing w:line="560" w:lineRule="exact"/>
        <w:ind w:firstLine="640" w:firstLineChars="200"/>
        <w:rPr>
          <w:rFonts w:hAnsi="仿宋"/>
          <w:color w:val="auto"/>
          <w:sz w:val="32"/>
          <w:szCs w:val="32"/>
        </w:rPr>
      </w:pPr>
      <w:r>
        <w:rPr>
          <w:rFonts w:hAnsi="仿宋"/>
          <w:color w:val="auto"/>
          <w:sz w:val="32"/>
          <w:szCs w:val="32"/>
        </w:rPr>
        <w:t>6.</w:t>
      </w:r>
      <w:r>
        <w:rPr>
          <w:rFonts w:hint="eastAsia" w:hAnsi="仿宋"/>
          <w:color w:val="auto"/>
          <w:sz w:val="32"/>
          <w:szCs w:val="32"/>
        </w:rPr>
        <w:t>年初结转和结余：指以前年度尚未完成、结转到本年按有关规定继续使用的资金。</w:t>
      </w:r>
    </w:p>
    <w:p>
      <w:pPr>
        <w:pStyle w:val="29"/>
        <w:spacing w:line="560" w:lineRule="exact"/>
        <w:ind w:firstLine="640" w:firstLineChars="200"/>
        <w:rPr>
          <w:rFonts w:hAnsi="仿宋"/>
          <w:color w:val="auto"/>
          <w:sz w:val="32"/>
          <w:szCs w:val="32"/>
        </w:rPr>
      </w:pPr>
      <w:r>
        <w:rPr>
          <w:rFonts w:hAnsi="仿宋"/>
          <w:color w:val="auto"/>
          <w:sz w:val="32"/>
          <w:szCs w:val="32"/>
        </w:rPr>
        <w:t>7.</w:t>
      </w:r>
      <w:r>
        <w:rPr>
          <w:rFonts w:hint="eastAsia" w:hAnsi="仿宋"/>
          <w:color w:val="auto"/>
          <w:sz w:val="32"/>
          <w:szCs w:val="32"/>
        </w:rPr>
        <w:t>结余分配：指事业单位按照会计制度规定缴纳的所得税、提取的专用结余以及转入非财政拨款结余的金额等。</w:t>
      </w:r>
    </w:p>
    <w:p>
      <w:pPr>
        <w:pStyle w:val="29"/>
        <w:spacing w:line="560" w:lineRule="exact"/>
        <w:ind w:firstLine="640" w:firstLineChars="200"/>
        <w:rPr>
          <w:rFonts w:hAnsi="仿宋"/>
          <w:color w:val="auto"/>
          <w:sz w:val="32"/>
          <w:szCs w:val="32"/>
        </w:rPr>
      </w:pPr>
      <w:r>
        <w:rPr>
          <w:rFonts w:hAnsi="仿宋"/>
          <w:color w:val="auto"/>
          <w:sz w:val="32"/>
          <w:szCs w:val="32"/>
        </w:rPr>
        <w:t>8</w:t>
      </w:r>
      <w:r>
        <w:rPr>
          <w:rFonts w:hint="eastAsia" w:hAnsi="仿宋"/>
          <w:color w:val="auto"/>
          <w:sz w:val="32"/>
          <w:szCs w:val="32"/>
        </w:rPr>
        <w:t>.年末结转和结余：指单位按有关规定结转到下年或以后年度继续使用的资金。</w:t>
      </w:r>
    </w:p>
    <w:p>
      <w:pPr>
        <w:pStyle w:val="29"/>
        <w:spacing w:line="560" w:lineRule="exact"/>
        <w:ind w:firstLine="640" w:firstLineChars="200"/>
        <w:rPr>
          <w:rFonts w:hAnsi="仿宋"/>
          <w:color w:val="auto"/>
          <w:sz w:val="32"/>
          <w:szCs w:val="32"/>
        </w:rPr>
      </w:pPr>
      <w:r>
        <w:rPr>
          <w:rFonts w:hAnsi="仿宋"/>
          <w:color w:val="auto"/>
          <w:sz w:val="32"/>
          <w:szCs w:val="32"/>
        </w:rPr>
        <w:t>9.</w:t>
      </w:r>
      <w:r>
        <w:rPr>
          <w:rFonts w:hint="eastAsia" w:hAnsi="仿宋"/>
          <w:color w:val="auto"/>
          <w:sz w:val="32"/>
          <w:szCs w:val="32"/>
        </w:rPr>
        <w:t>一般公共服务支出（类）政府办公厅（室）及相关机构事务（款）一般行政管理事务（项）：反映</w:t>
      </w:r>
      <w:r>
        <w:rPr>
          <w:rFonts w:hint="eastAsia" w:hAnsi="仿宋"/>
          <w:color w:val="auto"/>
          <w:sz w:val="32"/>
          <w:szCs w:val="32"/>
          <w:lang w:eastAsia="zh-CN"/>
        </w:rPr>
        <w:t>行政单位（包括实行公务员管理的事业单位）未单独设置项级科目的其他项目支出</w:t>
      </w:r>
      <w:r>
        <w:rPr>
          <w:rFonts w:hint="eastAsia" w:hAnsi="仿宋"/>
          <w:color w:val="auto"/>
          <w:sz w:val="32"/>
          <w:szCs w:val="32"/>
        </w:rPr>
        <w:t>。</w:t>
      </w:r>
    </w:p>
    <w:p>
      <w:pPr>
        <w:pStyle w:val="29"/>
        <w:spacing w:line="560" w:lineRule="exact"/>
        <w:ind w:firstLine="640" w:firstLineChars="200"/>
        <w:rPr>
          <w:rFonts w:hAnsi="仿宋"/>
          <w:color w:val="auto"/>
          <w:sz w:val="32"/>
          <w:szCs w:val="32"/>
        </w:rPr>
      </w:pPr>
      <w:r>
        <w:rPr>
          <w:rFonts w:hAnsi="仿宋"/>
          <w:color w:val="auto"/>
          <w:sz w:val="32"/>
          <w:szCs w:val="32"/>
        </w:rPr>
        <w:t>10.</w:t>
      </w:r>
      <w:r>
        <w:rPr>
          <w:rFonts w:hint="eastAsia" w:hAnsi="仿宋"/>
          <w:color w:val="auto"/>
          <w:sz w:val="32"/>
          <w:szCs w:val="32"/>
        </w:rPr>
        <w:t>一般公共服务支出（类）其他共产党事务支出（款）一般行政管理事务（项）：反映</w:t>
      </w:r>
      <w:r>
        <w:rPr>
          <w:rFonts w:hint="eastAsia" w:hAnsi="仿宋"/>
          <w:color w:val="auto"/>
          <w:sz w:val="32"/>
          <w:szCs w:val="32"/>
          <w:lang w:eastAsia="zh-CN"/>
        </w:rPr>
        <w:t>行政单位（包括实行公务员管理的事业单位）未单独设置项级科目的其他项目支出</w:t>
      </w:r>
      <w:r>
        <w:rPr>
          <w:rFonts w:hint="eastAsia" w:hAnsi="仿宋"/>
          <w:color w:val="auto"/>
          <w:sz w:val="32"/>
          <w:szCs w:val="32"/>
        </w:rPr>
        <w:t>。</w:t>
      </w:r>
    </w:p>
    <w:p>
      <w:pPr>
        <w:pStyle w:val="29"/>
        <w:spacing w:line="560" w:lineRule="exact"/>
        <w:ind w:firstLine="640" w:firstLineChars="200"/>
        <w:rPr>
          <w:rFonts w:hAnsi="仿宋"/>
          <w:color w:val="auto"/>
          <w:sz w:val="32"/>
          <w:szCs w:val="32"/>
        </w:rPr>
      </w:pPr>
      <w:r>
        <w:rPr>
          <w:rFonts w:hAnsi="仿宋"/>
          <w:color w:val="auto"/>
          <w:sz w:val="32"/>
          <w:szCs w:val="32"/>
        </w:rPr>
        <w:t>11.</w:t>
      </w:r>
      <w:r>
        <w:rPr>
          <w:rFonts w:hint="eastAsia" w:hAnsi="仿宋"/>
          <w:color w:val="auto"/>
          <w:sz w:val="32"/>
          <w:szCs w:val="32"/>
        </w:rPr>
        <w:t>社会保障和就业支出（类）行政事业单位养老支出（款）机关事业单位基本养老保险缴费支出（项）：指机关事业单位实施养老保险制度有单位缴纳的基本养老保险费支出。</w:t>
      </w:r>
    </w:p>
    <w:p>
      <w:pPr>
        <w:pStyle w:val="29"/>
        <w:spacing w:line="560" w:lineRule="exact"/>
        <w:ind w:firstLine="640" w:firstLineChars="200"/>
        <w:rPr>
          <w:rFonts w:hAnsi="仿宋"/>
          <w:color w:val="auto"/>
          <w:sz w:val="32"/>
          <w:szCs w:val="32"/>
        </w:rPr>
      </w:pPr>
      <w:r>
        <w:rPr>
          <w:rFonts w:hAnsi="仿宋"/>
          <w:color w:val="auto"/>
          <w:sz w:val="32"/>
          <w:szCs w:val="32"/>
        </w:rPr>
        <w:t>12.社会保障和就业（类）抚恤（款）伤残抚恤(项）:反映按规定用于伤残人员的抚恤金和按规定开支的各种伤残补助费</w:t>
      </w:r>
    </w:p>
    <w:p>
      <w:pPr>
        <w:pStyle w:val="29"/>
        <w:spacing w:line="560" w:lineRule="exact"/>
        <w:ind w:firstLine="640" w:firstLineChars="200"/>
        <w:rPr>
          <w:rFonts w:hAnsi="仿宋"/>
          <w:color w:val="auto"/>
          <w:sz w:val="32"/>
          <w:szCs w:val="32"/>
        </w:rPr>
      </w:pPr>
      <w:r>
        <w:rPr>
          <w:rFonts w:hAnsi="仿宋"/>
          <w:color w:val="auto"/>
          <w:sz w:val="32"/>
          <w:szCs w:val="32"/>
        </w:rPr>
        <w:t>1</w:t>
      </w:r>
      <w:r>
        <w:rPr>
          <w:rFonts w:hint="eastAsia" w:hAnsi="仿宋"/>
          <w:color w:val="auto"/>
          <w:sz w:val="32"/>
          <w:szCs w:val="32"/>
        </w:rPr>
        <w:t>3</w:t>
      </w:r>
      <w:r>
        <w:rPr>
          <w:rFonts w:hAnsi="仿宋"/>
          <w:color w:val="auto"/>
          <w:sz w:val="32"/>
          <w:szCs w:val="32"/>
        </w:rPr>
        <w:t>.社会保障和就业（类）抚恤（款）义务兵优待：反映用于义务兵优待方面的支出</w:t>
      </w:r>
      <w:r>
        <w:rPr>
          <w:rFonts w:hint="eastAsia" w:hAnsi="仿宋"/>
          <w:color w:val="auto"/>
          <w:sz w:val="32"/>
          <w:szCs w:val="32"/>
        </w:rPr>
        <w:t>。</w:t>
      </w:r>
    </w:p>
    <w:p>
      <w:pPr>
        <w:pStyle w:val="29"/>
        <w:spacing w:line="560" w:lineRule="exact"/>
        <w:ind w:firstLine="640" w:firstLineChars="200"/>
        <w:rPr>
          <w:rFonts w:hint="eastAsia" w:hAnsi="仿宋"/>
          <w:color w:val="auto"/>
          <w:sz w:val="32"/>
          <w:szCs w:val="32"/>
          <w:lang w:eastAsia="zh-CN"/>
        </w:rPr>
      </w:pPr>
      <w:r>
        <w:rPr>
          <w:rFonts w:hAnsi="仿宋"/>
          <w:color w:val="auto"/>
          <w:sz w:val="32"/>
          <w:szCs w:val="32"/>
        </w:rPr>
        <w:t>1</w:t>
      </w:r>
      <w:r>
        <w:rPr>
          <w:rFonts w:hint="eastAsia" w:hAnsi="仿宋"/>
          <w:color w:val="auto"/>
          <w:sz w:val="32"/>
          <w:szCs w:val="32"/>
        </w:rPr>
        <w:t>4</w:t>
      </w:r>
      <w:r>
        <w:rPr>
          <w:rFonts w:hAnsi="仿宋"/>
          <w:color w:val="auto"/>
          <w:sz w:val="32"/>
          <w:szCs w:val="32"/>
        </w:rPr>
        <w:t>.社会保障和就业（类）抚恤（款）其他优抚支出：反映除上述项目以外其他用于优抚方面的支出，包括向优抚对象发放的价格临时补贴等支出</w:t>
      </w:r>
      <w:r>
        <w:rPr>
          <w:rFonts w:hint="eastAsia" w:hAnsi="仿宋"/>
          <w:color w:val="auto"/>
          <w:sz w:val="32"/>
          <w:szCs w:val="32"/>
          <w:lang w:eastAsia="zh-CN"/>
        </w:rPr>
        <w:t>。</w:t>
      </w:r>
    </w:p>
    <w:p>
      <w:pPr>
        <w:pStyle w:val="29"/>
        <w:spacing w:line="560" w:lineRule="exact"/>
        <w:ind w:firstLine="640" w:firstLineChars="200"/>
        <w:rPr>
          <w:rFonts w:hint="eastAsia" w:hAnsi="仿宋"/>
          <w:color w:val="auto"/>
          <w:sz w:val="32"/>
          <w:szCs w:val="32"/>
          <w:lang w:eastAsia="zh-CN"/>
        </w:rPr>
      </w:pPr>
      <w:r>
        <w:rPr>
          <w:rFonts w:hint="eastAsia" w:hAnsi="仿宋"/>
          <w:color w:val="auto"/>
          <w:sz w:val="32"/>
          <w:szCs w:val="32"/>
          <w:lang w:val="en-US" w:eastAsia="zh-CN"/>
        </w:rPr>
        <w:t>15.</w:t>
      </w:r>
      <w:r>
        <w:rPr>
          <w:rFonts w:hAnsi="仿宋"/>
          <w:color w:val="auto"/>
          <w:sz w:val="32"/>
          <w:szCs w:val="32"/>
        </w:rPr>
        <w:t>社会保障和就业（类）退役安置（款）退役士兵安置（项）：反映按规定用于伤残义务兵的一次性建房补助，对符合条件的退役士兵、置业士官的安置支出</w:t>
      </w:r>
      <w:r>
        <w:rPr>
          <w:rFonts w:hint="eastAsia" w:hAnsi="仿宋"/>
          <w:color w:val="auto"/>
          <w:sz w:val="32"/>
          <w:szCs w:val="32"/>
          <w:lang w:eastAsia="zh-CN"/>
        </w:rPr>
        <w:t>。</w:t>
      </w:r>
    </w:p>
    <w:p>
      <w:pPr>
        <w:pStyle w:val="29"/>
        <w:spacing w:line="560" w:lineRule="exact"/>
        <w:ind w:firstLine="640" w:firstLineChars="200"/>
        <w:rPr>
          <w:rFonts w:hAnsi="仿宋"/>
          <w:color w:val="auto"/>
          <w:sz w:val="32"/>
          <w:szCs w:val="32"/>
        </w:rPr>
      </w:pPr>
      <w:r>
        <w:rPr>
          <w:rFonts w:hint="eastAsia" w:hAnsi="仿宋"/>
          <w:color w:val="auto"/>
          <w:sz w:val="32"/>
          <w:szCs w:val="32"/>
          <w:lang w:val="en-US" w:eastAsia="zh-CN"/>
        </w:rPr>
        <w:t>16.</w:t>
      </w:r>
      <w:r>
        <w:rPr>
          <w:rFonts w:hAnsi="仿宋"/>
          <w:color w:val="auto"/>
          <w:sz w:val="32"/>
          <w:szCs w:val="32"/>
        </w:rPr>
        <w:t>社会保障和就业（类）退役安置（款）退役士兵管理教育（项）：反映退役士兵职业教育、转业士官待分配期间管理教育、医疗等支出。</w:t>
      </w:r>
    </w:p>
    <w:p>
      <w:pPr>
        <w:pStyle w:val="29"/>
        <w:spacing w:line="560" w:lineRule="exact"/>
        <w:ind w:firstLine="640" w:firstLineChars="200"/>
        <w:rPr>
          <w:rFonts w:hAnsi="仿宋"/>
          <w:color w:val="auto"/>
          <w:sz w:val="32"/>
          <w:szCs w:val="32"/>
        </w:rPr>
      </w:pPr>
      <w:r>
        <w:rPr>
          <w:rFonts w:hint="eastAsia" w:hAnsi="仿宋"/>
          <w:color w:val="auto"/>
          <w:sz w:val="32"/>
          <w:szCs w:val="32"/>
          <w:lang w:val="en-US" w:eastAsia="zh-CN"/>
        </w:rPr>
        <w:t>17.</w:t>
      </w:r>
      <w:r>
        <w:rPr>
          <w:rFonts w:hAnsi="仿宋"/>
          <w:color w:val="auto"/>
          <w:sz w:val="32"/>
          <w:szCs w:val="32"/>
        </w:rPr>
        <w:t>社会保障和就业（类）退役安置（款）军队转业干部安置（项）：反映军队转业干部教育培训、管理服务、退役金等方面的支出。</w:t>
      </w:r>
    </w:p>
    <w:p>
      <w:pPr>
        <w:pStyle w:val="29"/>
        <w:spacing w:line="560" w:lineRule="exact"/>
        <w:ind w:firstLine="640" w:firstLineChars="200"/>
        <w:rPr>
          <w:rFonts w:hAnsi="仿宋"/>
          <w:color w:val="auto"/>
          <w:sz w:val="32"/>
          <w:szCs w:val="32"/>
        </w:rPr>
      </w:pPr>
      <w:r>
        <w:rPr>
          <w:rFonts w:hint="eastAsia" w:hAnsi="仿宋"/>
          <w:color w:val="auto"/>
          <w:sz w:val="32"/>
          <w:szCs w:val="32"/>
          <w:lang w:val="en-US" w:eastAsia="zh-CN"/>
        </w:rPr>
        <w:t>18.</w:t>
      </w:r>
      <w:r>
        <w:rPr>
          <w:rFonts w:hAnsi="仿宋"/>
          <w:color w:val="auto"/>
          <w:sz w:val="32"/>
          <w:szCs w:val="32"/>
        </w:rPr>
        <w:t>社会保障和就业（类）退役安置（款）其他退役安置支出（项）：反映除上述项目以外其他用于退役安置方面的支出。</w:t>
      </w:r>
    </w:p>
    <w:p>
      <w:pPr>
        <w:pStyle w:val="29"/>
        <w:spacing w:line="560" w:lineRule="exact"/>
        <w:ind w:firstLine="640" w:firstLineChars="200"/>
        <w:rPr>
          <w:rFonts w:hAnsi="仿宋"/>
          <w:color w:val="auto"/>
          <w:sz w:val="32"/>
          <w:szCs w:val="32"/>
        </w:rPr>
      </w:pPr>
      <w:r>
        <w:rPr>
          <w:rFonts w:hint="eastAsia" w:hAnsi="仿宋"/>
          <w:color w:val="auto"/>
          <w:sz w:val="32"/>
          <w:szCs w:val="32"/>
          <w:lang w:val="en-US" w:eastAsia="zh-CN"/>
        </w:rPr>
        <w:t>19.</w:t>
      </w:r>
      <w:r>
        <w:rPr>
          <w:rFonts w:hAnsi="仿宋"/>
          <w:color w:val="auto"/>
          <w:sz w:val="32"/>
          <w:szCs w:val="32"/>
        </w:rPr>
        <w:t>社会保障和就业（类）退役军人管理事务（款）行政运行（项）：反映行政单位（包括实行公务员管理的事业单位）的基本支出。</w:t>
      </w:r>
    </w:p>
    <w:p>
      <w:pPr>
        <w:pStyle w:val="29"/>
        <w:spacing w:line="560" w:lineRule="exact"/>
        <w:ind w:firstLine="640" w:firstLineChars="200"/>
        <w:rPr>
          <w:rFonts w:hAnsi="仿宋"/>
          <w:color w:val="auto"/>
          <w:sz w:val="32"/>
          <w:szCs w:val="32"/>
        </w:rPr>
      </w:pPr>
      <w:r>
        <w:rPr>
          <w:rFonts w:hint="eastAsia" w:hAnsi="仿宋"/>
          <w:color w:val="auto"/>
          <w:sz w:val="32"/>
          <w:szCs w:val="32"/>
          <w:lang w:val="en-US" w:eastAsia="zh-CN"/>
        </w:rPr>
        <w:t>20.</w:t>
      </w:r>
      <w:r>
        <w:rPr>
          <w:rFonts w:hAnsi="仿宋"/>
          <w:color w:val="auto"/>
          <w:sz w:val="32"/>
          <w:szCs w:val="32"/>
        </w:rPr>
        <w:t>社会保障和就业（类）退役军人管理事务（款）拥军优属（项）：反映开展拥军优属活动的支出。</w:t>
      </w:r>
    </w:p>
    <w:p>
      <w:pPr>
        <w:pStyle w:val="29"/>
        <w:spacing w:line="560" w:lineRule="exact"/>
        <w:ind w:firstLine="640" w:firstLineChars="200"/>
        <w:rPr>
          <w:rFonts w:hAnsi="仿宋"/>
          <w:color w:val="auto"/>
          <w:sz w:val="32"/>
          <w:szCs w:val="32"/>
        </w:rPr>
      </w:pPr>
      <w:r>
        <w:rPr>
          <w:rFonts w:hint="eastAsia" w:hAnsi="仿宋"/>
          <w:color w:val="auto"/>
          <w:sz w:val="32"/>
          <w:szCs w:val="32"/>
          <w:lang w:val="en-US" w:eastAsia="zh-CN"/>
        </w:rPr>
        <w:t>21.</w:t>
      </w:r>
      <w:r>
        <w:rPr>
          <w:rFonts w:hAnsi="仿宋"/>
          <w:color w:val="auto"/>
          <w:sz w:val="32"/>
          <w:szCs w:val="32"/>
        </w:rPr>
        <w:t>社会保障和就业（类）退役军人管理事务（款）事业运行（项）：反映事业单位的基本支出，不包括行政单位（包括实行公务员管理的事业单位）后勤服务中心、医疗室等附属事业单位。</w:t>
      </w:r>
    </w:p>
    <w:p>
      <w:pPr>
        <w:pStyle w:val="29"/>
        <w:spacing w:line="560" w:lineRule="exact"/>
        <w:ind w:firstLine="640" w:firstLineChars="200"/>
        <w:rPr>
          <w:rFonts w:hAnsi="仿宋"/>
          <w:color w:val="auto"/>
          <w:sz w:val="32"/>
          <w:szCs w:val="32"/>
        </w:rPr>
      </w:pPr>
      <w:r>
        <w:rPr>
          <w:rFonts w:hint="eastAsia" w:hAnsi="仿宋"/>
          <w:color w:val="auto"/>
          <w:sz w:val="32"/>
          <w:szCs w:val="32"/>
          <w:lang w:val="en-US" w:eastAsia="zh-CN"/>
        </w:rPr>
        <w:t xml:space="preserve">    22.</w:t>
      </w:r>
      <w:r>
        <w:rPr>
          <w:rFonts w:hAnsi="仿宋"/>
          <w:color w:val="auto"/>
          <w:sz w:val="32"/>
          <w:szCs w:val="32"/>
        </w:rPr>
        <w:t>社会保障和就业（类）退役军人管理事务（款）其他退役军人事务管理支出（项）：反映除上述项目以外其他用于退役军人事务管理方面的支出。</w:t>
      </w:r>
    </w:p>
    <w:p>
      <w:pPr>
        <w:pStyle w:val="29"/>
        <w:spacing w:line="560" w:lineRule="exact"/>
        <w:ind w:firstLine="640" w:firstLineChars="200"/>
        <w:rPr>
          <w:rFonts w:hAnsi="仿宋"/>
          <w:color w:val="auto"/>
          <w:sz w:val="32"/>
          <w:szCs w:val="32"/>
        </w:rPr>
      </w:pPr>
      <w:r>
        <w:rPr>
          <w:rFonts w:hint="eastAsia" w:hAnsi="仿宋"/>
          <w:color w:val="auto"/>
          <w:sz w:val="32"/>
          <w:szCs w:val="32"/>
          <w:lang w:val="en-US" w:eastAsia="zh-CN"/>
        </w:rPr>
        <w:t>23.</w:t>
      </w:r>
      <w:r>
        <w:rPr>
          <w:rFonts w:hint="eastAsia" w:hAnsi="仿宋"/>
          <w:color w:val="auto"/>
          <w:sz w:val="32"/>
          <w:szCs w:val="32"/>
        </w:rPr>
        <w:t>卫生健康支出支出（类）行政事业单位医疗支出（款） 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pPr>
        <w:pStyle w:val="29"/>
        <w:spacing w:line="560" w:lineRule="exact"/>
        <w:ind w:firstLine="640" w:firstLineChars="200"/>
        <w:rPr>
          <w:rFonts w:hAnsi="仿宋"/>
          <w:color w:val="auto"/>
          <w:sz w:val="32"/>
          <w:szCs w:val="32"/>
        </w:rPr>
      </w:pPr>
      <w:r>
        <w:rPr>
          <w:rFonts w:hint="eastAsia" w:hAnsi="仿宋"/>
          <w:color w:val="auto"/>
          <w:sz w:val="32"/>
          <w:szCs w:val="32"/>
          <w:lang w:val="en-US" w:eastAsia="zh-CN"/>
        </w:rPr>
        <w:t>24</w:t>
      </w:r>
      <w:r>
        <w:rPr>
          <w:rFonts w:hAnsi="仿宋"/>
          <w:color w:val="auto"/>
          <w:sz w:val="32"/>
          <w:szCs w:val="32"/>
        </w:rPr>
        <w:t>.</w:t>
      </w:r>
      <w:r>
        <w:rPr>
          <w:rFonts w:hint="eastAsia" w:hAnsi="仿宋"/>
          <w:color w:val="auto"/>
          <w:sz w:val="32"/>
          <w:szCs w:val="32"/>
        </w:rPr>
        <w:t>卫生健康支出支出（类）行政事业单位医疗支出（款）事业单位医疗（项）：反映财政部门安排的事业单位基本医疗保险缴费经费，未参加医疗保险的事业单位的公费医疗经费，按国家规定享受离休人员待遇的医疗经费。</w:t>
      </w:r>
    </w:p>
    <w:p>
      <w:pPr>
        <w:pStyle w:val="29"/>
        <w:spacing w:line="560" w:lineRule="exact"/>
        <w:ind w:firstLine="640" w:firstLineChars="200"/>
        <w:rPr>
          <w:rFonts w:hAnsi="仿宋"/>
          <w:color w:val="auto"/>
          <w:sz w:val="32"/>
          <w:szCs w:val="32"/>
        </w:rPr>
      </w:pPr>
      <w:r>
        <w:rPr>
          <w:rFonts w:hint="eastAsia" w:hAnsi="仿宋"/>
          <w:color w:val="auto"/>
          <w:sz w:val="32"/>
          <w:szCs w:val="32"/>
          <w:lang w:val="en-US" w:eastAsia="zh-CN"/>
        </w:rPr>
        <w:t>25</w:t>
      </w:r>
      <w:r>
        <w:rPr>
          <w:rFonts w:hAnsi="仿宋"/>
          <w:color w:val="auto"/>
          <w:sz w:val="32"/>
          <w:szCs w:val="32"/>
        </w:rPr>
        <w:t>.</w:t>
      </w:r>
      <w:r>
        <w:rPr>
          <w:rFonts w:hint="eastAsia" w:hAnsi="仿宋"/>
          <w:color w:val="auto"/>
          <w:sz w:val="32"/>
          <w:szCs w:val="32"/>
        </w:rPr>
        <w:t>卫生健康支出支出（类）行政事业单位医疗支出（款）公务员医疗补助：反映财政部门安排的公务员医疗补助经费。</w:t>
      </w:r>
    </w:p>
    <w:p>
      <w:pPr>
        <w:pStyle w:val="29"/>
        <w:spacing w:line="560" w:lineRule="exact"/>
        <w:ind w:firstLine="640" w:firstLineChars="200"/>
        <w:rPr>
          <w:rFonts w:hAnsi="仿宋"/>
          <w:color w:val="auto"/>
          <w:sz w:val="32"/>
          <w:szCs w:val="32"/>
        </w:rPr>
      </w:pPr>
      <w:r>
        <w:rPr>
          <w:rFonts w:hint="eastAsia" w:hAnsi="仿宋"/>
          <w:color w:val="auto"/>
          <w:sz w:val="32"/>
          <w:szCs w:val="32"/>
          <w:lang w:val="en-US" w:eastAsia="zh-CN"/>
        </w:rPr>
        <w:t>26</w:t>
      </w:r>
      <w:r>
        <w:rPr>
          <w:rFonts w:hAnsi="仿宋"/>
          <w:color w:val="auto"/>
          <w:sz w:val="32"/>
          <w:szCs w:val="32"/>
        </w:rPr>
        <w:t>.</w:t>
      </w:r>
      <w:r>
        <w:rPr>
          <w:rFonts w:hint="eastAsia" w:hAnsi="仿宋"/>
          <w:color w:val="auto"/>
          <w:sz w:val="32"/>
          <w:szCs w:val="32"/>
        </w:rPr>
        <w:t>卫生健康支出支出（类）行政事业单位医疗支出（款）其他行政事业单位医疗支出（项）：反映除上述项目以外的其他用于行政事业单位医疗方面的支出。</w:t>
      </w:r>
    </w:p>
    <w:p>
      <w:pPr>
        <w:pStyle w:val="29"/>
        <w:spacing w:line="560" w:lineRule="exact"/>
        <w:ind w:firstLine="640" w:firstLineChars="200"/>
        <w:rPr>
          <w:rFonts w:hAnsi="仿宋"/>
          <w:color w:val="auto"/>
          <w:sz w:val="32"/>
          <w:szCs w:val="32"/>
        </w:rPr>
      </w:pPr>
      <w:r>
        <w:rPr>
          <w:rFonts w:hint="eastAsia" w:hAnsi="仿宋"/>
          <w:color w:val="auto"/>
          <w:sz w:val="32"/>
          <w:szCs w:val="32"/>
          <w:lang w:val="en-US" w:eastAsia="zh-CN"/>
        </w:rPr>
        <w:t>27</w:t>
      </w:r>
      <w:r>
        <w:rPr>
          <w:rFonts w:hint="eastAsia" w:hAnsi="仿宋"/>
          <w:color w:val="auto"/>
          <w:sz w:val="32"/>
          <w:szCs w:val="32"/>
        </w:rPr>
        <w:t>.</w:t>
      </w:r>
      <w:r>
        <w:rPr>
          <w:rFonts w:hAnsi="仿宋"/>
          <w:color w:val="auto"/>
          <w:sz w:val="32"/>
          <w:szCs w:val="32"/>
        </w:rPr>
        <w:t>卫生健康支出（类）优抚对象医疗（款）优抚对象医疗补助（项）：反映按规定补助优抚对象的医疗经费</w:t>
      </w:r>
      <w:r>
        <w:rPr>
          <w:rFonts w:hint="eastAsia" w:hAnsi="仿宋"/>
          <w:color w:val="auto"/>
          <w:sz w:val="32"/>
          <w:szCs w:val="32"/>
        </w:rPr>
        <w:t>。</w:t>
      </w:r>
    </w:p>
    <w:p>
      <w:pPr>
        <w:pStyle w:val="29"/>
        <w:spacing w:line="560" w:lineRule="exact"/>
        <w:ind w:firstLine="640" w:firstLineChars="200"/>
        <w:rPr>
          <w:rFonts w:hAnsi="仿宋"/>
          <w:color w:val="auto"/>
          <w:sz w:val="32"/>
          <w:szCs w:val="32"/>
        </w:rPr>
      </w:pPr>
      <w:r>
        <w:rPr>
          <w:rFonts w:hint="eastAsia" w:hAnsi="仿宋"/>
          <w:color w:val="auto"/>
          <w:sz w:val="32"/>
          <w:szCs w:val="32"/>
          <w:lang w:val="en-US" w:eastAsia="zh-CN"/>
        </w:rPr>
        <w:t>28</w:t>
      </w:r>
      <w:r>
        <w:rPr>
          <w:rFonts w:hAnsi="仿宋"/>
          <w:color w:val="auto"/>
          <w:sz w:val="32"/>
          <w:szCs w:val="32"/>
        </w:rPr>
        <w:t>.</w:t>
      </w:r>
      <w:r>
        <w:rPr>
          <w:rFonts w:hint="eastAsia" w:hAnsi="仿宋"/>
          <w:color w:val="auto"/>
          <w:sz w:val="32"/>
          <w:szCs w:val="32"/>
        </w:rPr>
        <w:t>住房保障支出（类）住房改革支出（款）住房公积金（项）：指行政事业单位按人力资源和社会保障部、财政部规定的基本工资和津贴补贴以及规定比例为职工缴纳的住房公积金。</w:t>
      </w:r>
    </w:p>
    <w:p>
      <w:pPr>
        <w:pStyle w:val="29"/>
        <w:spacing w:line="560" w:lineRule="exact"/>
        <w:ind w:firstLine="640" w:firstLineChars="200"/>
        <w:rPr>
          <w:rFonts w:hAnsi="仿宋"/>
          <w:color w:val="auto"/>
          <w:sz w:val="32"/>
          <w:szCs w:val="32"/>
        </w:rPr>
      </w:pPr>
      <w:r>
        <w:rPr>
          <w:rFonts w:hAnsi="仿宋"/>
          <w:color w:val="auto"/>
          <w:sz w:val="32"/>
          <w:szCs w:val="32"/>
        </w:rPr>
        <w:t>2</w:t>
      </w:r>
      <w:r>
        <w:rPr>
          <w:rFonts w:hint="eastAsia" w:hAnsi="仿宋"/>
          <w:color w:val="auto"/>
          <w:sz w:val="32"/>
          <w:szCs w:val="32"/>
          <w:lang w:val="en-US" w:eastAsia="zh-CN"/>
        </w:rPr>
        <w:t>9</w:t>
      </w:r>
      <w:r>
        <w:rPr>
          <w:rFonts w:hAnsi="仿宋"/>
          <w:color w:val="auto"/>
          <w:sz w:val="32"/>
          <w:szCs w:val="32"/>
        </w:rPr>
        <w:t>.</w:t>
      </w:r>
      <w:r>
        <w:rPr>
          <w:rFonts w:hint="eastAsia" w:hAnsi="仿宋"/>
          <w:color w:val="auto"/>
          <w:sz w:val="32"/>
          <w:szCs w:val="32"/>
        </w:rPr>
        <w:t>基本支出：指为保障机构正常运转、完成日常工作任务而发生的人员支出和公用支出。</w:t>
      </w:r>
    </w:p>
    <w:p>
      <w:pPr>
        <w:pStyle w:val="29"/>
        <w:spacing w:line="560" w:lineRule="exact"/>
        <w:ind w:firstLine="640" w:firstLineChars="200"/>
        <w:rPr>
          <w:rFonts w:hAnsi="仿宋"/>
          <w:color w:val="auto"/>
          <w:sz w:val="32"/>
          <w:szCs w:val="32"/>
        </w:rPr>
      </w:pPr>
      <w:r>
        <w:rPr>
          <w:rFonts w:hint="eastAsia" w:hAnsi="仿宋"/>
          <w:color w:val="auto"/>
          <w:sz w:val="32"/>
          <w:szCs w:val="32"/>
          <w:lang w:val="en-US" w:eastAsia="zh-CN"/>
        </w:rPr>
        <w:t>30</w:t>
      </w:r>
      <w:r>
        <w:rPr>
          <w:rFonts w:hAnsi="仿宋"/>
          <w:color w:val="auto"/>
          <w:sz w:val="32"/>
          <w:szCs w:val="32"/>
        </w:rPr>
        <w:t>.</w:t>
      </w:r>
      <w:r>
        <w:rPr>
          <w:rFonts w:hint="eastAsia" w:hAnsi="仿宋"/>
          <w:color w:val="auto"/>
          <w:sz w:val="32"/>
          <w:szCs w:val="32"/>
        </w:rPr>
        <w:t>项目支出：指在基本支出之外为完成特定行政任务和事业发展目标所发生的支出。</w:t>
      </w:r>
    </w:p>
    <w:p>
      <w:pPr>
        <w:pStyle w:val="29"/>
        <w:spacing w:line="560" w:lineRule="exact"/>
        <w:ind w:firstLine="640" w:firstLineChars="200"/>
        <w:rPr>
          <w:rFonts w:hAnsi="仿宋"/>
          <w:color w:val="auto"/>
          <w:sz w:val="32"/>
          <w:szCs w:val="32"/>
        </w:rPr>
      </w:pPr>
      <w:r>
        <w:rPr>
          <w:rFonts w:hint="eastAsia" w:hAnsi="仿宋"/>
          <w:color w:val="auto"/>
          <w:sz w:val="32"/>
          <w:szCs w:val="32"/>
          <w:lang w:val="en-US" w:eastAsia="zh-CN"/>
        </w:rPr>
        <w:t>31</w:t>
      </w:r>
      <w:r>
        <w:rPr>
          <w:rFonts w:hAnsi="仿宋"/>
          <w:color w:val="auto"/>
          <w:sz w:val="32"/>
          <w:szCs w:val="32"/>
        </w:rPr>
        <w:t>.</w:t>
      </w:r>
      <w:r>
        <w:rPr>
          <w:rFonts w:hint="eastAsia" w:hAnsi="仿宋"/>
          <w:color w:val="auto"/>
          <w:sz w:val="32"/>
          <w:szCs w:val="32"/>
        </w:rPr>
        <w:t>经营支出：指事业单位在专业业务活动及其辅助活动之外开展非独立核算经营活动发生的支出。</w:t>
      </w:r>
    </w:p>
    <w:p>
      <w:pPr>
        <w:pStyle w:val="29"/>
        <w:spacing w:line="560" w:lineRule="exact"/>
        <w:ind w:firstLine="640" w:firstLineChars="200"/>
        <w:rPr>
          <w:rFonts w:hAnsi="仿宋"/>
          <w:color w:val="auto"/>
          <w:sz w:val="32"/>
          <w:szCs w:val="32"/>
        </w:rPr>
      </w:pPr>
      <w:r>
        <w:rPr>
          <w:rFonts w:hint="eastAsia" w:hAnsi="仿宋"/>
          <w:color w:val="auto"/>
          <w:sz w:val="32"/>
          <w:szCs w:val="32"/>
          <w:lang w:val="en-US" w:eastAsia="zh-CN"/>
        </w:rPr>
        <w:t>32</w:t>
      </w:r>
      <w:r>
        <w:rPr>
          <w:rFonts w:hAnsi="仿宋"/>
          <w:color w:val="auto"/>
          <w:sz w:val="32"/>
          <w:szCs w:val="32"/>
        </w:rPr>
        <w:t>.</w:t>
      </w:r>
      <w:r>
        <w:rPr>
          <w:rFonts w:hint="eastAsia" w:hAnsi="仿宋"/>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9"/>
        <w:spacing w:line="560" w:lineRule="exact"/>
        <w:ind w:firstLine="640" w:firstLineChars="200"/>
        <w:rPr>
          <w:rFonts w:hAnsi="仿宋"/>
          <w:color w:val="auto"/>
          <w:sz w:val="32"/>
          <w:szCs w:val="32"/>
        </w:rPr>
      </w:pPr>
      <w:r>
        <w:rPr>
          <w:rFonts w:hint="eastAsia" w:hAnsi="仿宋"/>
          <w:color w:val="auto"/>
          <w:sz w:val="32"/>
          <w:szCs w:val="32"/>
          <w:lang w:val="en-US" w:eastAsia="zh-CN"/>
        </w:rPr>
        <w:t>33</w:t>
      </w:r>
      <w:r>
        <w:rPr>
          <w:rFonts w:hAnsi="仿宋"/>
          <w:color w:val="auto"/>
          <w:sz w:val="32"/>
          <w:szCs w:val="32"/>
        </w:rPr>
        <w:t>.</w:t>
      </w:r>
      <w:r>
        <w:rPr>
          <w:rFonts w:hint="eastAsia" w:hAnsi="仿宋"/>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9"/>
        <w:spacing w:line="560" w:lineRule="exact"/>
        <w:ind w:firstLine="640" w:firstLineChars="200"/>
        <w:rPr>
          <w:rFonts w:hAnsi="仿宋"/>
          <w:color w:val="auto"/>
          <w:sz w:val="32"/>
          <w:szCs w:val="32"/>
        </w:rPr>
      </w:pPr>
    </w:p>
    <w:p>
      <w:pPr>
        <w:pStyle w:val="29"/>
        <w:spacing w:line="560" w:lineRule="exact"/>
        <w:ind w:firstLine="640" w:firstLineChars="200"/>
        <w:rPr>
          <w:rFonts w:hAnsi="仿宋"/>
          <w:color w:val="auto"/>
          <w:sz w:val="32"/>
          <w:szCs w:val="32"/>
        </w:rPr>
      </w:pPr>
    </w:p>
    <w:p>
      <w:pPr>
        <w:pStyle w:val="29"/>
        <w:spacing w:line="560" w:lineRule="exact"/>
        <w:ind w:firstLine="640" w:firstLineChars="200"/>
        <w:jc w:val="center"/>
        <w:rPr>
          <w:rStyle w:val="31"/>
          <w:rFonts w:ascii="黑体" w:hAnsi="黑体" w:eastAsia="黑体"/>
          <w:b w:val="0"/>
        </w:rPr>
      </w:pPr>
      <w:bookmarkStart w:id="51" w:name="_Toc15377226"/>
      <w:r>
        <w:rPr>
          <w:rFonts w:hAnsi="仿宋"/>
          <w:color w:val="auto"/>
          <w:sz w:val="32"/>
          <w:szCs w:val="32"/>
        </w:rPr>
        <w:br w:type="page"/>
      </w:r>
      <w:bookmarkStart w:id="52" w:name="_Toc15396614"/>
      <w:r>
        <w:rPr>
          <w:rFonts w:hint="eastAsia" w:ascii="黑体" w:hAnsi="黑体" w:eastAsia="黑体"/>
          <w:sz w:val="44"/>
          <w:szCs w:val="44"/>
        </w:rPr>
        <w:t>第</w:t>
      </w:r>
      <w:r>
        <w:rPr>
          <w:rStyle w:val="31"/>
          <w:rFonts w:hint="eastAsia" w:ascii="黑体" w:hAnsi="黑体" w:eastAsia="黑体"/>
          <w:b w:val="0"/>
        </w:rPr>
        <w:t>四部分 附件</w:t>
      </w:r>
      <w:bookmarkEnd w:id="52"/>
    </w:p>
    <w:p>
      <w:pPr>
        <w:spacing w:line="572" w:lineRule="exact"/>
        <w:jc w:val="left"/>
        <w:outlineLvl w:val="0"/>
        <w:rPr>
          <w:rFonts w:hint="eastAsia" w:ascii="方正小标宋简体" w:hAnsi="方正小标宋简体" w:eastAsia="黑体" w:cs="方正小标宋简体"/>
          <w:sz w:val="44"/>
          <w:szCs w:val="44"/>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widowControl/>
        <w:spacing w:line="560" w:lineRule="exact"/>
        <w:contextualSpacing/>
        <w:jc w:val="center"/>
        <w:rPr>
          <w:rFonts w:ascii="宋体" w:hAnsi="宋体"/>
          <w:b/>
          <w:sz w:val="32"/>
          <w:szCs w:val="32"/>
          <w:shd w:val="clear" w:color="auto" w:fill="FFFFFF"/>
        </w:rPr>
      </w:pPr>
      <w:r>
        <w:rPr>
          <w:rFonts w:hint="eastAsia" w:ascii="宋体" w:hAnsi="宋体"/>
          <w:b/>
          <w:sz w:val="32"/>
          <w:szCs w:val="32"/>
          <w:shd w:val="clear" w:color="auto" w:fill="FFFFFF"/>
        </w:rPr>
        <w:t>202</w:t>
      </w:r>
      <w:r>
        <w:rPr>
          <w:rFonts w:hint="eastAsia" w:ascii="宋体" w:hAnsi="宋体"/>
          <w:b/>
          <w:sz w:val="32"/>
          <w:szCs w:val="32"/>
          <w:shd w:val="clear" w:color="auto" w:fill="FFFFFF"/>
          <w:lang w:val="en-US" w:eastAsia="zh-CN"/>
        </w:rPr>
        <w:t>2</w:t>
      </w:r>
      <w:r>
        <w:rPr>
          <w:rFonts w:hint="eastAsia" w:ascii="宋体" w:hAnsi="宋体"/>
          <w:b/>
          <w:sz w:val="32"/>
          <w:szCs w:val="32"/>
          <w:shd w:val="clear" w:color="auto" w:fill="FFFFFF"/>
        </w:rPr>
        <w:t>年区级部门整体绩效评价报告</w:t>
      </w:r>
    </w:p>
    <w:p>
      <w:pPr>
        <w:widowControl/>
        <w:adjustRightInd w:val="0"/>
        <w:snapToGrid w:val="0"/>
        <w:spacing w:line="560" w:lineRule="exact"/>
        <w:ind w:firstLine="640" w:firstLineChars="200"/>
        <w:contextualSpacing/>
        <w:jc w:val="center"/>
        <w:rPr>
          <w:rFonts w:hint="eastAsia" w:ascii="仿宋" w:hAnsi="仿宋" w:eastAsia="仿宋" w:cs="仿宋"/>
          <w:kern w:val="0"/>
          <w:sz w:val="32"/>
          <w:szCs w:val="32"/>
        </w:rPr>
      </w:pPr>
      <w:r>
        <w:rPr>
          <w:rFonts w:hint="eastAsia" w:ascii="仿宋" w:hAnsi="仿宋" w:eastAsia="仿宋" w:cs="仿宋"/>
          <w:kern w:val="0"/>
          <w:sz w:val="32"/>
          <w:szCs w:val="32"/>
        </w:rPr>
        <w:t>（报告范围包括机关和下属单位）</w:t>
      </w: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p>
    <w:p>
      <w:pPr>
        <w:widowControl/>
        <w:numPr>
          <w:ilvl w:val="0"/>
          <w:numId w:val="4"/>
        </w:numPr>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lang w:val="zh-CN"/>
        </w:rPr>
      </w:pPr>
      <w:r>
        <w:rPr>
          <w:rFonts w:hint="eastAsia" w:ascii="黑体" w:hAnsi="宋体" w:eastAsia="黑体" w:cs="宋体"/>
          <w:kern w:val="0"/>
          <w:sz w:val="32"/>
          <w:szCs w:val="32"/>
          <w:shd w:val="clear" w:color="auto" w:fill="FFFFFF"/>
          <w:lang w:val="zh-CN"/>
        </w:rPr>
        <w:t>部门（单位）基本情况</w:t>
      </w:r>
    </w:p>
    <w:p>
      <w:pPr>
        <w:widowControl/>
        <w:adjustRightInd w:val="0"/>
        <w:snapToGrid w:val="0"/>
        <w:spacing w:line="560" w:lineRule="exact"/>
        <w:ind w:firstLine="640" w:firstLineChars="200"/>
        <w:contextualSpacing/>
        <w:jc w:val="left"/>
        <w:rPr>
          <w:rFonts w:ascii="楷体_GB2312" w:hAnsi="楷体_GB2312" w:eastAsia="楷体_GB2312" w:cs="楷体_GB2312"/>
          <w:b w:val="0"/>
          <w:bCs w:val="0"/>
          <w:kern w:val="0"/>
          <w:sz w:val="32"/>
          <w:szCs w:val="32"/>
          <w:shd w:val="clear" w:color="auto" w:fill="FFFFFF"/>
          <w:lang w:val="zh-CN"/>
        </w:rPr>
      </w:pPr>
      <w:r>
        <w:rPr>
          <w:rFonts w:hint="eastAsia" w:ascii="楷体_GB2312" w:hAnsi="楷体_GB2312" w:eastAsia="楷体_GB2312" w:cs="楷体_GB2312"/>
          <w:b w:val="0"/>
          <w:bCs w:val="0"/>
          <w:kern w:val="0"/>
          <w:sz w:val="32"/>
          <w:szCs w:val="32"/>
          <w:shd w:val="clear" w:color="auto" w:fill="FFFFFF"/>
          <w:lang w:val="zh-CN"/>
        </w:rPr>
        <w:t>（一）机构组成。</w:t>
      </w:r>
    </w:p>
    <w:p>
      <w:pPr>
        <w:widowControl/>
        <w:adjustRightInd w:val="0"/>
        <w:snapToGrid w:val="0"/>
        <w:spacing w:line="560" w:lineRule="exact"/>
        <w:ind w:firstLine="640" w:firstLineChars="200"/>
        <w:contextualSpacing/>
        <w:jc w:val="left"/>
        <w:rPr>
          <w:rFonts w:ascii="仿宋" w:hAnsi="仿宋" w:eastAsia="仿宋" w:cs="仿宋"/>
          <w:kern w:val="0"/>
          <w:sz w:val="32"/>
          <w:szCs w:val="32"/>
        </w:rPr>
      </w:pPr>
      <w:r>
        <w:rPr>
          <w:rFonts w:hint="eastAsia" w:ascii="仿宋" w:hAnsi="仿宋" w:eastAsia="仿宋" w:cs="仿宋"/>
          <w:kern w:val="0"/>
          <w:sz w:val="32"/>
          <w:szCs w:val="32"/>
        </w:rPr>
        <w:t>攀枝花市西区</w:t>
      </w:r>
      <w:r>
        <w:rPr>
          <w:rFonts w:hint="eastAsia" w:ascii="仿宋" w:hAnsi="仿宋" w:eastAsia="仿宋" w:cs="仿宋"/>
          <w:kern w:val="0"/>
          <w:sz w:val="32"/>
          <w:szCs w:val="32"/>
          <w:lang w:eastAsia="zh-CN"/>
        </w:rPr>
        <w:t>退役军人事务</w:t>
      </w:r>
      <w:r>
        <w:rPr>
          <w:rFonts w:hint="eastAsia" w:ascii="仿宋" w:hAnsi="仿宋" w:eastAsia="仿宋" w:cs="仿宋"/>
          <w:kern w:val="0"/>
          <w:sz w:val="32"/>
          <w:szCs w:val="32"/>
        </w:rPr>
        <w:t>局</w:t>
      </w:r>
      <w:r>
        <w:rPr>
          <w:rFonts w:ascii="Times New Roman"/>
          <w:sz w:val="32"/>
          <w:szCs w:val="32"/>
        </w:rPr>
        <w:t>于</w:t>
      </w:r>
      <w:r>
        <w:rPr>
          <w:rFonts w:hint="eastAsia" w:ascii="仿宋" w:hAnsi="仿宋" w:eastAsia="仿宋" w:cs="仿宋"/>
          <w:kern w:val="0"/>
          <w:sz w:val="32"/>
          <w:szCs w:val="32"/>
        </w:rPr>
        <w:t>2019年2月组建成立，为政府组成部门。下属1个事业单位，即</w:t>
      </w:r>
      <w:r>
        <w:rPr>
          <w:rFonts w:hint="eastAsia" w:ascii="仿宋" w:hAnsi="仿宋" w:eastAsia="仿宋" w:cs="仿宋"/>
          <w:kern w:val="0"/>
          <w:sz w:val="32"/>
          <w:szCs w:val="32"/>
          <w:lang w:eastAsia="zh-CN"/>
        </w:rPr>
        <w:t>攀枝花市</w:t>
      </w:r>
      <w:r>
        <w:rPr>
          <w:rFonts w:hint="eastAsia" w:ascii="仿宋" w:hAnsi="仿宋" w:eastAsia="仿宋" w:cs="仿宋"/>
          <w:kern w:val="0"/>
          <w:sz w:val="32"/>
          <w:szCs w:val="32"/>
        </w:rPr>
        <w:t>西区退役军人服务中心。</w:t>
      </w:r>
    </w:p>
    <w:p>
      <w:pPr>
        <w:widowControl/>
        <w:adjustRightInd w:val="0"/>
        <w:snapToGrid w:val="0"/>
        <w:spacing w:line="560" w:lineRule="exact"/>
        <w:ind w:firstLine="640" w:firstLineChars="200"/>
        <w:contextualSpacing/>
        <w:jc w:val="left"/>
        <w:rPr>
          <w:rFonts w:hint="eastAsia" w:ascii="楷体_GB2312" w:hAnsi="楷体_GB2312" w:eastAsia="楷体_GB2312" w:cs="楷体_GB2312"/>
          <w:b w:val="0"/>
          <w:bCs w:val="0"/>
          <w:kern w:val="0"/>
          <w:sz w:val="32"/>
          <w:szCs w:val="32"/>
          <w:shd w:val="clear" w:color="auto" w:fill="FFFFFF"/>
          <w:lang w:val="zh-CN"/>
        </w:rPr>
      </w:pPr>
      <w:r>
        <w:rPr>
          <w:rFonts w:hint="eastAsia" w:ascii="楷体_GB2312" w:hAnsi="楷体_GB2312" w:eastAsia="楷体_GB2312" w:cs="楷体_GB2312"/>
          <w:b w:val="0"/>
          <w:bCs w:val="0"/>
          <w:kern w:val="0"/>
          <w:sz w:val="32"/>
          <w:szCs w:val="32"/>
          <w:shd w:val="clear" w:color="auto" w:fill="FFFFFF"/>
          <w:lang w:val="zh-CN"/>
        </w:rPr>
        <w:t>（二）机构职能和人员概况。</w:t>
      </w:r>
    </w:p>
    <w:p>
      <w:pPr>
        <w:widowControl/>
        <w:adjustRightInd w:val="0"/>
        <w:snapToGrid w:val="0"/>
        <w:spacing w:line="560" w:lineRule="exact"/>
        <w:ind w:firstLine="640" w:firstLineChars="200"/>
        <w:contextualSpacing/>
        <w:jc w:val="left"/>
        <w:rPr>
          <w:rFonts w:hint="eastAsia" w:ascii="仿宋" w:hAnsi="仿宋" w:eastAsia="仿宋" w:cs="仿宋"/>
          <w:kern w:val="0"/>
          <w:sz w:val="32"/>
          <w:szCs w:val="32"/>
          <w:lang w:val="zh-CN"/>
        </w:rPr>
      </w:pPr>
      <w:r>
        <w:rPr>
          <w:rFonts w:hint="eastAsia" w:ascii="仿宋" w:hAnsi="仿宋" w:eastAsia="仿宋" w:cs="仿宋"/>
          <w:kern w:val="0"/>
          <w:sz w:val="32"/>
          <w:szCs w:val="32"/>
          <w:lang w:val="en-US" w:eastAsia="zh-CN"/>
        </w:rPr>
        <w:t>西区退役军人事务局主要职责：维护军人军属合法权益，加强退役军人服务保障体系建设，建立健全集中统一、职责清晰的退役军人管理保障体制</w:t>
      </w:r>
      <w:r>
        <w:rPr>
          <w:rFonts w:hint="eastAsia" w:ascii="仿宋" w:hAnsi="仿宋" w:eastAsia="仿宋" w:cs="仿宋"/>
          <w:kern w:val="0"/>
          <w:sz w:val="32"/>
          <w:szCs w:val="32"/>
        </w:rPr>
        <w:t>。</w:t>
      </w:r>
    </w:p>
    <w:p>
      <w:pPr>
        <w:widowControl/>
        <w:adjustRightInd w:val="0"/>
        <w:snapToGrid w:val="0"/>
        <w:spacing w:line="560" w:lineRule="exact"/>
        <w:ind w:firstLine="640" w:firstLineChars="200"/>
        <w:contextualSpacing/>
        <w:jc w:val="left"/>
        <w:rPr>
          <w:rFonts w:hint="eastAsia" w:ascii="仿宋" w:hAnsi="仿宋" w:eastAsia="仿宋" w:cs="仿宋"/>
          <w:kern w:val="0"/>
          <w:sz w:val="32"/>
          <w:szCs w:val="32"/>
          <w:lang w:val="zh-CN"/>
        </w:rPr>
      </w:pPr>
      <w:r>
        <w:rPr>
          <w:rFonts w:hint="eastAsia" w:ascii="仿宋" w:hAnsi="仿宋" w:eastAsia="仿宋" w:cs="仿宋"/>
          <w:kern w:val="0"/>
          <w:sz w:val="32"/>
          <w:szCs w:val="32"/>
          <w:lang w:val="en-US" w:eastAsia="zh-CN"/>
        </w:rPr>
        <w:t>西区退役军人事务局人员情况：有行政编制3名、事业编制6名、临聘编制2名。2022年末实有人员10人。</w:t>
      </w:r>
    </w:p>
    <w:p>
      <w:pPr>
        <w:widowControl/>
        <w:adjustRightInd w:val="0"/>
        <w:snapToGrid w:val="0"/>
        <w:spacing w:line="560" w:lineRule="exact"/>
        <w:ind w:firstLine="640" w:firstLineChars="200"/>
        <w:contextualSpacing/>
        <w:jc w:val="left"/>
        <w:rPr>
          <w:rFonts w:hint="eastAsia" w:ascii="楷体_GB2312" w:hAnsi="楷体_GB2312" w:eastAsia="楷体_GB2312" w:cs="楷体_GB2312"/>
          <w:b w:val="0"/>
          <w:bCs w:val="0"/>
          <w:kern w:val="0"/>
          <w:sz w:val="32"/>
          <w:szCs w:val="32"/>
          <w:shd w:val="clear" w:color="auto" w:fill="FFFFFF"/>
          <w:lang w:val="zh-CN"/>
        </w:rPr>
      </w:pPr>
      <w:r>
        <w:rPr>
          <w:rFonts w:hint="eastAsia" w:ascii="楷体_GB2312" w:hAnsi="楷体_GB2312" w:eastAsia="楷体_GB2312" w:cs="楷体_GB2312"/>
          <w:b w:val="0"/>
          <w:bCs w:val="0"/>
          <w:kern w:val="0"/>
          <w:sz w:val="32"/>
          <w:szCs w:val="32"/>
          <w:shd w:val="clear" w:color="auto" w:fill="FFFFFF"/>
          <w:lang w:val="zh-CN"/>
        </w:rPr>
        <w:t>（三）年度主要工作任务。</w:t>
      </w:r>
    </w:p>
    <w:p>
      <w:pPr>
        <w:autoSpaceDE w:val="0"/>
        <w:autoSpaceDN w:val="0"/>
        <w:adjustRightInd w:val="0"/>
        <w:snapToGrid w:val="0"/>
        <w:spacing w:line="353" w:lineRule="auto"/>
        <w:ind w:firstLine="643" w:firstLineChars="200"/>
        <w:rPr>
          <w:rFonts w:hint="eastAsia" w:ascii="仿宋" w:hAnsi="仿宋" w:eastAsia="仿宋" w:cs="仿宋"/>
          <w:kern w:val="0"/>
          <w:sz w:val="32"/>
          <w:szCs w:val="32"/>
          <w:lang w:val="en-US" w:eastAsia="zh-CN"/>
        </w:rPr>
      </w:pPr>
      <w:r>
        <w:rPr>
          <w:rFonts w:eastAsia="仿宋_GB2312"/>
          <w:b/>
          <w:color w:val="000000"/>
          <w:sz w:val="32"/>
          <w:szCs w:val="32"/>
        </w:rPr>
        <w:t>1.全力推进双拥创建届中考评调研工作。</w:t>
      </w:r>
      <w:r>
        <w:rPr>
          <w:rFonts w:hint="eastAsia" w:ascii="仿宋" w:hAnsi="仿宋" w:eastAsia="仿宋" w:cs="仿宋"/>
          <w:kern w:val="0"/>
          <w:sz w:val="32"/>
          <w:szCs w:val="32"/>
          <w:lang w:val="en-US" w:eastAsia="zh-CN"/>
        </w:rPr>
        <w:t>按照西区“2022项目攻坚突破年”重点项目（重点工作）安排，全力推进全国双拥模范城（县）创建工作届中考评调研工作。制定了中期调研考评工作方案，编报了考评调研自查报告，牵头做好双拥迎检资料的收集整理；制作大型户外永久性双拥公益宣传牌2块，制发双拥宣传单2万份，通过多种途径不断强化双拥宣传氛围营造；积极争取支持，实施区退役军人服务中心及区退役军人局办公场所搬迁打造项目，有效解决了区退役军人服务中心办公面积不足的困难问题。重点工作推进有力，为争创新一届省级双拥模范区打下坚实基础。</w:t>
      </w:r>
    </w:p>
    <w:p>
      <w:pPr>
        <w:autoSpaceDE w:val="0"/>
        <w:autoSpaceDN w:val="0"/>
        <w:adjustRightInd w:val="0"/>
        <w:snapToGrid w:val="0"/>
        <w:spacing w:line="353" w:lineRule="auto"/>
        <w:ind w:firstLine="643" w:firstLineChars="200"/>
        <w:rPr>
          <w:rFonts w:hint="eastAsia" w:ascii="仿宋" w:hAnsi="仿宋" w:eastAsia="仿宋" w:cs="仿宋"/>
          <w:i w:val="0"/>
          <w:caps w:val="0"/>
          <w:color w:val="333333"/>
          <w:spacing w:val="0"/>
          <w:kern w:val="2"/>
          <w:sz w:val="32"/>
          <w:szCs w:val="32"/>
          <w:shd w:val="clear" w:fill="FFFFFF"/>
          <w:lang w:val="en-US" w:eastAsia="zh-CN" w:bidi="ar-SA"/>
        </w:rPr>
      </w:pPr>
      <w:r>
        <w:rPr>
          <w:rFonts w:eastAsia="仿宋_GB2312"/>
          <w:b/>
          <w:color w:val="000000"/>
          <w:sz w:val="32"/>
          <w:szCs w:val="32"/>
        </w:rPr>
        <w:t>2.有序推进建档立卡及优待证申领工作。</w:t>
      </w:r>
      <w:r>
        <w:rPr>
          <w:rFonts w:hint="eastAsia" w:ascii="仿宋" w:hAnsi="仿宋" w:eastAsia="仿宋" w:cs="仿宋"/>
          <w:b/>
          <w:bCs/>
          <w:i w:val="0"/>
          <w:caps w:val="0"/>
          <w:color w:val="333333"/>
          <w:spacing w:val="0"/>
          <w:kern w:val="2"/>
          <w:sz w:val="32"/>
          <w:szCs w:val="32"/>
          <w:shd w:val="clear" w:fill="FFFFFF"/>
          <w:lang w:val="en-US" w:eastAsia="zh-CN" w:bidi="ar-SA"/>
        </w:rPr>
        <w:t>一是</w:t>
      </w:r>
      <w:r>
        <w:rPr>
          <w:rFonts w:hint="eastAsia" w:ascii="仿宋" w:hAnsi="仿宋" w:eastAsia="仿宋" w:cs="仿宋"/>
          <w:i w:val="0"/>
          <w:caps w:val="0"/>
          <w:color w:val="333333"/>
          <w:spacing w:val="0"/>
          <w:kern w:val="2"/>
          <w:sz w:val="32"/>
          <w:szCs w:val="32"/>
          <w:shd w:val="clear" w:fill="FFFFFF"/>
          <w:lang w:val="en-US" w:eastAsia="zh-CN" w:bidi="ar-SA"/>
        </w:rPr>
        <w:t>加强组织领导。制定印发工作方案，不定期召开工作推进会，研究解决工作推进中存在的困难和问题，安排部署下步工作。</w:t>
      </w:r>
      <w:r>
        <w:rPr>
          <w:rFonts w:hint="eastAsia" w:ascii="仿宋" w:hAnsi="仿宋" w:eastAsia="仿宋" w:cs="仿宋"/>
          <w:b/>
          <w:bCs/>
          <w:i w:val="0"/>
          <w:caps w:val="0"/>
          <w:color w:val="333333"/>
          <w:spacing w:val="0"/>
          <w:kern w:val="2"/>
          <w:sz w:val="32"/>
          <w:szCs w:val="32"/>
          <w:shd w:val="clear" w:fill="FFFFFF"/>
          <w:lang w:val="en-US" w:eastAsia="zh-CN" w:bidi="ar-SA"/>
        </w:rPr>
        <w:t>二是</w:t>
      </w:r>
      <w:r>
        <w:rPr>
          <w:rFonts w:hint="eastAsia" w:ascii="仿宋" w:hAnsi="仿宋" w:eastAsia="仿宋" w:cs="仿宋"/>
          <w:i w:val="0"/>
          <w:caps w:val="0"/>
          <w:color w:val="333333"/>
          <w:spacing w:val="0"/>
          <w:kern w:val="2"/>
          <w:sz w:val="32"/>
          <w:szCs w:val="32"/>
          <w:shd w:val="clear" w:fill="FFFFFF"/>
          <w:lang w:val="en-US" w:eastAsia="zh-CN" w:bidi="ar-SA"/>
        </w:rPr>
        <w:t>广泛开展宣传。让退役军人知晓优待证申领各项事宜，引导对象正确认识优待水平应与国家、本地区经济发展水平相适应，形成良好的政策预期。</w:t>
      </w:r>
      <w:r>
        <w:rPr>
          <w:rFonts w:hint="eastAsia" w:ascii="仿宋" w:hAnsi="仿宋" w:eastAsia="仿宋" w:cs="仿宋"/>
          <w:b/>
          <w:bCs/>
          <w:i w:val="0"/>
          <w:caps w:val="0"/>
          <w:color w:val="333333"/>
          <w:spacing w:val="0"/>
          <w:kern w:val="2"/>
          <w:sz w:val="32"/>
          <w:szCs w:val="32"/>
          <w:shd w:val="clear" w:fill="FFFFFF"/>
          <w:lang w:val="en-US" w:eastAsia="zh-CN" w:bidi="ar-SA"/>
        </w:rPr>
        <w:t>三是</w:t>
      </w:r>
      <w:r>
        <w:rPr>
          <w:rFonts w:hint="eastAsia" w:ascii="仿宋" w:hAnsi="仿宋" w:eastAsia="仿宋" w:cs="仿宋"/>
          <w:i w:val="0"/>
          <w:caps w:val="0"/>
          <w:color w:val="333333"/>
          <w:spacing w:val="0"/>
          <w:kern w:val="2"/>
          <w:sz w:val="32"/>
          <w:szCs w:val="32"/>
          <w:shd w:val="clear" w:fill="FFFFFF"/>
          <w:lang w:val="en-US" w:eastAsia="zh-CN" w:bidi="ar-SA"/>
        </w:rPr>
        <w:t>强化业务培训。通过外出交流学习、专题培训、现场指导等形式，不断提升工作人员业务能力和水平。截至目前，全区优抚对象5036人，完成建档立卡登记（维护）2715人，通过省厅审定692人；完成优待证申领3127人，通过省厅审定2482人，完成制证2206人，发放优待证1625人，工作有序推进。</w:t>
      </w:r>
    </w:p>
    <w:p>
      <w:pPr>
        <w:autoSpaceDE w:val="0"/>
        <w:autoSpaceDN w:val="0"/>
        <w:adjustRightInd w:val="0"/>
        <w:snapToGrid w:val="0"/>
        <w:spacing w:line="353" w:lineRule="auto"/>
        <w:ind w:firstLine="643" w:firstLineChars="200"/>
        <w:rPr>
          <w:rFonts w:hint="eastAsia" w:ascii="仿宋" w:hAnsi="仿宋" w:eastAsia="仿宋" w:cs="仿宋"/>
          <w:i w:val="0"/>
          <w:caps w:val="0"/>
          <w:color w:val="333333"/>
          <w:spacing w:val="0"/>
          <w:kern w:val="2"/>
          <w:sz w:val="32"/>
          <w:szCs w:val="32"/>
          <w:shd w:val="clear" w:fill="FFFFFF"/>
          <w:lang w:val="en-US" w:eastAsia="zh-CN" w:bidi="ar-SA"/>
        </w:rPr>
      </w:pPr>
      <w:r>
        <w:rPr>
          <w:rFonts w:hint="eastAsia" w:ascii="仿宋" w:hAnsi="仿宋" w:eastAsia="仿宋" w:cs="仿宋"/>
          <w:b/>
          <w:color w:val="000000"/>
          <w:sz w:val="32"/>
          <w:szCs w:val="32"/>
        </w:rPr>
        <w:t>3.精准完成优抚数据核查审定。</w:t>
      </w:r>
      <w:r>
        <w:rPr>
          <w:rFonts w:hint="eastAsia" w:ascii="仿宋" w:hAnsi="仿宋" w:eastAsia="仿宋" w:cs="仿宋"/>
          <w:i w:val="0"/>
          <w:caps w:val="0"/>
          <w:color w:val="333333"/>
          <w:spacing w:val="0"/>
          <w:kern w:val="2"/>
          <w:sz w:val="32"/>
          <w:szCs w:val="32"/>
          <w:shd w:val="clear" w:fill="FFFFFF"/>
          <w:lang w:val="en-US" w:eastAsia="zh-CN" w:bidi="ar-SA"/>
        </w:rPr>
        <w:t>严格按照省厅要求，认真开展优抚对象数据核查审定工作，核定全区各类享受抚恤补助的优抚对象等人员194人。为确保优抚资金使用安全、精准发放奠定了坚实基础。</w:t>
      </w:r>
    </w:p>
    <w:p>
      <w:pPr>
        <w:autoSpaceDE w:val="0"/>
        <w:autoSpaceDN w:val="0"/>
        <w:adjustRightInd w:val="0"/>
        <w:snapToGrid w:val="0"/>
        <w:spacing w:line="353" w:lineRule="auto"/>
        <w:ind w:firstLine="643" w:firstLineChars="200"/>
        <w:rPr>
          <w:rFonts w:hint="eastAsia" w:ascii="仿宋" w:hAnsi="仿宋" w:eastAsia="仿宋" w:cs="仿宋"/>
          <w:i w:val="0"/>
          <w:caps w:val="0"/>
          <w:color w:val="333333"/>
          <w:spacing w:val="0"/>
          <w:kern w:val="2"/>
          <w:sz w:val="32"/>
          <w:szCs w:val="32"/>
          <w:shd w:val="clear" w:fill="FFFFFF"/>
          <w:lang w:val="en-US" w:eastAsia="zh-CN" w:bidi="ar-SA"/>
        </w:rPr>
      </w:pPr>
      <w:r>
        <w:rPr>
          <w:rFonts w:hint="eastAsia" w:ascii="仿宋" w:hAnsi="仿宋" w:eastAsia="仿宋" w:cs="仿宋"/>
          <w:b/>
          <w:color w:val="000000"/>
          <w:sz w:val="32"/>
          <w:szCs w:val="32"/>
        </w:rPr>
        <w:t>4.全面落实抚恤优待政策。</w:t>
      </w:r>
      <w:r>
        <w:rPr>
          <w:rFonts w:hint="eastAsia" w:ascii="仿宋" w:hAnsi="仿宋" w:eastAsia="仿宋" w:cs="仿宋"/>
          <w:i w:val="0"/>
          <w:caps w:val="0"/>
          <w:color w:val="333333"/>
          <w:spacing w:val="0"/>
          <w:kern w:val="2"/>
          <w:sz w:val="32"/>
          <w:szCs w:val="32"/>
          <w:shd w:val="clear" w:fill="FFFFFF"/>
          <w:lang w:val="en-US" w:eastAsia="zh-CN" w:bidi="ar-SA"/>
        </w:rPr>
        <w:t>2022年以来，共发放优抚对象抚恤和生活补助1927人次255.78万元、优抚对象抚恤补助自然增长金93人次43.16万元、优抚对象医疗补助31人次5.59万元，发放一至四级残疾军人护理费4.96万元、一级伤残军人生活费2.14万元，为重点优抚对象、自主择业军转干部缴纳医疗保险8.38万元。切实维护优抚对象合法权益。</w:t>
      </w:r>
    </w:p>
    <w:p>
      <w:pPr>
        <w:autoSpaceDE w:val="0"/>
        <w:autoSpaceDN w:val="0"/>
        <w:adjustRightInd w:val="0"/>
        <w:snapToGrid w:val="0"/>
        <w:spacing w:line="353" w:lineRule="auto"/>
        <w:ind w:firstLine="643" w:firstLineChars="200"/>
        <w:rPr>
          <w:rFonts w:hint="eastAsia" w:ascii="仿宋" w:hAnsi="仿宋" w:eastAsia="仿宋" w:cs="仿宋"/>
          <w:i w:val="0"/>
          <w:caps w:val="0"/>
          <w:color w:val="333333"/>
          <w:spacing w:val="0"/>
          <w:kern w:val="2"/>
          <w:sz w:val="32"/>
          <w:szCs w:val="32"/>
          <w:shd w:val="clear" w:fill="FFFFFF"/>
          <w:lang w:val="en-US" w:eastAsia="zh-CN" w:bidi="ar-SA"/>
        </w:rPr>
      </w:pPr>
      <w:r>
        <w:rPr>
          <w:rFonts w:hint="eastAsia" w:ascii="仿宋" w:hAnsi="仿宋" w:eastAsia="仿宋" w:cs="仿宋"/>
          <w:b/>
          <w:color w:val="000000"/>
          <w:sz w:val="32"/>
          <w:szCs w:val="32"/>
        </w:rPr>
        <w:t>5.着力做好军人服务保障工作。</w:t>
      </w:r>
      <w:r>
        <w:rPr>
          <w:rFonts w:hint="eastAsia" w:ascii="仿宋" w:hAnsi="仿宋" w:eastAsia="仿宋" w:cs="仿宋"/>
          <w:i w:val="0"/>
          <w:caps w:val="0"/>
          <w:color w:val="333333"/>
          <w:spacing w:val="0"/>
          <w:kern w:val="2"/>
          <w:sz w:val="32"/>
          <w:szCs w:val="32"/>
          <w:shd w:val="clear" w:fill="FFFFFF"/>
          <w:lang w:val="en-US" w:eastAsia="zh-CN" w:bidi="ar-SA"/>
        </w:rPr>
        <w:t>积极配合区人武部征兵工作，大力宣传优抚安置政策，动员大学生应征入伍，切实提高兵员素质。发放2021年大学生入伍一次性奖励金24.4万元，发放2022年上半年义务兵家庭优待金85.55万元。联合区人武部开展“新兵入伍欢送仪式”，大力营造“一人当兵、全家光荣”的良好氛围，发放新兵入伍纪念品30份。</w:t>
      </w:r>
    </w:p>
    <w:p>
      <w:pPr>
        <w:autoSpaceDE w:val="0"/>
        <w:autoSpaceDN w:val="0"/>
        <w:adjustRightInd w:val="0"/>
        <w:snapToGrid w:val="0"/>
        <w:spacing w:line="353" w:lineRule="auto"/>
        <w:ind w:firstLine="643" w:firstLineChars="200"/>
        <w:rPr>
          <w:rFonts w:hint="eastAsia" w:ascii="仿宋" w:hAnsi="仿宋" w:eastAsia="仿宋" w:cs="仿宋"/>
          <w:i w:val="0"/>
          <w:caps w:val="0"/>
          <w:color w:val="333333"/>
          <w:spacing w:val="0"/>
          <w:kern w:val="2"/>
          <w:sz w:val="32"/>
          <w:szCs w:val="32"/>
          <w:shd w:val="clear" w:fill="FFFFFF"/>
          <w:lang w:val="en-US" w:eastAsia="zh-CN" w:bidi="ar-SA"/>
        </w:rPr>
      </w:pPr>
      <w:r>
        <w:rPr>
          <w:rFonts w:hint="eastAsia" w:ascii="仿宋" w:hAnsi="仿宋" w:eastAsia="仿宋" w:cs="仿宋"/>
          <w:b/>
          <w:color w:val="000000"/>
          <w:sz w:val="32"/>
          <w:szCs w:val="32"/>
        </w:rPr>
        <w:t>6.全力做好安置就业工作。</w:t>
      </w:r>
      <w:r>
        <w:rPr>
          <w:rFonts w:hint="eastAsia" w:ascii="仿宋" w:hAnsi="仿宋" w:eastAsia="仿宋" w:cs="仿宋"/>
          <w:i w:val="0"/>
          <w:caps w:val="0"/>
          <w:color w:val="333333"/>
          <w:spacing w:val="0"/>
          <w:kern w:val="2"/>
          <w:sz w:val="32"/>
          <w:szCs w:val="32"/>
          <w:shd w:val="clear" w:fill="FFFFFF"/>
          <w:lang w:val="en-US" w:eastAsia="zh-CN" w:bidi="ar-SA"/>
        </w:rPr>
        <w:t>规范退役士兵档案审核和移交接收程序，依法接收退役士兵44人，其中符合政府安排工作条件退役士兵2人，自主就业退役士兵42人，同时设置专门窗口，为退役士兵返乡报到提供“一站式”优质服务。发放退役士兵一次性地方经济补助56.6万元，为7名自主就业退役士兵发放技能培训生活补助1.72万元。推进退役士兵学历教育发展，大力宣传高职扩招政策，为15名退役士兵办理高职扩招手续。组织退役军人参加专场招聘会，向返乡退役军人推送线上及线下招聘信息10余期。</w:t>
      </w:r>
    </w:p>
    <w:p>
      <w:pPr>
        <w:autoSpaceDE w:val="0"/>
        <w:autoSpaceDN w:val="0"/>
        <w:adjustRightInd w:val="0"/>
        <w:snapToGrid w:val="0"/>
        <w:spacing w:line="353" w:lineRule="auto"/>
        <w:ind w:firstLine="643" w:firstLineChars="200"/>
        <w:rPr>
          <w:rFonts w:hint="eastAsia" w:ascii="仿宋" w:hAnsi="仿宋" w:eastAsia="仿宋" w:cs="仿宋"/>
          <w:i w:val="0"/>
          <w:caps w:val="0"/>
          <w:color w:val="333333"/>
          <w:spacing w:val="0"/>
          <w:kern w:val="2"/>
          <w:sz w:val="32"/>
          <w:szCs w:val="32"/>
          <w:shd w:val="clear" w:fill="FFFFFF"/>
          <w:lang w:val="en-US" w:eastAsia="zh-CN" w:bidi="ar-SA"/>
        </w:rPr>
      </w:pPr>
      <w:r>
        <w:rPr>
          <w:rFonts w:hint="eastAsia" w:ascii="仿宋" w:hAnsi="仿宋" w:eastAsia="仿宋" w:cs="仿宋"/>
          <w:b/>
          <w:color w:val="000000"/>
          <w:sz w:val="32"/>
          <w:szCs w:val="32"/>
        </w:rPr>
        <w:t>7.用情做好困难帮扶援助工作。</w:t>
      </w:r>
      <w:r>
        <w:rPr>
          <w:rFonts w:hint="eastAsia" w:ascii="仿宋" w:hAnsi="仿宋" w:eastAsia="仿宋" w:cs="仿宋"/>
          <w:i w:val="0"/>
          <w:caps w:val="0"/>
          <w:color w:val="333333"/>
          <w:spacing w:val="0"/>
          <w:kern w:val="2"/>
          <w:sz w:val="32"/>
          <w:szCs w:val="32"/>
          <w:shd w:val="clear" w:fill="FFFFFF"/>
          <w:lang w:val="en-US" w:eastAsia="zh-CN" w:bidi="ar-SA"/>
        </w:rPr>
        <w:t>充分发挥区、镇（街道）、村（社区）退役军人服务（中心）站密切联系群众的作用，结合全国困难退役军人帮扶援助服务系统，加强对重大疾病、突发变故影响退役军人生产生活状况地摸排核实，做到底数清、情况明、无遗漏。本着“救急救难”原则，科学统筹安排，对14名家庭困难退役军人进行生活帮扶，帮扶资金5.02万元。</w:t>
      </w:r>
    </w:p>
    <w:p>
      <w:pPr>
        <w:autoSpaceDE w:val="0"/>
        <w:autoSpaceDN w:val="0"/>
        <w:adjustRightInd w:val="0"/>
        <w:snapToGrid w:val="0"/>
        <w:spacing w:line="353" w:lineRule="auto"/>
        <w:ind w:firstLine="643" w:firstLineChars="200"/>
        <w:rPr>
          <w:rFonts w:hint="eastAsia" w:ascii="仿宋" w:hAnsi="仿宋" w:eastAsia="仿宋" w:cs="仿宋"/>
          <w:i w:val="0"/>
          <w:caps w:val="0"/>
          <w:color w:val="333333"/>
          <w:spacing w:val="0"/>
          <w:kern w:val="2"/>
          <w:sz w:val="32"/>
          <w:szCs w:val="32"/>
          <w:shd w:val="clear" w:fill="FFFFFF"/>
          <w:lang w:val="en-US" w:eastAsia="zh-CN" w:bidi="ar-SA"/>
        </w:rPr>
      </w:pPr>
      <w:r>
        <w:rPr>
          <w:rFonts w:hint="eastAsia" w:ascii="仿宋" w:hAnsi="仿宋" w:eastAsia="仿宋" w:cs="仿宋"/>
          <w:b/>
          <w:color w:val="000000"/>
          <w:sz w:val="32"/>
          <w:szCs w:val="32"/>
        </w:rPr>
        <w:t>8.积极开展双拥共建工作。</w:t>
      </w:r>
      <w:r>
        <w:rPr>
          <w:rFonts w:hint="eastAsia" w:ascii="仿宋" w:hAnsi="仿宋" w:eastAsia="仿宋" w:cs="仿宋"/>
          <w:i w:val="0"/>
          <w:caps w:val="0"/>
          <w:color w:val="333333"/>
          <w:spacing w:val="0"/>
          <w:kern w:val="2"/>
          <w:sz w:val="32"/>
          <w:szCs w:val="32"/>
          <w:shd w:val="clear" w:fill="FFFFFF"/>
          <w:lang w:val="en-US" w:eastAsia="zh-CN" w:bidi="ar-SA"/>
        </w:rPr>
        <w:t>春节、“八一”期间，组织走访慰问攀枝花军分区、区人武部及优抚对象2680人次，发放慰问金（品）36.67万元。区级各有关部门（单位）走访慰问本单位现役军人家属、退役军人等468人次，送去慰问金（品）7.47万余元。常态化开展光荣牌悬挂、送立功受奖喜报，为19名“四有优秀”士兵发放奖励金0.95万元。扎实推进退役军人“服务超市”试点工作，为广大军人落实优先待遇，阶段性成效初显。组织召开“八一”建军95周年专题座谈会，共庆光辉节日，共忆光荣传统，共叙鱼水深情。与四川银行攀枝花西城支行开展战略合作，为退役军人提供优先、优质、优惠服务。引导西区退役军人志愿服务队积极参与疫情防控、森林草原防灭火、巡江护河、困难帮扶、文明城市创建、基层治理等志愿服务活动。区退役军人服务中心主任、区退役军人志愿服务队队长李明法同志被省退役军人事务厅授予“四川省退役军人服务中心（站）百名优秀主任（站长）”荣誉称号、获评全国第二届“最美民间河湖卫士”。</w:t>
      </w:r>
    </w:p>
    <w:p>
      <w:pPr>
        <w:autoSpaceDE w:val="0"/>
        <w:autoSpaceDN w:val="0"/>
        <w:adjustRightInd w:val="0"/>
        <w:snapToGrid w:val="0"/>
        <w:spacing w:line="353" w:lineRule="auto"/>
        <w:ind w:firstLine="643" w:firstLineChars="200"/>
        <w:rPr>
          <w:rFonts w:hint="eastAsia" w:ascii="仿宋" w:hAnsi="仿宋" w:eastAsia="仿宋" w:cs="仿宋"/>
          <w:i w:val="0"/>
          <w:caps w:val="0"/>
          <w:color w:val="333333"/>
          <w:spacing w:val="0"/>
          <w:kern w:val="2"/>
          <w:sz w:val="32"/>
          <w:szCs w:val="32"/>
          <w:shd w:val="clear" w:fill="FFFFFF"/>
          <w:lang w:val="en-US" w:eastAsia="zh-CN" w:bidi="ar-SA"/>
        </w:rPr>
      </w:pPr>
      <w:r>
        <w:rPr>
          <w:rFonts w:hint="eastAsia" w:ascii="仿宋" w:hAnsi="仿宋" w:eastAsia="仿宋" w:cs="仿宋"/>
          <w:b/>
          <w:color w:val="000000"/>
          <w:sz w:val="32"/>
          <w:szCs w:val="32"/>
        </w:rPr>
        <w:t>9.抓实涉军信访维稳工作。</w:t>
      </w:r>
      <w:r>
        <w:rPr>
          <w:rFonts w:hint="eastAsia" w:ascii="仿宋" w:hAnsi="仿宋" w:eastAsia="仿宋" w:cs="仿宋"/>
          <w:b/>
          <w:bCs/>
          <w:i w:val="0"/>
          <w:caps w:val="0"/>
          <w:color w:val="333333"/>
          <w:spacing w:val="0"/>
          <w:kern w:val="2"/>
          <w:sz w:val="32"/>
          <w:szCs w:val="32"/>
          <w:shd w:val="clear" w:fill="FFFFFF"/>
          <w:lang w:val="en-US" w:eastAsia="zh-CN" w:bidi="ar-SA"/>
        </w:rPr>
        <w:t>一是</w:t>
      </w:r>
      <w:r>
        <w:rPr>
          <w:rFonts w:hint="eastAsia" w:ascii="仿宋" w:hAnsi="仿宋" w:eastAsia="仿宋" w:cs="仿宋"/>
          <w:i w:val="0"/>
          <w:caps w:val="0"/>
          <w:color w:val="333333"/>
          <w:spacing w:val="0"/>
          <w:kern w:val="2"/>
          <w:sz w:val="32"/>
          <w:szCs w:val="32"/>
          <w:shd w:val="clear" w:fill="FFFFFF"/>
          <w:lang w:val="en-US" w:eastAsia="zh-CN" w:bidi="ar-SA"/>
        </w:rPr>
        <w:t>抓来访接待。坚持带着“情怀”，敞开大门接待来访，依法及时解决退役军人合理诉求，耐心细致做好政策解释和情绪疏导，做到“件件有着落，事事有回音”。</w:t>
      </w:r>
      <w:r>
        <w:rPr>
          <w:rFonts w:hint="eastAsia" w:ascii="仿宋" w:hAnsi="仿宋" w:eastAsia="仿宋" w:cs="仿宋"/>
          <w:b/>
          <w:bCs/>
          <w:i w:val="0"/>
          <w:caps w:val="0"/>
          <w:color w:val="333333"/>
          <w:spacing w:val="0"/>
          <w:kern w:val="2"/>
          <w:sz w:val="32"/>
          <w:szCs w:val="32"/>
          <w:shd w:val="clear" w:fill="FFFFFF"/>
          <w:lang w:val="en-US" w:eastAsia="zh-CN" w:bidi="ar-SA"/>
        </w:rPr>
        <w:t>二是</w:t>
      </w:r>
      <w:r>
        <w:rPr>
          <w:rFonts w:hint="eastAsia" w:ascii="仿宋" w:hAnsi="仿宋" w:eastAsia="仿宋" w:cs="仿宋"/>
          <w:i w:val="0"/>
          <w:caps w:val="0"/>
          <w:color w:val="333333"/>
          <w:spacing w:val="0"/>
          <w:kern w:val="2"/>
          <w:sz w:val="32"/>
          <w:szCs w:val="32"/>
          <w:shd w:val="clear" w:fill="FFFFFF"/>
          <w:lang w:val="en-US" w:eastAsia="zh-CN" w:bidi="ar-SA"/>
        </w:rPr>
        <w:t>抓信息排查，促动态管理。对涉军人员信访情况不定期进行摸底排查，全面掌握各类矛盾纠纷、重点人员情况和存在的突出问题，加强对重点信访稳定对象的联系走访慰问。健全群体性事件预防处置机制，防范化解重大风险。</w:t>
      </w:r>
      <w:r>
        <w:rPr>
          <w:rFonts w:hint="eastAsia" w:ascii="仿宋" w:hAnsi="仿宋" w:eastAsia="仿宋" w:cs="仿宋"/>
          <w:b/>
          <w:bCs/>
          <w:i w:val="0"/>
          <w:caps w:val="0"/>
          <w:color w:val="333333"/>
          <w:spacing w:val="0"/>
          <w:kern w:val="2"/>
          <w:sz w:val="32"/>
          <w:szCs w:val="32"/>
          <w:shd w:val="clear" w:fill="FFFFFF"/>
          <w:lang w:val="en-US" w:eastAsia="zh-CN" w:bidi="ar-SA"/>
        </w:rPr>
        <w:t>三是</w:t>
      </w:r>
      <w:r>
        <w:rPr>
          <w:rFonts w:hint="eastAsia" w:ascii="仿宋" w:hAnsi="仿宋" w:eastAsia="仿宋" w:cs="仿宋"/>
          <w:i w:val="0"/>
          <w:caps w:val="0"/>
          <w:color w:val="333333"/>
          <w:spacing w:val="0"/>
          <w:kern w:val="2"/>
          <w:sz w:val="32"/>
          <w:szCs w:val="32"/>
          <w:shd w:val="clear" w:fill="FFFFFF"/>
          <w:lang w:val="en-US" w:eastAsia="zh-CN" w:bidi="ar-SA"/>
        </w:rPr>
        <w:t>抓部门协调，促矛盾化解。按照属地管理的原则，及时与信访、公安、维稳办等部门单位沟通，共享信息，协调工作，及时化解各类矛盾，切实做好重大会议、重要时段等涉军群体的稳定工作，有效维护全区社会的和谐稳定。</w:t>
      </w:r>
      <w:r>
        <w:rPr>
          <w:rFonts w:hint="eastAsia" w:ascii="仿宋" w:hAnsi="仿宋" w:eastAsia="仿宋" w:cs="仿宋"/>
          <w:b/>
          <w:bCs/>
          <w:i w:val="0"/>
          <w:caps w:val="0"/>
          <w:color w:val="333333"/>
          <w:spacing w:val="0"/>
          <w:kern w:val="2"/>
          <w:sz w:val="32"/>
          <w:szCs w:val="32"/>
          <w:shd w:val="clear" w:fill="FFFFFF"/>
          <w:lang w:val="en-US" w:eastAsia="zh-CN" w:bidi="ar-SA"/>
        </w:rPr>
        <w:t>四是</w:t>
      </w:r>
      <w:r>
        <w:rPr>
          <w:rFonts w:hint="eastAsia" w:ascii="仿宋" w:hAnsi="仿宋" w:eastAsia="仿宋" w:cs="仿宋"/>
          <w:i w:val="0"/>
          <w:caps w:val="0"/>
          <w:color w:val="333333"/>
          <w:spacing w:val="0"/>
          <w:kern w:val="2"/>
          <w:sz w:val="32"/>
          <w:szCs w:val="32"/>
          <w:shd w:val="clear" w:fill="FFFFFF"/>
          <w:lang w:val="en-US" w:eastAsia="zh-CN" w:bidi="ar-SA"/>
        </w:rPr>
        <w:t>抓解困帮扶，促和谐稳定。通过摸排、走访慰问等方式了解退役军人的实际困难，用好困难退役军人帮扶基金，及时帮助退役军人和其他优抚对象解决突发性、紧迫性、临时性基本生活困难，把问题解决在基层，把人员稳控在当地。2022年以来，西区退役军人群体总体稳定，未发生到省进京非访集访和其他涉军群体性事件。</w:t>
      </w:r>
    </w:p>
    <w:p>
      <w:pPr>
        <w:widowControl/>
        <w:adjustRightInd w:val="0"/>
        <w:snapToGrid w:val="0"/>
        <w:spacing w:line="560" w:lineRule="exact"/>
        <w:ind w:firstLine="643" w:firstLineChars="200"/>
        <w:contextualSpacing/>
        <w:jc w:val="left"/>
        <w:rPr>
          <w:rFonts w:hint="eastAsia" w:ascii="仿宋" w:hAnsi="仿宋" w:eastAsia="仿宋" w:cs="仿宋"/>
          <w:b/>
          <w:bCs/>
          <w:kern w:val="0"/>
          <w:sz w:val="32"/>
          <w:szCs w:val="32"/>
          <w:shd w:val="clear" w:color="auto" w:fill="FFFFFF"/>
          <w:lang w:val="zh-CN"/>
        </w:rPr>
      </w:pPr>
      <w:r>
        <w:rPr>
          <w:rFonts w:hint="eastAsia" w:ascii="仿宋" w:hAnsi="仿宋" w:eastAsia="仿宋" w:cs="仿宋"/>
          <w:b/>
          <w:bCs/>
          <w:kern w:val="0"/>
          <w:sz w:val="32"/>
          <w:szCs w:val="32"/>
          <w:shd w:val="clear" w:color="auto" w:fill="FFFFFF"/>
          <w:lang w:val="zh-CN"/>
        </w:rPr>
        <w:t>（四）部门整体支出绩效目标。</w:t>
      </w:r>
    </w:p>
    <w:p>
      <w:pPr>
        <w:autoSpaceDE w:val="0"/>
        <w:autoSpaceDN w:val="0"/>
        <w:adjustRightInd w:val="0"/>
        <w:snapToGrid w:val="0"/>
        <w:spacing w:line="353" w:lineRule="auto"/>
        <w:ind w:firstLine="640" w:firstLineChars="200"/>
        <w:rPr>
          <w:rFonts w:hint="eastAsia" w:ascii="仿宋" w:hAnsi="仿宋" w:eastAsia="仿宋" w:cs="仿宋"/>
          <w:i w:val="0"/>
          <w:caps w:val="0"/>
          <w:color w:val="333333"/>
          <w:spacing w:val="0"/>
          <w:kern w:val="2"/>
          <w:sz w:val="32"/>
          <w:szCs w:val="32"/>
          <w:shd w:val="clear" w:fill="FFFFFF"/>
          <w:lang w:val="zh-CN" w:eastAsia="zh-CN" w:bidi="ar-SA"/>
        </w:rPr>
      </w:pPr>
      <w:r>
        <w:rPr>
          <w:rFonts w:hint="eastAsia" w:ascii="仿宋" w:hAnsi="仿宋" w:eastAsia="仿宋" w:cs="仿宋"/>
          <w:i w:val="0"/>
          <w:caps w:val="0"/>
          <w:color w:val="333333"/>
          <w:spacing w:val="0"/>
          <w:kern w:val="2"/>
          <w:sz w:val="32"/>
          <w:szCs w:val="32"/>
          <w:shd w:val="clear" w:fill="FFFFFF"/>
          <w:lang w:val="en-US" w:eastAsia="zh-CN" w:bidi="ar-SA"/>
        </w:rPr>
        <w:t>严格预算支出管理。在支出预算编制上，人员经费按照配置定额，逐人核定编制，公用经费分类分档，按定额编制；根据“总量控制、计划管理”的要求从严控制行政经费，压缩公务费开支，严格控制“三公”经费，按照预算科目和项目资金的规定使用财政资金，保障部门整体支出的规范化、制度化。</w:t>
      </w: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二、部门资金收支情况</w:t>
      </w:r>
    </w:p>
    <w:p>
      <w:pPr>
        <w:widowControl/>
        <w:adjustRightInd w:val="0"/>
        <w:snapToGrid w:val="0"/>
        <w:spacing w:line="560" w:lineRule="exact"/>
        <w:ind w:firstLine="643" w:firstLineChars="200"/>
        <w:contextualSpacing/>
        <w:jc w:val="left"/>
        <w:rPr>
          <w:rFonts w:hint="eastAsia" w:ascii="仿宋" w:hAnsi="仿宋" w:eastAsia="仿宋" w:cs="仿宋"/>
          <w:b/>
          <w:bCs/>
          <w:kern w:val="0"/>
          <w:sz w:val="32"/>
          <w:szCs w:val="32"/>
          <w:shd w:val="clear" w:color="auto" w:fill="FFFFFF"/>
          <w:lang w:val="zh-CN"/>
        </w:rPr>
      </w:pPr>
      <w:r>
        <w:rPr>
          <w:rFonts w:hint="eastAsia" w:ascii="仿宋" w:hAnsi="仿宋" w:eastAsia="仿宋" w:cs="仿宋"/>
          <w:b/>
          <w:bCs/>
          <w:kern w:val="0"/>
          <w:sz w:val="32"/>
          <w:szCs w:val="32"/>
          <w:shd w:val="clear" w:color="auto" w:fill="FFFFFF"/>
          <w:lang w:val="zh-CN"/>
        </w:rPr>
        <w:t>（一）部门总体收支情况。</w:t>
      </w:r>
    </w:p>
    <w:p>
      <w:pPr>
        <w:autoSpaceDE w:val="0"/>
        <w:autoSpaceDN w:val="0"/>
        <w:adjustRightInd w:val="0"/>
        <w:snapToGrid w:val="0"/>
        <w:spacing w:line="353" w:lineRule="auto"/>
        <w:ind w:firstLine="640" w:firstLineChars="200"/>
        <w:rPr>
          <w:rFonts w:hint="eastAsia" w:ascii="仿宋" w:hAnsi="仿宋" w:eastAsia="仿宋" w:cs="仿宋"/>
          <w:i w:val="0"/>
          <w:caps w:val="0"/>
          <w:color w:val="333333"/>
          <w:spacing w:val="0"/>
          <w:kern w:val="2"/>
          <w:sz w:val="32"/>
          <w:szCs w:val="32"/>
          <w:shd w:val="clear" w:fill="FFFFFF"/>
          <w:lang w:val="en-US" w:eastAsia="zh-CN" w:bidi="ar-SA"/>
        </w:rPr>
      </w:pPr>
      <w:r>
        <w:rPr>
          <w:rFonts w:hint="eastAsia" w:ascii="仿宋" w:hAnsi="仿宋" w:eastAsia="仿宋" w:cs="仿宋"/>
          <w:i w:val="0"/>
          <w:caps w:val="0"/>
          <w:color w:val="333333"/>
          <w:spacing w:val="0"/>
          <w:kern w:val="2"/>
          <w:sz w:val="32"/>
          <w:szCs w:val="32"/>
          <w:shd w:val="clear" w:fill="FFFFFF"/>
          <w:lang w:val="en-US" w:eastAsia="zh-CN" w:bidi="ar-SA"/>
        </w:rPr>
        <w:t>1.部门总体收入情况</w:t>
      </w:r>
    </w:p>
    <w:p>
      <w:pPr>
        <w:autoSpaceDE w:val="0"/>
        <w:autoSpaceDN w:val="0"/>
        <w:adjustRightInd w:val="0"/>
        <w:snapToGrid w:val="0"/>
        <w:spacing w:line="353" w:lineRule="auto"/>
        <w:ind w:firstLine="640" w:firstLineChars="200"/>
        <w:rPr>
          <w:rFonts w:hint="eastAsia" w:ascii="仿宋" w:hAnsi="仿宋" w:eastAsia="仿宋" w:cs="仿宋"/>
          <w:i w:val="0"/>
          <w:caps w:val="0"/>
          <w:color w:val="333333"/>
          <w:spacing w:val="0"/>
          <w:kern w:val="2"/>
          <w:sz w:val="32"/>
          <w:szCs w:val="32"/>
          <w:shd w:val="clear" w:fill="FFFFFF"/>
          <w:lang w:val="en-US" w:eastAsia="zh-CN" w:bidi="ar-SA"/>
        </w:rPr>
      </w:pPr>
      <w:r>
        <w:rPr>
          <w:rFonts w:hint="eastAsia" w:ascii="仿宋" w:hAnsi="仿宋" w:eastAsia="仿宋" w:cs="仿宋"/>
          <w:i w:val="0"/>
          <w:caps w:val="0"/>
          <w:color w:val="333333"/>
          <w:spacing w:val="0"/>
          <w:kern w:val="2"/>
          <w:sz w:val="32"/>
          <w:szCs w:val="32"/>
          <w:shd w:val="clear" w:fill="FFFFFF"/>
          <w:lang w:val="en-US" w:eastAsia="zh-CN" w:bidi="ar-SA"/>
        </w:rPr>
        <w:t>2022年度，攀枝花市西区退役军人事务局年初结转资金36.58万元。当年财政拨款收入878.72万元 。</w:t>
      </w:r>
    </w:p>
    <w:p>
      <w:pPr>
        <w:autoSpaceDE w:val="0"/>
        <w:autoSpaceDN w:val="0"/>
        <w:adjustRightInd w:val="0"/>
        <w:snapToGrid w:val="0"/>
        <w:spacing w:line="353" w:lineRule="auto"/>
        <w:ind w:firstLine="640" w:firstLineChars="200"/>
        <w:rPr>
          <w:rFonts w:hint="eastAsia" w:ascii="仿宋" w:hAnsi="仿宋" w:eastAsia="仿宋" w:cs="仿宋"/>
          <w:i w:val="0"/>
          <w:caps w:val="0"/>
          <w:color w:val="333333"/>
          <w:spacing w:val="0"/>
          <w:kern w:val="2"/>
          <w:sz w:val="32"/>
          <w:szCs w:val="32"/>
          <w:shd w:val="clear" w:fill="FFFFFF"/>
          <w:lang w:val="en-US" w:eastAsia="zh-CN" w:bidi="ar-SA"/>
        </w:rPr>
      </w:pPr>
      <w:r>
        <w:rPr>
          <w:rFonts w:hint="eastAsia" w:ascii="仿宋" w:hAnsi="仿宋" w:eastAsia="仿宋" w:cs="仿宋"/>
          <w:i w:val="0"/>
          <w:caps w:val="0"/>
          <w:color w:val="333333"/>
          <w:spacing w:val="0"/>
          <w:kern w:val="2"/>
          <w:sz w:val="32"/>
          <w:szCs w:val="32"/>
          <w:shd w:val="clear" w:fill="FFFFFF"/>
          <w:lang w:val="en-US" w:eastAsia="zh-CN" w:bidi="ar-SA"/>
        </w:rPr>
        <w:t>2.部门总体支出情况</w:t>
      </w:r>
    </w:p>
    <w:p>
      <w:pPr>
        <w:autoSpaceDE w:val="0"/>
        <w:autoSpaceDN w:val="0"/>
        <w:adjustRightInd w:val="0"/>
        <w:snapToGrid w:val="0"/>
        <w:spacing w:line="353" w:lineRule="auto"/>
        <w:ind w:firstLine="640" w:firstLineChars="200"/>
        <w:rPr>
          <w:rFonts w:hint="eastAsia" w:ascii="仿宋" w:hAnsi="仿宋" w:eastAsia="仿宋" w:cs="仿宋"/>
          <w:i w:val="0"/>
          <w:caps w:val="0"/>
          <w:color w:val="333333"/>
          <w:spacing w:val="0"/>
          <w:kern w:val="2"/>
          <w:sz w:val="32"/>
          <w:szCs w:val="32"/>
          <w:shd w:val="clear" w:fill="FFFFFF"/>
          <w:lang w:val="en-US" w:eastAsia="zh-CN" w:bidi="ar-SA"/>
        </w:rPr>
      </w:pPr>
      <w:r>
        <w:rPr>
          <w:rFonts w:hint="eastAsia" w:ascii="仿宋" w:hAnsi="仿宋" w:eastAsia="仿宋" w:cs="仿宋"/>
          <w:i w:val="0"/>
          <w:caps w:val="0"/>
          <w:color w:val="333333"/>
          <w:spacing w:val="0"/>
          <w:kern w:val="2"/>
          <w:sz w:val="32"/>
          <w:szCs w:val="32"/>
          <w:shd w:val="clear" w:fill="FFFFFF"/>
          <w:lang w:val="en-US" w:eastAsia="zh-CN" w:bidi="ar-SA"/>
        </w:rPr>
        <w:t>2022年度，攀枝花市西区退役军人事务局财政资金支出915.3万元，基本支出130.57万元，项目支出784.73万元。</w:t>
      </w:r>
    </w:p>
    <w:p>
      <w:pPr>
        <w:autoSpaceDE w:val="0"/>
        <w:autoSpaceDN w:val="0"/>
        <w:adjustRightInd w:val="0"/>
        <w:snapToGrid w:val="0"/>
        <w:spacing w:line="353" w:lineRule="auto"/>
        <w:ind w:firstLine="640" w:firstLineChars="200"/>
        <w:rPr>
          <w:rFonts w:hint="eastAsia" w:ascii="仿宋" w:hAnsi="仿宋" w:eastAsia="仿宋" w:cs="仿宋"/>
          <w:i w:val="0"/>
          <w:caps w:val="0"/>
          <w:color w:val="333333"/>
          <w:spacing w:val="0"/>
          <w:kern w:val="2"/>
          <w:sz w:val="32"/>
          <w:szCs w:val="32"/>
          <w:shd w:val="clear" w:fill="FFFFFF"/>
          <w:lang w:val="en-US" w:eastAsia="zh-CN" w:bidi="ar-SA"/>
        </w:rPr>
      </w:pPr>
      <w:r>
        <w:rPr>
          <w:rFonts w:hint="eastAsia" w:ascii="仿宋" w:hAnsi="仿宋" w:eastAsia="仿宋" w:cs="仿宋"/>
          <w:i w:val="0"/>
          <w:caps w:val="0"/>
          <w:color w:val="333333"/>
          <w:spacing w:val="0"/>
          <w:kern w:val="2"/>
          <w:sz w:val="32"/>
          <w:szCs w:val="32"/>
          <w:shd w:val="clear" w:fill="FFFFFF"/>
          <w:lang w:val="en-US" w:eastAsia="zh-CN" w:bidi="ar-SA"/>
        </w:rPr>
        <w:t>3.部门总体结转结余情况</w:t>
      </w:r>
    </w:p>
    <w:p>
      <w:pPr>
        <w:autoSpaceDE w:val="0"/>
        <w:autoSpaceDN w:val="0"/>
        <w:adjustRightInd w:val="0"/>
        <w:snapToGrid w:val="0"/>
        <w:spacing w:line="353" w:lineRule="auto"/>
        <w:ind w:firstLine="640" w:firstLineChars="200"/>
        <w:rPr>
          <w:rFonts w:hint="eastAsia" w:ascii="仿宋" w:hAnsi="仿宋" w:eastAsia="仿宋" w:cs="仿宋"/>
          <w:i w:val="0"/>
          <w:caps w:val="0"/>
          <w:color w:val="333333"/>
          <w:spacing w:val="0"/>
          <w:kern w:val="2"/>
          <w:sz w:val="32"/>
          <w:szCs w:val="32"/>
          <w:shd w:val="clear" w:fill="FFFFFF"/>
          <w:lang w:val="en-US" w:eastAsia="zh-CN" w:bidi="ar-SA"/>
        </w:rPr>
      </w:pPr>
      <w:r>
        <w:rPr>
          <w:rFonts w:hint="eastAsia" w:ascii="仿宋" w:hAnsi="仿宋" w:eastAsia="仿宋" w:cs="仿宋"/>
          <w:i w:val="0"/>
          <w:caps w:val="0"/>
          <w:color w:val="333333"/>
          <w:spacing w:val="0"/>
          <w:kern w:val="2"/>
          <w:sz w:val="32"/>
          <w:szCs w:val="32"/>
          <w:shd w:val="clear" w:fill="FFFFFF"/>
          <w:lang w:val="en-US" w:eastAsia="zh-CN" w:bidi="ar-SA"/>
        </w:rPr>
        <w:t>2022年年末无结转和结余。</w:t>
      </w:r>
    </w:p>
    <w:p>
      <w:pPr>
        <w:widowControl/>
        <w:adjustRightInd w:val="0"/>
        <w:snapToGrid w:val="0"/>
        <w:spacing w:line="560" w:lineRule="exact"/>
        <w:ind w:firstLine="643" w:firstLineChars="200"/>
        <w:contextualSpacing/>
        <w:jc w:val="left"/>
        <w:rPr>
          <w:rFonts w:hint="eastAsia" w:ascii="仿宋" w:hAnsi="仿宋" w:eastAsia="仿宋" w:cs="仿宋"/>
          <w:b/>
          <w:bCs/>
          <w:kern w:val="0"/>
          <w:sz w:val="32"/>
          <w:szCs w:val="32"/>
          <w:shd w:val="clear" w:color="auto" w:fill="FFFFFF"/>
          <w:lang w:val="zh-CN"/>
        </w:rPr>
      </w:pPr>
      <w:r>
        <w:rPr>
          <w:rFonts w:hint="eastAsia" w:ascii="仿宋" w:hAnsi="仿宋" w:eastAsia="仿宋" w:cs="仿宋"/>
          <w:b/>
          <w:bCs/>
          <w:kern w:val="0"/>
          <w:sz w:val="32"/>
          <w:szCs w:val="32"/>
          <w:shd w:val="clear" w:color="auto" w:fill="FFFFFF"/>
          <w:lang w:val="zh-CN"/>
        </w:rPr>
        <w:t>（二）部门财政拨款收支情况。</w:t>
      </w:r>
    </w:p>
    <w:p>
      <w:pPr>
        <w:autoSpaceDE w:val="0"/>
        <w:autoSpaceDN w:val="0"/>
        <w:adjustRightInd w:val="0"/>
        <w:snapToGrid w:val="0"/>
        <w:spacing w:line="353" w:lineRule="auto"/>
        <w:ind w:firstLine="640" w:firstLineChars="200"/>
        <w:rPr>
          <w:rFonts w:hint="eastAsia" w:ascii="仿宋" w:hAnsi="仿宋" w:eastAsia="仿宋" w:cs="仿宋"/>
          <w:i w:val="0"/>
          <w:caps w:val="0"/>
          <w:color w:val="333333"/>
          <w:spacing w:val="0"/>
          <w:kern w:val="2"/>
          <w:sz w:val="32"/>
          <w:szCs w:val="32"/>
          <w:shd w:val="clear" w:fill="FFFFFF"/>
          <w:lang w:val="en-US" w:eastAsia="zh-CN" w:bidi="ar-SA"/>
        </w:rPr>
      </w:pPr>
      <w:r>
        <w:rPr>
          <w:rFonts w:hint="eastAsia" w:ascii="仿宋" w:hAnsi="仿宋" w:eastAsia="仿宋" w:cs="仿宋"/>
          <w:i w:val="0"/>
          <w:caps w:val="0"/>
          <w:color w:val="333333"/>
          <w:spacing w:val="0"/>
          <w:kern w:val="2"/>
          <w:sz w:val="32"/>
          <w:szCs w:val="32"/>
          <w:shd w:val="clear" w:fill="FFFFFF"/>
          <w:lang w:val="en-US" w:eastAsia="zh-CN" w:bidi="ar-SA"/>
        </w:rPr>
        <w:t>1.部门财政拨款收入情况</w:t>
      </w:r>
    </w:p>
    <w:p>
      <w:pPr>
        <w:autoSpaceDE w:val="0"/>
        <w:autoSpaceDN w:val="0"/>
        <w:adjustRightInd w:val="0"/>
        <w:snapToGrid w:val="0"/>
        <w:spacing w:line="353" w:lineRule="auto"/>
        <w:ind w:firstLine="640" w:firstLineChars="200"/>
        <w:rPr>
          <w:rFonts w:hint="eastAsia" w:ascii="仿宋" w:hAnsi="仿宋" w:eastAsia="仿宋" w:cs="仿宋"/>
          <w:i w:val="0"/>
          <w:caps w:val="0"/>
          <w:color w:val="333333"/>
          <w:spacing w:val="0"/>
          <w:kern w:val="2"/>
          <w:sz w:val="32"/>
          <w:szCs w:val="32"/>
          <w:shd w:val="clear" w:fill="FFFFFF"/>
          <w:lang w:val="zh-CN" w:eastAsia="zh-CN" w:bidi="ar-SA"/>
        </w:rPr>
      </w:pPr>
      <w:r>
        <w:rPr>
          <w:rFonts w:hint="eastAsia" w:ascii="仿宋" w:hAnsi="仿宋" w:eastAsia="仿宋" w:cs="仿宋"/>
          <w:i w:val="0"/>
          <w:caps w:val="0"/>
          <w:color w:val="333333"/>
          <w:spacing w:val="0"/>
          <w:kern w:val="2"/>
          <w:sz w:val="32"/>
          <w:szCs w:val="32"/>
          <w:shd w:val="clear" w:fill="FFFFFF"/>
          <w:lang w:val="en-US" w:eastAsia="zh-CN" w:bidi="ar-SA"/>
        </w:rPr>
        <w:t>西区退役军人事务局2022当年预算收入915.3万元，其中：一般公共预算拨款收入915.3万元，占总收入100%。</w:t>
      </w:r>
    </w:p>
    <w:p>
      <w:pPr>
        <w:autoSpaceDE w:val="0"/>
        <w:autoSpaceDN w:val="0"/>
        <w:adjustRightInd w:val="0"/>
        <w:snapToGrid w:val="0"/>
        <w:spacing w:line="353" w:lineRule="auto"/>
        <w:ind w:firstLine="640" w:firstLineChars="200"/>
        <w:rPr>
          <w:rFonts w:hint="eastAsia" w:ascii="仿宋" w:hAnsi="仿宋" w:eastAsia="仿宋" w:cs="仿宋"/>
          <w:i w:val="0"/>
          <w:caps w:val="0"/>
          <w:color w:val="333333"/>
          <w:spacing w:val="0"/>
          <w:kern w:val="2"/>
          <w:sz w:val="32"/>
          <w:szCs w:val="32"/>
          <w:shd w:val="clear" w:fill="FFFFFF"/>
          <w:lang w:val="en-US" w:eastAsia="zh-CN" w:bidi="ar-SA"/>
        </w:rPr>
      </w:pPr>
      <w:r>
        <w:rPr>
          <w:rFonts w:hint="eastAsia" w:ascii="仿宋" w:hAnsi="仿宋" w:eastAsia="仿宋" w:cs="仿宋"/>
          <w:i w:val="0"/>
          <w:caps w:val="0"/>
          <w:color w:val="333333"/>
          <w:spacing w:val="0"/>
          <w:kern w:val="2"/>
          <w:sz w:val="32"/>
          <w:szCs w:val="32"/>
          <w:shd w:val="clear" w:fill="FFFFFF"/>
          <w:lang w:val="en-US" w:eastAsia="zh-CN" w:bidi="ar-SA"/>
        </w:rPr>
        <w:t>2022年列入项目绩效管理的项目有9个，共计784.73万元，分别是：涉军信访维稳工作经费3万元、困难退役军人关爱帮扶专项基金5.2万元、退役军人服务管理保障经费0.5万元、办公场所搬迁打造经费6.1万元、双拥经费58.65万元、退役安置补助资金67.38万元、优抚对象医疗补助资金13.89万元、义务兵家庭优待金169.11万元、重点优抚对象抚恤和生活补助经费460.9万元。</w:t>
      </w:r>
    </w:p>
    <w:p>
      <w:pPr>
        <w:autoSpaceDE w:val="0"/>
        <w:autoSpaceDN w:val="0"/>
        <w:adjustRightInd w:val="0"/>
        <w:snapToGrid w:val="0"/>
        <w:spacing w:line="353" w:lineRule="auto"/>
        <w:ind w:firstLine="640" w:firstLineChars="200"/>
        <w:rPr>
          <w:rFonts w:hint="eastAsia" w:ascii="仿宋" w:hAnsi="仿宋" w:eastAsia="仿宋" w:cs="仿宋"/>
          <w:i w:val="0"/>
          <w:caps w:val="0"/>
          <w:color w:val="333333"/>
          <w:spacing w:val="0"/>
          <w:kern w:val="2"/>
          <w:sz w:val="32"/>
          <w:szCs w:val="32"/>
          <w:shd w:val="clear" w:fill="FFFFFF"/>
          <w:lang w:val="en-US" w:eastAsia="zh-CN" w:bidi="ar-SA"/>
        </w:rPr>
      </w:pPr>
      <w:r>
        <w:rPr>
          <w:rFonts w:hint="eastAsia" w:ascii="仿宋" w:hAnsi="仿宋" w:eastAsia="仿宋" w:cs="仿宋"/>
          <w:i w:val="0"/>
          <w:caps w:val="0"/>
          <w:color w:val="333333"/>
          <w:spacing w:val="0"/>
          <w:kern w:val="2"/>
          <w:sz w:val="32"/>
          <w:szCs w:val="32"/>
          <w:shd w:val="clear" w:fill="FFFFFF"/>
          <w:lang w:val="en-US" w:eastAsia="zh-CN" w:bidi="ar-SA"/>
        </w:rPr>
        <w:t>2.部门财政拨款支出情况</w:t>
      </w:r>
    </w:p>
    <w:p>
      <w:pPr>
        <w:autoSpaceDE w:val="0"/>
        <w:autoSpaceDN w:val="0"/>
        <w:adjustRightInd w:val="0"/>
        <w:snapToGrid w:val="0"/>
        <w:spacing w:line="353" w:lineRule="auto"/>
        <w:ind w:firstLine="640" w:firstLineChars="200"/>
        <w:rPr>
          <w:rFonts w:hint="eastAsia" w:ascii="仿宋" w:hAnsi="仿宋" w:eastAsia="仿宋" w:cs="仿宋"/>
          <w:i w:val="0"/>
          <w:caps w:val="0"/>
          <w:color w:val="333333"/>
          <w:spacing w:val="0"/>
          <w:kern w:val="2"/>
          <w:sz w:val="32"/>
          <w:szCs w:val="32"/>
          <w:shd w:val="clear" w:fill="FFFFFF"/>
          <w:lang w:val="en-US" w:eastAsia="zh-CN" w:bidi="ar-SA"/>
        </w:rPr>
      </w:pPr>
      <w:r>
        <w:rPr>
          <w:rFonts w:hint="eastAsia" w:ascii="仿宋" w:hAnsi="仿宋" w:eastAsia="仿宋" w:cs="仿宋"/>
          <w:i w:val="0"/>
          <w:caps w:val="0"/>
          <w:color w:val="333333"/>
          <w:spacing w:val="0"/>
          <w:kern w:val="2"/>
          <w:sz w:val="32"/>
          <w:szCs w:val="32"/>
          <w:shd w:val="clear" w:fill="FFFFFF"/>
          <w:lang w:val="en-US" w:eastAsia="zh-CN" w:bidi="ar-SA"/>
        </w:rPr>
        <w:t>西区退役军人事务局2022年支出预算915.3万元。其中：基本支出130.57万元，占总支出14.27%；项目支出784.73万元，占总支出85.73%。</w:t>
      </w:r>
    </w:p>
    <w:p>
      <w:pPr>
        <w:autoSpaceDE w:val="0"/>
        <w:autoSpaceDN w:val="0"/>
        <w:adjustRightInd w:val="0"/>
        <w:snapToGrid w:val="0"/>
        <w:spacing w:line="353" w:lineRule="auto"/>
        <w:ind w:firstLine="640" w:firstLineChars="200"/>
        <w:rPr>
          <w:rFonts w:hint="eastAsia" w:ascii="仿宋" w:hAnsi="仿宋" w:eastAsia="仿宋" w:cs="仿宋"/>
          <w:i w:val="0"/>
          <w:caps w:val="0"/>
          <w:color w:val="333333"/>
          <w:spacing w:val="0"/>
          <w:kern w:val="2"/>
          <w:sz w:val="32"/>
          <w:szCs w:val="32"/>
          <w:shd w:val="clear" w:fill="FFFFFF"/>
          <w:lang w:val="en-US" w:eastAsia="zh-CN" w:bidi="ar-SA"/>
        </w:rPr>
      </w:pPr>
      <w:r>
        <w:rPr>
          <w:rFonts w:hint="eastAsia" w:ascii="仿宋" w:hAnsi="仿宋" w:eastAsia="仿宋" w:cs="仿宋"/>
          <w:i w:val="0"/>
          <w:caps w:val="0"/>
          <w:color w:val="333333"/>
          <w:spacing w:val="0"/>
          <w:kern w:val="2"/>
          <w:sz w:val="32"/>
          <w:szCs w:val="32"/>
          <w:shd w:val="clear" w:fill="FFFFFF"/>
          <w:lang w:val="en-US" w:eastAsia="zh-CN" w:bidi="ar-SA"/>
        </w:rPr>
        <w:t>2022年度基本支出130.57万元，比年初预算减少8.36万元，增幅-6.02%，其中：人员经费支出121.54万元，比年初预算减少7.08万元，增幅-5.5%，主要为在职人员社保减少导致；日常公用经费支出9.03万元，比年初预算减少1.28万元，增幅-12.35%，主要是2022年度厉行节约减少了不必要开支。</w:t>
      </w:r>
    </w:p>
    <w:p>
      <w:pPr>
        <w:autoSpaceDE w:val="0"/>
        <w:autoSpaceDN w:val="0"/>
        <w:adjustRightInd w:val="0"/>
        <w:snapToGrid w:val="0"/>
        <w:spacing w:line="353" w:lineRule="auto"/>
        <w:ind w:firstLine="640" w:firstLineChars="200"/>
        <w:rPr>
          <w:rFonts w:hint="eastAsia" w:ascii="仿宋" w:hAnsi="仿宋" w:eastAsia="仿宋" w:cs="仿宋"/>
          <w:i w:val="0"/>
          <w:caps w:val="0"/>
          <w:color w:val="333333"/>
          <w:spacing w:val="0"/>
          <w:kern w:val="2"/>
          <w:sz w:val="32"/>
          <w:szCs w:val="32"/>
          <w:shd w:val="clear" w:fill="FFFFFF"/>
          <w:lang w:val="en-US" w:eastAsia="zh-CN" w:bidi="ar-SA"/>
        </w:rPr>
      </w:pPr>
      <w:r>
        <w:rPr>
          <w:rFonts w:hint="eastAsia" w:ascii="仿宋" w:hAnsi="仿宋" w:eastAsia="仿宋" w:cs="仿宋"/>
          <w:i w:val="0"/>
          <w:caps w:val="0"/>
          <w:color w:val="333333"/>
          <w:spacing w:val="0"/>
          <w:kern w:val="2"/>
          <w:sz w:val="32"/>
          <w:szCs w:val="32"/>
          <w:shd w:val="clear" w:fill="FFFFFF"/>
          <w:lang w:val="en-US" w:eastAsia="zh-CN" w:bidi="ar-SA"/>
        </w:rPr>
        <w:t>2022年项目支出决算数为784.73万元，比年初预算增加421.76万元。主要是收到上级专款收入。</w:t>
      </w:r>
    </w:p>
    <w:p>
      <w:pPr>
        <w:autoSpaceDE w:val="0"/>
        <w:autoSpaceDN w:val="0"/>
        <w:adjustRightInd w:val="0"/>
        <w:snapToGrid w:val="0"/>
        <w:spacing w:line="353" w:lineRule="auto"/>
        <w:ind w:firstLine="640" w:firstLineChars="200"/>
        <w:rPr>
          <w:rFonts w:hint="eastAsia" w:ascii="仿宋" w:hAnsi="仿宋" w:eastAsia="仿宋" w:cs="仿宋"/>
          <w:i w:val="0"/>
          <w:caps w:val="0"/>
          <w:color w:val="333333"/>
          <w:spacing w:val="0"/>
          <w:kern w:val="2"/>
          <w:sz w:val="32"/>
          <w:szCs w:val="32"/>
          <w:shd w:val="clear" w:fill="FFFFFF"/>
          <w:lang w:val="en-US" w:eastAsia="zh-CN" w:bidi="ar-SA"/>
        </w:rPr>
      </w:pPr>
      <w:r>
        <w:rPr>
          <w:rFonts w:hint="eastAsia" w:ascii="仿宋" w:hAnsi="仿宋" w:eastAsia="仿宋" w:cs="仿宋"/>
          <w:i w:val="0"/>
          <w:caps w:val="0"/>
          <w:color w:val="333333"/>
          <w:spacing w:val="0"/>
          <w:kern w:val="2"/>
          <w:sz w:val="32"/>
          <w:szCs w:val="32"/>
          <w:shd w:val="clear" w:fill="FFFFFF"/>
          <w:lang w:val="en-US" w:eastAsia="zh-CN" w:bidi="ar-SA"/>
        </w:rPr>
        <w:t>3.部门财政拨款结转结余情况</w:t>
      </w:r>
    </w:p>
    <w:p>
      <w:pPr>
        <w:autoSpaceDE w:val="0"/>
        <w:autoSpaceDN w:val="0"/>
        <w:adjustRightInd w:val="0"/>
        <w:snapToGrid w:val="0"/>
        <w:spacing w:line="353" w:lineRule="auto"/>
        <w:ind w:firstLine="640" w:firstLineChars="200"/>
        <w:rPr>
          <w:rFonts w:hint="eastAsia" w:ascii="仿宋" w:hAnsi="仿宋" w:eastAsia="仿宋" w:cs="仿宋"/>
          <w:i w:val="0"/>
          <w:caps w:val="0"/>
          <w:color w:val="333333"/>
          <w:spacing w:val="0"/>
          <w:kern w:val="2"/>
          <w:sz w:val="32"/>
          <w:szCs w:val="32"/>
          <w:shd w:val="clear" w:fill="FFFFFF"/>
          <w:lang w:val="en-US" w:eastAsia="zh-CN" w:bidi="ar-SA"/>
        </w:rPr>
      </w:pPr>
      <w:r>
        <w:rPr>
          <w:rFonts w:hint="eastAsia" w:ascii="仿宋" w:hAnsi="仿宋" w:eastAsia="仿宋" w:cs="仿宋"/>
          <w:i w:val="0"/>
          <w:caps w:val="0"/>
          <w:color w:val="333333"/>
          <w:spacing w:val="0"/>
          <w:kern w:val="2"/>
          <w:sz w:val="32"/>
          <w:szCs w:val="32"/>
          <w:shd w:val="clear" w:fill="FFFFFF"/>
          <w:lang w:val="en-US" w:eastAsia="zh-CN" w:bidi="ar-SA"/>
        </w:rPr>
        <w:t>年末结转和结余资金均为零，各预算项目资金结余率均为零。</w:t>
      </w: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三、部门整体绩效分析</w:t>
      </w:r>
    </w:p>
    <w:p>
      <w:pPr>
        <w:autoSpaceDE w:val="0"/>
        <w:autoSpaceDN w:val="0"/>
        <w:adjustRightInd w:val="0"/>
        <w:snapToGrid w:val="0"/>
        <w:spacing w:line="353" w:lineRule="auto"/>
        <w:ind w:firstLine="640" w:firstLineChars="200"/>
        <w:rPr>
          <w:rFonts w:hint="eastAsia" w:ascii="仿宋" w:hAnsi="仿宋" w:eastAsia="仿宋" w:cs="仿宋"/>
          <w:i w:val="0"/>
          <w:caps w:val="0"/>
          <w:color w:val="333333"/>
          <w:spacing w:val="0"/>
          <w:kern w:val="2"/>
          <w:sz w:val="32"/>
          <w:szCs w:val="32"/>
          <w:shd w:val="clear" w:fill="FFFFFF"/>
          <w:lang w:val="en-US" w:eastAsia="zh-CN" w:bidi="ar-SA"/>
        </w:rPr>
      </w:pPr>
      <w:r>
        <w:rPr>
          <w:rFonts w:hint="eastAsia" w:ascii="仿宋" w:hAnsi="仿宋" w:eastAsia="仿宋" w:cs="仿宋"/>
          <w:i w:val="0"/>
          <w:caps w:val="0"/>
          <w:color w:val="333333"/>
          <w:spacing w:val="0"/>
          <w:kern w:val="2"/>
          <w:sz w:val="32"/>
          <w:szCs w:val="32"/>
          <w:shd w:val="clear" w:fill="FFFFFF"/>
          <w:lang w:val="en-US" w:eastAsia="zh-CN" w:bidi="ar-SA"/>
        </w:rPr>
        <w:t>绩效目标制定要素完整，指标细化量准确，每年的绩效评价均列入党委会议讨论并审议；绩效目标分为人员类、运转类和特定目标类三类分类制定目标，根据目标分类跟踪考核。</w:t>
      </w:r>
    </w:p>
    <w:p>
      <w:pPr>
        <w:autoSpaceDE w:val="0"/>
        <w:autoSpaceDN w:val="0"/>
        <w:adjustRightInd w:val="0"/>
        <w:snapToGrid w:val="0"/>
        <w:spacing w:line="353" w:lineRule="auto"/>
        <w:ind w:firstLine="640" w:firstLineChars="200"/>
        <w:rPr>
          <w:rFonts w:hint="eastAsia" w:ascii="仿宋" w:hAnsi="仿宋" w:eastAsia="仿宋" w:cs="仿宋"/>
          <w:i w:val="0"/>
          <w:caps w:val="0"/>
          <w:color w:val="333333"/>
          <w:spacing w:val="0"/>
          <w:kern w:val="2"/>
          <w:sz w:val="32"/>
          <w:szCs w:val="32"/>
          <w:shd w:val="clear" w:fill="FFFFFF"/>
          <w:lang w:val="zh-CN" w:eastAsia="zh-CN" w:bidi="ar-SA"/>
        </w:rPr>
      </w:pPr>
      <w:r>
        <w:rPr>
          <w:rFonts w:hint="eastAsia" w:ascii="仿宋" w:hAnsi="仿宋" w:eastAsia="仿宋" w:cs="仿宋"/>
          <w:i w:val="0"/>
          <w:caps w:val="0"/>
          <w:color w:val="333333"/>
          <w:spacing w:val="0"/>
          <w:kern w:val="2"/>
          <w:sz w:val="32"/>
          <w:szCs w:val="32"/>
          <w:shd w:val="clear" w:fill="FFFFFF"/>
          <w:lang w:val="en-US" w:eastAsia="zh-CN" w:bidi="ar-SA"/>
        </w:rPr>
        <w:t>预算编制，实事求是，确保预算的准确性、及时性；专项预算项目按照程序严密、规划合理的原则实施、管理结果符合审计要求、项目分配科学、分配及时，没有违规记录等情况。</w:t>
      </w:r>
    </w:p>
    <w:p>
      <w:pPr>
        <w:widowControl/>
        <w:adjustRightInd w:val="0"/>
        <w:snapToGrid w:val="0"/>
        <w:spacing w:line="560" w:lineRule="exact"/>
        <w:ind w:firstLine="643" w:firstLineChars="200"/>
        <w:contextualSpacing/>
        <w:jc w:val="left"/>
        <w:rPr>
          <w:rFonts w:hint="eastAsia" w:ascii="仿宋" w:hAnsi="仿宋" w:eastAsia="仿宋" w:cs="仿宋"/>
          <w:kern w:val="0"/>
          <w:sz w:val="32"/>
          <w:szCs w:val="32"/>
          <w:shd w:val="clear" w:color="auto" w:fill="FFFFFF"/>
          <w:lang w:val="zh-CN"/>
        </w:rPr>
      </w:pPr>
      <w:r>
        <w:rPr>
          <w:rFonts w:hint="eastAsia" w:ascii="仿宋" w:hAnsi="仿宋" w:eastAsia="仿宋" w:cs="仿宋"/>
          <w:b/>
          <w:bCs/>
          <w:kern w:val="0"/>
          <w:sz w:val="32"/>
          <w:szCs w:val="32"/>
          <w:shd w:val="clear" w:color="auto" w:fill="FFFFFF"/>
          <w:lang w:val="zh-CN"/>
        </w:rPr>
        <w:t>（一）部门预算项目绩效分析。</w:t>
      </w:r>
    </w:p>
    <w:p>
      <w:pPr>
        <w:autoSpaceDE w:val="0"/>
        <w:autoSpaceDN w:val="0"/>
        <w:adjustRightInd w:val="0"/>
        <w:snapToGrid w:val="0"/>
        <w:spacing w:line="353" w:lineRule="auto"/>
        <w:ind w:firstLine="640" w:firstLineChars="200"/>
        <w:rPr>
          <w:rFonts w:hint="eastAsia" w:ascii="仿宋" w:hAnsi="仿宋" w:eastAsia="仿宋" w:cs="仿宋"/>
          <w:i w:val="0"/>
          <w:caps w:val="0"/>
          <w:color w:val="333333"/>
          <w:spacing w:val="0"/>
          <w:kern w:val="2"/>
          <w:sz w:val="32"/>
          <w:szCs w:val="32"/>
          <w:shd w:val="clear" w:fill="FFFFFF"/>
          <w:lang w:val="en-US" w:eastAsia="zh-CN" w:bidi="ar-SA"/>
        </w:rPr>
      </w:pPr>
      <w:r>
        <w:rPr>
          <w:rFonts w:hint="eastAsia" w:ascii="仿宋" w:hAnsi="仿宋" w:eastAsia="仿宋" w:cs="仿宋"/>
          <w:i w:val="0"/>
          <w:caps w:val="0"/>
          <w:color w:val="333333"/>
          <w:spacing w:val="0"/>
          <w:kern w:val="2"/>
          <w:sz w:val="32"/>
          <w:szCs w:val="32"/>
          <w:shd w:val="clear" w:fill="FFFFFF"/>
          <w:lang w:val="en-US" w:eastAsia="zh-CN" w:bidi="ar-SA"/>
        </w:rPr>
        <w:t>1.人员类项目绩效分析</w:t>
      </w:r>
    </w:p>
    <w:p>
      <w:pPr>
        <w:autoSpaceDE w:val="0"/>
        <w:autoSpaceDN w:val="0"/>
        <w:adjustRightInd w:val="0"/>
        <w:snapToGrid w:val="0"/>
        <w:spacing w:line="353" w:lineRule="auto"/>
        <w:ind w:firstLine="640" w:firstLineChars="200"/>
        <w:rPr>
          <w:rFonts w:hint="eastAsia" w:ascii="仿宋" w:hAnsi="仿宋" w:eastAsia="仿宋" w:cs="仿宋"/>
          <w:i w:val="0"/>
          <w:caps w:val="0"/>
          <w:color w:val="333333"/>
          <w:spacing w:val="0"/>
          <w:kern w:val="2"/>
          <w:sz w:val="32"/>
          <w:szCs w:val="32"/>
          <w:shd w:val="clear" w:fill="FFFFFF"/>
          <w:lang w:val="en-US" w:eastAsia="zh-CN" w:bidi="ar-SA"/>
        </w:rPr>
      </w:pPr>
      <w:r>
        <w:rPr>
          <w:rFonts w:hint="eastAsia" w:ascii="仿宋" w:hAnsi="仿宋" w:eastAsia="仿宋" w:cs="仿宋"/>
          <w:i w:val="0"/>
          <w:caps w:val="0"/>
          <w:color w:val="333333"/>
          <w:spacing w:val="0"/>
          <w:kern w:val="2"/>
          <w:sz w:val="32"/>
          <w:szCs w:val="32"/>
          <w:shd w:val="clear" w:fill="FFFFFF"/>
          <w:lang w:val="en-US" w:eastAsia="zh-CN" w:bidi="ar-SA"/>
        </w:rPr>
        <w:t>2022年及时准确核算发放在职及退休人员的工资和各项待遇，共支出人员经费121.54万元，主要包括：基本工资、津贴补贴、奖金、绩效工资、机关事业单位基本养老保险缴费、职工基本医疗保险缴费、公务员医疗补助缴费、其他社会保障缴费、其他工资福利支出、住房公积金</w:t>
      </w:r>
      <w:r>
        <w:rPr>
          <w:rFonts w:hint="eastAsia" w:ascii="仿宋" w:hAnsi="仿宋" w:eastAsia="仿宋" w:cs="仿宋"/>
          <w:i w:val="0"/>
          <w:caps w:val="0"/>
          <w:color w:val="333333"/>
          <w:spacing w:val="0"/>
          <w:kern w:val="2"/>
          <w:sz w:val="32"/>
          <w:szCs w:val="32"/>
          <w:shd w:val="clear" w:fill="FFFFFF"/>
          <w:lang w:val="zh-CN" w:eastAsia="zh-CN" w:bidi="ar-SA"/>
        </w:rPr>
        <w:t>。</w:t>
      </w:r>
    </w:p>
    <w:p>
      <w:pPr>
        <w:autoSpaceDE w:val="0"/>
        <w:autoSpaceDN w:val="0"/>
        <w:adjustRightInd w:val="0"/>
        <w:snapToGrid w:val="0"/>
        <w:spacing w:line="353" w:lineRule="auto"/>
        <w:ind w:firstLine="640" w:firstLineChars="200"/>
        <w:rPr>
          <w:rFonts w:hint="eastAsia" w:ascii="仿宋" w:hAnsi="仿宋" w:eastAsia="仿宋" w:cs="仿宋"/>
          <w:i w:val="0"/>
          <w:caps w:val="0"/>
          <w:color w:val="333333"/>
          <w:spacing w:val="0"/>
          <w:kern w:val="2"/>
          <w:sz w:val="32"/>
          <w:szCs w:val="32"/>
          <w:shd w:val="clear" w:fill="FFFFFF"/>
          <w:lang w:val="en-US" w:eastAsia="zh-CN" w:bidi="ar-SA"/>
        </w:rPr>
      </w:pPr>
      <w:r>
        <w:rPr>
          <w:rFonts w:hint="eastAsia" w:ascii="仿宋" w:hAnsi="仿宋" w:eastAsia="仿宋" w:cs="仿宋"/>
          <w:i w:val="0"/>
          <w:caps w:val="0"/>
          <w:color w:val="333333"/>
          <w:spacing w:val="0"/>
          <w:kern w:val="2"/>
          <w:sz w:val="32"/>
          <w:szCs w:val="32"/>
          <w:shd w:val="clear" w:fill="FFFFFF"/>
          <w:lang w:val="en-US" w:eastAsia="zh-CN" w:bidi="ar-SA"/>
        </w:rPr>
        <w:t>2.运转类项目绩效分析</w:t>
      </w:r>
    </w:p>
    <w:p>
      <w:pPr>
        <w:autoSpaceDE w:val="0"/>
        <w:autoSpaceDN w:val="0"/>
        <w:adjustRightInd w:val="0"/>
        <w:snapToGrid w:val="0"/>
        <w:spacing w:line="353" w:lineRule="auto"/>
        <w:ind w:firstLine="640" w:firstLineChars="200"/>
        <w:rPr>
          <w:rFonts w:hint="eastAsia" w:ascii="仿宋" w:hAnsi="仿宋" w:eastAsia="仿宋" w:cs="仿宋"/>
          <w:i w:val="0"/>
          <w:caps w:val="0"/>
          <w:color w:val="333333"/>
          <w:spacing w:val="0"/>
          <w:kern w:val="2"/>
          <w:sz w:val="32"/>
          <w:szCs w:val="32"/>
          <w:shd w:val="clear" w:fill="FFFFFF"/>
          <w:lang w:val="en-US" w:eastAsia="zh-CN" w:bidi="ar-SA"/>
        </w:rPr>
      </w:pPr>
      <w:r>
        <w:rPr>
          <w:rFonts w:hint="eastAsia" w:ascii="仿宋" w:hAnsi="仿宋" w:eastAsia="仿宋" w:cs="仿宋"/>
          <w:i w:val="0"/>
          <w:caps w:val="0"/>
          <w:color w:val="333333"/>
          <w:spacing w:val="0"/>
          <w:kern w:val="2"/>
          <w:sz w:val="32"/>
          <w:szCs w:val="32"/>
          <w:shd w:val="clear" w:fill="FFFFFF"/>
          <w:lang w:val="en-US" w:eastAsia="zh-CN" w:bidi="ar-SA"/>
        </w:rPr>
        <w:t>2022年贯彻区委、区政府过紧日子要求，按照厉行节约原则，严格控制“三公经费”支出，强化支出及项目绩效管理，保证机关单位的正常运转，按照规定使用日常公用经费9.03万元，主要包括：办公费、印刷费、邮电费、差旅费、劳务费、工会经费、其他交通费。</w:t>
      </w:r>
    </w:p>
    <w:p>
      <w:pPr>
        <w:autoSpaceDE w:val="0"/>
        <w:autoSpaceDN w:val="0"/>
        <w:adjustRightInd w:val="0"/>
        <w:snapToGrid w:val="0"/>
        <w:spacing w:line="353" w:lineRule="auto"/>
        <w:ind w:firstLine="640" w:firstLineChars="200"/>
        <w:rPr>
          <w:rFonts w:hint="eastAsia" w:ascii="仿宋" w:hAnsi="仿宋" w:eastAsia="仿宋" w:cs="仿宋"/>
          <w:i w:val="0"/>
          <w:caps w:val="0"/>
          <w:color w:val="333333"/>
          <w:spacing w:val="0"/>
          <w:kern w:val="2"/>
          <w:sz w:val="32"/>
          <w:szCs w:val="32"/>
          <w:shd w:val="clear" w:fill="FFFFFF"/>
          <w:lang w:val="en-US" w:eastAsia="zh-CN" w:bidi="ar-SA"/>
        </w:rPr>
      </w:pPr>
      <w:r>
        <w:rPr>
          <w:rFonts w:hint="eastAsia" w:ascii="仿宋" w:hAnsi="仿宋" w:eastAsia="仿宋" w:cs="仿宋"/>
          <w:i w:val="0"/>
          <w:caps w:val="0"/>
          <w:color w:val="333333"/>
          <w:spacing w:val="0"/>
          <w:kern w:val="2"/>
          <w:sz w:val="32"/>
          <w:szCs w:val="32"/>
          <w:shd w:val="clear" w:fill="FFFFFF"/>
          <w:lang w:val="en-US" w:eastAsia="zh-CN" w:bidi="ar-SA"/>
        </w:rPr>
        <w:t>3.特定目标类项目绩效分析</w:t>
      </w:r>
    </w:p>
    <w:p>
      <w:pPr>
        <w:autoSpaceDE w:val="0"/>
        <w:autoSpaceDN w:val="0"/>
        <w:adjustRightInd w:val="0"/>
        <w:snapToGrid w:val="0"/>
        <w:spacing w:line="353" w:lineRule="auto"/>
        <w:ind w:firstLine="640" w:firstLineChars="200"/>
        <w:rPr>
          <w:rFonts w:hint="eastAsia" w:ascii="仿宋" w:hAnsi="仿宋" w:eastAsia="仿宋" w:cs="仿宋"/>
          <w:i w:val="0"/>
          <w:caps w:val="0"/>
          <w:color w:val="333333"/>
          <w:spacing w:val="0"/>
          <w:kern w:val="2"/>
          <w:sz w:val="32"/>
          <w:szCs w:val="32"/>
          <w:shd w:val="clear" w:fill="FFFFFF"/>
          <w:lang w:val="en-US" w:eastAsia="zh-CN" w:bidi="ar-SA"/>
        </w:rPr>
      </w:pPr>
      <w:r>
        <w:rPr>
          <w:rFonts w:hint="eastAsia" w:ascii="仿宋" w:hAnsi="仿宋" w:eastAsia="仿宋" w:cs="仿宋"/>
          <w:i w:val="0"/>
          <w:caps w:val="0"/>
          <w:color w:val="333333"/>
          <w:spacing w:val="0"/>
          <w:kern w:val="2"/>
          <w:sz w:val="32"/>
          <w:szCs w:val="32"/>
          <w:shd w:val="clear" w:fill="FFFFFF"/>
          <w:lang w:val="en-US" w:eastAsia="zh-CN" w:bidi="ar-SA"/>
        </w:rPr>
        <w:t>2022年特定目标类部门预算项目9个，其中，2022年初安排项目预算362.97元，上年结转36.58万元，追加预算385.18万元，实际支出784.73万元。具体完成如下：</w:t>
      </w:r>
    </w:p>
    <w:p>
      <w:pPr>
        <w:autoSpaceDE w:val="0"/>
        <w:autoSpaceDN w:val="0"/>
        <w:adjustRightInd w:val="0"/>
        <w:snapToGrid w:val="0"/>
        <w:spacing w:line="353" w:lineRule="auto"/>
        <w:ind w:firstLine="640" w:firstLineChars="200"/>
        <w:rPr>
          <w:rFonts w:hint="eastAsia" w:ascii="仿宋" w:hAnsi="仿宋" w:eastAsia="仿宋" w:cs="仿宋"/>
          <w:i w:val="0"/>
          <w:caps w:val="0"/>
          <w:color w:val="333333"/>
          <w:spacing w:val="0"/>
          <w:kern w:val="2"/>
          <w:sz w:val="32"/>
          <w:szCs w:val="32"/>
          <w:shd w:val="clear" w:fill="FFFFFF"/>
          <w:lang w:val="en-US" w:eastAsia="zh-CN" w:bidi="ar-SA"/>
        </w:rPr>
      </w:pPr>
      <w:r>
        <w:rPr>
          <w:rFonts w:hint="eastAsia" w:ascii="仿宋" w:hAnsi="仿宋" w:eastAsia="仿宋" w:cs="仿宋"/>
          <w:i w:val="0"/>
          <w:caps w:val="0"/>
          <w:color w:val="333333"/>
          <w:spacing w:val="0"/>
          <w:kern w:val="2"/>
          <w:sz w:val="32"/>
          <w:szCs w:val="32"/>
          <w:shd w:val="clear" w:fill="FFFFFF"/>
          <w:lang w:val="en-US" w:eastAsia="zh-CN" w:bidi="ar-SA"/>
        </w:rPr>
        <w:t>（1）涉军信访维稳工作经费3万元，根据区委、区政府下达相关目标任务，开展涉军信访维稳工作。严格执行相关政策，按工作要求支付维稳所产生的费用，圆满完成年度目标任务。</w:t>
      </w:r>
    </w:p>
    <w:p>
      <w:pPr>
        <w:autoSpaceDE w:val="0"/>
        <w:autoSpaceDN w:val="0"/>
        <w:adjustRightInd w:val="0"/>
        <w:snapToGrid w:val="0"/>
        <w:spacing w:line="353" w:lineRule="auto"/>
        <w:ind w:firstLine="640" w:firstLineChars="200"/>
        <w:rPr>
          <w:rFonts w:hint="eastAsia" w:ascii="仿宋" w:hAnsi="仿宋" w:eastAsia="仿宋" w:cs="仿宋"/>
          <w:i w:val="0"/>
          <w:caps w:val="0"/>
          <w:color w:val="333333"/>
          <w:spacing w:val="0"/>
          <w:kern w:val="2"/>
          <w:sz w:val="32"/>
          <w:szCs w:val="32"/>
          <w:shd w:val="clear" w:fill="FFFFFF"/>
          <w:lang w:val="zh-CN" w:eastAsia="zh-CN" w:bidi="ar-SA"/>
        </w:rPr>
      </w:pPr>
      <w:r>
        <w:rPr>
          <w:rFonts w:hint="eastAsia" w:ascii="仿宋" w:hAnsi="仿宋" w:eastAsia="仿宋" w:cs="仿宋"/>
          <w:i w:val="0"/>
          <w:caps w:val="0"/>
          <w:color w:val="333333"/>
          <w:spacing w:val="0"/>
          <w:kern w:val="2"/>
          <w:sz w:val="32"/>
          <w:szCs w:val="32"/>
          <w:shd w:val="clear" w:fill="FFFFFF"/>
          <w:lang w:val="zh-CN" w:eastAsia="zh-CN" w:bidi="ar-SA"/>
        </w:rPr>
        <w:t>（</w:t>
      </w:r>
      <w:r>
        <w:rPr>
          <w:rFonts w:hint="eastAsia" w:ascii="仿宋" w:hAnsi="仿宋" w:eastAsia="仿宋" w:cs="仿宋"/>
          <w:i w:val="0"/>
          <w:caps w:val="0"/>
          <w:color w:val="333333"/>
          <w:spacing w:val="0"/>
          <w:kern w:val="2"/>
          <w:sz w:val="32"/>
          <w:szCs w:val="32"/>
          <w:shd w:val="clear" w:fill="FFFFFF"/>
          <w:lang w:val="en-US" w:eastAsia="zh-CN" w:bidi="ar-SA"/>
        </w:rPr>
        <w:t>2）困难退役军人关爱帮扶专项基金5.2万元,加强对退役军人、优抚对象的教育疏导和稳控工作，累计接待政策、业务咨询110余人次。承办来访71人次、来信1件、网上信访件（含市民热线）10件，圆满完成目标任务。</w:t>
      </w:r>
    </w:p>
    <w:p>
      <w:pPr>
        <w:autoSpaceDE w:val="0"/>
        <w:autoSpaceDN w:val="0"/>
        <w:adjustRightInd w:val="0"/>
        <w:snapToGrid w:val="0"/>
        <w:spacing w:line="353" w:lineRule="auto"/>
        <w:ind w:firstLine="640" w:firstLineChars="200"/>
        <w:rPr>
          <w:rFonts w:hint="eastAsia" w:ascii="仿宋" w:hAnsi="仿宋" w:eastAsia="仿宋" w:cs="仿宋"/>
          <w:i w:val="0"/>
          <w:caps w:val="0"/>
          <w:color w:val="333333"/>
          <w:spacing w:val="0"/>
          <w:kern w:val="2"/>
          <w:sz w:val="32"/>
          <w:szCs w:val="32"/>
          <w:shd w:val="clear" w:fill="FFFFFF"/>
          <w:lang w:val="zh-CN" w:eastAsia="zh-CN" w:bidi="ar-SA"/>
        </w:rPr>
      </w:pPr>
      <w:r>
        <w:rPr>
          <w:rFonts w:hint="eastAsia" w:ascii="仿宋" w:hAnsi="仿宋" w:eastAsia="仿宋" w:cs="仿宋"/>
          <w:i w:val="0"/>
          <w:caps w:val="0"/>
          <w:color w:val="333333"/>
          <w:spacing w:val="0"/>
          <w:kern w:val="2"/>
          <w:sz w:val="32"/>
          <w:szCs w:val="32"/>
          <w:shd w:val="clear" w:fill="FFFFFF"/>
          <w:lang w:val="zh-CN" w:eastAsia="zh-CN" w:bidi="ar-SA"/>
        </w:rPr>
        <w:t>（</w:t>
      </w:r>
      <w:r>
        <w:rPr>
          <w:rFonts w:hint="eastAsia" w:ascii="仿宋" w:hAnsi="仿宋" w:eastAsia="仿宋" w:cs="仿宋"/>
          <w:i w:val="0"/>
          <w:caps w:val="0"/>
          <w:color w:val="333333"/>
          <w:spacing w:val="0"/>
          <w:kern w:val="2"/>
          <w:sz w:val="32"/>
          <w:szCs w:val="32"/>
          <w:shd w:val="clear" w:fill="FFFFFF"/>
          <w:lang w:val="en-US" w:eastAsia="zh-CN" w:bidi="ar-SA"/>
        </w:rPr>
        <w:t>3）退役军人服务管理保障经费0.5万元，每月支付网络服务费、印刷退役军人先进事迹宣传资料约100份，通过项目实施，保障工作正常运转。</w:t>
      </w:r>
    </w:p>
    <w:p>
      <w:pPr>
        <w:autoSpaceDE w:val="0"/>
        <w:autoSpaceDN w:val="0"/>
        <w:adjustRightInd w:val="0"/>
        <w:snapToGrid w:val="0"/>
        <w:spacing w:line="353" w:lineRule="auto"/>
        <w:ind w:firstLine="640" w:firstLineChars="200"/>
        <w:rPr>
          <w:rFonts w:hint="eastAsia" w:ascii="仿宋" w:hAnsi="仿宋" w:eastAsia="仿宋" w:cs="仿宋"/>
          <w:i w:val="0"/>
          <w:caps w:val="0"/>
          <w:color w:val="333333"/>
          <w:spacing w:val="0"/>
          <w:kern w:val="2"/>
          <w:sz w:val="32"/>
          <w:szCs w:val="32"/>
          <w:shd w:val="clear" w:fill="FFFFFF"/>
          <w:lang w:val="zh-CN" w:eastAsia="zh-CN" w:bidi="ar-SA"/>
        </w:rPr>
      </w:pPr>
      <w:r>
        <w:rPr>
          <w:rFonts w:hint="eastAsia" w:ascii="仿宋" w:hAnsi="仿宋" w:eastAsia="仿宋" w:cs="仿宋"/>
          <w:i w:val="0"/>
          <w:caps w:val="0"/>
          <w:color w:val="333333"/>
          <w:spacing w:val="0"/>
          <w:kern w:val="2"/>
          <w:sz w:val="32"/>
          <w:szCs w:val="32"/>
          <w:shd w:val="clear" w:fill="FFFFFF"/>
          <w:lang w:val="zh-CN" w:eastAsia="zh-CN" w:bidi="ar-SA"/>
        </w:rPr>
        <w:t>（</w:t>
      </w:r>
      <w:r>
        <w:rPr>
          <w:rFonts w:hint="eastAsia" w:ascii="仿宋" w:hAnsi="仿宋" w:eastAsia="仿宋" w:cs="仿宋"/>
          <w:i w:val="0"/>
          <w:caps w:val="0"/>
          <w:color w:val="333333"/>
          <w:spacing w:val="0"/>
          <w:kern w:val="2"/>
          <w:sz w:val="32"/>
          <w:szCs w:val="32"/>
          <w:shd w:val="clear" w:fill="FFFFFF"/>
          <w:lang w:val="en-US" w:eastAsia="zh-CN" w:bidi="ar-SA"/>
        </w:rPr>
        <w:t>4）办公场所搬迁打造经费6.1万元，办公用房搬迁，保障正常运行。</w:t>
      </w:r>
    </w:p>
    <w:p>
      <w:pPr>
        <w:autoSpaceDE w:val="0"/>
        <w:autoSpaceDN w:val="0"/>
        <w:adjustRightInd w:val="0"/>
        <w:snapToGrid w:val="0"/>
        <w:spacing w:line="353" w:lineRule="auto"/>
        <w:ind w:firstLine="640" w:firstLineChars="200"/>
        <w:rPr>
          <w:rFonts w:hint="eastAsia" w:ascii="仿宋" w:hAnsi="仿宋" w:eastAsia="仿宋" w:cs="仿宋"/>
          <w:i w:val="0"/>
          <w:caps w:val="0"/>
          <w:color w:val="333333"/>
          <w:spacing w:val="0"/>
          <w:kern w:val="2"/>
          <w:sz w:val="32"/>
          <w:szCs w:val="32"/>
          <w:shd w:val="clear" w:fill="FFFFFF"/>
          <w:lang w:val="en-US" w:eastAsia="zh-CN" w:bidi="ar-SA"/>
        </w:rPr>
      </w:pPr>
      <w:r>
        <w:rPr>
          <w:rFonts w:hint="eastAsia" w:ascii="仿宋" w:hAnsi="仿宋" w:eastAsia="仿宋" w:cs="仿宋"/>
          <w:i w:val="0"/>
          <w:caps w:val="0"/>
          <w:color w:val="333333"/>
          <w:spacing w:val="0"/>
          <w:kern w:val="2"/>
          <w:sz w:val="32"/>
          <w:szCs w:val="32"/>
          <w:shd w:val="clear" w:fill="FFFFFF"/>
          <w:lang w:val="en-US" w:eastAsia="zh-CN" w:bidi="ar-SA"/>
        </w:rPr>
        <w:t>（5）双拥经费58.65万元，将城乡社区双拥工作经费列入年度财政预算.深入扎实做好元旦、春节、“八一”期间拥军优属工作，把区委、区政府的关怀和温暖送到部队官兵的心坎上，做好优待工作是党、国家、军队和全社会的共同责任，进一步密切军政军民关系，巩固军政军民团结良好局面。</w:t>
      </w:r>
    </w:p>
    <w:p>
      <w:pPr>
        <w:autoSpaceDE w:val="0"/>
        <w:autoSpaceDN w:val="0"/>
        <w:adjustRightInd w:val="0"/>
        <w:snapToGrid w:val="0"/>
        <w:spacing w:line="353" w:lineRule="auto"/>
        <w:ind w:firstLine="640" w:firstLineChars="200"/>
        <w:rPr>
          <w:rFonts w:hint="eastAsia" w:ascii="仿宋" w:hAnsi="仿宋" w:eastAsia="仿宋" w:cs="仿宋"/>
          <w:i w:val="0"/>
          <w:caps w:val="0"/>
          <w:color w:val="333333"/>
          <w:spacing w:val="0"/>
          <w:kern w:val="2"/>
          <w:sz w:val="32"/>
          <w:szCs w:val="32"/>
          <w:shd w:val="clear" w:fill="FFFFFF"/>
          <w:lang w:val="zh-CN" w:eastAsia="zh-CN" w:bidi="ar-SA"/>
        </w:rPr>
      </w:pPr>
      <w:r>
        <w:rPr>
          <w:rFonts w:hint="eastAsia" w:ascii="仿宋" w:hAnsi="仿宋" w:eastAsia="仿宋" w:cs="仿宋"/>
          <w:i w:val="0"/>
          <w:caps w:val="0"/>
          <w:color w:val="333333"/>
          <w:spacing w:val="0"/>
          <w:kern w:val="2"/>
          <w:sz w:val="32"/>
          <w:szCs w:val="32"/>
          <w:shd w:val="clear" w:fill="FFFFFF"/>
          <w:lang w:val="zh-CN" w:eastAsia="zh-CN" w:bidi="ar-SA"/>
        </w:rPr>
        <w:t>（</w:t>
      </w:r>
      <w:r>
        <w:rPr>
          <w:rFonts w:hint="eastAsia" w:ascii="仿宋" w:hAnsi="仿宋" w:eastAsia="仿宋" w:cs="仿宋"/>
          <w:i w:val="0"/>
          <w:caps w:val="0"/>
          <w:color w:val="333333"/>
          <w:spacing w:val="0"/>
          <w:kern w:val="2"/>
          <w:sz w:val="32"/>
          <w:szCs w:val="32"/>
          <w:shd w:val="clear" w:fill="FFFFFF"/>
          <w:lang w:val="en-US" w:eastAsia="zh-CN" w:bidi="ar-SA"/>
        </w:rPr>
        <w:t>6）退役安置补助资金67.38万元，为自主就业退役士兵报销短期技能培训生活补助，开展年度退役士兵适应性培训，落实安置政策、维护社会稳定。做好退役士兵接收安置工作，确保退役士兵一次性地方经济补助金、社保接续等资金及时足额发放。</w:t>
      </w:r>
    </w:p>
    <w:p>
      <w:pPr>
        <w:autoSpaceDE w:val="0"/>
        <w:autoSpaceDN w:val="0"/>
        <w:adjustRightInd w:val="0"/>
        <w:snapToGrid w:val="0"/>
        <w:spacing w:line="353" w:lineRule="auto"/>
        <w:ind w:firstLine="640" w:firstLineChars="200"/>
        <w:rPr>
          <w:rFonts w:hint="eastAsia" w:ascii="仿宋" w:hAnsi="仿宋" w:eastAsia="仿宋" w:cs="仿宋"/>
          <w:i w:val="0"/>
          <w:caps w:val="0"/>
          <w:color w:val="333333"/>
          <w:spacing w:val="0"/>
          <w:kern w:val="2"/>
          <w:sz w:val="32"/>
          <w:szCs w:val="32"/>
          <w:shd w:val="clear" w:fill="FFFFFF"/>
          <w:lang w:val="zh-CN" w:eastAsia="zh-CN" w:bidi="ar-SA"/>
        </w:rPr>
      </w:pPr>
      <w:r>
        <w:rPr>
          <w:rFonts w:hint="eastAsia" w:ascii="仿宋" w:hAnsi="仿宋" w:eastAsia="仿宋" w:cs="仿宋"/>
          <w:i w:val="0"/>
          <w:caps w:val="0"/>
          <w:color w:val="333333"/>
          <w:spacing w:val="0"/>
          <w:kern w:val="2"/>
          <w:sz w:val="32"/>
          <w:szCs w:val="32"/>
          <w:shd w:val="clear" w:fill="FFFFFF"/>
          <w:lang w:val="zh-CN" w:eastAsia="zh-CN" w:bidi="ar-SA"/>
        </w:rPr>
        <w:t>（</w:t>
      </w:r>
      <w:r>
        <w:rPr>
          <w:rFonts w:hint="eastAsia" w:ascii="仿宋" w:hAnsi="仿宋" w:eastAsia="仿宋" w:cs="仿宋"/>
          <w:i w:val="0"/>
          <w:caps w:val="0"/>
          <w:color w:val="333333"/>
          <w:spacing w:val="0"/>
          <w:kern w:val="2"/>
          <w:sz w:val="32"/>
          <w:szCs w:val="32"/>
          <w:shd w:val="clear" w:fill="FFFFFF"/>
          <w:lang w:val="en-US" w:eastAsia="zh-CN" w:bidi="ar-SA"/>
        </w:rPr>
        <w:t>7）优抚对象医疗补助资金13.89万元，及时为重点优抚对象缴纳医保；按季度发放重点优抚对象医疗补助。</w:t>
      </w:r>
    </w:p>
    <w:p>
      <w:pPr>
        <w:autoSpaceDE w:val="0"/>
        <w:autoSpaceDN w:val="0"/>
        <w:adjustRightInd w:val="0"/>
        <w:snapToGrid w:val="0"/>
        <w:spacing w:line="353" w:lineRule="auto"/>
        <w:ind w:firstLine="640" w:firstLineChars="200"/>
        <w:rPr>
          <w:rFonts w:hint="eastAsia" w:ascii="仿宋" w:hAnsi="仿宋" w:eastAsia="仿宋" w:cs="仿宋"/>
          <w:i w:val="0"/>
          <w:caps w:val="0"/>
          <w:color w:val="333333"/>
          <w:spacing w:val="0"/>
          <w:kern w:val="2"/>
          <w:sz w:val="32"/>
          <w:szCs w:val="32"/>
          <w:shd w:val="clear" w:fill="FFFFFF"/>
          <w:lang w:val="zh-CN" w:eastAsia="zh-CN" w:bidi="ar-SA"/>
        </w:rPr>
      </w:pPr>
      <w:r>
        <w:rPr>
          <w:rFonts w:hint="eastAsia" w:ascii="仿宋" w:hAnsi="仿宋" w:eastAsia="仿宋" w:cs="仿宋"/>
          <w:i w:val="0"/>
          <w:caps w:val="0"/>
          <w:color w:val="333333"/>
          <w:spacing w:val="0"/>
          <w:kern w:val="2"/>
          <w:sz w:val="32"/>
          <w:szCs w:val="32"/>
          <w:shd w:val="clear" w:fill="FFFFFF"/>
          <w:lang w:val="zh-CN" w:eastAsia="zh-CN" w:bidi="ar-SA"/>
        </w:rPr>
        <w:t>（</w:t>
      </w:r>
      <w:r>
        <w:rPr>
          <w:rFonts w:hint="eastAsia" w:ascii="仿宋" w:hAnsi="仿宋" w:eastAsia="仿宋" w:cs="仿宋"/>
          <w:i w:val="0"/>
          <w:caps w:val="0"/>
          <w:color w:val="333333"/>
          <w:spacing w:val="0"/>
          <w:kern w:val="2"/>
          <w:sz w:val="32"/>
          <w:szCs w:val="32"/>
          <w:shd w:val="clear" w:fill="FFFFFF"/>
          <w:lang w:val="en-US" w:eastAsia="zh-CN" w:bidi="ar-SA"/>
        </w:rPr>
        <w:t>8）重点优抚对象抚恤和生活补助经费460.9万元，根据川退役军人发[2019]94号文件规定：为在乡老复员军人、带病还乡、两参人员发放抚恤补助。</w:t>
      </w:r>
    </w:p>
    <w:p>
      <w:pPr>
        <w:autoSpaceDE w:val="0"/>
        <w:autoSpaceDN w:val="0"/>
        <w:adjustRightInd w:val="0"/>
        <w:snapToGrid w:val="0"/>
        <w:spacing w:line="353" w:lineRule="auto"/>
        <w:ind w:firstLine="640" w:firstLineChars="200"/>
        <w:rPr>
          <w:rFonts w:hint="eastAsia" w:ascii="仿宋" w:hAnsi="仿宋" w:eastAsia="仿宋" w:cs="仿宋"/>
          <w:i w:val="0"/>
          <w:caps w:val="0"/>
          <w:color w:val="333333"/>
          <w:spacing w:val="0"/>
          <w:kern w:val="2"/>
          <w:sz w:val="32"/>
          <w:szCs w:val="32"/>
          <w:shd w:val="clear" w:fill="FFFFFF"/>
          <w:lang w:val="zh-CN" w:eastAsia="zh-CN" w:bidi="ar-SA"/>
        </w:rPr>
      </w:pPr>
      <w:r>
        <w:rPr>
          <w:rFonts w:hint="eastAsia" w:ascii="仿宋" w:hAnsi="仿宋" w:eastAsia="仿宋" w:cs="仿宋"/>
          <w:i w:val="0"/>
          <w:caps w:val="0"/>
          <w:color w:val="333333"/>
          <w:spacing w:val="0"/>
          <w:kern w:val="2"/>
          <w:sz w:val="32"/>
          <w:szCs w:val="32"/>
          <w:shd w:val="clear" w:fill="FFFFFF"/>
          <w:lang w:val="zh-CN" w:eastAsia="zh-CN" w:bidi="ar-SA"/>
        </w:rPr>
        <w:t>（</w:t>
      </w:r>
      <w:r>
        <w:rPr>
          <w:rFonts w:hint="eastAsia" w:ascii="仿宋" w:hAnsi="仿宋" w:eastAsia="仿宋" w:cs="仿宋"/>
          <w:i w:val="0"/>
          <w:caps w:val="0"/>
          <w:color w:val="333333"/>
          <w:spacing w:val="0"/>
          <w:kern w:val="2"/>
          <w:sz w:val="32"/>
          <w:szCs w:val="32"/>
          <w:shd w:val="clear" w:fill="FFFFFF"/>
          <w:lang w:val="en-US" w:eastAsia="zh-CN" w:bidi="ar-SA"/>
        </w:rPr>
        <w:t>9）义务兵家庭优待金169.11万元，根据《攀枝花市人民政府、攀枝花军分区关于调整义务兵家庭优待金和驻攀部队随军随队军人配偶生活补助标准的通知》（攀府函[2013]44号）义务兵家庭发放义务兵优待金，营造一人当兵全家光荣的双拥氛围,保障义务兵家属合法权益。</w:t>
      </w:r>
    </w:p>
    <w:p>
      <w:pPr>
        <w:widowControl/>
        <w:adjustRightInd w:val="0"/>
        <w:snapToGrid w:val="0"/>
        <w:spacing w:line="560" w:lineRule="exact"/>
        <w:ind w:firstLine="643" w:firstLineChars="200"/>
        <w:contextualSpacing/>
        <w:jc w:val="left"/>
        <w:rPr>
          <w:rFonts w:hint="eastAsia" w:ascii="仿宋" w:hAnsi="仿宋" w:eastAsia="仿宋" w:cs="仿宋"/>
          <w:b/>
          <w:bCs/>
          <w:kern w:val="0"/>
          <w:sz w:val="32"/>
          <w:szCs w:val="32"/>
          <w:shd w:val="clear" w:color="auto" w:fill="FFFFFF"/>
          <w:lang w:val="zh-CN"/>
        </w:rPr>
      </w:pPr>
      <w:r>
        <w:rPr>
          <w:rFonts w:hint="eastAsia" w:ascii="仿宋" w:hAnsi="仿宋" w:eastAsia="仿宋" w:cs="仿宋"/>
          <w:b/>
          <w:bCs/>
          <w:kern w:val="0"/>
          <w:sz w:val="32"/>
          <w:szCs w:val="32"/>
          <w:shd w:val="clear" w:color="auto" w:fill="FFFFFF"/>
          <w:lang w:val="zh-CN"/>
        </w:rPr>
        <w:t>（二）部门整体履职绩效分析。</w:t>
      </w:r>
    </w:p>
    <w:p>
      <w:pPr>
        <w:autoSpaceDE w:val="0"/>
        <w:autoSpaceDN w:val="0"/>
        <w:adjustRightInd w:val="0"/>
        <w:snapToGrid w:val="0"/>
        <w:spacing w:line="353" w:lineRule="auto"/>
        <w:ind w:firstLine="640" w:firstLineChars="200"/>
        <w:rPr>
          <w:rFonts w:hint="eastAsia" w:ascii="仿宋" w:hAnsi="仿宋" w:eastAsia="仿宋" w:cs="仿宋"/>
          <w:i w:val="0"/>
          <w:caps w:val="0"/>
          <w:color w:val="333333"/>
          <w:spacing w:val="0"/>
          <w:kern w:val="2"/>
          <w:sz w:val="32"/>
          <w:szCs w:val="32"/>
          <w:shd w:val="clear" w:fill="FFFFFF"/>
          <w:lang w:val="zh-CN" w:eastAsia="zh-CN" w:bidi="ar-SA"/>
        </w:rPr>
      </w:pPr>
      <w:r>
        <w:rPr>
          <w:rFonts w:hint="eastAsia" w:ascii="仿宋" w:hAnsi="仿宋" w:eastAsia="仿宋" w:cs="仿宋"/>
          <w:i w:val="0"/>
          <w:caps w:val="0"/>
          <w:color w:val="333333"/>
          <w:spacing w:val="0"/>
          <w:kern w:val="2"/>
          <w:sz w:val="32"/>
          <w:szCs w:val="32"/>
          <w:shd w:val="clear" w:fill="FFFFFF"/>
          <w:lang w:val="en-US" w:eastAsia="zh-CN" w:bidi="ar-SA"/>
        </w:rPr>
        <w:t>预算编制及时、财务管理较为规范，财经纪律、财务制度执行情况良好。严格预算支出管理。在支出预算编制上，人员经费按照配置定额，逐人核定编制，公用经费分类分档，按定额编制</w:t>
      </w:r>
      <w:r>
        <w:rPr>
          <w:rFonts w:hint="eastAsia" w:ascii="仿宋" w:hAnsi="仿宋" w:eastAsia="仿宋" w:cs="仿宋"/>
          <w:i w:val="0"/>
          <w:caps w:val="0"/>
          <w:color w:val="333333"/>
          <w:spacing w:val="0"/>
          <w:kern w:val="2"/>
          <w:sz w:val="32"/>
          <w:szCs w:val="32"/>
          <w:shd w:val="clear" w:fill="FFFFFF"/>
          <w:lang w:val="zh-CN" w:eastAsia="zh-CN" w:bidi="ar-SA"/>
        </w:rPr>
        <w:t>。</w:t>
      </w:r>
    </w:p>
    <w:p>
      <w:pPr>
        <w:widowControl/>
        <w:adjustRightInd w:val="0"/>
        <w:snapToGrid w:val="0"/>
        <w:spacing w:line="560" w:lineRule="exact"/>
        <w:ind w:firstLine="643" w:firstLineChars="200"/>
        <w:contextualSpacing/>
        <w:jc w:val="left"/>
        <w:rPr>
          <w:rFonts w:hint="eastAsia" w:ascii="仿宋" w:hAnsi="仿宋" w:eastAsia="仿宋" w:cs="仿宋"/>
          <w:b/>
          <w:bCs/>
          <w:kern w:val="0"/>
          <w:sz w:val="32"/>
          <w:szCs w:val="32"/>
          <w:shd w:val="clear" w:color="auto" w:fill="FFFFFF"/>
          <w:lang w:val="zh-CN"/>
        </w:rPr>
      </w:pPr>
      <w:r>
        <w:rPr>
          <w:rFonts w:hint="eastAsia" w:ascii="仿宋" w:hAnsi="仿宋" w:eastAsia="仿宋" w:cs="仿宋"/>
          <w:b/>
          <w:bCs/>
          <w:kern w:val="0"/>
          <w:sz w:val="32"/>
          <w:szCs w:val="32"/>
          <w:shd w:val="clear" w:color="auto" w:fill="FFFFFF"/>
          <w:lang w:val="zh-CN"/>
        </w:rPr>
        <w:t>（三）结果应用情况。</w:t>
      </w:r>
    </w:p>
    <w:p>
      <w:pPr>
        <w:autoSpaceDE w:val="0"/>
        <w:autoSpaceDN w:val="0"/>
        <w:adjustRightInd w:val="0"/>
        <w:snapToGrid w:val="0"/>
        <w:spacing w:line="353" w:lineRule="auto"/>
        <w:ind w:firstLine="640" w:firstLineChars="200"/>
        <w:rPr>
          <w:rFonts w:hint="eastAsia" w:ascii="仿宋" w:hAnsi="仿宋" w:eastAsia="仿宋" w:cs="仿宋"/>
          <w:i w:val="0"/>
          <w:caps w:val="0"/>
          <w:color w:val="333333"/>
          <w:spacing w:val="0"/>
          <w:kern w:val="2"/>
          <w:sz w:val="32"/>
          <w:szCs w:val="32"/>
          <w:shd w:val="clear" w:fill="FFFFFF"/>
          <w:lang w:val="zh-CN" w:eastAsia="zh-CN" w:bidi="ar-SA"/>
        </w:rPr>
      </w:pPr>
      <w:r>
        <w:rPr>
          <w:rFonts w:hint="eastAsia" w:ascii="仿宋" w:hAnsi="仿宋" w:eastAsia="仿宋" w:cs="仿宋"/>
          <w:i w:val="0"/>
          <w:caps w:val="0"/>
          <w:color w:val="333333"/>
          <w:spacing w:val="0"/>
          <w:kern w:val="2"/>
          <w:sz w:val="32"/>
          <w:szCs w:val="32"/>
          <w:shd w:val="clear" w:fill="FFFFFF"/>
          <w:lang w:val="zh-CN" w:eastAsia="zh-CN" w:bidi="ar-SA"/>
        </w:rPr>
        <w:t>严格对照项目支出绩效评价发现的问题，查找管理漏洞，强化结果应用，将评价结果于制定政策、完善内控管理制度，用于改进项目管理、财务管理和资金使用管理，用于调整预算安排方式、增减预算规模和优化支出结构，不断提高资金使用效益。</w:t>
      </w:r>
    </w:p>
    <w:p>
      <w:pPr>
        <w:widowControl/>
        <w:numPr>
          <w:ilvl w:val="0"/>
          <w:numId w:val="5"/>
        </w:numPr>
        <w:adjustRightInd w:val="0"/>
        <w:snapToGrid w:val="0"/>
        <w:spacing w:line="560" w:lineRule="exact"/>
        <w:ind w:firstLine="643" w:firstLineChars="200"/>
        <w:contextualSpacing/>
        <w:jc w:val="left"/>
        <w:rPr>
          <w:rFonts w:hint="eastAsia" w:ascii="仿宋" w:hAnsi="仿宋" w:eastAsia="仿宋" w:cs="仿宋"/>
          <w:b/>
          <w:bCs/>
          <w:kern w:val="0"/>
          <w:sz w:val="32"/>
          <w:szCs w:val="32"/>
          <w:shd w:val="clear" w:color="auto" w:fill="FFFFFF"/>
          <w:lang w:val="zh-CN"/>
        </w:rPr>
      </w:pPr>
      <w:r>
        <w:rPr>
          <w:rFonts w:hint="eastAsia" w:ascii="仿宋" w:hAnsi="仿宋" w:eastAsia="仿宋" w:cs="仿宋"/>
          <w:b/>
          <w:bCs/>
          <w:kern w:val="0"/>
          <w:sz w:val="32"/>
          <w:szCs w:val="32"/>
          <w:shd w:val="clear" w:color="auto" w:fill="FFFFFF"/>
          <w:lang w:val="zh-CN"/>
        </w:rPr>
        <w:t>自评质量。</w:t>
      </w:r>
    </w:p>
    <w:p>
      <w:pPr>
        <w:autoSpaceDE w:val="0"/>
        <w:autoSpaceDN w:val="0"/>
        <w:adjustRightInd w:val="0"/>
        <w:snapToGrid w:val="0"/>
        <w:spacing w:line="353" w:lineRule="auto"/>
        <w:ind w:firstLine="640" w:firstLineChars="200"/>
        <w:rPr>
          <w:rFonts w:hint="eastAsia" w:ascii="仿宋" w:hAnsi="仿宋" w:eastAsia="仿宋" w:cs="仿宋"/>
          <w:i w:val="0"/>
          <w:caps w:val="0"/>
          <w:color w:val="333333"/>
          <w:spacing w:val="0"/>
          <w:kern w:val="2"/>
          <w:sz w:val="32"/>
          <w:szCs w:val="32"/>
          <w:shd w:val="clear" w:fill="FFFFFF"/>
          <w:lang w:val="zh-CN" w:eastAsia="zh-CN" w:bidi="ar-SA"/>
        </w:rPr>
      </w:pPr>
      <w:r>
        <w:rPr>
          <w:rFonts w:hint="eastAsia" w:ascii="仿宋" w:hAnsi="仿宋" w:eastAsia="仿宋" w:cs="仿宋"/>
          <w:i w:val="0"/>
          <w:caps w:val="0"/>
          <w:color w:val="333333"/>
          <w:spacing w:val="0"/>
          <w:kern w:val="2"/>
          <w:sz w:val="32"/>
          <w:szCs w:val="32"/>
          <w:shd w:val="clear" w:fill="FFFFFF"/>
          <w:lang w:val="zh-CN" w:eastAsia="zh-CN" w:bidi="ar-SA"/>
        </w:rPr>
        <w:t>整体支出自评客观公正，质量良好。</w:t>
      </w: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四、评价结论及建议</w:t>
      </w:r>
    </w:p>
    <w:p>
      <w:pPr>
        <w:widowControl/>
        <w:adjustRightInd w:val="0"/>
        <w:snapToGrid w:val="0"/>
        <w:spacing w:line="560" w:lineRule="exact"/>
        <w:ind w:firstLine="643" w:firstLineChars="200"/>
        <w:contextualSpacing/>
        <w:jc w:val="left"/>
        <w:rPr>
          <w:rFonts w:hint="eastAsia" w:ascii="仿宋" w:hAnsi="仿宋" w:eastAsia="仿宋" w:cs="仿宋"/>
          <w:b/>
          <w:bCs/>
          <w:kern w:val="0"/>
          <w:sz w:val="32"/>
          <w:szCs w:val="32"/>
          <w:shd w:val="clear" w:color="auto" w:fill="FFFFFF"/>
          <w:lang w:val="zh-CN"/>
        </w:rPr>
      </w:pPr>
      <w:r>
        <w:rPr>
          <w:rFonts w:hint="eastAsia" w:ascii="仿宋" w:hAnsi="仿宋" w:eastAsia="仿宋" w:cs="仿宋"/>
          <w:b/>
          <w:bCs/>
          <w:kern w:val="0"/>
          <w:sz w:val="32"/>
          <w:szCs w:val="32"/>
          <w:shd w:val="clear" w:color="auto" w:fill="FFFFFF"/>
          <w:lang w:val="zh-CN"/>
        </w:rPr>
        <w:t>（一）评价结论。</w:t>
      </w:r>
    </w:p>
    <w:p>
      <w:pPr>
        <w:autoSpaceDE w:val="0"/>
        <w:autoSpaceDN w:val="0"/>
        <w:adjustRightInd w:val="0"/>
        <w:snapToGrid w:val="0"/>
        <w:spacing w:line="353" w:lineRule="auto"/>
        <w:ind w:firstLine="640" w:firstLineChars="200"/>
        <w:jc w:val="both"/>
        <w:rPr>
          <w:rFonts w:hint="eastAsia" w:ascii="仿宋" w:hAnsi="仿宋" w:eastAsia="仿宋" w:cs="仿宋"/>
          <w:i w:val="0"/>
          <w:caps w:val="0"/>
          <w:color w:val="333333"/>
          <w:spacing w:val="0"/>
          <w:kern w:val="2"/>
          <w:sz w:val="32"/>
          <w:szCs w:val="32"/>
          <w:shd w:val="clear" w:fill="FFFFFF"/>
          <w:lang w:val="zh-CN" w:eastAsia="zh-CN" w:bidi="ar-SA"/>
        </w:rPr>
      </w:pPr>
      <w:r>
        <w:rPr>
          <w:rFonts w:hint="eastAsia" w:ascii="仿宋" w:hAnsi="仿宋" w:eastAsia="仿宋" w:cs="仿宋"/>
          <w:i w:val="0"/>
          <w:caps w:val="0"/>
          <w:color w:val="333333"/>
          <w:spacing w:val="0"/>
          <w:kern w:val="2"/>
          <w:sz w:val="32"/>
          <w:szCs w:val="32"/>
          <w:shd w:val="clear" w:fill="FFFFFF"/>
          <w:lang w:val="zh-CN" w:eastAsia="zh-CN" w:bidi="ar-SA"/>
        </w:rPr>
        <w:t>我单位支出绩效总体良好，各项目标基本达到了相应时期执行进度，使财政收支预算执行都得到了良好的制度保障和实施效果。</w:t>
      </w:r>
    </w:p>
    <w:p>
      <w:pPr>
        <w:autoSpaceDE w:val="0"/>
        <w:autoSpaceDN w:val="0"/>
        <w:adjustRightInd w:val="0"/>
        <w:snapToGrid w:val="0"/>
        <w:spacing w:line="353" w:lineRule="auto"/>
        <w:ind w:firstLine="640" w:firstLineChars="200"/>
        <w:jc w:val="both"/>
        <w:rPr>
          <w:rFonts w:hint="eastAsia" w:ascii="仿宋" w:hAnsi="仿宋" w:eastAsia="仿宋" w:cs="仿宋"/>
          <w:i w:val="0"/>
          <w:caps w:val="0"/>
          <w:color w:val="333333"/>
          <w:spacing w:val="0"/>
          <w:kern w:val="2"/>
          <w:sz w:val="32"/>
          <w:szCs w:val="32"/>
          <w:shd w:val="clear" w:fill="FFFFFF"/>
          <w:lang w:val="zh-CN" w:eastAsia="zh-CN" w:bidi="ar-SA"/>
        </w:rPr>
      </w:pPr>
      <w:r>
        <w:rPr>
          <w:rFonts w:hint="eastAsia" w:ascii="仿宋" w:hAnsi="仿宋" w:eastAsia="仿宋" w:cs="仿宋"/>
          <w:i w:val="0"/>
          <w:caps w:val="0"/>
          <w:color w:val="333333"/>
          <w:spacing w:val="0"/>
          <w:kern w:val="2"/>
          <w:sz w:val="32"/>
          <w:szCs w:val="32"/>
          <w:shd w:val="clear" w:fill="FFFFFF"/>
          <w:lang w:val="zh-CN" w:eastAsia="zh-CN" w:bidi="ar-SA"/>
        </w:rPr>
        <w:t>自我评价得分：部门预算绩效管理64分，绩效结果应用10分，自评质量10分，合计93分。</w:t>
      </w:r>
    </w:p>
    <w:p>
      <w:pPr>
        <w:widowControl/>
        <w:adjustRightInd w:val="0"/>
        <w:snapToGrid w:val="0"/>
        <w:spacing w:line="560" w:lineRule="exact"/>
        <w:ind w:firstLine="643" w:firstLineChars="200"/>
        <w:contextualSpacing/>
        <w:jc w:val="left"/>
        <w:rPr>
          <w:rFonts w:hint="eastAsia" w:ascii="仿宋" w:hAnsi="仿宋" w:eastAsia="仿宋" w:cs="仿宋"/>
          <w:b/>
          <w:bCs/>
          <w:kern w:val="0"/>
          <w:sz w:val="32"/>
          <w:szCs w:val="32"/>
          <w:shd w:val="clear" w:color="auto" w:fill="FFFFFF"/>
          <w:lang w:val="zh-CN"/>
        </w:rPr>
      </w:pPr>
      <w:r>
        <w:rPr>
          <w:rFonts w:hint="eastAsia" w:ascii="仿宋" w:hAnsi="仿宋" w:eastAsia="仿宋" w:cs="仿宋"/>
          <w:b/>
          <w:bCs/>
          <w:kern w:val="0"/>
          <w:sz w:val="32"/>
          <w:szCs w:val="32"/>
          <w:shd w:val="clear" w:color="auto" w:fill="FFFFFF"/>
          <w:lang w:val="zh-CN"/>
        </w:rPr>
        <w:t>（二）存在问题。</w:t>
      </w:r>
    </w:p>
    <w:p>
      <w:pPr>
        <w:widowControl/>
        <w:adjustRightInd w:val="0"/>
        <w:snapToGrid w:val="0"/>
        <w:spacing w:line="560" w:lineRule="exact"/>
        <w:ind w:firstLine="640" w:firstLineChars="200"/>
        <w:contextualSpacing/>
        <w:jc w:val="both"/>
        <w:rPr>
          <w:rFonts w:hint="eastAsia" w:ascii="仿宋" w:hAnsi="仿宋" w:eastAsia="仿宋" w:cs="仿宋"/>
          <w:kern w:val="0"/>
          <w:sz w:val="32"/>
          <w:szCs w:val="32"/>
          <w:shd w:val="clear" w:color="auto" w:fill="FFFFFF"/>
          <w:lang w:val="zh-CN"/>
        </w:rPr>
      </w:pPr>
      <w:r>
        <w:rPr>
          <w:rFonts w:hint="eastAsia" w:ascii="仿宋" w:hAnsi="仿宋" w:eastAsia="仿宋" w:cs="仿宋"/>
          <w:kern w:val="0"/>
          <w:sz w:val="32"/>
          <w:szCs w:val="32"/>
          <w:shd w:val="clear" w:color="auto" w:fill="FFFFFF"/>
          <w:lang w:val="zh-CN"/>
        </w:rPr>
        <w:t>由于财政资金紧张，导致部分项目已按时完工但未及时支付的情况，导致绩效评价时资金支付率部分绩效评价不高。</w:t>
      </w:r>
    </w:p>
    <w:p>
      <w:pPr>
        <w:widowControl/>
        <w:adjustRightInd w:val="0"/>
        <w:snapToGrid w:val="0"/>
        <w:spacing w:line="560" w:lineRule="exact"/>
        <w:ind w:firstLine="643" w:firstLineChars="200"/>
        <w:contextualSpacing/>
        <w:jc w:val="left"/>
        <w:rPr>
          <w:rFonts w:hint="eastAsia" w:ascii="仿宋" w:hAnsi="仿宋" w:eastAsia="仿宋" w:cs="仿宋"/>
          <w:b/>
          <w:bCs/>
          <w:kern w:val="0"/>
          <w:sz w:val="32"/>
          <w:szCs w:val="32"/>
          <w:shd w:val="clear" w:color="auto" w:fill="FFFFFF"/>
          <w:lang w:val="zh-CN"/>
        </w:rPr>
      </w:pPr>
      <w:r>
        <w:rPr>
          <w:rFonts w:hint="eastAsia" w:ascii="仿宋" w:hAnsi="仿宋" w:eastAsia="仿宋" w:cs="仿宋"/>
          <w:b/>
          <w:bCs/>
          <w:kern w:val="0"/>
          <w:sz w:val="32"/>
          <w:szCs w:val="32"/>
          <w:shd w:val="clear" w:color="auto" w:fill="FFFFFF"/>
          <w:lang w:val="zh-CN"/>
        </w:rPr>
        <w:t>（三）改进建议。</w:t>
      </w:r>
    </w:p>
    <w:p>
      <w:pPr>
        <w:widowControl/>
        <w:adjustRightInd w:val="0"/>
        <w:snapToGrid w:val="0"/>
        <w:spacing w:line="560" w:lineRule="exact"/>
        <w:ind w:firstLine="640" w:firstLineChars="200"/>
        <w:contextualSpacing/>
        <w:jc w:val="both"/>
        <w:rPr>
          <w:rFonts w:hint="eastAsia" w:ascii="仿宋" w:hAnsi="仿宋" w:eastAsia="仿宋" w:cs="仿宋"/>
          <w:kern w:val="0"/>
          <w:sz w:val="32"/>
          <w:szCs w:val="32"/>
          <w:shd w:val="clear" w:color="auto" w:fill="FFFFFF"/>
          <w:lang w:val="zh-CN"/>
        </w:rPr>
      </w:pPr>
      <w:r>
        <w:rPr>
          <w:rFonts w:hint="eastAsia" w:ascii="仿宋" w:hAnsi="仿宋" w:eastAsia="仿宋" w:cs="仿宋"/>
          <w:kern w:val="0"/>
          <w:sz w:val="32"/>
          <w:szCs w:val="32"/>
          <w:shd w:val="clear" w:color="auto" w:fill="FFFFFF"/>
          <w:lang w:val="zh-CN"/>
        </w:rPr>
        <w:t xml:space="preserve"> 1.我们将进一步重视预算的编制工作，加强财务管理制度建设，完善单位内部财务管理制度，增强可执行性；提高预算编制的精确度，提高财政资金使用效率，尽量减少预算执行调整、结转和结余情形。</w:t>
      </w:r>
    </w:p>
    <w:p>
      <w:pPr>
        <w:widowControl/>
        <w:adjustRightInd w:val="0"/>
        <w:snapToGrid w:val="0"/>
        <w:spacing w:line="560" w:lineRule="exact"/>
        <w:ind w:firstLine="640" w:firstLineChars="200"/>
        <w:contextualSpacing/>
        <w:jc w:val="both"/>
        <w:rPr>
          <w:rFonts w:hint="eastAsia" w:ascii="仿宋" w:hAnsi="仿宋" w:eastAsia="仿宋" w:cs="仿宋"/>
          <w:kern w:val="0"/>
          <w:sz w:val="32"/>
          <w:szCs w:val="32"/>
          <w:shd w:val="clear" w:color="auto" w:fill="FFFFFF"/>
          <w:lang w:val="zh-CN"/>
        </w:rPr>
      </w:pPr>
      <w:r>
        <w:rPr>
          <w:rFonts w:hint="eastAsia" w:ascii="仿宋" w:hAnsi="仿宋" w:eastAsia="仿宋" w:cs="仿宋"/>
          <w:kern w:val="0"/>
          <w:sz w:val="32"/>
          <w:szCs w:val="32"/>
          <w:shd w:val="clear" w:color="auto" w:fill="FFFFFF"/>
          <w:lang w:val="zh-CN"/>
        </w:rPr>
        <w:t xml:space="preserve"> 2.加强资金的合理使用，提前做好资金使用规划，对资金使用和管理实施绩效管理、建立考核机制，实行动态管理，确保资金使用效益最大化。</w:t>
      </w:r>
    </w:p>
    <w:p>
      <w:pPr>
        <w:widowControl/>
        <w:adjustRightInd w:val="0"/>
        <w:snapToGrid w:val="0"/>
        <w:spacing w:line="560" w:lineRule="exact"/>
        <w:ind w:firstLine="640" w:firstLineChars="200"/>
        <w:contextualSpacing/>
        <w:jc w:val="both"/>
        <w:rPr>
          <w:rFonts w:hint="eastAsia" w:ascii="仿宋" w:hAnsi="仿宋" w:eastAsia="仿宋" w:cs="仿宋"/>
          <w:kern w:val="0"/>
          <w:sz w:val="32"/>
          <w:szCs w:val="32"/>
          <w:shd w:val="clear" w:color="auto" w:fill="FFFFFF"/>
          <w:lang w:val="zh-CN"/>
        </w:rPr>
      </w:pPr>
    </w:p>
    <w:p>
      <w:pPr>
        <w:widowControl/>
        <w:adjustRightInd w:val="0"/>
        <w:snapToGrid w:val="0"/>
        <w:spacing w:line="560" w:lineRule="exact"/>
        <w:ind w:firstLine="640" w:firstLineChars="200"/>
        <w:contextualSpacing/>
        <w:jc w:val="both"/>
        <w:rPr>
          <w:rFonts w:hint="eastAsia" w:ascii="仿宋" w:hAnsi="仿宋" w:eastAsia="仿宋" w:cs="仿宋"/>
          <w:spacing w:val="-20"/>
          <w:kern w:val="0"/>
          <w:sz w:val="32"/>
          <w:szCs w:val="32"/>
          <w:shd w:val="clear" w:color="auto" w:fill="FFFFFF"/>
          <w:lang w:val="zh-CN"/>
        </w:rPr>
      </w:pPr>
      <w:r>
        <w:rPr>
          <w:rFonts w:hint="eastAsia" w:ascii="仿宋" w:hAnsi="仿宋" w:eastAsia="仿宋" w:cs="仿宋"/>
          <w:kern w:val="0"/>
          <w:sz w:val="32"/>
          <w:szCs w:val="32"/>
          <w:shd w:val="clear" w:color="auto" w:fill="FFFFFF"/>
          <w:lang w:val="zh-CN"/>
        </w:rPr>
        <w:t>附表：</w:t>
      </w:r>
      <w:r>
        <w:rPr>
          <w:rFonts w:hint="eastAsia" w:ascii="仿宋" w:hAnsi="仿宋" w:eastAsia="仿宋" w:cs="仿宋"/>
          <w:spacing w:val="-20"/>
          <w:kern w:val="0"/>
          <w:sz w:val="32"/>
          <w:szCs w:val="32"/>
          <w:shd w:val="clear" w:color="auto" w:fill="FFFFFF"/>
          <w:lang w:val="zh-CN"/>
        </w:rPr>
        <w:t>部门预算项目支出绩效自评表（2022年度）见附件</w:t>
      </w:r>
    </w:p>
    <w:p>
      <w:pPr>
        <w:widowControl/>
        <w:adjustRightInd w:val="0"/>
        <w:snapToGrid w:val="0"/>
        <w:spacing w:line="560" w:lineRule="exact"/>
        <w:ind w:firstLine="640" w:firstLineChars="200"/>
        <w:contextualSpacing/>
        <w:jc w:val="both"/>
        <w:rPr>
          <w:rFonts w:hint="eastAsia" w:ascii="仿宋" w:hAnsi="仿宋" w:eastAsia="仿宋" w:cs="仿宋_GB2312"/>
          <w:kern w:val="0"/>
          <w:sz w:val="32"/>
          <w:szCs w:val="32"/>
          <w:shd w:val="clear" w:color="auto" w:fill="FFFFFF"/>
          <w:lang w:val="zh-CN"/>
        </w:rPr>
      </w:pPr>
    </w:p>
    <w:p>
      <w:pPr>
        <w:pStyle w:val="16"/>
        <w:spacing w:line="560" w:lineRule="exact"/>
        <w:ind w:left="0" w:leftChars="0" w:firstLine="0" w:firstLineChars="0"/>
        <w:rPr>
          <w:rFonts w:ascii="仿宋" w:hAnsi="仿宋" w:eastAsia="仿宋" w:cs="仿宋"/>
          <w:kern w:val="0"/>
          <w:sz w:val="32"/>
        </w:rPr>
      </w:pPr>
    </w:p>
    <w:p>
      <w:pPr>
        <w:pStyle w:val="16"/>
        <w:spacing w:line="560" w:lineRule="exact"/>
        <w:ind w:left="0" w:leftChars="0" w:firstLine="0" w:firstLineChars="0"/>
        <w:rPr>
          <w:rFonts w:ascii="仿宋" w:hAnsi="仿宋" w:eastAsia="仿宋" w:cs="仿宋"/>
          <w:kern w:val="0"/>
          <w:sz w:val="32"/>
        </w:rPr>
      </w:pPr>
    </w:p>
    <w:p>
      <w:pPr>
        <w:pStyle w:val="16"/>
        <w:spacing w:line="560" w:lineRule="exact"/>
        <w:ind w:left="0" w:leftChars="0" w:firstLine="0" w:firstLineChars="0"/>
        <w:rPr>
          <w:rFonts w:ascii="仿宋" w:hAnsi="仿宋" w:eastAsia="仿宋" w:cs="仿宋"/>
          <w:kern w:val="0"/>
          <w:sz w:val="32"/>
        </w:rPr>
      </w:pPr>
    </w:p>
    <w:p>
      <w:pPr>
        <w:pStyle w:val="16"/>
        <w:spacing w:line="560" w:lineRule="exact"/>
        <w:ind w:left="0" w:leftChars="0" w:firstLine="0" w:firstLineChars="0"/>
        <w:rPr>
          <w:rFonts w:ascii="仿宋" w:hAnsi="仿宋" w:eastAsia="仿宋" w:cs="仿宋"/>
          <w:kern w:val="0"/>
          <w:sz w:val="32"/>
        </w:rPr>
      </w:pPr>
    </w:p>
    <w:p>
      <w:pPr>
        <w:pStyle w:val="16"/>
        <w:spacing w:line="560" w:lineRule="exact"/>
        <w:ind w:left="0" w:leftChars="0" w:firstLine="0" w:firstLineChars="0"/>
        <w:rPr>
          <w:rFonts w:ascii="仿宋" w:hAnsi="仿宋" w:eastAsia="仿宋" w:cs="仿宋"/>
          <w:kern w:val="0"/>
          <w:sz w:val="32"/>
        </w:rPr>
      </w:pPr>
    </w:p>
    <w:p>
      <w:pPr>
        <w:pStyle w:val="16"/>
        <w:spacing w:line="560" w:lineRule="exact"/>
        <w:ind w:left="0" w:leftChars="0" w:firstLine="0" w:firstLineChars="0"/>
        <w:rPr>
          <w:rFonts w:ascii="仿宋" w:hAnsi="仿宋" w:eastAsia="仿宋" w:cs="仿宋"/>
          <w:kern w:val="0"/>
          <w:sz w:val="32"/>
        </w:rPr>
      </w:pPr>
    </w:p>
    <w:p>
      <w:pPr>
        <w:pStyle w:val="16"/>
        <w:spacing w:line="560" w:lineRule="exact"/>
        <w:ind w:left="0" w:leftChars="0" w:firstLine="0" w:firstLineChars="0"/>
        <w:rPr>
          <w:sz w:val="32"/>
          <w:lang w:val="zh-CN"/>
        </w:rPr>
      </w:pPr>
    </w:p>
    <w:p>
      <w:pPr>
        <w:pStyle w:val="6"/>
        <w:spacing w:before="93"/>
        <w:rPr>
          <w:rFonts w:hAnsi="宋体" w:cs="宋体"/>
          <w:sz w:val="32"/>
          <w:szCs w:val="32"/>
          <w:shd w:val="clear" w:color="auto" w:fill="FFFFFF"/>
          <w:lang w:val="zh-CN"/>
        </w:rPr>
      </w:pPr>
    </w:p>
    <w:p>
      <w:pPr>
        <w:pStyle w:val="6"/>
        <w:spacing w:before="93"/>
        <w:rPr>
          <w:rFonts w:hint="eastAsia" w:hAnsi="宋体" w:cs="宋体"/>
          <w:sz w:val="32"/>
          <w:szCs w:val="32"/>
          <w:shd w:val="clear" w:color="auto" w:fill="FFFFFF"/>
          <w:lang w:val="zh-CN"/>
        </w:rPr>
      </w:pPr>
    </w:p>
    <w:p>
      <w:pPr>
        <w:pStyle w:val="6"/>
        <w:spacing w:before="93"/>
        <w:rPr>
          <w:rFonts w:hint="eastAsia" w:hAnsi="宋体" w:cs="宋体"/>
          <w:sz w:val="32"/>
          <w:szCs w:val="32"/>
          <w:shd w:val="clear" w:color="auto" w:fill="FFFFFF"/>
          <w:lang w:val="zh-CN"/>
        </w:rPr>
      </w:pPr>
    </w:p>
    <w:p>
      <w:pPr>
        <w:pStyle w:val="6"/>
        <w:spacing w:before="93"/>
        <w:rPr>
          <w:rFonts w:hint="eastAsia" w:hAnsi="宋体" w:cs="宋体"/>
          <w:sz w:val="32"/>
          <w:szCs w:val="32"/>
          <w:shd w:val="clear" w:color="auto" w:fill="FFFFFF"/>
          <w:lang w:val="zh-CN"/>
        </w:rPr>
      </w:pPr>
    </w:p>
    <w:p>
      <w:pPr>
        <w:pStyle w:val="6"/>
        <w:spacing w:before="93"/>
        <w:rPr>
          <w:rFonts w:hint="eastAsia" w:hAnsi="宋体" w:cs="宋体"/>
          <w:sz w:val="32"/>
          <w:szCs w:val="32"/>
          <w:shd w:val="clear" w:color="auto" w:fill="FFFFFF"/>
          <w:lang w:val="zh-CN"/>
        </w:rPr>
      </w:pPr>
    </w:p>
    <w:p>
      <w:pPr>
        <w:pStyle w:val="6"/>
        <w:spacing w:before="93"/>
        <w:rPr>
          <w:rFonts w:hint="eastAsia" w:ascii="黑体" w:hAnsi="黑体" w:eastAsia="黑体" w:cs="黑体"/>
          <w:sz w:val="32"/>
          <w:szCs w:val="32"/>
          <w:lang w:eastAsia="zh-CN"/>
        </w:rPr>
      </w:pPr>
      <w:r>
        <w:rPr>
          <w:rFonts w:hint="eastAsia" w:ascii="黑体" w:hAnsi="黑体" w:eastAsia="黑体" w:cs="黑体"/>
          <w:sz w:val="32"/>
          <w:szCs w:val="32"/>
          <w:shd w:val="clear" w:color="auto" w:fill="FFFFFF"/>
          <w:lang w:val="zh-CN"/>
        </w:rPr>
        <w:t>附件</w:t>
      </w:r>
      <w:r>
        <w:rPr>
          <w:rFonts w:hint="eastAsia" w:ascii="黑体" w:hAnsi="黑体" w:eastAsia="黑体" w:cs="黑体"/>
          <w:sz w:val="32"/>
          <w:szCs w:val="32"/>
          <w:shd w:val="clear" w:color="auto" w:fill="FFFFFF"/>
          <w:lang w:val="en-US" w:eastAsia="zh-CN"/>
        </w:rPr>
        <w:t>1</w:t>
      </w:r>
    </w:p>
    <w:p>
      <w:pPr>
        <w:pStyle w:val="37"/>
        <w:spacing w:line="578" w:lineRule="exact"/>
        <w:jc w:val="center"/>
        <w:rPr>
          <w:rFonts w:ascii="方正小标宋简体" w:hAnsi="方正小标宋简体" w:eastAsia="方正小标宋简体" w:cs="方正小标宋简体"/>
          <w:color w:val="auto"/>
          <w:kern w:val="2"/>
          <w:sz w:val="32"/>
          <w:szCs w:val="32"/>
          <w:lang w:val="en-US"/>
        </w:rPr>
      </w:pPr>
      <w:r>
        <w:rPr>
          <w:rFonts w:hint="eastAsia" w:ascii="方正小标宋简体" w:hAnsi="方正小标宋简体" w:eastAsia="方正小标宋简体" w:cs="方正小标宋简体"/>
          <w:color w:val="auto"/>
          <w:kern w:val="2"/>
          <w:sz w:val="32"/>
          <w:szCs w:val="32"/>
          <w:lang w:val="en-US"/>
        </w:rPr>
        <w:t>202</w:t>
      </w:r>
      <w:r>
        <w:rPr>
          <w:rFonts w:hint="eastAsia" w:ascii="方正小标宋简体" w:hAnsi="方正小标宋简体" w:eastAsia="方正小标宋简体" w:cs="方正小标宋简体"/>
          <w:color w:val="auto"/>
          <w:kern w:val="2"/>
          <w:sz w:val="32"/>
          <w:szCs w:val="32"/>
          <w:lang w:val="en-US" w:eastAsia="zh-CN"/>
        </w:rPr>
        <w:t>2</w:t>
      </w:r>
      <w:r>
        <w:rPr>
          <w:rFonts w:hint="eastAsia" w:ascii="方正小标宋简体" w:hAnsi="方正小标宋简体" w:eastAsia="方正小标宋简体" w:cs="方正小标宋简体"/>
          <w:color w:val="auto"/>
          <w:kern w:val="2"/>
          <w:sz w:val="32"/>
          <w:szCs w:val="32"/>
          <w:lang w:val="en-US"/>
        </w:rPr>
        <w:t>年</w:t>
      </w:r>
      <w:r>
        <w:rPr>
          <w:rFonts w:hint="eastAsia" w:ascii="方正小标宋简体" w:hAnsi="方正小标宋简体" w:eastAsia="方正小标宋简体" w:cs="方正小标宋简体"/>
          <w:color w:val="auto"/>
          <w:kern w:val="2"/>
          <w:sz w:val="32"/>
          <w:szCs w:val="32"/>
          <w:lang w:val="en-US" w:eastAsia="zh-CN"/>
        </w:rPr>
        <w:t>义务兵家庭优金</w:t>
      </w:r>
      <w:r>
        <w:rPr>
          <w:rFonts w:hint="eastAsia" w:ascii="方正小标宋简体" w:hAnsi="方正小标宋简体" w:eastAsia="方正小标宋简体" w:cs="方正小标宋简体"/>
          <w:color w:val="auto"/>
          <w:kern w:val="2"/>
          <w:sz w:val="32"/>
          <w:szCs w:val="32"/>
          <w:lang w:val="en-US"/>
        </w:rPr>
        <w:t>专项资金预算项目绩效自评报告</w:t>
      </w:r>
    </w:p>
    <w:p>
      <w:pPr>
        <w:pStyle w:val="37"/>
        <w:spacing w:line="578" w:lineRule="exact"/>
        <w:ind w:firstLine="640"/>
        <w:jc w:val="center"/>
        <w:rPr>
          <w:rFonts w:ascii="宋体" w:hAnsi="宋体"/>
          <w:color w:val="auto"/>
          <w:kern w:val="2"/>
          <w:sz w:val="32"/>
          <w:szCs w:val="32"/>
        </w:rPr>
      </w:pPr>
    </w:p>
    <w:p>
      <w:pPr>
        <w:spacing w:line="353" w:lineRule="auto"/>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一、项目概况</w:t>
      </w:r>
    </w:p>
    <w:p>
      <w:pPr>
        <w:spacing w:line="353" w:lineRule="auto"/>
        <w:ind w:firstLine="640" w:firstLineChars="200"/>
        <w:rPr>
          <w:rFonts w:ascii="Times New Roman" w:hAnsi="Times New Roman" w:eastAsia="楷体_GB2312" w:cs="Times New Roman"/>
          <w:color w:val="auto"/>
          <w:sz w:val="32"/>
          <w:szCs w:val="32"/>
        </w:rPr>
      </w:pPr>
      <w:r>
        <w:rPr>
          <w:rFonts w:ascii="Times New Roman" w:hAnsi="Times New Roman" w:eastAsia="楷体_GB2312" w:cs="Times New Roman"/>
          <w:color w:val="auto"/>
          <w:sz w:val="32"/>
          <w:szCs w:val="32"/>
        </w:rPr>
        <w:t>（一）项目基本情况。</w:t>
      </w:r>
    </w:p>
    <w:p>
      <w:pPr>
        <w:spacing w:line="353"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eastAsia="zh-CN"/>
        </w:rPr>
        <w:t>该项目实施单位为西区退役军人事务局中，由我局统一编制预算、统一制定绩效目标、统一项目资金管理、统一资金安排使用，对资金使用进行监督管理与审核、审批</w:t>
      </w:r>
      <w:r>
        <w:rPr>
          <w:rFonts w:ascii="Times New Roman" w:hAnsi="Times New Roman" w:eastAsia="仿宋_GB2312" w:cs="Times New Roman"/>
          <w:color w:val="auto"/>
          <w:sz w:val="32"/>
          <w:szCs w:val="32"/>
        </w:rPr>
        <w:t>。</w:t>
      </w:r>
    </w:p>
    <w:p>
      <w:pPr>
        <w:spacing w:line="353"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2．项目立项、资金申报的依据。</w:t>
      </w:r>
    </w:p>
    <w:p>
      <w:pPr>
        <w:spacing w:line="353" w:lineRule="auto"/>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根据《中华人民共和国兵役法》、《军人抚恤优待条例》、《攀枝花市人民政府、攀枝花军分区关于调整义务兵家庭优待金和驻攀部队随军随队军人配偶生活补助标准的通知》（攀府函[2013]44号）等相关政策文件要求，</w:t>
      </w:r>
      <w:r>
        <w:rPr>
          <w:rFonts w:hint="eastAsia" w:ascii="Times New Roman" w:hAnsi="Times New Roman" w:eastAsia="仿宋_GB2312" w:cs="Times New Roman"/>
          <w:color w:val="auto"/>
          <w:sz w:val="32"/>
          <w:szCs w:val="32"/>
          <w:lang w:val="en-US" w:eastAsia="zh-CN"/>
        </w:rPr>
        <w:t>2012年10月实施；义务兵优待金按照“城乡一体、同役同酬”的优待原则，标准为从2016年1月1日起，将全区义务兵家庭优待金发放标准统计指标调整为“农村居民人均可支配收入”，按照“义务兵户籍所在区（县）入伍上年度农村居民人均可支配收入的120%”标准发放，所需经费由各区（县）财政负担。为保证此项工作有序运行，需设立义务兵家庭优待金项目经费，项目申报与政策和需求相吻合。</w:t>
      </w:r>
    </w:p>
    <w:p>
      <w:pPr>
        <w:numPr>
          <w:ilvl w:val="0"/>
          <w:numId w:val="0"/>
        </w:numPr>
        <w:spacing w:line="353" w:lineRule="auto"/>
        <w:ind w:firstLine="64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3.</w:t>
      </w:r>
      <w:r>
        <w:rPr>
          <w:rFonts w:ascii="Times New Roman" w:hAnsi="Times New Roman" w:eastAsia="仿宋_GB2312" w:cs="Times New Roman"/>
          <w:color w:val="auto"/>
          <w:sz w:val="32"/>
          <w:szCs w:val="32"/>
        </w:rPr>
        <w:t>资金管理办法制定情况，资金支持具体项目的条件、范围与支持方式概况。</w:t>
      </w:r>
    </w:p>
    <w:p>
      <w:pPr>
        <w:numPr>
          <w:ilvl w:val="0"/>
          <w:numId w:val="0"/>
        </w:numPr>
        <w:spacing w:line="353" w:lineRule="auto"/>
        <w:ind w:firstLine="64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1）制度制定情况。为加强对财政资金的管理，不断提高使用绩效，按照内部控制建设要求，制定了财务管理制度，在资金使用上，严格按照资金使用用途进行审核审批，项目管理规范有序，确保资金使用安全。</w:t>
      </w:r>
    </w:p>
    <w:p>
      <w:pPr>
        <w:numPr>
          <w:ilvl w:val="0"/>
          <w:numId w:val="0"/>
        </w:numPr>
        <w:spacing w:line="353" w:lineRule="auto"/>
        <w:ind w:firstLine="64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（2）资金支持项目的条件。按政策发放义务兵家庭优待金，切实维护义务兵家庭权益，激励适龄青年参军保卫祖国。</w:t>
      </w:r>
    </w:p>
    <w:p>
      <w:pPr>
        <w:numPr>
          <w:ilvl w:val="0"/>
          <w:numId w:val="0"/>
        </w:numPr>
        <w:spacing w:line="353" w:lineRule="auto"/>
        <w:ind w:firstLine="64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（3）资金支付项目的范围。享受对象为义务兵家庭。</w:t>
      </w:r>
    </w:p>
    <w:p>
      <w:pPr>
        <w:numPr>
          <w:ilvl w:val="0"/>
          <w:numId w:val="0"/>
        </w:numPr>
        <w:spacing w:line="353" w:lineRule="auto"/>
        <w:ind w:firstLine="64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（4）资金支持的方式。纳入财政年度一般公共预算管理。</w:t>
      </w:r>
    </w:p>
    <w:p>
      <w:pPr>
        <w:spacing w:line="353"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4．资金分配的原则及考虑因素。</w:t>
      </w:r>
      <w:r>
        <w:rPr>
          <w:rFonts w:hint="eastAsia" w:ascii="Times New Roman" w:hAnsi="Times New Roman" w:eastAsia="仿宋_GB2312" w:cs="Times New Roman"/>
          <w:color w:val="auto"/>
          <w:sz w:val="32"/>
          <w:szCs w:val="32"/>
          <w:lang w:eastAsia="zh-CN"/>
        </w:rPr>
        <w:t>根据相关政策文件，补助标准为：按照“义务兵户籍所在区（县）入伍上年度农村居民人均可支配收入的</w:t>
      </w:r>
      <w:r>
        <w:rPr>
          <w:rFonts w:hint="eastAsia" w:ascii="Times New Roman" w:hAnsi="Times New Roman" w:eastAsia="仿宋_GB2312" w:cs="Times New Roman"/>
          <w:color w:val="auto"/>
          <w:sz w:val="32"/>
          <w:szCs w:val="32"/>
          <w:lang w:val="en-US" w:eastAsia="zh-CN"/>
        </w:rPr>
        <w:t>120%”标准发放。</w:t>
      </w:r>
    </w:p>
    <w:p>
      <w:pPr>
        <w:spacing w:line="353" w:lineRule="auto"/>
        <w:ind w:firstLine="640" w:firstLineChars="200"/>
        <w:rPr>
          <w:rFonts w:ascii="Times New Roman" w:hAnsi="Times New Roman" w:eastAsia="楷体_GB2312" w:cs="Times New Roman"/>
          <w:color w:val="auto"/>
          <w:sz w:val="32"/>
          <w:szCs w:val="32"/>
        </w:rPr>
      </w:pPr>
      <w:r>
        <w:rPr>
          <w:rFonts w:ascii="Times New Roman" w:hAnsi="Times New Roman" w:eastAsia="楷体_GB2312" w:cs="Times New Roman"/>
          <w:color w:val="auto"/>
          <w:sz w:val="32"/>
          <w:szCs w:val="32"/>
        </w:rPr>
        <w:t>（二）项目绩效目标。</w:t>
      </w:r>
    </w:p>
    <w:p>
      <w:pPr>
        <w:spacing w:line="353"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1．项目主要内容。</w:t>
      </w:r>
      <w:r>
        <w:rPr>
          <w:rFonts w:hint="eastAsia" w:ascii="Times New Roman" w:hAnsi="Times New Roman" w:eastAsia="仿宋_GB2312" w:cs="Times New Roman"/>
          <w:color w:val="auto"/>
          <w:sz w:val="32"/>
          <w:szCs w:val="32"/>
          <w:lang w:eastAsia="zh-CN"/>
        </w:rPr>
        <w:t>按政策发放义务兵家庭优待金，切实维护义国兵家庭权益，激励适龄青年参军保卫祖国。</w:t>
      </w:r>
    </w:p>
    <w:p>
      <w:pPr>
        <w:spacing w:line="353"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2．项目</w:t>
      </w:r>
      <w:r>
        <w:rPr>
          <w:rFonts w:hint="eastAsia" w:ascii="Times New Roman" w:hAnsi="Times New Roman" w:eastAsia="仿宋_GB2312" w:cs="Times New Roman"/>
          <w:color w:val="auto"/>
          <w:sz w:val="32"/>
          <w:szCs w:val="32"/>
          <w:lang w:eastAsia="zh-CN"/>
        </w:rPr>
        <w:t>绩效目标。①项目完成</w:t>
      </w:r>
      <w:r>
        <w:rPr>
          <w:rFonts w:hint="eastAsia" w:ascii="Times New Roman" w:hAnsi="Times New Roman" w:eastAsia="仿宋_GB2312" w:cs="Times New Roman"/>
          <w:color w:val="auto"/>
          <w:sz w:val="32"/>
          <w:szCs w:val="32"/>
          <w:lang w:val="en-US" w:eastAsia="zh-CN"/>
        </w:rPr>
        <w:t>。全区享受义务兵家庭户数87户,于202</w:t>
      </w:r>
      <w:r>
        <w:rPr>
          <w:rFonts w:hint="eastAsia"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年12月31日前全部完成补助发放。②项目效益。改善义务兵家庭生活质量，维护义务兵家庭权益，激励适龄青年参军保卫祖国。③满意度指标</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义务兵家庭满意度达到</w:t>
      </w:r>
      <w:r>
        <w:rPr>
          <w:rFonts w:hint="eastAsia" w:ascii="Times New Roman" w:hAnsi="Times New Roman" w:eastAsia="仿宋_GB2312" w:cs="Times New Roman"/>
          <w:color w:val="auto"/>
          <w:sz w:val="32"/>
          <w:szCs w:val="32"/>
          <w:lang w:val="en-US" w:eastAsia="zh-CN"/>
        </w:rPr>
        <w:t>90%以上。</w:t>
      </w:r>
    </w:p>
    <w:p>
      <w:pPr>
        <w:spacing w:line="353"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3．</w:t>
      </w:r>
      <w:r>
        <w:rPr>
          <w:rFonts w:hint="eastAsia" w:ascii="Times New Roman" w:hAnsi="Times New Roman" w:eastAsia="仿宋_GB2312" w:cs="Times New Roman"/>
          <w:color w:val="auto"/>
          <w:sz w:val="32"/>
          <w:szCs w:val="32"/>
          <w:lang w:eastAsia="zh-CN"/>
        </w:rPr>
        <w:t>绩效申报分析。该项目的设立依据充分，符合政策文件相关要求，立项程序合规，目标设定切实可行，经费安排与工作相适应，资金用途明确。</w:t>
      </w:r>
    </w:p>
    <w:p>
      <w:pPr>
        <w:spacing w:line="353" w:lineRule="auto"/>
        <w:ind w:firstLine="640" w:firstLineChars="200"/>
        <w:rPr>
          <w:rFonts w:ascii="Times New Roman" w:hAnsi="Times New Roman" w:eastAsia="楷体_GB2312" w:cs="Times New Roman"/>
          <w:color w:val="auto"/>
          <w:sz w:val="32"/>
          <w:szCs w:val="32"/>
        </w:rPr>
      </w:pPr>
      <w:r>
        <w:rPr>
          <w:rFonts w:ascii="Times New Roman" w:hAnsi="Times New Roman" w:eastAsia="楷体_GB2312" w:cs="Times New Roman"/>
          <w:color w:val="auto"/>
          <w:sz w:val="32"/>
          <w:szCs w:val="32"/>
        </w:rPr>
        <w:t>（三）项目自评步骤及方法。</w:t>
      </w:r>
    </w:p>
    <w:p>
      <w:pPr>
        <w:spacing w:line="353" w:lineRule="auto"/>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区退役军人事务局根据财政支出绩效评价指标体系及项目的实际情况设计指标体系进行评价，组织相关科室人员对本项目进行自评检查。</w:t>
      </w:r>
    </w:p>
    <w:p>
      <w:pPr>
        <w:spacing w:line="353" w:lineRule="auto"/>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1. 资料收集。梳理项目资料，核实项目情况，统计项目数据。</w:t>
      </w:r>
    </w:p>
    <w:p>
      <w:pPr>
        <w:spacing w:line="353" w:lineRule="auto"/>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 绩效自评。根据资料收集的情况，按照区财政支出绩效评价指标体系，以定量与定性相结合的方式，对项目绩效情况进行判断，对项目存在的问题进行分析，对各项考评指标进行自评。</w:t>
      </w:r>
    </w:p>
    <w:p>
      <w:pPr>
        <w:spacing w:line="353" w:lineRule="auto"/>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3. 撰写报告。结合项目定性与定量评价分析，得出自评结论，并撰写自评报告</w:t>
      </w:r>
      <w:r>
        <w:rPr>
          <w:rFonts w:ascii="Times New Roman" w:hAnsi="Times New Roman" w:eastAsia="仿宋_GB2312" w:cs="Times New Roman"/>
          <w:color w:val="auto"/>
          <w:sz w:val="32"/>
          <w:szCs w:val="32"/>
        </w:rPr>
        <w:t>。</w:t>
      </w:r>
    </w:p>
    <w:p>
      <w:pPr>
        <w:spacing w:line="353" w:lineRule="auto"/>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二、项目资金申报及使用情况</w:t>
      </w:r>
    </w:p>
    <w:p>
      <w:pPr>
        <w:spacing w:line="353" w:lineRule="auto"/>
        <w:ind w:firstLine="640" w:firstLineChars="200"/>
        <w:rPr>
          <w:rFonts w:ascii="Times New Roman" w:hAnsi="Times New Roman" w:eastAsia="楷体_GB2312" w:cs="Times New Roman"/>
          <w:color w:val="auto"/>
          <w:sz w:val="32"/>
          <w:szCs w:val="32"/>
        </w:rPr>
      </w:pPr>
      <w:r>
        <w:rPr>
          <w:rFonts w:ascii="Times New Roman" w:hAnsi="Times New Roman" w:eastAsia="楷体_GB2312" w:cs="Times New Roman"/>
          <w:color w:val="auto"/>
          <w:sz w:val="32"/>
          <w:szCs w:val="32"/>
        </w:rPr>
        <w:t>（一）项目资金申报及批复情况。</w:t>
      </w:r>
    </w:p>
    <w:p>
      <w:pPr>
        <w:spacing w:line="353" w:lineRule="auto"/>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纳入本次评价的义务兵优待金项目由区退役军人事务局根据相关规定年初纳入部门预算，上报区财政局，由区财政局审核后出具正式预算批复。项目批复预算资金</w:t>
      </w:r>
      <w:r>
        <w:rPr>
          <w:rFonts w:hint="eastAsia" w:cs="Times New Roman"/>
          <w:color w:val="auto"/>
          <w:sz w:val="32"/>
          <w:szCs w:val="32"/>
          <w:lang w:val="en-US" w:eastAsia="zh-CN"/>
        </w:rPr>
        <w:t>144</w:t>
      </w:r>
      <w:r>
        <w:rPr>
          <w:rFonts w:hint="eastAsia" w:ascii="Times New Roman" w:hAnsi="Times New Roman" w:eastAsia="仿宋_GB2312" w:cs="Times New Roman"/>
          <w:color w:val="auto"/>
          <w:sz w:val="32"/>
          <w:szCs w:val="32"/>
          <w:lang w:val="en-US" w:eastAsia="zh-CN"/>
        </w:rPr>
        <w:t>万元，年底据实结算。</w:t>
      </w:r>
    </w:p>
    <w:p>
      <w:pPr>
        <w:spacing w:line="353" w:lineRule="auto"/>
        <w:ind w:firstLine="640" w:firstLineChars="200"/>
        <w:rPr>
          <w:rFonts w:ascii="Times New Roman" w:hAnsi="Times New Roman" w:eastAsia="楷体_GB2312" w:cs="Times New Roman"/>
          <w:color w:val="auto"/>
          <w:sz w:val="32"/>
          <w:szCs w:val="32"/>
        </w:rPr>
      </w:pPr>
      <w:r>
        <w:rPr>
          <w:rFonts w:ascii="Times New Roman" w:hAnsi="Times New Roman" w:eastAsia="楷体_GB2312" w:cs="Times New Roman"/>
          <w:color w:val="auto"/>
          <w:sz w:val="32"/>
          <w:szCs w:val="32"/>
        </w:rPr>
        <w:t>（二）资金计划、到位及使用情况（可用表格形式反映）。</w:t>
      </w:r>
    </w:p>
    <w:p>
      <w:pPr>
        <w:spacing w:line="353"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1．资金计划。</w:t>
      </w:r>
    </w:p>
    <w:p>
      <w:pPr>
        <w:spacing w:line="353" w:lineRule="auto"/>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202</w:t>
      </w:r>
      <w:r>
        <w:rPr>
          <w:rFonts w:hint="eastAsia"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年申报年初预算</w:t>
      </w:r>
      <w:r>
        <w:rPr>
          <w:rFonts w:hint="eastAsia" w:cs="Times New Roman"/>
          <w:color w:val="auto"/>
          <w:sz w:val="32"/>
          <w:szCs w:val="32"/>
          <w:lang w:val="en-US" w:eastAsia="zh-CN"/>
        </w:rPr>
        <w:t>144</w:t>
      </w:r>
      <w:r>
        <w:rPr>
          <w:rFonts w:hint="eastAsia" w:ascii="Times New Roman" w:hAnsi="Times New Roman" w:eastAsia="仿宋_GB2312" w:cs="Times New Roman"/>
          <w:color w:val="auto"/>
          <w:sz w:val="32"/>
          <w:szCs w:val="32"/>
          <w:lang w:val="en-US" w:eastAsia="zh-CN"/>
        </w:rPr>
        <w:t>万元，年底据实结算</w:t>
      </w:r>
      <w:r>
        <w:rPr>
          <w:rFonts w:ascii="Times New Roman" w:hAnsi="Times New Roman" w:eastAsia="仿宋_GB2312" w:cs="Times New Roman"/>
          <w:color w:val="auto"/>
          <w:sz w:val="32"/>
          <w:szCs w:val="32"/>
        </w:rPr>
        <w:t>。</w:t>
      </w:r>
    </w:p>
    <w:p>
      <w:pPr>
        <w:spacing w:line="353"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2．资金到位。</w:t>
      </w:r>
    </w:p>
    <w:p>
      <w:pPr>
        <w:spacing w:line="353" w:lineRule="auto"/>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202</w:t>
      </w:r>
      <w:r>
        <w:rPr>
          <w:rFonts w:hint="eastAsia"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年实际到位资金</w:t>
      </w:r>
      <w:r>
        <w:rPr>
          <w:rFonts w:hint="eastAsia" w:cs="Times New Roman"/>
          <w:color w:val="auto"/>
          <w:sz w:val="32"/>
          <w:szCs w:val="32"/>
          <w:lang w:val="en-US" w:eastAsia="zh-CN"/>
        </w:rPr>
        <w:t>220</w:t>
      </w:r>
      <w:r>
        <w:rPr>
          <w:rFonts w:hint="eastAsia" w:ascii="Times New Roman" w:hAnsi="Times New Roman" w:eastAsia="仿宋_GB2312" w:cs="Times New Roman"/>
          <w:color w:val="auto"/>
          <w:sz w:val="32"/>
          <w:szCs w:val="32"/>
          <w:lang w:val="en-US" w:eastAsia="zh-CN"/>
        </w:rPr>
        <w:t>万元，资金到位率100%，到位及时</w:t>
      </w:r>
      <w:r>
        <w:rPr>
          <w:rFonts w:ascii="Times New Roman" w:hAnsi="Times New Roman" w:eastAsia="仿宋_GB2312" w:cs="Times New Roman"/>
          <w:color w:val="auto"/>
          <w:sz w:val="32"/>
          <w:szCs w:val="32"/>
        </w:rPr>
        <w:t>。</w:t>
      </w:r>
    </w:p>
    <w:p>
      <w:pPr>
        <w:spacing w:line="353"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3．资金使用。</w:t>
      </w:r>
    </w:p>
    <w:p>
      <w:pPr>
        <w:spacing w:line="353" w:lineRule="auto"/>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截止评价时点，202</w:t>
      </w:r>
      <w:r>
        <w:rPr>
          <w:rFonts w:hint="eastAsia"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年义务兵优待金共支出</w:t>
      </w:r>
      <w:r>
        <w:rPr>
          <w:rFonts w:hint="eastAsia" w:cs="Times New Roman"/>
          <w:color w:val="auto"/>
          <w:sz w:val="32"/>
          <w:szCs w:val="32"/>
          <w:lang w:val="en-US" w:eastAsia="zh-CN"/>
        </w:rPr>
        <w:t>169.11</w:t>
      </w:r>
      <w:r>
        <w:rPr>
          <w:rFonts w:hint="eastAsia" w:ascii="Times New Roman" w:hAnsi="Times New Roman" w:eastAsia="仿宋_GB2312" w:cs="Times New Roman"/>
          <w:color w:val="auto"/>
          <w:sz w:val="32"/>
          <w:szCs w:val="32"/>
          <w:lang w:val="en-US" w:eastAsia="zh-CN"/>
        </w:rPr>
        <w:t>万元，</w:t>
      </w:r>
      <w:r>
        <w:rPr>
          <w:rFonts w:hint="eastAsia" w:ascii="Times New Roman" w:hAnsi="Times New Roman" w:eastAsia="仿宋_GB2312" w:cs="Times New Roman"/>
          <w:color w:val="auto"/>
          <w:sz w:val="32"/>
          <w:szCs w:val="32"/>
          <w:lang w:eastAsia="zh-CN"/>
        </w:rPr>
        <w:t>当年全部发放到位。资金开支范围、标准及支付进度等符合规定，按实际发生额进行支付，并严格按照财务管理制度审核支付，支付依据合规合法</w:t>
      </w:r>
      <w:r>
        <w:rPr>
          <w:rFonts w:ascii="Times New Roman" w:hAnsi="Times New Roman" w:eastAsia="仿宋_GB2312" w:cs="Times New Roman"/>
          <w:color w:val="auto"/>
          <w:sz w:val="32"/>
          <w:szCs w:val="32"/>
        </w:rPr>
        <w:t>。</w:t>
      </w:r>
    </w:p>
    <w:p>
      <w:pPr>
        <w:spacing w:line="353" w:lineRule="auto"/>
        <w:ind w:firstLine="640" w:firstLineChars="200"/>
        <w:rPr>
          <w:rFonts w:ascii="Times New Roman" w:hAnsi="Times New Roman" w:eastAsia="楷体_GB2312" w:cs="Times New Roman"/>
          <w:color w:val="auto"/>
          <w:sz w:val="32"/>
          <w:szCs w:val="32"/>
        </w:rPr>
      </w:pPr>
      <w:r>
        <w:rPr>
          <w:rFonts w:ascii="Times New Roman" w:hAnsi="Times New Roman" w:eastAsia="楷体_GB2312" w:cs="Times New Roman"/>
          <w:color w:val="auto"/>
          <w:sz w:val="32"/>
          <w:szCs w:val="32"/>
        </w:rPr>
        <w:t>（三）项目财务管理情况。</w:t>
      </w:r>
    </w:p>
    <w:p>
      <w:pPr>
        <w:spacing w:line="353" w:lineRule="auto"/>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该项目在财务管理上，按照内部控制建设要求，制定了相关财务管理制度，在资金使用上，严格按照资金使用用途进行审核审批，项目管理规范有序，财务核算及时，会计信息真实</w:t>
      </w:r>
      <w:r>
        <w:rPr>
          <w:rFonts w:ascii="Times New Roman" w:hAnsi="Times New Roman" w:eastAsia="仿宋_GB2312" w:cs="Times New Roman"/>
          <w:color w:val="auto"/>
          <w:sz w:val="32"/>
          <w:szCs w:val="32"/>
        </w:rPr>
        <w:t>。</w:t>
      </w:r>
    </w:p>
    <w:p>
      <w:pPr>
        <w:spacing w:line="353"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三、项目实施及管理情况</w:t>
      </w:r>
    </w:p>
    <w:p>
      <w:pPr>
        <w:spacing w:line="353" w:lineRule="auto"/>
        <w:ind w:firstLine="640" w:firstLineChars="200"/>
        <w:rPr>
          <w:rFonts w:hint="eastAsia" w:ascii="Times New Roman" w:hAnsi="Times New Roman" w:eastAsia="仿宋_GB2312" w:cs="Times New Roman"/>
          <w:color w:val="auto"/>
          <w:sz w:val="32"/>
          <w:szCs w:val="32"/>
          <w:lang w:eastAsia="zh-CN"/>
        </w:rPr>
      </w:pPr>
      <w:r>
        <w:rPr>
          <w:rFonts w:ascii="Times New Roman" w:hAnsi="Times New Roman" w:eastAsia="楷体_GB2312" w:cs="Times New Roman"/>
          <w:color w:val="auto"/>
          <w:sz w:val="32"/>
          <w:szCs w:val="32"/>
        </w:rPr>
        <w:t>（一）项目组织架构及实施流程。</w:t>
      </w:r>
      <w:r>
        <w:rPr>
          <w:rFonts w:hint="eastAsia" w:ascii="Times New Roman" w:hAnsi="Times New Roman" w:eastAsia="仿宋_GB2312" w:cs="Times New Roman"/>
          <w:color w:val="auto"/>
          <w:sz w:val="32"/>
          <w:szCs w:val="32"/>
          <w:lang w:eastAsia="zh-CN"/>
        </w:rPr>
        <w:t>该项目属于人头经费范围，项目组织架构与内控管理组织架构一致，主要责任人为单位主要负责人，分管责任人为财务分管领导和业务分管领导，项目实施责任人为业务股室主要负责人。实施流程由业务股室进行退役士兵的接收安置、相关资料收集审核，分管领导复核，单位主要负责人终审。</w:t>
      </w:r>
    </w:p>
    <w:p>
      <w:pPr>
        <w:spacing w:line="353" w:lineRule="auto"/>
        <w:ind w:firstLine="640" w:firstLineChars="200"/>
        <w:rPr>
          <w:rFonts w:ascii="Times New Roman" w:hAnsi="Times New Roman" w:eastAsia="仿宋_GB2312" w:cs="Times New Roman"/>
          <w:color w:val="auto"/>
          <w:sz w:val="32"/>
          <w:szCs w:val="32"/>
        </w:rPr>
      </w:pPr>
      <w:r>
        <w:rPr>
          <w:rFonts w:ascii="Times New Roman" w:hAnsi="Times New Roman" w:eastAsia="楷体_GB2312" w:cs="Times New Roman"/>
          <w:color w:val="auto"/>
          <w:sz w:val="32"/>
          <w:szCs w:val="32"/>
        </w:rPr>
        <w:t>（二）项目管理情况。</w:t>
      </w:r>
      <w:r>
        <w:rPr>
          <w:rFonts w:hint="eastAsia" w:ascii="Times New Roman" w:hAnsi="Times New Roman" w:eastAsia="仿宋_GB2312" w:cs="Times New Roman"/>
          <w:color w:val="auto"/>
          <w:sz w:val="32"/>
          <w:szCs w:val="32"/>
          <w:lang w:eastAsia="zh-CN"/>
        </w:rPr>
        <w:t>在资金管理上，按照内部控制建设要求，制定了财务管理制度、资产管理制度等，在资金使用上，严格按照资金作用用途进行审核审批，项目管理规范有序</w:t>
      </w:r>
      <w:r>
        <w:rPr>
          <w:rFonts w:ascii="Times New Roman" w:hAnsi="Times New Roman" w:eastAsia="仿宋_GB2312" w:cs="Times New Roman"/>
          <w:color w:val="auto"/>
          <w:sz w:val="32"/>
          <w:szCs w:val="32"/>
        </w:rPr>
        <w:t>。</w:t>
      </w:r>
    </w:p>
    <w:p>
      <w:pPr>
        <w:spacing w:line="353" w:lineRule="auto"/>
        <w:ind w:firstLine="640" w:firstLineChars="200"/>
        <w:rPr>
          <w:rFonts w:hint="eastAsia" w:ascii="Times New Roman" w:hAnsi="Times New Roman" w:eastAsia="仿宋_GB2312" w:cs="Times New Roman"/>
          <w:color w:val="auto"/>
          <w:sz w:val="32"/>
          <w:szCs w:val="32"/>
          <w:lang w:eastAsia="zh-CN"/>
        </w:rPr>
      </w:pPr>
      <w:r>
        <w:rPr>
          <w:rFonts w:ascii="Times New Roman" w:hAnsi="Times New Roman" w:eastAsia="楷体_GB2312" w:cs="Times New Roman"/>
          <w:color w:val="auto"/>
          <w:sz w:val="32"/>
          <w:szCs w:val="32"/>
        </w:rPr>
        <w:t>（三）项目监管情况。</w:t>
      </w:r>
      <w:r>
        <w:rPr>
          <w:rFonts w:hint="eastAsia" w:ascii="Times New Roman" w:hAnsi="Times New Roman" w:eastAsia="仿宋_GB2312" w:cs="Times New Roman"/>
          <w:color w:val="auto"/>
          <w:sz w:val="32"/>
          <w:szCs w:val="32"/>
          <w:lang w:eastAsia="zh-CN"/>
        </w:rPr>
        <w:t>资金支付由业务股室通过惠民资金一卡通审批系统经办—办公室审核—财政局归口股室审核—办公室财务岗拨付。</w:t>
      </w:r>
    </w:p>
    <w:p>
      <w:pPr>
        <w:spacing w:line="353" w:lineRule="auto"/>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四、项目绩效情况</w:t>
      </w:r>
    </w:p>
    <w:p>
      <w:pPr>
        <w:spacing w:line="353" w:lineRule="auto"/>
        <w:ind w:firstLine="640" w:firstLineChars="200"/>
        <w:rPr>
          <w:rFonts w:ascii="Times New Roman" w:hAnsi="Times New Roman" w:eastAsia="楷体_GB2312" w:cs="Times New Roman"/>
          <w:color w:val="auto"/>
          <w:sz w:val="32"/>
          <w:szCs w:val="32"/>
        </w:rPr>
      </w:pPr>
      <w:r>
        <w:rPr>
          <w:rFonts w:ascii="Times New Roman" w:hAnsi="Times New Roman" w:eastAsia="楷体_GB2312" w:cs="Times New Roman"/>
          <w:color w:val="auto"/>
          <w:sz w:val="32"/>
          <w:szCs w:val="32"/>
        </w:rPr>
        <w:t>（一）项目完成情况。</w:t>
      </w:r>
    </w:p>
    <w:p>
      <w:pPr>
        <w:spacing w:line="353" w:lineRule="auto"/>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202</w:t>
      </w:r>
      <w:r>
        <w:rPr>
          <w:rFonts w:hint="eastAsia"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年发放义务兵家庭优待金户数87户，按标准足额及时发放，发放率达到100%，于2021年12月31日前按时足额完成补助发放</w:t>
      </w:r>
      <w:r>
        <w:rPr>
          <w:rFonts w:ascii="Times New Roman" w:hAnsi="Times New Roman" w:eastAsia="仿宋_GB2312" w:cs="Times New Roman"/>
          <w:color w:val="auto"/>
          <w:sz w:val="32"/>
          <w:szCs w:val="32"/>
        </w:rPr>
        <w:t>。</w:t>
      </w:r>
    </w:p>
    <w:p>
      <w:pPr>
        <w:spacing w:line="353" w:lineRule="auto"/>
        <w:ind w:firstLine="640" w:firstLineChars="200"/>
        <w:rPr>
          <w:rFonts w:ascii="Times New Roman" w:hAnsi="Times New Roman" w:eastAsia="楷体_GB2312" w:cs="Times New Roman"/>
          <w:color w:val="auto"/>
          <w:sz w:val="32"/>
          <w:szCs w:val="32"/>
        </w:rPr>
      </w:pPr>
      <w:r>
        <w:rPr>
          <w:rFonts w:ascii="Times New Roman" w:hAnsi="Times New Roman" w:eastAsia="楷体_GB2312" w:cs="Times New Roman"/>
          <w:color w:val="auto"/>
          <w:sz w:val="32"/>
          <w:szCs w:val="32"/>
        </w:rPr>
        <w:t>（二）项目效益情况。</w:t>
      </w:r>
    </w:p>
    <w:p>
      <w:pPr>
        <w:spacing w:line="353" w:lineRule="auto"/>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该项目实施切实维护义务兵家庭权益，激励适龄青年参军保卫祖国</w:t>
      </w:r>
      <w:r>
        <w:rPr>
          <w:rFonts w:ascii="Times New Roman" w:hAnsi="Times New Roman" w:eastAsia="仿宋_GB2312" w:cs="Times New Roman"/>
          <w:color w:val="auto"/>
          <w:sz w:val="32"/>
          <w:szCs w:val="32"/>
        </w:rPr>
        <w:t>。</w:t>
      </w:r>
    </w:p>
    <w:p>
      <w:pPr>
        <w:spacing w:line="353" w:lineRule="auto"/>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五、评价结论及建议</w:t>
      </w:r>
    </w:p>
    <w:p>
      <w:pPr>
        <w:spacing w:line="353" w:lineRule="auto"/>
        <w:ind w:firstLine="640" w:firstLineChars="200"/>
        <w:rPr>
          <w:rFonts w:ascii="Times New Roman" w:hAnsi="Times New Roman" w:eastAsia="仿宋_GB2312" w:cs="Times New Roman"/>
          <w:color w:val="auto"/>
          <w:sz w:val="32"/>
          <w:szCs w:val="32"/>
        </w:rPr>
      </w:pPr>
      <w:r>
        <w:rPr>
          <w:rFonts w:ascii="Times New Roman" w:hAnsi="Times New Roman" w:eastAsia="楷体_GB2312" w:cs="Times New Roman"/>
          <w:color w:val="auto"/>
          <w:sz w:val="32"/>
          <w:szCs w:val="32"/>
        </w:rPr>
        <w:t>（一）评价结论。</w:t>
      </w:r>
    </w:p>
    <w:p>
      <w:pPr>
        <w:spacing w:line="353" w:lineRule="auto"/>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该项目立项依据充分，根据《中华人民共和国兵役法》、《军人抚恤优待条例》、《攀枝花市人民政府、攀枝花军分区关于调整义务兵家庭优待金和驻攀部队随军随队军人配偶生活补助标准的通知》（攀府函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2013</w:t>
      </w:r>
      <w:r>
        <w:rPr>
          <w:rFonts w:hint="eastAsia" w:ascii="仿宋_GB2312" w:hAnsi="仿宋_GB2312" w:eastAsia="仿宋_GB2312" w:cs="仿宋_GB2312"/>
          <w:color w:val="auto"/>
          <w:sz w:val="32"/>
          <w:szCs w:val="32"/>
          <w:lang w:eastAsia="zh-CN"/>
        </w:rPr>
        <w:t>〕</w:t>
      </w:r>
      <w:r>
        <w:rPr>
          <w:rFonts w:hint="eastAsia" w:ascii="Times New Roman" w:hAnsi="Times New Roman" w:eastAsia="仿宋_GB2312" w:cs="Times New Roman"/>
          <w:color w:val="auto"/>
          <w:sz w:val="32"/>
          <w:szCs w:val="32"/>
          <w:lang w:eastAsia="zh-CN"/>
        </w:rPr>
        <w:t>44号）等相关政策文件要求设立，立项程序合规，目标设定切实可行，经费安排与工作相适应，资金用途明确，内控措施较为健全，严格按照政策文件的规定执行，工作轨迹资料齐全，财务管理制度健全，资金拨付审批程序合规，财务核算及时，会计信息真实，工作开展成效明显，服务对象满意度高，资金使用绩效好。自评得分</w:t>
      </w:r>
      <w:r>
        <w:rPr>
          <w:rFonts w:hint="eastAsia" w:eastAsia="仿宋_GB2312" w:cs="Times New Roman"/>
          <w:color w:val="auto"/>
          <w:sz w:val="32"/>
          <w:szCs w:val="32"/>
          <w:lang w:val="en-US" w:eastAsia="zh-CN"/>
        </w:rPr>
        <w:t>100</w:t>
      </w:r>
      <w:r>
        <w:rPr>
          <w:rFonts w:hint="eastAsia" w:ascii="Times New Roman" w:hAnsi="Times New Roman" w:eastAsia="仿宋_GB2312" w:cs="Times New Roman"/>
          <w:color w:val="auto"/>
          <w:sz w:val="32"/>
          <w:szCs w:val="32"/>
          <w:lang w:val="en-US" w:eastAsia="zh-CN"/>
        </w:rPr>
        <w:t>分。</w:t>
      </w:r>
    </w:p>
    <w:p>
      <w:pPr>
        <w:spacing w:line="353" w:lineRule="auto"/>
        <w:ind w:firstLine="640" w:firstLineChars="200"/>
        <w:rPr>
          <w:rFonts w:ascii="Times New Roman" w:hAnsi="Times New Roman" w:eastAsia="楷体_GB2312" w:cs="Times New Roman"/>
          <w:color w:val="auto"/>
          <w:sz w:val="32"/>
          <w:szCs w:val="32"/>
        </w:rPr>
      </w:pPr>
      <w:r>
        <w:rPr>
          <w:rFonts w:ascii="Times New Roman" w:hAnsi="Times New Roman" w:eastAsia="楷体_GB2312" w:cs="Times New Roman"/>
          <w:color w:val="auto"/>
          <w:sz w:val="32"/>
          <w:szCs w:val="32"/>
        </w:rPr>
        <w:t>（二）存在的问题。</w:t>
      </w:r>
    </w:p>
    <w:p>
      <w:pPr>
        <w:spacing w:line="353" w:lineRule="auto"/>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无</w:t>
      </w:r>
      <w:r>
        <w:rPr>
          <w:rFonts w:ascii="Times New Roman" w:hAnsi="Times New Roman" w:eastAsia="仿宋_GB2312" w:cs="Times New Roman"/>
          <w:color w:val="auto"/>
          <w:sz w:val="32"/>
          <w:szCs w:val="32"/>
        </w:rPr>
        <w:t>。</w:t>
      </w:r>
    </w:p>
    <w:p>
      <w:pPr>
        <w:spacing w:line="353" w:lineRule="auto"/>
        <w:ind w:firstLine="640" w:firstLineChars="200"/>
        <w:rPr>
          <w:rFonts w:ascii="Times New Roman" w:hAnsi="Times New Roman" w:eastAsia="楷体_GB2312" w:cs="Times New Roman"/>
          <w:color w:val="auto"/>
          <w:sz w:val="32"/>
          <w:szCs w:val="32"/>
        </w:rPr>
      </w:pPr>
      <w:r>
        <w:rPr>
          <w:rFonts w:ascii="Times New Roman" w:hAnsi="Times New Roman" w:eastAsia="楷体_GB2312" w:cs="Times New Roman"/>
          <w:color w:val="auto"/>
          <w:sz w:val="32"/>
          <w:szCs w:val="32"/>
        </w:rPr>
        <w:t>（三）相关建议。</w:t>
      </w:r>
    </w:p>
    <w:p>
      <w:pPr>
        <w:spacing w:line="353" w:lineRule="auto"/>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eastAsia="zh-CN"/>
        </w:rPr>
        <w:t>根据具体项目实施情况，由经办业务股室对相关监管制度进行梳理，针对项目实际进一步完善相关制度</w:t>
      </w:r>
      <w:r>
        <w:rPr>
          <w:rFonts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2.建议财政组织各单位财务人员及内控牵头部门负责人进行业务培训，熟悉财政政策和资金管理相关规定，不断提高业务水平。</w:t>
      </w:r>
    </w:p>
    <w:p>
      <w:pPr>
        <w:pStyle w:val="2"/>
        <w:rPr>
          <w:rFonts w:hint="eastAsia" w:ascii="Times New Roman" w:hAnsi="Times New Roman" w:eastAsia="仿宋_GB2312" w:cs="Times New Roman"/>
          <w:color w:val="auto"/>
          <w:sz w:val="32"/>
          <w:szCs w:val="32"/>
          <w:lang w:val="en-US" w:eastAsia="zh-CN"/>
        </w:rPr>
      </w:pPr>
    </w:p>
    <w:p>
      <w:pPr>
        <w:rPr>
          <w:rFonts w:hint="eastAsia" w:ascii="Times New Roman" w:hAnsi="Times New Roman" w:eastAsia="仿宋_GB2312" w:cs="Times New Roman"/>
          <w:color w:val="auto"/>
          <w:sz w:val="32"/>
          <w:szCs w:val="32"/>
          <w:lang w:val="en-US" w:eastAsia="zh-CN"/>
        </w:rPr>
      </w:pPr>
    </w:p>
    <w:p>
      <w:pPr>
        <w:pStyle w:val="2"/>
        <w:rPr>
          <w:rFonts w:hint="eastAsia" w:ascii="Times New Roman" w:hAnsi="Times New Roman" w:eastAsia="仿宋_GB2312" w:cs="Times New Roman"/>
          <w:color w:val="auto"/>
          <w:sz w:val="32"/>
          <w:szCs w:val="32"/>
          <w:lang w:val="en-US" w:eastAsia="zh-CN"/>
        </w:rPr>
      </w:pPr>
    </w:p>
    <w:p>
      <w:pPr>
        <w:rPr>
          <w:rFonts w:hint="eastAsia" w:ascii="Times New Roman" w:hAnsi="Times New Roman" w:eastAsia="仿宋_GB2312" w:cs="Times New Roman"/>
          <w:color w:val="auto"/>
          <w:sz w:val="32"/>
          <w:szCs w:val="32"/>
          <w:lang w:val="en-US" w:eastAsia="zh-CN"/>
        </w:rPr>
      </w:pPr>
    </w:p>
    <w:p>
      <w:pPr>
        <w:pStyle w:val="2"/>
        <w:rPr>
          <w:rFonts w:hint="eastAsia" w:ascii="Times New Roman" w:hAnsi="Times New Roman" w:eastAsia="仿宋_GB2312" w:cs="Times New Roman"/>
          <w:color w:val="auto"/>
          <w:sz w:val="32"/>
          <w:szCs w:val="32"/>
          <w:lang w:val="en-US" w:eastAsia="zh-CN"/>
        </w:rPr>
      </w:pPr>
    </w:p>
    <w:p>
      <w:pPr>
        <w:rPr>
          <w:rFonts w:hint="eastAsia" w:ascii="Times New Roman" w:hAnsi="Times New Roman" w:eastAsia="仿宋_GB2312" w:cs="Times New Roman"/>
          <w:color w:val="auto"/>
          <w:sz w:val="32"/>
          <w:szCs w:val="32"/>
          <w:lang w:val="en-US" w:eastAsia="zh-CN"/>
        </w:rPr>
      </w:pPr>
    </w:p>
    <w:p>
      <w:pPr>
        <w:pStyle w:val="2"/>
        <w:rPr>
          <w:rFonts w:hint="eastAsia" w:ascii="Times New Roman" w:hAnsi="Times New Roman" w:eastAsia="仿宋_GB2312" w:cs="Times New Roman"/>
          <w:color w:val="auto"/>
          <w:sz w:val="32"/>
          <w:szCs w:val="32"/>
          <w:lang w:val="en-US" w:eastAsia="zh-CN"/>
        </w:rPr>
      </w:pPr>
    </w:p>
    <w:p>
      <w:pPr>
        <w:rPr>
          <w:rFonts w:hint="eastAsia" w:ascii="Times New Roman" w:hAnsi="Times New Roman" w:eastAsia="仿宋_GB2312" w:cs="Times New Roman"/>
          <w:color w:val="auto"/>
          <w:sz w:val="32"/>
          <w:szCs w:val="32"/>
          <w:lang w:val="en-US" w:eastAsia="zh-CN"/>
        </w:rPr>
      </w:pPr>
    </w:p>
    <w:p>
      <w:pPr>
        <w:pStyle w:val="2"/>
        <w:rPr>
          <w:rFonts w:hint="eastAsia" w:ascii="Times New Roman" w:hAnsi="Times New Roman" w:eastAsia="仿宋_GB2312" w:cs="Times New Roman"/>
          <w:color w:val="auto"/>
          <w:sz w:val="32"/>
          <w:szCs w:val="32"/>
          <w:lang w:val="en-US" w:eastAsia="zh-CN"/>
        </w:rPr>
      </w:pPr>
    </w:p>
    <w:p>
      <w:pPr>
        <w:rPr>
          <w:rFonts w:hint="eastAsia" w:ascii="Times New Roman" w:hAnsi="Times New Roman" w:eastAsia="仿宋_GB2312" w:cs="Times New Roman"/>
          <w:color w:val="auto"/>
          <w:sz w:val="32"/>
          <w:szCs w:val="32"/>
          <w:lang w:val="en-US" w:eastAsia="zh-CN"/>
        </w:rPr>
      </w:pPr>
    </w:p>
    <w:p>
      <w:pPr>
        <w:pStyle w:val="6"/>
        <w:spacing w:before="93"/>
        <w:rPr>
          <w:rFonts w:hint="eastAsia" w:ascii="黑体" w:hAnsi="黑体" w:eastAsia="黑体" w:cs="黑体"/>
          <w:sz w:val="32"/>
          <w:szCs w:val="32"/>
        </w:rPr>
      </w:pPr>
      <w:r>
        <w:rPr>
          <w:rFonts w:hint="eastAsia" w:ascii="黑体" w:hAnsi="黑体" w:eastAsia="黑体" w:cs="黑体"/>
          <w:sz w:val="32"/>
          <w:szCs w:val="32"/>
          <w:shd w:val="clear" w:color="auto" w:fill="FFFFFF"/>
          <w:lang w:val="zh-CN"/>
        </w:rPr>
        <w:t>附件</w:t>
      </w:r>
      <w:r>
        <w:rPr>
          <w:rFonts w:hint="eastAsia" w:ascii="黑体" w:hAnsi="黑体" w:eastAsia="黑体" w:cs="黑体"/>
          <w:sz w:val="32"/>
          <w:szCs w:val="32"/>
          <w:shd w:val="clear" w:color="auto" w:fill="FFFFFF"/>
        </w:rPr>
        <w:t>2</w:t>
      </w:r>
    </w:p>
    <w:p>
      <w:pPr>
        <w:pStyle w:val="37"/>
        <w:spacing w:line="578" w:lineRule="exact"/>
        <w:jc w:val="center"/>
        <w:rPr>
          <w:rFonts w:ascii="方正小标宋简体" w:hAnsi="方正小标宋简体" w:eastAsia="方正小标宋简体" w:cs="方正小标宋简体"/>
          <w:color w:val="auto"/>
          <w:kern w:val="2"/>
          <w:sz w:val="32"/>
          <w:szCs w:val="32"/>
          <w:lang w:val="en-US"/>
        </w:rPr>
      </w:pPr>
      <w:r>
        <w:rPr>
          <w:rFonts w:hint="eastAsia" w:ascii="方正小标宋简体" w:hAnsi="方正小标宋简体" w:eastAsia="方正小标宋简体" w:cs="方正小标宋简体"/>
          <w:color w:val="auto"/>
          <w:kern w:val="2"/>
          <w:sz w:val="32"/>
          <w:szCs w:val="32"/>
          <w:lang w:val="en-US"/>
        </w:rPr>
        <w:t>202</w:t>
      </w:r>
      <w:r>
        <w:rPr>
          <w:rFonts w:hint="eastAsia" w:ascii="方正小标宋简体" w:hAnsi="方正小标宋简体" w:eastAsia="方正小标宋简体" w:cs="方正小标宋简体"/>
          <w:color w:val="auto"/>
          <w:kern w:val="2"/>
          <w:sz w:val="32"/>
          <w:szCs w:val="32"/>
          <w:lang w:val="en-US" w:eastAsia="zh-CN"/>
        </w:rPr>
        <w:t>2</w:t>
      </w:r>
      <w:bookmarkStart w:id="67" w:name="_GoBack"/>
      <w:bookmarkEnd w:id="67"/>
      <w:r>
        <w:rPr>
          <w:rFonts w:hint="eastAsia" w:ascii="方正小标宋简体" w:hAnsi="方正小标宋简体" w:eastAsia="方正小标宋简体" w:cs="方正小标宋简体"/>
          <w:color w:val="auto"/>
          <w:kern w:val="2"/>
          <w:sz w:val="32"/>
          <w:szCs w:val="32"/>
          <w:lang w:val="en-US"/>
        </w:rPr>
        <w:t>年</w:t>
      </w:r>
      <w:r>
        <w:rPr>
          <w:rFonts w:hint="eastAsia" w:ascii="方正小标宋简体" w:hAnsi="方正小标宋简体" w:eastAsia="方正小标宋简体" w:cs="方正小标宋简体"/>
          <w:color w:val="auto"/>
          <w:kern w:val="2"/>
          <w:sz w:val="32"/>
          <w:szCs w:val="32"/>
          <w:lang w:val="en-US" w:eastAsia="zh-CN"/>
        </w:rPr>
        <w:t>退役安置补助</w:t>
      </w:r>
      <w:r>
        <w:rPr>
          <w:rFonts w:hint="eastAsia" w:ascii="方正小标宋简体" w:hAnsi="方正小标宋简体" w:eastAsia="方正小标宋简体" w:cs="方正小标宋简体"/>
          <w:color w:val="auto"/>
          <w:kern w:val="2"/>
          <w:sz w:val="32"/>
          <w:szCs w:val="32"/>
          <w:lang w:val="en-US"/>
        </w:rPr>
        <w:t>专项资金预算项目绩效自评报告</w:t>
      </w:r>
    </w:p>
    <w:p>
      <w:pPr>
        <w:pStyle w:val="2"/>
        <w:rPr>
          <w:rFonts w:hint="eastAsia" w:ascii="Times New Roman" w:hAnsi="Times New Roman" w:eastAsia="仿宋_GB2312" w:cs="Times New Roman"/>
          <w:color w:val="auto"/>
          <w:sz w:val="32"/>
          <w:szCs w:val="32"/>
          <w:lang w:val="en-US" w:eastAsia="zh-CN"/>
        </w:rPr>
      </w:pPr>
    </w:p>
    <w:p>
      <w:pPr>
        <w:spacing w:line="353" w:lineRule="auto"/>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一、项目概况</w:t>
      </w:r>
    </w:p>
    <w:p>
      <w:pPr>
        <w:spacing w:line="353" w:lineRule="auto"/>
        <w:ind w:firstLine="640" w:firstLineChars="200"/>
        <w:rPr>
          <w:rFonts w:hint="eastAsia" w:ascii="Times New Roman" w:hAnsi="Times New Roman" w:eastAsia="楷体_GB2312" w:cs="Times New Roman"/>
          <w:color w:val="auto"/>
          <w:sz w:val="32"/>
          <w:szCs w:val="32"/>
        </w:rPr>
      </w:pPr>
      <w:r>
        <w:rPr>
          <w:rFonts w:hint="eastAsia" w:ascii="Times New Roman" w:hAnsi="Times New Roman" w:eastAsia="楷体_GB2312" w:cs="Times New Roman"/>
          <w:color w:val="auto"/>
          <w:sz w:val="32"/>
          <w:szCs w:val="32"/>
        </w:rPr>
        <w:t>（一）项目基本情况。</w:t>
      </w:r>
    </w:p>
    <w:p>
      <w:pPr>
        <w:spacing w:line="353"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该项目实施单位为西区退役军人事务局中，由我局统一编制预算、统一制定绩效目标、统一项目资金管理、统一资金安排使用，对资金使用进行监督管理与审核、审批</w:t>
      </w:r>
      <w:r>
        <w:rPr>
          <w:rFonts w:hint="eastAsia" w:ascii="仿宋" w:hAnsi="仿宋" w:eastAsia="仿宋" w:cs="仿宋"/>
          <w:sz w:val="32"/>
          <w:szCs w:val="32"/>
        </w:rPr>
        <w:t>。</w:t>
      </w:r>
    </w:p>
    <w:p>
      <w:pPr>
        <w:spacing w:line="353"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2．项目立项、资金申报的依据。</w:t>
      </w:r>
    </w:p>
    <w:p>
      <w:pPr>
        <w:spacing w:line="353" w:lineRule="auto"/>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根据《退役安置补助资金使用管理办法》相关政策文件要求，退役安置等项目资金支出决策符合法律法规、相关政策、发展规划以及部门职责。为</w:t>
      </w:r>
      <w:r>
        <w:rPr>
          <w:rFonts w:hint="eastAsia" w:ascii="仿宋" w:hAnsi="仿宋" w:eastAsia="仿宋" w:cs="仿宋"/>
          <w:color w:val="auto"/>
          <w:sz w:val="32"/>
          <w:szCs w:val="32"/>
          <w:lang w:val="en-US" w:eastAsia="zh-CN"/>
        </w:rPr>
        <w:t>保证此项工作有序运行，需设立退役安置补助项目经费，项目申报与政策和需求相吻合。</w:t>
      </w:r>
    </w:p>
    <w:p>
      <w:pPr>
        <w:numPr>
          <w:ilvl w:val="0"/>
          <w:numId w:val="0"/>
        </w:numPr>
        <w:spacing w:line="353" w:lineRule="auto"/>
        <w:ind w:firstLine="64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资金管理办法制定情况，资金支持具体项目的条件、范围与支持方式概况。</w:t>
      </w:r>
    </w:p>
    <w:p>
      <w:pPr>
        <w:numPr>
          <w:ilvl w:val="0"/>
          <w:numId w:val="0"/>
        </w:numPr>
        <w:spacing w:line="353" w:lineRule="auto"/>
        <w:ind w:firstLine="640"/>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1）制度制定情况。为加强对财政资金的管理，不断提高使用绩效，按照内部控制建设要求，制定了财务管理制度，在资金使用上，严格按照资金使用用途进行审核审批，项目管理规范有序，确保资金使用安全。</w:t>
      </w:r>
    </w:p>
    <w:p>
      <w:pPr>
        <w:numPr>
          <w:ilvl w:val="0"/>
          <w:numId w:val="0"/>
        </w:numPr>
        <w:spacing w:line="353" w:lineRule="auto"/>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资金支持项目的条件。退役士兵过去对社会主义国家的建设作出了重大贡献，积极为党、这人民工作，发扬优点、克服缺点，全心全意为人民服务。妥善安置这些人员，对贯彻落实改革强军战略、推进国防和军队建设、对维护政治社会大局稳定、全面建成小康社会具有重要意义。</w:t>
      </w:r>
    </w:p>
    <w:p>
      <w:pPr>
        <w:numPr>
          <w:ilvl w:val="0"/>
          <w:numId w:val="0"/>
        </w:numPr>
        <w:spacing w:line="353" w:lineRule="auto"/>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（3）资金支付项目的范围。享受对象为退役士兵。</w:t>
      </w:r>
    </w:p>
    <w:p>
      <w:pPr>
        <w:numPr>
          <w:ilvl w:val="0"/>
          <w:numId w:val="0"/>
        </w:numPr>
        <w:spacing w:line="353" w:lineRule="auto"/>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（4）资金支持的方式。纳入财政年度一般公共预算管理。</w:t>
      </w:r>
    </w:p>
    <w:p>
      <w:pPr>
        <w:spacing w:line="353"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4．资金分配的原则及考虑因素。</w:t>
      </w:r>
      <w:r>
        <w:rPr>
          <w:rFonts w:hint="eastAsia" w:ascii="仿宋" w:hAnsi="仿宋" w:eastAsia="仿宋" w:cs="仿宋"/>
          <w:color w:val="auto"/>
          <w:sz w:val="32"/>
          <w:szCs w:val="32"/>
          <w:lang w:eastAsia="zh-CN"/>
        </w:rPr>
        <w:t>根据相关政策文件，补助标准为：一是秋、冬季退役士兵教育培训</w:t>
      </w:r>
      <w:r>
        <w:rPr>
          <w:rFonts w:hint="eastAsia" w:ascii="仿宋" w:hAnsi="仿宋" w:eastAsia="仿宋" w:cs="仿宋"/>
          <w:color w:val="auto"/>
          <w:sz w:val="32"/>
          <w:szCs w:val="32"/>
          <w:lang w:val="en-US" w:eastAsia="zh-CN"/>
        </w:rPr>
        <w:t>。二是自主就业退役士兵一次性经济补助，补助标准为每服役一年补助4500元。</w:t>
      </w:r>
    </w:p>
    <w:p>
      <w:pPr>
        <w:spacing w:line="353" w:lineRule="auto"/>
        <w:ind w:firstLine="640" w:firstLineChars="200"/>
        <w:rPr>
          <w:rFonts w:hint="eastAsia" w:ascii="Times New Roman" w:hAnsi="Times New Roman" w:eastAsia="楷体_GB2312" w:cs="Times New Roman"/>
          <w:color w:val="auto"/>
          <w:sz w:val="32"/>
          <w:szCs w:val="32"/>
        </w:rPr>
      </w:pPr>
      <w:r>
        <w:rPr>
          <w:rFonts w:hint="eastAsia" w:ascii="Times New Roman" w:hAnsi="Times New Roman" w:eastAsia="楷体_GB2312" w:cs="Times New Roman"/>
          <w:color w:val="auto"/>
          <w:sz w:val="32"/>
          <w:szCs w:val="32"/>
        </w:rPr>
        <w:t>（二）项目绩效目标。</w:t>
      </w:r>
    </w:p>
    <w:p>
      <w:pPr>
        <w:spacing w:line="353"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1．项目主要内容。</w:t>
      </w:r>
      <w:r>
        <w:rPr>
          <w:rFonts w:hint="eastAsia" w:ascii="仿宋" w:hAnsi="仿宋" w:eastAsia="仿宋" w:cs="仿宋"/>
          <w:sz w:val="32"/>
          <w:szCs w:val="32"/>
          <w:lang w:eastAsia="zh-CN"/>
        </w:rPr>
        <w:t>按政策发放退役士兵地方经济补助、退役士兵职业教育和技能培训经费、自主择业军转干部经费。</w:t>
      </w:r>
    </w:p>
    <w:p>
      <w:pPr>
        <w:spacing w:line="353"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2．项目</w:t>
      </w:r>
      <w:r>
        <w:rPr>
          <w:rFonts w:hint="eastAsia" w:ascii="仿宋" w:hAnsi="仿宋" w:eastAsia="仿宋" w:cs="仿宋"/>
          <w:sz w:val="32"/>
          <w:szCs w:val="32"/>
          <w:lang w:eastAsia="zh-CN"/>
        </w:rPr>
        <w:t>绩效目标。①项目完成</w:t>
      </w:r>
      <w:r>
        <w:rPr>
          <w:rFonts w:hint="eastAsia" w:ascii="仿宋" w:hAnsi="仿宋" w:eastAsia="仿宋" w:cs="仿宋"/>
          <w:sz w:val="32"/>
          <w:szCs w:val="32"/>
          <w:lang w:val="en-US" w:eastAsia="zh-CN"/>
        </w:rPr>
        <w:t>。2022年发放</w:t>
      </w:r>
      <w:r>
        <w:rPr>
          <w:rFonts w:hint="eastAsia" w:ascii="仿宋" w:hAnsi="仿宋" w:eastAsia="仿宋" w:cs="仿宋"/>
          <w:sz w:val="32"/>
          <w:szCs w:val="32"/>
        </w:rPr>
        <w:t>29名自主就业退役士兵发放地方经济补助</w:t>
      </w:r>
      <w:r>
        <w:rPr>
          <w:rFonts w:hint="eastAsia" w:ascii="仿宋" w:hAnsi="仿宋" w:eastAsia="仿宋" w:cs="仿宋"/>
          <w:sz w:val="32"/>
          <w:szCs w:val="32"/>
          <w:lang w:eastAsia="zh-CN"/>
        </w:rPr>
        <w:t>、</w:t>
      </w:r>
      <w:r>
        <w:rPr>
          <w:rFonts w:hint="eastAsia" w:ascii="仿宋" w:hAnsi="仿宋" w:eastAsia="仿宋" w:cs="仿宋"/>
          <w:sz w:val="32"/>
          <w:szCs w:val="32"/>
        </w:rPr>
        <w:t>18户军人军属送立功受奖喜报</w:t>
      </w:r>
      <w:r>
        <w:rPr>
          <w:rFonts w:hint="eastAsia" w:ascii="仿宋" w:hAnsi="仿宋" w:eastAsia="仿宋" w:cs="仿宋"/>
          <w:sz w:val="32"/>
          <w:szCs w:val="32"/>
          <w:lang w:eastAsia="zh-CN"/>
        </w:rPr>
        <w:t>，</w:t>
      </w:r>
      <w:r>
        <w:rPr>
          <w:rFonts w:hint="eastAsia" w:ascii="仿宋" w:hAnsi="仿宋" w:eastAsia="仿宋" w:cs="仿宋"/>
          <w:sz w:val="32"/>
          <w:szCs w:val="32"/>
        </w:rPr>
        <w:t>为1000余人次军人落实优先待遇</w:t>
      </w:r>
      <w:r>
        <w:rPr>
          <w:rFonts w:hint="eastAsia" w:ascii="仿宋" w:hAnsi="仿宋" w:eastAsia="仿宋" w:cs="仿宋"/>
          <w:sz w:val="32"/>
          <w:szCs w:val="32"/>
          <w:lang w:eastAsia="zh-CN"/>
        </w:rPr>
        <w:t>，</w:t>
      </w:r>
      <w:r>
        <w:rPr>
          <w:rFonts w:hint="eastAsia" w:ascii="仿宋" w:hAnsi="仿宋" w:eastAsia="仿宋" w:cs="仿宋"/>
          <w:sz w:val="32"/>
          <w:szCs w:val="32"/>
        </w:rPr>
        <w:t>并对所有返乡退役军人开展全员适应性培训</w:t>
      </w:r>
      <w:r>
        <w:rPr>
          <w:rFonts w:hint="eastAsia" w:ascii="仿宋" w:hAnsi="仿宋" w:eastAsia="仿宋" w:cs="仿宋"/>
          <w:sz w:val="32"/>
          <w:szCs w:val="32"/>
          <w:lang w:eastAsia="zh-CN"/>
        </w:rPr>
        <w:t>等</w:t>
      </w:r>
      <w:r>
        <w:rPr>
          <w:rFonts w:hint="eastAsia" w:ascii="仿宋" w:hAnsi="仿宋" w:eastAsia="仿宋" w:cs="仿宋"/>
          <w:sz w:val="32"/>
          <w:szCs w:val="32"/>
        </w:rPr>
        <w:t>。</w:t>
      </w:r>
      <w:r>
        <w:rPr>
          <w:rFonts w:hint="eastAsia" w:ascii="仿宋" w:hAnsi="仿宋" w:eastAsia="仿宋" w:cs="仿宋"/>
          <w:sz w:val="32"/>
          <w:szCs w:val="32"/>
          <w:lang w:eastAsia="zh-CN"/>
        </w:rPr>
        <w:t>共发放</w:t>
      </w:r>
      <w:r>
        <w:rPr>
          <w:rFonts w:hint="eastAsia" w:ascii="仿宋" w:hAnsi="仿宋" w:eastAsia="仿宋" w:cs="仿宋"/>
          <w:sz w:val="32"/>
          <w:szCs w:val="32"/>
          <w:lang w:val="en-US" w:eastAsia="zh-CN"/>
        </w:rPr>
        <w:t>110.24</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于2022年12月31日前全部完成补助发放。②项目效益。</w:t>
      </w:r>
      <w:r>
        <w:rPr>
          <w:rFonts w:hint="eastAsia" w:ascii="仿宋" w:hAnsi="仿宋" w:eastAsia="仿宋" w:cs="仿宋"/>
          <w:sz w:val="32"/>
          <w:szCs w:val="32"/>
        </w:rPr>
        <w:t>有力推进退役军人</w:t>
      </w:r>
      <w:r>
        <w:rPr>
          <w:rFonts w:hint="eastAsia" w:ascii="仿宋" w:hAnsi="仿宋" w:eastAsia="仿宋" w:cs="仿宋"/>
          <w:sz w:val="32"/>
          <w:szCs w:val="32"/>
          <w:lang w:eastAsia="zh-CN"/>
        </w:rPr>
        <w:t>安置工作，体现了政府对退役士兵的重视与关心，对维护政治社会大全稳定、全面建成小康社会具有重要意义</w:t>
      </w:r>
      <w:r>
        <w:rPr>
          <w:rFonts w:hint="eastAsia" w:ascii="仿宋" w:hAnsi="仿宋" w:eastAsia="仿宋" w:cs="仿宋"/>
          <w:sz w:val="32"/>
          <w:szCs w:val="32"/>
          <w:lang w:val="en-US" w:eastAsia="zh-CN"/>
        </w:rPr>
        <w:t>。③满意度指标</w:t>
      </w:r>
      <w:r>
        <w:rPr>
          <w:rFonts w:hint="eastAsia" w:ascii="仿宋" w:hAnsi="仿宋" w:eastAsia="仿宋" w:cs="仿宋"/>
          <w:sz w:val="32"/>
          <w:szCs w:val="32"/>
        </w:rPr>
        <w:t>。</w:t>
      </w:r>
      <w:r>
        <w:rPr>
          <w:rFonts w:hint="eastAsia" w:ascii="仿宋" w:hAnsi="仿宋" w:eastAsia="仿宋" w:cs="仿宋"/>
          <w:sz w:val="32"/>
          <w:szCs w:val="32"/>
          <w:lang w:eastAsia="zh-CN"/>
        </w:rPr>
        <w:t>退役士兵满意度达到</w:t>
      </w:r>
      <w:r>
        <w:rPr>
          <w:rFonts w:hint="eastAsia" w:ascii="仿宋" w:hAnsi="仿宋" w:eastAsia="仿宋" w:cs="仿宋"/>
          <w:sz w:val="32"/>
          <w:szCs w:val="32"/>
          <w:lang w:val="en-US" w:eastAsia="zh-CN"/>
        </w:rPr>
        <w:t>90%以上。</w:t>
      </w:r>
    </w:p>
    <w:p>
      <w:pPr>
        <w:spacing w:line="353"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绩效申报分析。该项目的设立依据充分，符合政策文件相关要求，立项程序合规，目标设定切实可行，经费安排与工作相适应，资金用途明确。</w:t>
      </w:r>
    </w:p>
    <w:p>
      <w:pPr>
        <w:spacing w:line="353" w:lineRule="auto"/>
        <w:ind w:firstLine="640" w:firstLineChars="200"/>
        <w:rPr>
          <w:rFonts w:hint="eastAsia" w:ascii="Times New Roman" w:hAnsi="Times New Roman" w:eastAsia="楷体_GB2312" w:cs="Times New Roman"/>
          <w:color w:val="auto"/>
          <w:sz w:val="32"/>
          <w:szCs w:val="32"/>
        </w:rPr>
      </w:pPr>
      <w:r>
        <w:rPr>
          <w:rFonts w:hint="eastAsia" w:ascii="Times New Roman" w:hAnsi="Times New Roman" w:eastAsia="楷体_GB2312" w:cs="Times New Roman"/>
          <w:color w:val="auto"/>
          <w:sz w:val="32"/>
          <w:szCs w:val="32"/>
        </w:rPr>
        <w:t>（三）项目自评步骤及方法。</w:t>
      </w:r>
    </w:p>
    <w:p>
      <w:pPr>
        <w:spacing w:line="353"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区退役军人事务局根据财政支出绩效评价指标体系及项目的实际情况设计指标体系进行评价，组织相关科室人员对本项目进行自评检查。</w:t>
      </w:r>
    </w:p>
    <w:p>
      <w:pPr>
        <w:spacing w:line="353"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 资料收集。梳理项目资料，核实项目情况，统计项目数据。</w:t>
      </w:r>
    </w:p>
    <w:p>
      <w:pPr>
        <w:spacing w:line="353"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 绩效自评。根据资料收集的情况，按照区财政支出绩效评价指标体系，以定量与定性相结合的方式，对项目绩效情况进行判断，对项目存在的问题进行分析，对各项考评指标进行自评。</w:t>
      </w:r>
    </w:p>
    <w:p>
      <w:pPr>
        <w:spacing w:line="353"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 撰写报告。结合项目定性与定量评价分析，得出自评结论，并撰写自评报告</w:t>
      </w:r>
      <w:r>
        <w:rPr>
          <w:rFonts w:hint="eastAsia" w:ascii="仿宋" w:hAnsi="仿宋" w:eastAsia="仿宋" w:cs="仿宋"/>
          <w:sz w:val="32"/>
          <w:szCs w:val="32"/>
        </w:rPr>
        <w:t>。</w:t>
      </w:r>
    </w:p>
    <w:p>
      <w:pPr>
        <w:spacing w:line="353" w:lineRule="auto"/>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二、项目资金申报及使用情况</w:t>
      </w:r>
    </w:p>
    <w:p>
      <w:pPr>
        <w:spacing w:line="353" w:lineRule="auto"/>
        <w:ind w:firstLine="640" w:firstLineChars="200"/>
        <w:rPr>
          <w:rFonts w:hint="eastAsia" w:ascii="Times New Roman" w:hAnsi="Times New Roman" w:eastAsia="楷体_GB2312" w:cs="Times New Roman"/>
          <w:color w:val="auto"/>
          <w:sz w:val="32"/>
          <w:szCs w:val="32"/>
        </w:rPr>
      </w:pPr>
      <w:r>
        <w:rPr>
          <w:rFonts w:hint="eastAsia" w:ascii="Times New Roman" w:hAnsi="Times New Roman" w:eastAsia="楷体_GB2312" w:cs="Times New Roman"/>
          <w:color w:val="auto"/>
          <w:sz w:val="32"/>
          <w:szCs w:val="32"/>
        </w:rPr>
        <w:t>（一）项目资金申报及批复情况。</w:t>
      </w:r>
    </w:p>
    <w:p>
      <w:pPr>
        <w:spacing w:line="353"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纳入本次评价的退役安置补助项目由区退役军人事务局根据相关规定年初纳入部门预算，上报区财政局，由区财政局审核后出具正式预算批</w:t>
      </w:r>
      <w:r>
        <w:rPr>
          <w:rFonts w:hint="eastAsia" w:ascii="仿宋" w:hAnsi="仿宋" w:eastAsia="仿宋" w:cs="仿宋"/>
          <w:color w:val="auto"/>
          <w:sz w:val="32"/>
          <w:szCs w:val="32"/>
          <w:lang w:val="en-US" w:eastAsia="zh-CN"/>
        </w:rPr>
        <w:t>复。</w:t>
      </w:r>
      <w:r>
        <w:rPr>
          <w:rFonts w:hint="eastAsia" w:ascii="仿宋" w:hAnsi="仿宋" w:eastAsia="仿宋" w:cs="仿宋"/>
          <w:sz w:val="32"/>
          <w:szCs w:val="32"/>
          <w:lang w:val="en-US" w:eastAsia="zh-CN"/>
        </w:rPr>
        <w:t>项目批复预算资金65.83万元，年底据实结算。</w:t>
      </w:r>
    </w:p>
    <w:p>
      <w:pPr>
        <w:spacing w:line="353" w:lineRule="auto"/>
        <w:ind w:firstLine="640" w:firstLineChars="200"/>
        <w:rPr>
          <w:rFonts w:hint="eastAsia" w:ascii="Times New Roman" w:hAnsi="Times New Roman" w:eastAsia="楷体_GB2312" w:cs="Times New Roman"/>
          <w:color w:val="auto"/>
          <w:sz w:val="32"/>
          <w:szCs w:val="32"/>
        </w:rPr>
      </w:pPr>
      <w:r>
        <w:rPr>
          <w:rFonts w:hint="eastAsia" w:ascii="Times New Roman" w:hAnsi="Times New Roman" w:eastAsia="楷体_GB2312" w:cs="Times New Roman"/>
          <w:color w:val="auto"/>
          <w:sz w:val="32"/>
          <w:szCs w:val="32"/>
        </w:rPr>
        <w:t>（二）资金计划、到位及使用情况（可用表格形式反映）。</w:t>
      </w:r>
    </w:p>
    <w:p>
      <w:pPr>
        <w:spacing w:line="353"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1．资金计划。</w:t>
      </w:r>
    </w:p>
    <w:p>
      <w:pPr>
        <w:spacing w:line="353"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2022年申报年初预算65.83万元，年底据实结算</w:t>
      </w:r>
      <w:r>
        <w:rPr>
          <w:rFonts w:hint="eastAsia" w:ascii="仿宋" w:hAnsi="仿宋" w:eastAsia="仿宋" w:cs="仿宋"/>
          <w:sz w:val="32"/>
          <w:szCs w:val="32"/>
        </w:rPr>
        <w:t>。</w:t>
      </w:r>
    </w:p>
    <w:p>
      <w:pPr>
        <w:spacing w:line="353"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2．资金到位。</w:t>
      </w:r>
    </w:p>
    <w:p>
      <w:pPr>
        <w:spacing w:line="353"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2022年实际到位资金110.24万元，资金到位率100%，到位及时</w:t>
      </w:r>
      <w:r>
        <w:rPr>
          <w:rFonts w:hint="eastAsia" w:ascii="仿宋" w:hAnsi="仿宋" w:eastAsia="仿宋" w:cs="仿宋"/>
          <w:sz w:val="32"/>
          <w:szCs w:val="32"/>
        </w:rPr>
        <w:t>。</w:t>
      </w:r>
    </w:p>
    <w:p>
      <w:pPr>
        <w:spacing w:line="353"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3．资金使用。</w:t>
      </w:r>
    </w:p>
    <w:p>
      <w:pPr>
        <w:spacing w:line="353"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截止评价时点，2022年退役安置补助资金共支出67.38万元，其中：支付自主择业退役士兵地方经济补助56.6万元、技能培训费2.35万元、军转干部经费8.43万元，</w:t>
      </w:r>
      <w:r>
        <w:rPr>
          <w:rFonts w:hint="eastAsia" w:ascii="仿宋" w:hAnsi="仿宋" w:eastAsia="仿宋" w:cs="仿宋"/>
          <w:sz w:val="32"/>
          <w:szCs w:val="32"/>
          <w:lang w:eastAsia="zh-CN"/>
        </w:rPr>
        <w:t>当年全部发放到位。资金开支范围、标准及支付进度等符合规定，按实际发生额进行支付，并严格按照财务管理制度审核支付，支付依据合规合法</w:t>
      </w:r>
      <w:r>
        <w:rPr>
          <w:rFonts w:hint="eastAsia" w:ascii="仿宋" w:hAnsi="仿宋" w:eastAsia="仿宋" w:cs="仿宋"/>
          <w:sz w:val="32"/>
          <w:szCs w:val="32"/>
        </w:rPr>
        <w:t>。</w:t>
      </w:r>
    </w:p>
    <w:p>
      <w:pPr>
        <w:spacing w:line="353" w:lineRule="auto"/>
        <w:ind w:firstLine="640" w:firstLineChars="200"/>
        <w:rPr>
          <w:rFonts w:hint="eastAsia" w:ascii="Times New Roman" w:hAnsi="Times New Roman" w:eastAsia="楷体_GB2312" w:cs="Times New Roman"/>
          <w:color w:val="auto"/>
          <w:sz w:val="32"/>
          <w:szCs w:val="32"/>
        </w:rPr>
      </w:pPr>
      <w:r>
        <w:rPr>
          <w:rFonts w:hint="eastAsia" w:ascii="Times New Roman" w:hAnsi="Times New Roman" w:eastAsia="楷体_GB2312" w:cs="Times New Roman"/>
          <w:color w:val="auto"/>
          <w:sz w:val="32"/>
          <w:szCs w:val="32"/>
        </w:rPr>
        <w:t>（三）项目财务管理情况。</w:t>
      </w:r>
    </w:p>
    <w:p>
      <w:pPr>
        <w:spacing w:line="353" w:lineRule="auto"/>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该项目在财务管理上，按照内部控制建设要求，制定了相关财务管理制度，在资金使用上，严格按照资金使用用途进行审核审批，项目管理规范有序，财务核算及时，会计信息真实</w:t>
      </w:r>
      <w:r>
        <w:rPr>
          <w:rFonts w:hint="eastAsia" w:ascii="仿宋" w:hAnsi="仿宋" w:eastAsia="仿宋" w:cs="仿宋"/>
          <w:sz w:val="32"/>
          <w:szCs w:val="32"/>
        </w:rPr>
        <w:t>。</w:t>
      </w:r>
    </w:p>
    <w:p>
      <w:pPr>
        <w:spacing w:line="353" w:lineRule="auto"/>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三、项目实施及管理情况</w:t>
      </w:r>
    </w:p>
    <w:p>
      <w:pPr>
        <w:spacing w:line="353" w:lineRule="auto"/>
        <w:ind w:firstLine="640" w:firstLineChars="200"/>
        <w:rPr>
          <w:rFonts w:hint="eastAsia" w:ascii="仿宋" w:hAnsi="仿宋" w:eastAsia="仿宋" w:cs="仿宋"/>
          <w:color w:val="FF0000"/>
          <w:sz w:val="32"/>
          <w:szCs w:val="32"/>
        </w:rPr>
      </w:pPr>
      <w:r>
        <w:rPr>
          <w:rFonts w:hint="eastAsia" w:ascii="Times New Roman" w:hAnsi="Times New Roman" w:eastAsia="楷体_GB2312" w:cs="Times New Roman"/>
          <w:color w:val="auto"/>
          <w:sz w:val="32"/>
          <w:szCs w:val="32"/>
        </w:rPr>
        <w:t>（一）项目组织架构及实施流程。</w:t>
      </w:r>
      <w:r>
        <w:rPr>
          <w:rFonts w:hint="eastAsia" w:ascii="仿宋" w:hAnsi="仿宋" w:eastAsia="仿宋" w:cs="仿宋"/>
          <w:color w:val="auto"/>
          <w:sz w:val="32"/>
          <w:szCs w:val="32"/>
          <w:lang w:eastAsia="zh-CN"/>
        </w:rPr>
        <w:t>该项目属于人头经费范围，项目组织架构与内控管理组织架构一致，主要责任人为单位主要负责人，分管责任人为财务分管领导和业务分管领导，项目实施责任人为业务股室主要负责人。实施流程由业务股室进行退役士兵的接收安置、相关资料收集审核，分管领导复核，单位主要负责人终审。</w:t>
      </w:r>
    </w:p>
    <w:p>
      <w:pPr>
        <w:spacing w:line="353" w:lineRule="auto"/>
        <w:ind w:firstLine="640" w:firstLineChars="200"/>
        <w:rPr>
          <w:rFonts w:hint="eastAsia" w:ascii="仿宋" w:hAnsi="仿宋" w:eastAsia="仿宋" w:cs="仿宋"/>
          <w:sz w:val="32"/>
          <w:szCs w:val="32"/>
        </w:rPr>
      </w:pPr>
      <w:r>
        <w:rPr>
          <w:rFonts w:hint="eastAsia" w:ascii="Times New Roman" w:hAnsi="Times New Roman" w:eastAsia="楷体_GB2312" w:cs="Times New Roman"/>
          <w:color w:val="auto"/>
          <w:sz w:val="32"/>
          <w:szCs w:val="32"/>
        </w:rPr>
        <w:t>（二）项目管理情况。</w:t>
      </w:r>
      <w:r>
        <w:rPr>
          <w:rFonts w:hint="eastAsia" w:ascii="仿宋" w:hAnsi="仿宋" w:eastAsia="仿宋" w:cs="仿宋"/>
          <w:sz w:val="32"/>
          <w:szCs w:val="32"/>
          <w:lang w:eastAsia="zh-CN"/>
        </w:rPr>
        <w:t>在资金管理上，按照内部控制建设要求，制定了财务管理制度、资产管理制度等，在资金使用上，严格按照资金作用用途进行审核审批，项目管理规范有序</w:t>
      </w:r>
      <w:r>
        <w:rPr>
          <w:rFonts w:hint="eastAsia" w:ascii="仿宋" w:hAnsi="仿宋" w:eastAsia="仿宋" w:cs="仿宋"/>
          <w:sz w:val="32"/>
          <w:szCs w:val="32"/>
        </w:rPr>
        <w:t>。</w:t>
      </w:r>
    </w:p>
    <w:p>
      <w:pPr>
        <w:spacing w:line="353" w:lineRule="auto"/>
        <w:ind w:firstLine="640" w:firstLineChars="200"/>
        <w:rPr>
          <w:rFonts w:hint="eastAsia" w:ascii="仿宋" w:hAnsi="仿宋" w:eastAsia="仿宋" w:cs="仿宋"/>
          <w:sz w:val="32"/>
          <w:szCs w:val="32"/>
        </w:rPr>
      </w:pPr>
      <w:r>
        <w:rPr>
          <w:rFonts w:hint="eastAsia" w:ascii="Times New Roman" w:hAnsi="Times New Roman" w:eastAsia="楷体_GB2312" w:cs="Times New Roman"/>
          <w:color w:val="auto"/>
          <w:sz w:val="32"/>
          <w:szCs w:val="32"/>
        </w:rPr>
        <w:t>（三）项目监管情况。</w:t>
      </w:r>
      <w:r>
        <w:rPr>
          <w:rFonts w:hint="eastAsia" w:ascii="仿宋" w:hAnsi="仿宋" w:eastAsia="仿宋" w:cs="仿宋"/>
          <w:color w:val="auto"/>
          <w:sz w:val="32"/>
          <w:szCs w:val="32"/>
          <w:lang w:eastAsia="zh-CN"/>
        </w:rPr>
        <w:t>资金支付由业务股室通过惠民资金一卡通审批系统经办—办公室审核—财政局归口股室审核—办公室财务岗拨付。</w:t>
      </w:r>
    </w:p>
    <w:p>
      <w:pPr>
        <w:spacing w:line="353" w:lineRule="auto"/>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四、项目绩效情况</w:t>
      </w:r>
    </w:p>
    <w:p>
      <w:pPr>
        <w:spacing w:line="353" w:lineRule="auto"/>
        <w:ind w:firstLine="640" w:firstLineChars="200"/>
        <w:rPr>
          <w:rFonts w:hint="eastAsia" w:ascii="Times New Roman" w:hAnsi="Times New Roman" w:eastAsia="楷体_GB2312" w:cs="Times New Roman"/>
          <w:color w:val="auto"/>
          <w:sz w:val="32"/>
          <w:szCs w:val="32"/>
        </w:rPr>
      </w:pPr>
      <w:r>
        <w:rPr>
          <w:rFonts w:hint="eastAsia" w:ascii="Times New Roman" w:hAnsi="Times New Roman" w:eastAsia="楷体_GB2312" w:cs="Times New Roman"/>
          <w:color w:val="auto"/>
          <w:sz w:val="32"/>
          <w:szCs w:val="32"/>
        </w:rPr>
        <w:t>（一）项目完成情况。</w:t>
      </w:r>
    </w:p>
    <w:p>
      <w:pPr>
        <w:spacing w:line="353" w:lineRule="auto"/>
        <w:ind w:firstLine="640" w:firstLineChars="200"/>
        <w:rPr>
          <w:rFonts w:hint="eastAsia" w:ascii="仿宋" w:hAnsi="仿宋" w:eastAsia="仿宋" w:cs="仿宋"/>
          <w:sz w:val="32"/>
          <w:szCs w:val="32"/>
        </w:rPr>
      </w:pPr>
      <w:r>
        <w:rPr>
          <w:rFonts w:hint="eastAsia" w:ascii="仿宋" w:hAnsi="仿宋" w:eastAsia="仿宋" w:cs="仿宋"/>
          <w:color w:val="auto"/>
          <w:sz w:val="32"/>
          <w:szCs w:val="32"/>
          <w:lang w:val="en-US" w:eastAsia="zh-CN"/>
        </w:rPr>
        <w:t>2022年发放退</w:t>
      </w:r>
      <w:r>
        <w:rPr>
          <w:rFonts w:hint="eastAsia" w:ascii="仿宋" w:hAnsi="仿宋" w:eastAsia="仿宋" w:cs="仿宋"/>
          <w:sz w:val="32"/>
          <w:szCs w:val="32"/>
          <w:lang w:val="en-US" w:eastAsia="zh-CN"/>
        </w:rPr>
        <w:t>役士兵地方经济补助56.6万元、技能培训费2.35万元、军转干部经费8.43万元，按标准足额及时发放，发放率达到100%，于2022年12月31日前按时足额完成补助发放</w:t>
      </w:r>
      <w:r>
        <w:rPr>
          <w:rFonts w:hint="eastAsia" w:ascii="仿宋" w:hAnsi="仿宋" w:eastAsia="仿宋" w:cs="仿宋"/>
          <w:sz w:val="32"/>
          <w:szCs w:val="32"/>
        </w:rPr>
        <w:t>。</w:t>
      </w:r>
    </w:p>
    <w:p>
      <w:pPr>
        <w:spacing w:line="353" w:lineRule="auto"/>
        <w:ind w:firstLine="640" w:firstLineChars="200"/>
        <w:rPr>
          <w:rFonts w:hint="eastAsia" w:ascii="Times New Roman" w:hAnsi="Times New Roman" w:eastAsia="楷体_GB2312" w:cs="Times New Roman"/>
          <w:color w:val="auto"/>
          <w:sz w:val="32"/>
          <w:szCs w:val="32"/>
        </w:rPr>
      </w:pPr>
      <w:r>
        <w:rPr>
          <w:rFonts w:hint="eastAsia" w:ascii="Times New Roman" w:hAnsi="Times New Roman" w:eastAsia="楷体_GB2312" w:cs="Times New Roman"/>
          <w:color w:val="auto"/>
          <w:sz w:val="32"/>
          <w:szCs w:val="32"/>
        </w:rPr>
        <w:t>（二）项目效益情况。</w:t>
      </w:r>
    </w:p>
    <w:p>
      <w:pPr>
        <w:spacing w:line="353"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退役士兵是党和国家队伍的组成部分，是社会主义现代化建设的重要力量。退役士兵为国防事业、军队建设作出了牺牲和贡献，应当受到国家和社会的尊重、优待，退役士兵安置项目的实施体现了政府对退役士兵的重视与关心。</w:t>
      </w:r>
    </w:p>
    <w:p>
      <w:pPr>
        <w:spacing w:line="353" w:lineRule="auto"/>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五、评价结论及建议</w:t>
      </w:r>
    </w:p>
    <w:p>
      <w:pPr>
        <w:spacing w:line="353" w:lineRule="auto"/>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（一）评价结论。</w:t>
      </w:r>
    </w:p>
    <w:p>
      <w:pPr>
        <w:spacing w:line="353"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该项目立项</w:t>
      </w:r>
      <w:r>
        <w:rPr>
          <w:rFonts w:hint="eastAsia" w:ascii="仿宋_GB2312" w:hAnsi="仿宋_GB2312" w:eastAsia="仿宋_GB2312" w:cs="仿宋_GB2312"/>
          <w:color w:val="auto"/>
          <w:sz w:val="32"/>
          <w:szCs w:val="32"/>
          <w:lang w:eastAsia="zh-CN"/>
        </w:rPr>
        <w:t>依据充分，根据《退役安置补助资金使用管理办法》相关政策文件要求设立，立项程序合规，目标设定切实可行，经费安排与工作相适应，资金用途明确，内控措施较为健全，严格按照政策文件的规定执行，工作轨迹资料齐全，财务管理制度健全，资金拨付审批程序合规，财务核算及时，会计信息真实，工作开展成效明显，服务对象满意度高，资金使用绩效好。自评得分</w:t>
      </w:r>
      <w:r>
        <w:rPr>
          <w:rFonts w:hint="eastAsia" w:ascii="仿宋_GB2312" w:hAnsi="仿宋_GB2312" w:eastAsia="仿宋_GB2312" w:cs="仿宋_GB2312"/>
          <w:color w:val="auto"/>
          <w:sz w:val="32"/>
          <w:szCs w:val="32"/>
          <w:lang w:val="en-US" w:eastAsia="zh-CN"/>
        </w:rPr>
        <w:t>100分。</w:t>
      </w:r>
    </w:p>
    <w:p>
      <w:pPr>
        <w:spacing w:line="353" w:lineRule="auto"/>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（二）存在的问题。</w:t>
      </w:r>
    </w:p>
    <w:p>
      <w:pPr>
        <w:spacing w:line="353"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无</w:t>
      </w:r>
      <w:r>
        <w:rPr>
          <w:rFonts w:ascii="Times New Roman" w:hAnsi="Times New Roman" w:eastAsia="仿宋_GB2312" w:cs="Times New Roman"/>
          <w:sz w:val="32"/>
          <w:szCs w:val="32"/>
        </w:rPr>
        <w:t>。</w:t>
      </w:r>
    </w:p>
    <w:p>
      <w:pPr>
        <w:spacing w:line="353" w:lineRule="auto"/>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（三）相关建议。</w:t>
      </w:r>
    </w:p>
    <w:p>
      <w:pPr>
        <w:spacing w:line="353"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根据具体项目实施情况，由经办业务股室对相关监管制度进行梳理，针对项目实际进一步完善相关制度</w:t>
      </w:r>
      <w:r>
        <w:rPr>
          <w:rFonts w:ascii="Times New Roman" w:hAnsi="Times New Roman" w:eastAsia="仿宋_GB2312" w:cs="Times New Roman"/>
          <w:sz w:val="32"/>
          <w:szCs w:val="32"/>
        </w:rPr>
        <w:t>。</w:t>
      </w:r>
    </w:p>
    <w:p>
      <w:pPr>
        <w:spacing w:line="353" w:lineRule="auto"/>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2.建议财政组织各单位财务人员及内控牵头部门负责人进行业务培训，熟悉财政政策和资金管理相关规定，不断提高业务水平。</w:t>
      </w:r>
    </w:p>
    <w:p/>
    <w:p>
      <w:pPr>
        <w:pStyle w:val="6"/>
        <w:spacing w:before="93"/>
        <w:rPr>
          <w:sz w:val="32"/>
          <w:szCs w:val="32"/>
        </w:rPr>
      </w:pPr>
      <w:r>
        <w:rPr>
          <w:rStyle w:val="31"/>
          <w:rFonts w:ascii="黑体" w:hAnsi="黑体" w:eastAsia="黑体"/>
          <w:b w:val="0"/>
        </w:rPr>
        <w:br w:type="page"/>
      </w:r>
      <w:r>
        <w:rPr>
          <w:rFonts w:hint="eastAsia" w:ascii="黑体" w:hAnsi="黑体" w:eastAsia="黑体" w:cs="黑体"/>
          <w:color w:val="auto"/>
          <w:kern w:val="2"/>
          <w:sz w:val="32"/>
          <w:szCs w:val="32"/>
          <w:lang w:val="zh-CN" w:eastAsia="zh-CN" w:bidi="ar-SA"/>
        </w:rPr>
        <w:t>附件</w:t>
      </w:r>
      <w:r>
        <w:rPr>
          <w:rFonts w:hint="eastAsia" w:ascii="黑体" w:hAnsi="黑体" w:eastAsia="黑体" w:cs="黑体"/>
          <w:color w:val="auto"/>
          <w:kern w:val="2"/>
          <w:sz w:val="32"/>
          <w:szCs w:val="32"/>
          <w:lang w:val="en-US" w:eastAsia="zh-CN" w:bidi="ar-SA"/>
        </w:rPr>
        <w:t>2</w:t>
      </w:r>
    </w:p>
    <w:p>
      <w:pPr>
        <w:pStyle w:val="37"/>
        <w:spacing w:line="578" w:lineRule="exact"/>
        <w:jc w:val="center"/>
        <w:rPr>
          <w:rFonts w:hint="eastAsia" w:ascii="方正小标宋简体" w:hAnsi="方正小标宋简体" w:eastAsia="方正小标宋简体" w:cs="方正小标宋简体"/>
          <w:color w:val="auto"/>
          <w:kern w:val="2"/>
          <w:sz w:val="32"/>
          <w:szCs w:val="32"/>
          <w:lang w:val="en-US" w:eastAsia="zh-CN"/>
        </w:rPr>
      </w:pPr>
      <w:r>
        <w:rPr>
          <w:rFonts w:hint="eastAsia" w:ascii="方正小标宋简体" w:hAnsi="方正小标宋简体" w:eastAsia="方正小标宋简体" w:cs="方正小标宋简体"/>
          <w:color w:val="auto"/>
          <w:kern w:val="2"/>
          <w:sz w:val="32"/>
          <w:szCs w:val="32"/>
          <w:lang w:val="en-US"/>
        </w:rPr>
        <w:t>202</w:t>
      </w:r>
      <w:r>
        <w:rPr>
          <w:rFonts w:hint="eastAsia" w:ascii="方正小标宋简体" w:hAnsi="方正小标宋简体" w:eastAsia="方正小标宋简体" w:cs="方正小标宋简体"/>
          <w:color w:val="auto"/>
          <w:kern w:val="2"/>
          <w:sz w:val="32"/>
          <w:szCs w:val="32"/>
          <w:lang w:val="en-US" w:eastAsia="zh-CN"/>
        </w:rPr>
        <w:t>2</w:t>
      </w:r>
      <w:r>
        <w:rPr>
          <w:rFonts w:hint="eastAsia" w:ascii="方正小标宋简体" w:hAnsi="方正小标宋简体" w:eastAsia="方正小标宋简体" w:cs="方正小标宋简体"/>
          <w:color w:val="auto"/>
          <w:kern w:val="2"/>
          <w:sz w:val="32"/>
          <w:szCs w:val="32"/>
          <w:lang w:val="en-US"/>
        </w:rPr>
        <w:t>年</w:t>
      </w:r>
      <w:r>
        <w:rPr>
          <w:rFonts w:hint="eastAsia" w:ascii="方正小标宋简体" w:hAnsi="方正小标宋简体" w:eastAsia="方正小标宋简体" w:cs="方正小标宋简体"/>
          <w:color w:val="auto"/>
          <w:kern w:val="2"/>
          <w:sz w:val="32"/>
          <w:szCs w:val="32"/>
          <w:lang w:val="en-US" w:eastAsia="zh-CN"/>
        </w:rPr>
        <w:t>重点优抚对象抚恤和生活补助</w:t>
      </w:r>
    </w:p>
    <w:p>
      <w:pPr>
        <w:pStyle w:val="37"/>
        <w:spacing w:line="578" w:lineRule="exact"/>
        <w:jc w:val="center"/>
        <w:rPr>
          <w:rFonts w:ascii="方正小标宋简体" w:hAnsi="方正小标宋简体" w:eastAsia="方正小标宋简体" w:cs="方正小标宋简体"/>
          <w:color w:val="auto"/>
          <w:kern w:val="2"/>
          <w:sz w:val="32"/>
          <w:szCs w:val="32"/>
          <w:lang w:val="en-US"/>
        </w:rPr>
      </w:pPr>
      <w:r>
        <w:rPr>
          <w:rFonts w:hint="eastAsia" w:ascii="方正小标宋简体" w:hAnsi="方正小标宋简体" w:eastAsia="方正小标宋简体" w:cs="方正小标宋简体"/>
          <w:color w:val="auto"/>
          <w:kern w:val="2"/>
          <w:sz w:val="32"/>
          <w:szCs w:val="32"/>
          <w:lang w:val="en-US"/>
        </w:rPr>
        <w:t>专项</w:t>
      </w:r>
      <w:r>
        <w:rPr>
          <w:rFonts w:hint="eastAsia" w:ascii="方正小标宋简体" w:hAnsi="方正小标宋简体" w:eastAsia="方正小标宋简体" w:cs="方正小标宋简体"/>
          <w:b/>
          <w:bCs/>
          <w:color w:val="auto"/>
          <w:kern w:val="2"/>
          <w:sz w:val="32"/>
          <w:szCs w:val="32"/>
          <w:lang w:val="en-US"/>
        </w:rPr>
        <w:t>资金预</w:t>
      </w:r>
      <w:r>
        <w:rPr>
          <w:rFonts w:hint="eastAsia" w:ascii="方正小标宋简体" w:hAnsi="方正小标宋简体" w:eastAsia="方正小标宋简体" w:cs="方正小标宋简体"/>
          <w:color w:val="auto"/>
          <w:kern w:val="2"/>
          <w:sz w:val="32"/>
          <w:szCs w:val="32"/>
          <w:lang w:val="en-US"/>
        </w:rPr>
        <w:t>算项目绩效自评报告</w:t>
      </w:r>
    </w:p>
    <w:p>
      <w:pPr>
        <w:pStyle w:val="37"/>
        <w:spacing w:line="578" w:lineRule="exact"/>
        <w:ind w:firstLine="640"/>
        <w:jc w:val="center"/>
        <w:rPr>
          <w:rFonts w:ascii="宋体" w:hAnsi="宋体"/>
          <w:color w:val="auto"/>
          <w:kern w:val="2"/>
          <w:sz w:val="32"/>
          <w:szCs w:val="32"/>
        </w:rPr>
      </w:pPr>
    </w:p>
    <w:p>
      <w:pPr>
        <w:spacing w:line="353" w:lineRule="auto"/>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一、项目概况</w:t>
      </w:r>
    </w:p>
    <w:p>
      <w:pPr>
        <w:spacing w:line="353" w:lineRule="auto"/>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（一）项目基本情况。</w:t>
      </w:r>
    </w:p>
    <w:p>
      <w:pPr>
        <w:spacing w:line="353"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该项目实施单位为西区退役军人事务局中，由我局统一编制预算、统一制定绩效目标、统一项目资金管理、统一资金安排使用，对资金使用进行监督管理与审核、审批</w:t>
      </w:r>
      <w:r>
        <w:rPr>
          <w:rFonts w:ascii="Times New Roman" w:hAnsi="Times New Roman" w:eastAsia="仿宋_GB2312" w:cs="Times New Roman"/>
          <w:sz w:val="32"/>
          <w:szCs w:val="32"/>
        </w:rPr>
        <w:t>。</w:t>
      </w:r>
    </w:p>
    <w:p>
      <w:pPr>
        <w:spacing w:line="353"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2．项目立项、资金申报的依据。</w:t>
      </w:r>
    </w:p>
    <w:p>
      <w:pPr>
        <w:spacing w:line="353" w:lineRule="auto"/>
        <w:ind w:firstLine="640" w:firstLineChars="200"/>
        <w:rPr>
          <w:rFonts w:hint="eastAsia" w:ascii="Times New Roman" w:hAnsi="Times New Roman" w:eastAsia="仿宋_GB2312" w:cs="Times New Roman"/>
          <w:color w:val="auto"/>
          <w:sz w:val="32"/>
          <w:szCs w:val="32"/>
          <w:lang w:eastAsia="zh-CN"/>
        </w:rPr>
      </w:pPr>
      <w:r>
        <w:rPr>
          <w:rFonts w:hint="eastAsia" w:ascii="仿宋" w:hAnsi="仿宋" w:eastAsia="仿宋" w:cs="仿宋"/>
          <w:color w:val="auto"/>
          <w:sz w:val="32"/>
          <w:szCs w:val="32"/>
          <w:lang w:eastAsia="zh-CN"/>
        </w:rPr>
        <w:t>根据《军人抚恤优抚对象条例》相关政策文件要求，</w:t>
      </w:r>
      <w:r>
        <w:rPr>
          <w:rFonts w:hint="eastAsia" w:ascii="仿宋" w:hAnsi="仿宋" w:eastAsia="仿宋" w:cs="仿宋"/>
          <w:color w:val="auto"/>
          <w:sz w:val="32"/>
          <w:szCs w:val="32"/>
          <w:lang w:val="en-US" w:eastAsia="zh-CN"/>
        </w:rPr>
        <w:t>各级财政安排用于优抚对象等人员相关支出。包括：伤残人员（含残疾军人、伤残人民警察、伤残国家机关工作人员）的残疾抚恤资金，烈士褒扬金，“三属”（烈士遗属、因公牺牲军人遗属和病故军人遗属）的定期抚恤资金，“三红”（在乡退伍红军老战士、在乡西路红军老战士、红军失散人员）、在乡复员军人、带病回乡退伍军人、在农村的和城镇无工作单位且家庭困难的参战退役人员、部分原8023部队及其他参加核试验军队退役人员、直接参与铀矿开采军队退役人员、部分烈士子女（含新中国成立前错杀后被平反人员的子女）的定期生活补助资金，国家按规定向优抚对象发放的一次性生活补贴资金等。2022年西区发放</w:t>
      </w:r>
      <w:r>
        <w:rPr>
          <w:rFonts w:hint="eastAsia" w:ascii="仿宋" w:hAnsi="仿宋" w:eastAsia="仿宋" w:cs="仿宋"/>
          <w:color w:val="auto"/>
          <w:sz w:val="32"/>
          <w:szCs w:val="32"/>
        </w:rPr>
        <w:t>优抚对象抚恤和生活补助2175人次</w:t>
      </w:r>
      <w:r>
        <w:rPr>
          <w:rFonts w:hint="eastAsia" w:ascii="仿宋" w:hAnsi="仿宋" w:eastAsia="仿宋" w:cs="仿宋"/>
          <w:color w:val="auto"/>
          <w:sz w:val="32"/>
          <w:szCs w:val="32"/>
          <w:lang w:val="en-US" w:eastAsia="zh-CN"/>
        </w:rPr>
        <w:t>，项目申报与政策和需求相吻合。</w:t>
      </w:r>
    </w:p>
    <w:p>
      <w:pPr>
        <w:numPr>
          <w:ilvl w:val="0"/>
          <w:numId w:val="0"/>
        </w:numPr>
        <w:spacing w:line="353" w:lineRule="auto"/>
        <w:ind w:firstLine="64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资金管理办法制定情况，资金支持具体项目的条件、范围与支持方式概况。</w:t>
      </w:r>
    </w:p>
    <w:p>
      <w:pPr>
        <w:numPr>
          <w:ilvl w:val="0"/>
          <w:numId w:val="0"/>
        </w:numPr>
        <w:spacing w:line="353" w:lineRule="auto"/>
        <w:ind w:firstLine="640"/>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1）制度制定情况。为加强对财政资金的管理，不断提高使用绩效，按照内部控制建设要求，制定了财务管理制度，在资金使用上，严格按照资金使用用途进行审核审批，项目管理规范有序，确保资金使用安全。</w:t>
      </w:r>
    </w:p>
    <w:p>
      <w:pPr>
        <w:numPr>
          <w:ilvl w:val="0"/>
          <w:numId w:val="0"/>
        </w:numPr>
        <w:spacing w:line="353" w:lineRule="auto"/>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（2）资金支持项目的条件。按政策发放</w:t>
      </w:r>
      <w:r>
        <w:rPr>
          <w:rFonts w:hint="eastAsia" w:ascii="仿宋" w:hAnsi="仿宋" w:eastAsia="仿宋" w:cs="仿宋"/>
          <w:sz w:val="32"/>
          <w:szCs w:val="32"/>
        </w:rPr>
        <w:t>优抚对象抚恤和生活补</w:t>
      </w:r>
      <w:r>
        <w:rPr>
          <w:rFonts w:hint="eastAsia" w:ascii="仿宋" w:hAnsi="仿宋" w:eastAsia="仿宋" w:cs="仿宋"/>
          <w:color w:val="auto"/>
          <w:sz w:val="32"/>
          <w:szCs w:val="32"/>
        </w:rPr>
        <w:t>助2175人次</w:t>
      </w:r>
      <w:r>
        <w:rPr>
          <w:rFonts w:hint="eastAsia" w:ascii="仿宋" w:hAnsi="仿宋" w:eastAsia="仿宋" w:cs="仿宋"/>
          <w:sz w:val="32"/>
          <w:szCs w:val="32"/>
          <w:lang w:val="en-US" w:eastAsia="zh-CN"/>
        </w:rPr>
        <w:t>，通过抚恤补助发放确保优抚对象生活稳定，维护社会安定团结。</w:t>
      </w:r>
    </w:p>
    <w:p>
      <w:pPr>
        <w:numPr>
          <w:ilvl w:val="0"/>
          <w:numId w:val="0"/>
        </w:numPr>
        <w:spacing w:line="353" w:lineRule="auto"/>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（3）资金支付项目的范围。享受对象为“三属”人员、老复员军人、带病回乡人员、参战退役人员等。</w:t>
      </w:r>
    </w:p>
    <w:p>
      <w:pPr>
        <w:numPr>
          <w:ilvl w:val="0"/>
          <w:numId w:val="0"/>
        </w:numPr>
        <w:spacing w:line="353" w:lineRule="auto"/>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（4）资金支持的方式。纳入财政年度一般公共预算管理。</w:t>
      </w:r>
    </w:p>
    <w:p>
      <w:pPr>
        <w:spacing w:line="353"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4．资金分配的原则及考虑因素。</w:t>
      </w:r>
      <w:r>
        <w:rPr>
          <w:rFonts w:hint="eastAsia" w:ascii="仿宋" w:hAnsi="仿宋" w:eastAsia="仿宋" w:cs="仿宋"/>
          <w:color w:val="auto"/>
          <w:sz w:val="32"/>
          <w:szCs w:val="32"/>
          <w:lang w:eastAsia="zh-CN"/>
        </w:rPr>
        <w:t>根据相关政策文件，按补助标准</w:t>
      </w:r>
      <w:r>
        <w:rPr>
          <w:rFonts w:hint="eastAsia" w:ascii="仿宋" w:hAnsi="仿宋" w:eastAsia="仿宋" w:cs="仿宋"/>
          <w:color w:val="auto"/>
          <w:sz w:val="32"/>
          <w:szCs w:val="32"/>
          <w:lang w:val="en-US" w:eastAsia="zh-CN"/>
        </w:rPr>
        <w:t>发放。</w:t>
      </w:r>
    </w:p>
    <w:p>
      <w:pPr>
        <w:spacing w:line="353" w:lineRule="auto"/>
        <w:ind w:firstLine="640" w:firstLineChars="200"/>
        <w:rPr>
          <w:rFonts w:hint="eastAsia" w:ascii="Times New Roman" w:hAnsi="Times New Roman" w:eastAsia="楷体_GB2312" w:cs="Times New Roman"/>
          <w:color w:val="auto"/>
          <w:sz w:val="32"/>
          <w:szCs w:val="32"/>
        </w:rPr>
      </w:pPr>
      <w:r>
        <w:rPr>
          <w:rFonts w:hint="eastAsia" w:ascii="Times New Roman" w:hAnsi="Times New Roman" w:eastAsia="楷体_GB2312" w:cs="Times New Roman"/>
          <w:color w:val="auto"/>
          <w:sz w:val="32"/>
          <w:szCs w:val="32"/>
        </w:rPr>
        <w:t>（二）项目绩效目标。</w:t>
      </w:r>
    </w:p>
    <w:p>
      <w:pPr>
        <w:spacing w:line="353"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1．项目主要内容。</w:t>
      </w:r>
      <w:r>
        <w:rPr>
          <w:rFonts w:hint="eastAsia" w:ascii="仿宋" w:hAnsi="仿宋" w:eastAsia="仿宋" w:cs="仿宋"/>
          <w:sz w:val="32"/>
          <w:szCs w:val="32"/>
          <w:lang w:eastAsia="zh-CN"/>
        </w:rPr>
        <w:t>按政策按时足额发放各类优抚对象生活补助各类优抚对象抚恤补助标准按规定执行率达</w:t>
      </w:r>
      <w:r>
        <w:rPr>
          <w:rFonts w:hint="eastAsia" w:ascii="仿宋" w:hAnsi="仿宋" w:eastAsia="仿宋" w:cs="仿宋"/>
          <w:sz w:val="32"/>
          <w:szCs w:val="32"/>
          <w:lang w:val="en-US" w:eastAsia="zh-CN"/>
        </w:rPr>
        <w:t>100%各类优抚对象满意度大于等于95%</w:t>
      </w:r>
      <w:r>
        <w:rPr>
          <w:rFonts w:hint="eastAsia" w:ascii="仿宋" w:hAnsi="仿宋" w:eastAsia="仿宋" w:cs="仿宋"/>
          <w:sz w:val="32"/>
          <w:szCs w:val="32"/>
          <w:lang w:eastAsia="zh-CN"/>
        </w:rPr>
        <w:t>。</w:t>
      </w:r>
    </w:p>
    <w:p>
      <w:pPr>
        <w:spacing w:line="353"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2．项目</w:t>
      </w:r>
      <w:r>
        <w:rPr>
          <w:rFonts w:hint="eastAsia" w:ascii="仿宋" w:hAnsi="仿宋" w:eastAsia="仿宋" w:cs="仿宋"/>
          <w:sz w:val="32"/>
          <w:szCs w:val="32"/>
          <w:lang w:eastAsia="zh-CN"/>
        </w:rPr>
        <w:t>绩效目标。①项目完成</w:t>
      </w:r>
      <w:r>
        <w:rPr>
          <w:rFonts w:hint="eastAsia" w:ascii="仿宋" w:hAnsi="仿宋" w:eastAsia="仿宋" w:cs="仿宋"/>
          <w:color w:val="auto"/>
          <w:sz w:val="32"/>
          <w:szCs w:val="32"/>
          <w:lang w:val="en-US" w:eastAsia="zh-CN"/>
        </w:rPr>
        <w:t>。累计发放</w:t>
      </w:r>
      <w:r>
        <w:rPr>
          <w:rFonts w:hint="eastAsia" w:ascii="仿宋" w:hAnsi="仿宋" w:eastAsia="仿宋" w:cs="仿宋"/>
          <w:sz w:val="32"/>
          <w:szCs w:val="32"/>
        </w:rPr>
        <w:t>优抚对象抚恤和生活补</w:t>
      </w:r>
      <w:r>
        <w:rPr>
          <w:rFonts w:hint="eastAsia" w:ascii="仿宋" w:hAnsi="仿宋" w:eastAsia="仿宋" w:cs="仿宋"/>
          <w:color w:val="auto"/>
          <w:sz w:val="32"/>
          <w:szCs w:val="32"/>
        </w:rPr>
        <w:t>助2175</w:t>
      </w:r>
      <w:r>
        <w:rPr>
          <w:rFonts w:hint="eastAsia" w:ascii="仿宋" w:hAnsi="仿宋" w:eastAsia="仿宋" w:cs="仿宋"/>
          <w:sz w:val="32"/>
          <w:szCs w:val="32"/>
        </w:rPr>
        <w:t>人次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于2022年12月31日前全部完成补助发放。②项目效益。优抚对象抚恤补助资金支出有效保障伤残人员、“三属”人员、在乡复员军人、带病回乡退伍军人、60周岁以上农村籍退役士兵、烈士老年子女等优抚对象的生活，维护社会和谐稳定。③满意度指标</w:t>
      </w:r>
      <w:r>
        <w:rPr>
          <w:rFonts w:hint="eastAsia" w:ascii="仿宋" w:hAnsi="仿宋" w:eastAsia="仿宋" w:cs="仿宋"/>
          <w:sz w:val="32"/>
          <w:szCs w:val="32"/>
        </w:rPr>
        <w:t>。</w:t>
      </w:r>
      <w:r>
        <w:rPr>
          <w:rFonts w:hint="eastAsia" w:ascii="仿宋" w:hAnsi="仿宋" w:eastAsia="仿宋" w:cs="仿宋"/>
          <w:sz w:val="32"/>
          <w:szCs w:val="32"/>
          <w:lang w:eastAsia="zh-CN"/>
        </w:rPr>
        <w:t>优抚对象满意度满意度达到</w:t>
      </w:r>
      <w:r>
        <w:rPr>
          <w:rFonts w:hint="eastAsia" w:ascii="仿宋" w:hAnsi="仿宋" w:eastAsia="仿宋" w:cs="仿宋"/>
          <w:sz w:val="32"/>
          <w:szCs w:val="32"/>
          <w:lang w:val="en-US" w:eastAsia="zh-CN"/>
        </w:rPr>
        <w:t>90%以上。</w:t>
      </w:r>
    </w:p>
    <w:p>
      <w:pPr>
        <w:spacing w:line="353"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绩效申报分析。该项目的设立依据充分，符合政策文件相关要求，立项程序合规，目标设定切实可行，经费安排与工作相适应，资金用途明确。</w:t>
      </w:r>
    </w:p>
    <w:p>
      <w:pPr>
        <w:spacing w:line="353" w:lineRule="auto"/>
        <w:ind w:firstLine="640" w:firstLineChars="200"/>
        <w:rPr>
          <w:rFonts w:hint="eastAsia" w:ascii="Times New Roman" w:hAnsi="Times New Roman" w:eastAsia="楷体_GB2312" w:cs="Times New Roman"/>
          <w:color w:val="auto"/>
          <w:sz w:val="32"/>
          <w:szCs w:val="32"/>
        </w:rPr>
      </w:pPr>
      <w:r>
        <w:rPr>
          <w:rFonts w:hint="eastAsia" w:ascii="Times New Roman" w:hAnsi="Times New Roman" w:eastAsia="楷体_GB2312" w:cs="Times New Roman"/>
          <w:color w:val="auto"/>
          <w:sz w:val="32"/>
          <w:szCs w:val="32"/>
        </w:rPr>
        <w:t>（三）项目自评步骤及方法。</w:t>
      </w:r>
    </w:p>
    <w:p>
      <w:pPr>
        <w:spacing w:line="353"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区退役军人事务局根据财政支出绩效评价指标体系及项目的实际情况设计指标体系进行评价，组织相关科室人员对本项目进行自评检查。</w:t>
      </w:r>
    </w:p>
    <w:p>
      <w:pPr>
        <w:spacing w:line="353"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 资料收集。梳理项目资料，核实项目情况，统计项目数据。</w:t>
      </w:r>
    </w:p>
    <w:p>
      <w:pPr>
        <w:spacing w:line="353"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 绩效自评。根据资料收集的情况，按照区财政支出绩效评价指标体系，以定量与定性相结合的方式，对项目绩效情况进行判断，对项目存在的问题进行分析，对各项考评指标进行自评。</w:t>
      </w:r>
    </w:p>
    <w:p>
      <w:pPr>
        <w:spacing w:line="353"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 撰写报告。结合项目定性与定量评价分析，得出自评结论，并撰写自评报告</w:t>
      </w:r>
      <w:r>
        <w:rPr>
          <w:rFonts w:hint="eastAsia" w:ascii="仿宋" w:hAnsi="仿宋" w:eastAsia="仿宋" w:cs="仿宋"/>
          <w:sz w:val="32"/>
          <w:szCs w:val="32"/>
        </w:rPr>
        <w:t>。</w:t>
      </w:r>
    </w:p>
    <w:p>
      <w:pPr>
        <w:spacing w:line="353" w:lineRule="auto"/>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二、项目资金申报及使用情况</w:t>
      </w:r>
    </w:p>
    <w:p>
      <w:pPr>
        <w:spacing w:line="353" w:lineRule="auto"/>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（一）项目资金申报及批复情况。</w:t>
      </w:r>
    </w:p>
    <w:p>
      <w:pPr>
        <w:spacing w:line="353" w:lineRule="auto"/>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纳入本次评价的重点优抚对象抚恤和生活补助项目由区退役军人事务局根据相关规定年初纳入部门预算，上报区财政局，由区财政局审核后出具正式预算批</w:t>
      </w:r>
      <w:r>
        <w:rPr>
          <w:rFonts w:hint="eastAsia" w:ascii="Times New Roman" w:hAnsi="Times New Roman" w:eastAsia="仿宋_GB2312" w:cs="Times New Roman"/>
          <w:color w:val="auto"/>
          <w:sz w:val="32"/>
          <w:szCs w:val="32"/>
          <w:lang w:val="en-US" w:eastAsia="zh-CN"/>
        </w:rPr>
        <w:t>复。</w:t>
      </w:r>
      <w:r>
        <w:rPr>
          <w:rFonts w:hint="eastAsia" w:ascii="Times New Roman" w:hAnsi="Times New Roman" w:eastAsia="仿宋_GB2312" w:cs="Times New Roman"/>
          <w:sz w:val="32"/>
          <w:szCs w:val="32"/>
          <w:lang w:val="en-US" w:eastAsia="zh-CN"/>
        </w:rPr>
        <w:t>项目批复预算资金</w:t>
      </w:r>
      <w:r>
        <w:rPr>
          <w:rFonts w:hint="eastAsia" w:cs="Times New Roman"/>
          <w:sz w:val="32"/>
          <w:szCs w:val="32"/>
          <w:lang w:val="en-US" w:eastAsia="zh-CN"/>
        </w:rPr>
        <w:t>73.32</w:t>
      </w:r>
      <w:r>
        <w:rPr>
          <w:rFonts w:hint="eastAsia" w:ascii="Times New Roman" w:hAnsi="Times New Roman" w:eastAsia="仿宋_GB2312" w:cs="Times New Roman"/>
          <w:sz w:val="32"/>
          <w:szCs w:val="32"/>
          <w:lang w:val="en-US" w:eastAsia="zh-CN"/>
        </w:rPr>
        <w:t>万元，年底据实结算。</w:t>
      </w:r>
    </w:p>
    <w:p>
      <w:pPr>
        <w:spacing w:line="353" w:lineRule="auto"/>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（二）资金计划、到位及使用情况（可用表格形式反映）。</w:t>
      </w:r>
    </w:p>
    <w:p>
      <w:pPr>
        <w:spacing w:line="353"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1．资金计划。</w:t>
      </w:r>
    </w:p>
    <w:p>
      <w:pPr>
        <w:spacing w:line="353"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202</w:t>
      </w:r>
      <w:r>
        <w:rPr>
          <w:rFonts w:hint="eastAsia" w:cs="Times New Roman"/>
          <w:sz w:val="32"/>
          <w:szCs w:val="32"/>
          <w:lang w:val="en-US" w:eastAsia="zh-CN"/>
        </w:rPr>
        <w:t>2</w:t>
      </w:r>
      <w:r>
        <w:rPr>
          <w:rFonts w:hint="eastAsia" w:ascii="Times New Roman" w:hAnsi="Times New Roman" w:eastAsia="仿宋_GB2312" w:cs="Times New Roman"/>
          <w:sz w:val="32"/>
          <w:szCs w:val="32"/>
          <w:lang w:val="en-US" w:eastAsia="zh-CN"/>
        </w:rPr>
        <w:t>年申报年初预算</w:t>
      </w:r>
      <w:r>
        <w:rPr>
          <w:rFonts w:hint="eastAsia" w:cs="Times New Roman"/>
          <w:sz w:val="32"/>
          <w:szCs w:val="32"/>
          <w:lang w:val="en-US" w:eastAsia="zh-CN"/>
        </w:rPr>
        <w:t>73.32</w:t>
      </w:r>
      <w:r>
        <w:rPr>
          <w:rFonts w:hint="eastAsia" w:ascii="Times New Roman" w:hAnsi="Times New Roman" w:eastAsia="仿宋_GB2312" w:cs="Times New Roman"/>
          <w:sz w:val="32"/>
          <w:szCs w:val="32"/>
          <w:lang w:val="en-US" w:eastAsia="zh-CN"/>
        </w:rPr>
        <w:t>万元，年底据实结算</w:t>
      </w:r>
      <w:r>
        <w:rPr>
          <w:rFonts w:ascii="Times New Roman" w:hAnsi="Times New Roman" w:eastAsia="仿宋_GB2312" w:cs="Times New Roman"/>
          <w:sz w:val="32"/>
          <w:szCs w:val="32"/>
        </w:rPr>
        <w:t>。</w:t>
      </w:r>
    </w:p>
    <w:p>
      <w:pPr>
        <w:spacing w:line="353"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2．资金到位。</w:t>
      </w:r>
    </w:p>
    <w:p>
      <w:pPr>
        <w:spacing w:line="353"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202</w:t>
      </w:r>
      <w:r>
        <w:rPr>
          <w:rFonts w:hint="eastAsia" w:cs="Times New Roman"/>
          <w:sz w:val="32"/>
          <w:szCs w:val="32"/>
          <w:lang w:val="en-US" w:eastAsia="zh-CN"/>
        </w:rPr>
        <w:t>2</w:t>
      </w:r>
      <w:r>
        <w:rPr>
          <w:rFonts w:hint="eastAsia" w:ascii="Times New Roman" w:hAnsi="Times New Roman" w:eastAsia="仿宋_GB2312" w:cs="Times New Roman"/>
          <w:sz w:val="32"/>
          <w:szCs w:val="32"/>
          <w:lang w:val="en-US" w:eastAsia="zh-CN"/>
        </w:rPr>
        <w:t>年实际到位资金</w:t>
      </w:r>
      <w:r>
        <w:rPr>
          <w:rFonts w:hint="eastAsia" w:cs="Times New Roman"/>
          <w:sz w:val="32"/>
          <w:szCs w:val="32"/>
          <w:lang w:val="en-US" w:eastAsia="zh-CN"/>
        </w:rPr>
        <w:t>461.31</w:t>
      </w:r>
      <w:r>
        <w:rPr>
          <w:rFonts w:hint="eastAsia" w:ascii="Times New Roman" w:hAnsi="Times New Roman" w:eastAsia="仿宋_GB2312" w:cs="Times New Roman"/>
          <w:sz w:val="32"/>
          <w:szCs w:val="32"/>
          <w:lang w:val="en-US" w:eastAsia="zh-CN"/>
        </w:rPr>
        <w:t>万元，资金到位率100%，到位及时</w:t>
      </w:r>
      <w:r>
        <w:rPr>
          <w:rFonts w:ascii="Times New Roman" w:hAnsi="Times New Roman" w:eastAsia="仿宋_GB2312" w:cs="Times New Roman"/>
          <w:sz w:val="32"/>
          <w:szCs w:val="32"/>
        </w:rPr>
        <w:t>。</w:t>
      </w:r>
    </w:p>
    <w:p>
      <w:pPr>
        <w:spacing w:line="353"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3．资金使用。</w:t>
      </w:r>
    </w:p>
    <w:p>
      <w:pPr>
        <w:spacing w:line="353"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截止评价时点，202</w:t>
      </w:r>
      <w:r>
        <w:rPr>
          <w:rFonts w:hint="eastAsia" w:cs="Times New Roman"/>
          <w:sz w:val="32"/>
          <w:szCs w:val="32"/>
          <w:lang w:val="en-US" w:eastAsia="zh-CN"/>
        </w:rPr>
        <w:t>2</w:t>
      </w:r>
      <w:r>
        <w:rPr>
          <w:rFonts w:hint="eastAsia" w:ascii="Times New Roman" w:hAnsi="Times New Roman" w:eastAsia="仿宋_GB2312" w:cs="Times New Roman"/>
          <w:sz w:val="32"/>
          <w:szCs w:val="32"/>
          <w:lang w:val="en-US" w:eastAsia="zh-CN"/>
        </w:rPr>
        <w:t>年重点优抚对象抚恤和生活补助共支出</w:t>
      </w:r>
      <w:r>
        <w:rPr>
          <w:rFonts w:hint="eastAsia" w:cs="Times New Roman"/>
          <w:sz w:val="32"/>
          <w:szCs w:val="32"/>
          <w:lang w:val="en-US" w:eastAsia="zh-CN"/>
        </w:rPr>
        <w:t>460.9</w:t>
      </w:r>
      <w:r>
        <w:rPr>
          <w:rFonts w:hint="eastAsia" w:ascii="Times New Roman" w:hAnsi="Times New Roman" w:eastAsia="仿宋_GB2312" w:cs="Times New Roman"/>
          <w:sz w:val="32"/>
          <w:szCs w:val="32"/>
          <w:lang w:val="en-US" w:eastAsia="zh-CN"/>
        </w:rPr>
        <w:t>万元，</w:t>
      </w:r>
      <w:r>
        <w:rPr>
          <w:rFonts w:hint="eastAsia" w:ascii="Times New Roman" w:hAnsi="Times New Roman" w:eastAsia="仿宋_GB2312" w:cs="Times New Roman"/>
          <w:sz w:val="32"/>
          <w:szCs w:val="32"/>
          <w:lang w:eastAsia="zh-CN"/>
        </w:rPr>
        <w:t>当年全部发放到位。资金开支范围、标准及支付进度等符合规定，按实际发生额进行支付，并严格按照财务管理制度审核支付，支付依据合规合法</w:t>
      </w:r>
      <w:r>
        <w:rPr>
          <w:rFonts w:ascii="Times New Roman" w:hAnsi="Times New Roman" w:eastAsia="仿宋_GB2312" w:cs="Times New Roman"/>
          <w:sz w:val="32"/>
          <w:szCs w:val="32"/>
        </w:rPr>
        <w:t>。</w:t>
      </w:r>
    </w:p>
    <w:p>
      <w:pPr>
        <w:spacing w:line="353" w:lineRule="auto"/>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（三）项目财务管理情况。</w:t>
      </w:r>
    </w:p>
    <w:p>
      <w:pPr>
        <w:spacing w:line="353"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该项目在财务管理上，按照内部控制建设要求，制定了相关财务管理制度，在资金使用上，严格按照资金使用用途进行审核审批，项目管理规范有序，财务核算及时，会计信息真实</w:t>
      </w:r>
      <w:r>
        <w:rPr>
          <w:rFonts w:ascii="Times New Roman" w:hAnsi="Times New Roman" w:eastAsia="仿宋_GB2312" w:cs="Times New Roman"/>
          <w:sz w:val="32"/>
          <w:szCs w:val="32"/>
        </w:rPr>
        <w:t>。</w:t>
      </w:r>
    </w:p>
    <w:p>
      <w:pPr>
        <w:spacing w:line="353" w:lineRule="auto"/>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三、项目实施及管理情况</w:t>
      </w:r>
    </w:p>
    <w:p>
      <w:pPr>
        <w:spacing w:line="353" w:lineRule="auto"/>
        <w:ind w:firstLine="640" w:firstLineChars="200"/>
        <w:rPr>
          <w:rFonts w:hint="eastAsia" w:ascii="Times New Roman" w:hAnsi="Times New Roman" w:eastAsia="仿宋_GB2312" w:cs="Times New Roman"/>
          <w:sz w:val="32"/>
          <w:szCs w:val="32"/>
          <w:lang w:eastAsia="zh-CN"/>
        </w:rPr>
      </w:pPr>
      <w:r>
        <w:rPr>
          <w:rFonts w:ascii="Times New Roman" w:hAnsi="Times New Roman" w:eastAsia="楷体_GB2312" w:cs="Times New Roman"/>
          <w:color w:val="auto"/>
          <w:sz w:val="32"/>
          <w:szCs w:val="32"/>
        </w:rPr>
        <w:t>（一）项目组织架构及实施流程。</w:t>
      </w:r>
      <w:r>
        <w:rPr>
          <w:rFonts w:hint="eastAsia" w:ascii="Times New Roman" w:hAnsi="Times New Roman" w:eastAsia="仿宋_GB2312" w:cs="Times New Roman"/>
          <w:sz w:val="32"/>
          <w:szCs w:val="32"/>
          <w:lang w:eastAsia="zh-CN"/>
        </w:rPr>
        <w:t>该项目属于人头经费范围，项目组织架构与内控管理组织架构一致，主要责任人为单位主要负责人，分管责任人为财务分管领导和业务分管领导，项目实施责任人为业务股室主要负责人。实施流程由业务股室进行退役士兵的接收安置、相关资料收集审核，分管领导复核，单位主要负责人终审。</w:t>
      </w:r>
    </w:p>
    <w:p>
      <w:pPr>
        <w:spacing w:line="353" w:lineRule="auto"/>
        <w:ind w:firstLine="640" w:firstLineChars="200"/>
        <w:rPr>
          <w:rFonts w:ascii="Times New Roman" w:hAnsi="Times New Roman" w:eastAsia="仿宋_GB2312" w:cs="Times New Roman"/>
          <w:color w:val="auto"/>
          <w:sz w:val="32"/>
          <w:szCs w:val="32"/>
        </w:rPr>
      </w:pPr>
      <w:r>
        <w:rPr>
          <w:rFonts w:ascii="Times New Roman" w:hAnsi="Times New Roman" w:eastAsia="楷体_GB2312" w:cs="Times New Roman"/>
          <w:sz w:val="32"/>
          <w:szCs w:val="32"/>
        </w:rPr>
        <w:t>（二）项目管理情况。</w:t>
      </w:r>
      <w:r>
        <w:rPr>
          <w:rFonts w:hint="eastAsia" w:ascii="Times New Roman" w:hAnsi="Times New Roman" w:eastAsia="仿宋_GB2312" w:cs="Times New Roman"/>
          <w:sz w:val="32"/>
          <w:szCs w:val="32"/>
          <w:lang w:eastAsia="zh-CN"/>
        </w:rPr>
        <w:t>在资金管理上，按照内部控制建设要求，制定了财务管理制度、资产管理制度等，在资金使用上，严格按照资金作用用途进行审核审批，项目管理规范有序</w:t>
      </w:r>
      <w:r>
        <w:rPr>
          <w:rFonts w:ascii="Times New Roman" w:hAnsi="Times New Roman" w:eastAsia="仿宋_GB2312" w:cs="Times New Roman"/>
          <w:sz w:val="32"/>
          <w:szCs w:val="32"/>
        </w:rPr>
        <w:t>。</w:t>
      </w:r>
    </w:p>
    <w:p>
      <w:pPr>
        <w:spacing w:line="353" w:lineRule="auto"/>
        <w:ind w:firstLine="640" w:firstLineChars="200"/>
        <w:rPr>
          <w:rFonts w:hint="eastAsia" w:ascii="Times New Roman" w:hAnsi="Times New Roman" w:eastAsia="仿宋_GB2312" w:cs="Times New Roman"/>
          <w:sz w:val="32"/>
          <w:szCs w:val="32"/>
          <w:lang w:eastAsia="zh-CN"/>
        </w:rPr>
      </w:pPr>
      <w:r>
        <w:rPr>
          <w:rFonts w:ascii="Times New Roman" w:hAnsi="Times New Roman" w:eastAsia="楷体_GB2312" w:cs="Times New Roman"/>
          <w:color w:val="auto"/>
          <w:sz w:val="32"/>
          <w:szCs w:val="32"/>
        </w:rPr>
        <w:t>（三）项目监管情况。</w:t>
      </w:r>
      <w:r>
        <w:rPr>
          <w:rFonts w:hint="eastAsia" w:ascii="Times New Roman" w:hAnsi="Times New Roman" w:eastAsia="仿宋_GB2312" w:cs="Times New Roman"/>
          <w:sz w:val="32"/>
          <w:szCs w:val="32"/>
          <w:lang w:eastAsia="zh-CN"/>
        </w:rPr>
        <w:t>资金支付由业务股室通过惠民资金一卡通审批系统经办—办公室审核—财政局归口股室审核—办公室财务岗拨付。</w:t>
      </w:r>
    </w:p>
    <w:p>
      <w:pPr>
        <w:spacing w:line="353" w:lineRule="auto"/>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四、项目绩效情况</w:t>
      </w:r>
    </w:p>
    <w:p>
      <w:pPr>
        <w:spacing w:line="353" w:lineRule="auto"/>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（一）项目完成情况。</w:t>
      </w:r>
    </w:p>
    <w:p>
      <w:pPr>
        <w:spacing w:line="353"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color w:val="auto"/>
          <w:sz w:val="32"/>
          <w:szCs w:val="32"/>
          <w:lang w:val="en-US" w:eastAsia="zh-CN"/>
        </w:rPr>
        <w:t>202</w:t>
      </w:r>
      <w:r>
        <w:rPr>
          <w:rFonts w:hint="eastAsia"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年</w:t>
      </w:r>
      <w:r>
        <w:rPr>
          <w:rFonts w:eastAsia="仿宋_GB2312"/>
          <w:color w:val="auto"/>
          <w:sz w:val="32"/>
          <w:szCs w:val="32"/>
        </w:rPr>
        <w:t>发放优抚对象抚恤和生活补助</w:t>
      </w:r>
      <w:r>
        <w:rPr>
          <w:rFonts w:hint="eastAsia" w:eastAsia="仿宋_GB2312"/>
          <w:color w:val="auto"/>
          <w:sz w:val="32"/>
          <w:szCs w:val="32"/>
        </w:rPr>
        <w:t>2175</w:t>
      </w:r>
      <w:r>
        <w:rPr>
          <w:rFonts w:eastAsia="仿宋_GB2312"/>
          <w:color w:val="auto"/>
          <w:sz w:val="32"/>
          <w:szCs w:val="32"/>
        </w:rPr>
        <w:t>人次</w:t>
      </w:r>
      <w:r>
        <w:rPr>
          <w:rFonts w:hint="eastAsia"/>
          <w:color w:val="auto"/>
          <w:sz w:val="32"/>
          <w:szCs w:val="32"/>
          <w:lang w:val="en-US" w:eastAsia="zh-CN"/>
        </w:rPr>
        <w:t>460.9</w:t>
      </w:r>
      <w:r>
        <w:rPr>
          <w:rFonts w:eastAsia="仿宋_GB2312"/>
          <w:sz w:val="32"/>
          <w:szCs w:val="32"/>
        </w:rPr>
        <w:t>万元</w:t>
      </w:r>
      <w:r>
        <w:rPr>
          <w:rFonts w:hint="eastAsia" w:ascii="Times New Roman" w:hAnsi="Times New Roman" w:eastAsia="仿宋_GB2312" w:cs="Times New Roman"/>
          <w:sz w:val="32"/>
          <w:szCs w:val="32"/>
          <w:lang w:val="en-US" w:eastAsia="zh-CN"/>
        </w:rPr>
        <w:t>，按标准足额及时发放，发放率达到100%，于202</w:t>
      </w:r>
      <w:r>
        <w:rPr>
          <w:rFonts w:hint="eastAsia" w:cs="Times New Roman"/>
          <w:sz w:val="32"/>
          <w:szCs w:val="32"/>
          <w:lang w:val="en-US" w:eastAsia="zh-CN"/>
        </w:rPr>
        <w:t>2</w:t>
      </w:r>
      <w:r>
        <w:rPr>
          <w:rFonts w:hint="eastAsia" w:ascii="Times New Roman" w:hAnsi="Times New Roman" w:eastAsia="仿宋_GB2312" w:cs="Times New Roman"/>
          <w:sz w:val="32"/>
          <w:szCs w:val="32"/>
          <w:lang w:val="en-US" w:eastAsia="zh-CN"/>
        </w:rPr>
        <w:t>年12月31日前按时足额完成补助发放</w:t>
      </w:r>
      <w:r>
        <w:rPr>
          <w:rFonts w:ascii="Times New Roman" w:hAnsi="Times New Roman" w:eastAsia="仿宋_GB2312" w:cs="Times New Roman"/>
          <w:sz w:val="32"/>
          <w:szCs w:val="32"/>
        </w:rPr>
        <w:t>。</w:t>
      </w:r>
    </w:p>
    <w:p>
      <w:pPr>
        <w:spacing w:line="353" w:lineRule="auto"/>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（二）项目效益情况。</w:t>
      </w:r>
    </w:p>
    <w:p>
      <w:pPr>
        <w:spacing w:line="353"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该项目实施解决重点优抚对象生活困难，维护社会稳定，让重点优抚对象感受到党和政府的关怀</w:t>
      </w:r>
      <w:r>
        <w:rPr>
          <w:rFonts w:ascii="Times New Roman" w:hAnsi="Times New Roman" w:eastAsia="仿宋_GB2312" w:cs="Times New Roman"/>
          <w:sz w:val="32"/>
          <w:szCs w:val="32"/>
        </w:rPr>
        <w:t>。</w:t>
      </w:r>
    </w:p>
    <w:p>
      <w:pPr>
        <w:spacing w:line="353" w:lineRule="auto"/>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五、评价结论及建议</w:t>
      </w:r>
    </w:p>
    <w:p>
      <w:pPr>
        <w:spacing w:line="353" w:lineRule="auto"/>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（一）评价结论。</w:t>
      </w:r>
    </w:p>
    <w:p>
      <w:pPr>
        <w:spacing w:line="353"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color w:val="auto"/>
          <w:sz w:val="32"/>
          <w:szCs w:val="32"/>
          <w:lang w:eastAsia="zh-CN"/>
        </w:rPr>
        <w:t>该项目立项依据充分，根据《军人抚恤优待条例》相关政策文件要求设立，立项程序合规，目标设定切实可行，经费安排与工作相适应，资金用途明确，内控措施较为健全，严格按照政策文件的规定执行，工作轨迹资料齐全，财务管理制度健全，资金拨付审批程序合规，财务核算及时，会计信息真实，工作开展成效明显，服务对象满意度高，资金使用绩效好。自评得分</w:t>
      </w:r>
      <w:r>
        <w:rPr>
          <w:rFonts w:hint="eastAsia" w:eastAsia="仿宋_GB2312" w:cs="Times New Roman"/>
          <w:color w:val="auto"/>
          <w:sz w:val="32"/>
          <w:szCs w:val="32"/>
          <w:lang w:val="en-US" w:eastAsia="zh-CN"/>
        </w:rPr>
        <w:t>100</w:t>
      </w:r>
      <w:r>
        <w:rPr>
          <w:rFonts w:hint="eastAsia" w:ascii="Times New Roman" w:hAnsi="Times New Roman" w:eastAsia="仿宋_GB2312" w:cs="Times New Roman"/>
          <w:color w:val="auto"/>
          <w:sz w:val="32"/>
          <w:szCs w:val="32"/>
          <w:lang w:val="en-US" w:eastAsia="zh-CN"/>
        </w:rPr>
        <w:t>分。</w:t>
      </w:r>
    </w:p>
    <w:p>
      <w:pPr>
        <w:spacing w:line="353" w:lineRule="auto"/>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（二）存在的问题。</w:t>
      </w:r>
    </w:p>
    <w:p>
      <w:pPr>
        <w:spacing w:line="353"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无</w:t>
      </w:r>
      <w:r>
        <w:rPr>
          <w:rFonts w:ascii="Times New Roman" w:hAnsi="Times New Roman" w:eastAsia="仿宋_GB2312" w:cs="Times New Roman"/>
          <w:sz w:val="32"/>
          <w:szCs w:val="32"/>
        </w:rPr>
        <w:t>。</w:t>
      </w:r>
    </w:p>
    <w:p>
      <w:pPr>
        <w:spacing w:line="353" w:lineRule="auto"/>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（三）相关建议。</w:t>
      </w:r>
    </w:p>
    <w:p>
      <w:pPr>
        <w:spacing w:line="353"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根据具体项目实施情况，由经办业务股室对相关监管制度进行梳理，针对项目实际进一步完善相关制度</w:t>
      </w:r>
      <w:r>
        <w:rPr>
          <w:rFonts w:ascii="Times New Roman" w:hAnsi="Times New Roman" w:eastAsia="仿宋_GB2312" w:cs="Times New Roman"/>
          <w:sz w:val="32"/>
          <w:szCs w:val="32"/>
        </w:rPr>
        <w:t>。</w:t>
      </w:r>
    </w:p>
    <w:p>
      <w:pPr>
        <w:spacing w:line="353" w:lineRule="auto"/>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2.建议财政组织各单位财务人员及内控牵头部门负责人进行业务培训，熟悉财政政策和资金管理相关规定，不断提高业务水平。</w:t>
      </w:r>
    </w:p>
    <w:p>
      <w:pPr>
        <w:widowControl/>
        <w:jc w:val="left"/>
        <w:rPr>
          <w:rStyle w:val="31"/>
          <w:rFonts w:ascii="黑体" w:hAnsi="黑体" w:eastAsia="黑体"/>
          <w:b w:val="0"/>
        </w:rPr>
      </w:pPr>
    </w:p>
    <w:p>
      <w:pPr>
        <w:spacing w:line="600" w:lineRule="exact"/>
        <w:jc w:val="center"/>
        <w:outlineLvl w:val="0"/>
        <w:rPr>
          <w:rFonts w:hint="eastAsia" w:ascii="黑体" w:hAnsi="黑体" w:eastAsia="黑体"/>
          <w:sz w:val="44"/>
          <w:szCs w:val="44"/>
        </w:rPr>
      </w:pPr>
      <w:bookmarkStart w:id="53" w:name="_Toc15396618"/>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ascii="仿宋" w:hAnsi="仿宋" w:eastAsia="仿宋"/>
        </w:rPr>
      </w:pPr>
      <w:r>
        <w:rPr>
          <w:rFonts w:hint="eastAsia" w:ascii="黑体" w:hAnsi="黑体" w:eastAsia="黑体"/>
          <w:sz w:val="44"/>
          <w:szCs w:val="44"/>
        </w:rPr>
        <w:t>第</w:t>
      </w:r>
      <w:r>
        <w:rPr>
          <w:rStyle w:val="31"/>
          <w:rFonts w:hint="eastAsia" w:ascii="黑体" w:hAnsi="黑体" w:eastAsia="黑体"/>
          <w:b w:val="0"/>
        </w:rPr>
        <w:t>五部分 附表</w:t>
      </w:r>
      <w:bookmarkEnd w:id="51"/>
      <w:bookmarkEnd w:id="53"/>
      <w:bookmarkStart w:id="54" w:name="_Toc15396619"/>
    </w:p>
    <w:p>
      <w:pPr>
        <w:pStyle w:val="4"/>
        <w:rPr>
          <w:rFonts w:ascii="仿宋" w:hAnsi="仿宋" w:eastAsia="仿宋"/>
        </w:rPr>
      </w:pPr>
      <w:r>
        <w:rPr>
          <w:rFonts w:hint="eastAsia" w:ascii="仿宋" w:hAnsi="仿宋" w:eastAsia="仿宋"/>
          <w:b w:val="0"/>
        </w:rPr>
        <w:t>一、收</w:t>
      </w:r>
      <w:r>
        <w:rPr>
          <w:rStyle w:val="32"/>
          <w:rFonts w:hint="eastAsia" w:ascii="仿宋" w:hAnsi="仿宋" w:eastAsia="仿宋"/>
          <w:b w:val="0"/>
          <w:bCs w:val="0"/>
        </w:rPr>
        <w:t>入支出决算总表</w:t>
      </w:r>
      <w:bookmarkEnd w:id="54"/>
    </w:p>
    <w:p>
      <w:pPr>
        <w:pStyle w:val="4"/>
        <w:rPr>
          <w:rFonts w:ascii="仿宋" w:hAnsi="仿宋" w:eastAsia="仿宋"/>
        </w:rPr>
      </w:pPr>
      <w:bookmarkStart w:id="55" w:name="_Toc15396620"/>
      <w:r>
        <w:rPr>
          <w:rFonts w:hint="eastAsia" w:ascii="仿宋" w:hAnsi="仿宋" w:eastAsia="仿宋"/>
          <w:b w:val="0"/>
        </w:rPr>
        <w:t>二、收</w:t>
      </w:r>
      <w:r>
        <w:rPr>
          <w:rStyle w:val="32"/>
          <w:rFonts w:hint="eastAsia" w:ascii="仿宋" w:hAnsi="仿宋" w:eastAsia="仿宋"/>
          <w:b w:val="0"/>
          <w:bCs w:val="0"/>
        </w:rPr>
        <w:t>入决算表</w:t>
      </w:r>
      <w:bookmarkEnd w:id="55"/>
    </w:p>
    <w:p>
      <w:pPr>
        <w:pStyle w:val="4"/>
        <w:rPr>
          <w:rFonts w:ascii="仿宋" w:hAnsi="仿宋" w:eastAsia="仿宋"/>
        </w:rPr>
      </w:pPr>
      <w:bookmarkStart w:id="56" w:name="_Toc15396621"/>
      <w:r>
        <w:rPr>
          <w:rStyle w:val="32"/>
          <w:rFonts w:hint="eastAsia" w:ascii="仿宋" w:hAnsi="仿宋" w:eastAsia="仿宋"/>
          <w:b w:val="0"/>
          <w:bCs w:val="0"/>
        </w:rPr>
        <w:t>三、</w:t>
      </w:r>
      <w:r>
        <w:rPr>
          <w:rFonts w:hint="eastAsia" w:ascii="仿宋" w:hAnsi="仿宋" w:eastAsia="仿宋"/>
          <w:b w:val="0"/>
        </w:rPr>
        <w:t>支</w:t>
      </w:r>
      <w:r>
        <w:rPr>
          <w:rStyle w:val="32"/>
          <w:rFonts w:hint="eastAsia" w:ascii="仿宋" w:hAnsi="仿宋" w:eastAsia="仿宋"/>
          <w:b w:val="0"/>
          <w:bCs w:val="0"/>
        </w:rPr>
        <w:t>出决算表</w:t>
      </w:r>
      <w:bookmarkEnd w:id="56"/>
    </w:p>
    <w:p>
      <w:pPr>
        <w:pStyle w:val="4"/>
        <w:rPr>
          <w:rFonts w:ascii="仿宋" w:hAnsi="仿宋" w:eastAsia="仿宋"/>
          <w:b w:val="0"/>
        </w:rPr>
      </w:pPr>
      <w:bookmarkStart w:id="57" w:name="_Toc15396622"/>
      <w:r>
        <w:rPr>
          <w:rStyle w:val="32"/>
          <w:rFonts w:hint="eastAsia" w:ascii="仿宋" w:hAnsi="仿宋" w:eastAsia="仿宋"/>
          <w:b w:val="0"/>
          <w:bCs w:val="0"/>
        </w:rPr>
        <w:t>四、</w:t>
      </w:r>
      <w:r>
        <w:rPr>
          <w:rFonts w:hint="eastAsia" w:ascii="仿宋" w:hAnsi="仿宋" w:eastAsia="仿宋"/>
          <w:b w:val="0"/>
        </w:rPr>
        <w:t>财</w:t>
      </w:r>
      <w:r>
        <w:rPr>
          <w:rStyle w:val="32"/>
          <w:rFonts w:hint="eastAsia" w:ascii="仿宋" w:hAnsi="仿宋" w:eastAsia="仿宋"/>
          <w:b w:val="0"/>
          <w:bCs w:val="0"/>
        </w:rPr>
        <w:t>政拨款收入支出决算总表</w:t>
      </w:r>
      <w:bookmarkEnd w:id="57"/>
    </w:p>
    <w:p>
      <w:pPr>
        <w:pStyle w:val="4"/>
        <w:rPr>
          <w:rStyle w:val="32"/>
          <w:rFonts w:ascii="仿宋" w:hAnsi="仿宋" w:eastAsia="仿宋"/>
          <w:b w:val="0"/>
          <w:bCs w:val="0"/>
        </w:rPr>
      </w:pPr>
      <w:bookmarkStart w:id="58" w:name="_Toc15396623"/>
      <w:r>
        <w:rPr>
          <w:rStyle w:val="32"/>
          <w:rFonts w:hint="eastAsia" w:ascii="仿宋" w:hAnsi="仿宋" w:eastAsia="仿宋"/>
          <w:b w:val="0"/>
          <w:bCs w:val="0"/>
        </w:rPr>
        <w:t>五、</w:t>
      </w:r>
      <w:r>
        <w:rPr>
          <w:rFonts w:hint="eastAsia" w:ascii="仿宋" w:hAnsi="仿宋" w:eastAsia="仿宋"/>
          <w:b w:val="0"/>
        </w:rPr>
        <w:t>财</w:t>
      </w:r>
      <w:r>
        <w:rPr>
          <w:rStyle w:val="32"/>
          <w:rFonts w:hint="eastAsia" w:ascii="仿宋" w:hAnsi="仿宋" w:eastAsia="仿宋"/>
          <w:b w:val="0"/>
          <w:bCs w:val="0"/>
        </w:rPr>
        <w:t>政拨款支出决算明细表</w:t>
      </w:r>
      <w:bookmarkEnd w:id="58"/>
      <w:bookmarkStart w:id="59" w:name="_Toc15396624"/>
    </w:p>
    <w:p>
      <w:pPr>
        <w:pStyle w:val="4"/>
        <w:rPr>
          <w:rFonts w:ascii="仿宋" w:hAnsi="仿宋" w:eastAsia="仿宋"/>
        </w:rPr>
      </w:pPr>
      <w:r>
        <w:rPr>
          <w:rStyle w:val="32"/>
          <w:rFonts w:hint="eastAsia" w:ascii="仿宋" w:hAnsi="仿宋" w:eastAsia="仿宋"/>
          <w:b w:val="0"/>
          <w:bCs w:val="0"/>
        </w:rPr>
        <w:t>六、</w:t>
      </w:r>
      <w:r>
        <w:rPr>
          <w:rFonts w:hint="eastAsia" w:ascii="仿宋" w:hAnsi="仿宋" w:eastAsia="仿宋"/>
          <w:b w:val="0"/>
        </w:rPr>
        <w:t>一</w:t>
      </w:r>
      <w:r>
        <w:rPr>
          <w:rStyle w:val="32"/>
          <w:rFonts w:hint="eastAsia" w:ascii="仿宋" w:hAnsi="仿宋" w:eastAsia="仿宋"/>
          <w:b w:val="0"/>
          <w:bCs w:val="0"/>
        </w:rPr>
        <w:t>般公共预算财政拨款支出决算表</w:t>
      </w:r>
      <w:bookmarkEnd w:id="59"/>
    </w:p>
    <w:p>
      <w:pPr>
        <w:pStyle w:val="4"/>
        <w:rPr>
          <w:rFonts w:ascii="仿宋" w:hAnsi="仿宋" w:eastAsia="仿宋"/>
        </w:rPr>
      </w:pPr>
      <w:bookmarkStart w:id="60" w:name="_Toc15396625"/>
      <w:r>
        <w:rPr>
          <w:rStyle w:val="32"/>
          <w:rFonts w:hint="eastAsia" w:ascii="仿宋" w:hAnsi="仿宋" w:eastAsia="仿宋"/>
          <w:b w:val="0"/>
          <w:bCs w:val="0"/>
        </w:rPr>
        <w:t>七、</w:t>
      </w:r>
      <w:r>
        <w:rPr>
          <w:rFonts w:hint="eastAsia" w:ascii="仿宋" w:hAnsi="仿宋" w:eastAsia="仿宋"/>
          <w:b w:val="0"/>
        </w:rPr>
        <w:t>一</w:t>
      </w:r>
      <w:r>
        <w:rPr>
          <w:rStyle w:val="32"/>
          <w:rFonts w:hint="eastAsia" w:ascii="仿宋" w:hAnsi="仿宋" w:eastAsia="仿宋"/>
          <w:b w:val="0"/>
          <w:bCs w:val="0"/>
        </w:rPr>
        <w:t>般公共预算财政拨款支出决算明细表</w:t>
      </w:r>
      <w:bookmarkEnd w:id="60"/>
    </w:p>
    <w:p>
      <w:pPr>
        <w:pStyle w:val="4"/>
        <w:rPr>
          <w:rFonts w:ascii="仿宋" w:hAnsi="仿宋" w:eastAsia="仿宋"/>
        </w:rPr>
      </w:pPr>
      <w:bookmarkStart w:id="61" w:name="_Toc15396626"/>
      <w:r>
        <w:rPr>
          <w:rStyle w:val="32"/>
          <w:rFonts w:hint="eastAsia" w:ascii="仿宋" w:hAnsi="仿宋" w:eastAsia="仿宋"/>
          <w:b w:val="0"/>
          <w:bCs w:val="0"/>
        </w:rPr>
        <w:t>八、</w:t>
      </w:r>
      <w:r>
        <w:rPr>
          <w:rFonts w:hint="eastAsia" w:ascii="仿宋" w:hAnsi="仿宋" w:eastAsia="仿宋"/>
          <w:b w:val="0"/>
        </w:rPr>
        <w:t>一</w:t>
      </w:r>
      <w:r>
        <w:rPr>
          <w:rStyle w:val="32"/>
          <w:rFonts w:hint="eastAsia" w:ascii="仿宋" w:hAnsi="仿宋" w:eastAsia="仿宋"/>
          <w:b w:val="0"/>
          <w:bCs w:val="0"/>
        </w:rPr>
        <w:t>般公共预算财政拨款基本支出决算表</w:t>
      </w:r>
      <w:bookmarkEnd w:id="61"/>
    </w:p>
    <w:p>
      <w:pPr>
        <w:pStyle w:val="4"/>
        <w:rPr>
          <w:rFonts w:ascii="仿宋" w:hAnsi="仿宋" w:eastAsia="仿宋"/>
        </w:rPr>
      </w:pPr>
      <w:bookmarkStart w:id="62" w:name="_Toc15396627"/>
      <w:r>
        <w:rPr>
          <w:rStyle w:val="32"/>
          <w:rFonts w:hint="eastAsia" w:ascii="仿宋" w:hAnsi="仿宋" w:eastAsia="仿宋"/>
          <w:b w:val="0"/>
          <w:bCs w:val="0"/>
        </w:rPr>
        <w:t>九、</w:t>
      </w:r>
      <w:r>
        <w:rPr>
          <w:rFonts w:hint="eastAsia" w:ascii="仿宋" w:hAnsi="仿宋" w:eastAsia="仿宋"/>
          <w:b w:val="0"/>
        </w:rPr>
        <w:t>一</w:t>
      </w:r>
      <w:r>
        <w:rPr>
          <w:rStyle w:val="32"/>
          <w:rFonts w:hint="eastAsia" w:ascii="仿宋" w:hAnsi="仿宋" w:eastAsia="仿宋"/>
          <w:b w:val="0"/>
          <w:bCs w:val="0"/>
        </w:rPr>
        <w:t>般公共预算财政拨款项目支出决算表</w:t>
      </w:r>
      <w:bookmarkEnd w:id="62"/>
    </w:p>
    <w:p>
      <w:pPr>
        <w:pStyle w:val="4"/>
        <w:rPr>
          <w:rFonts w:ascii="仿宋" w:hAnsi="仿宋" w:eastAsia="仿宋"/>
        </w:rPr>
      </w:pPr>
      <w:bookmarkStart w:id="63" w:name="_Toc15396628"/>
      <w:r>
        <w:rPr>
          <w:rStyle w:val="32"/>
          <w:rFonts w:hint="eastAsia" w:ascii="仿宋" w:hAnsi="仿宋" w:eastAsia="仿宋"/>
          <w:b w:val="0"/>
          <w:bCs w:val="0"/>
        </w:rPr>
        <w:t>十、</w:t>
      </w:r>
      <w:bookmarkEnd w:id="63"/>
      <w:r>
        <w:rPr>
          <w:rFonts w:hint="eastAsia" w:ascii="仿宋" w:hAnsi="仿宋" w:eastAsia="仿宋"/>
          <w:b w:val="0"/>
        </w:rPr>
        <w:t>政</w:t>
      </w:r>
      <w:r>
        <w:rPr>
          <w:rStyle w:val="32"/>
          <w:rFonts w:hint="eastAsia" w:ascii="仿宋" w:hAnsi="仿宋" w:eastAsia="仿宋"/>
          <w:b w:val="0"/>
          <w:bCs w:val="0"/>
        </w:rPr>
        <w:t>府性基金预算财政拨款收入支出决算表</w:t>
      </w:r>
    </w:p>
    <w:p>
      <w:pPr>
        <w:pStyle w:val="4"/>
        <w:rPr>
          <w:rFonts w:ascii="仿宋" w:hAnsi="仿宋" w:eastAsia="仿宋"/>
        </w:rPr>
      </w:pPr>
      <w:bookmarkStart w:id="64" w:name="_Toc15396629"/>
      <w:r>
        <w:rPr>
          <w:rStyle w:val="32"/>
          <w:rFonts w:hint="eastAsia" w:ascii="仿宋" w:hAnsi="仿宋" w:eastAsia="仿宋"/>
          <w:b w:val="0"/>
          <w:bCs w:val="0"/>
        </w:rPr>
        <w:t>十一、</w:t>
      </w:r>
      <w:bookmarkEnd w:id="64"/>
      <w:r>
        <w:rPr>
          <w:rFonts w:hint="eastAsia" w:ascii="仿宋" w:hAnsi="仿宋" w:eastAsia="仿宋"/>
          <w:b w:val="0"/>
        </w:rPr>
        <w:t>国</w:t>
      </w:r>
      <w:r>
        <w:rPr>
          <w:rStyle w:val="32"/>
          <w:rFonts w:hint="eastAsia" w:ascii="仿宋" w:hAnsi="仿宋" w:eastAsia="仿宋"/>
          <w:b w:val="0"/>
          <w:bCs w:val="0"/>
        </w:rPr>
        <w:t>有资本经营预算财政拨款收入支出决算表</w:t>
      </w:r>
    </w:p>
    <w:p>
      <w:pPr>
        <w:pStyle w:val="4"/>
        <w:rPr>
          <w:rFonts w:ascii="仿宋" w:hAnsi="仿宋" w:eastAsia="仿宋"/>
        </w:rPr>
      </w:pPr>
      <w:bookmarkStart w:id="65" w:name="_Toc15396630"/>
      <w:r>
        <w:rPr>
          <w:rStyle w:val="32"/>
          <w:rFonts w:hint="eastAsia" w:ascii="仿宋" w:hAnsi="仿宋" w:eastAsia="仿宋"/>
          <w:b w:val="0"/>
          <w:bCs w:val="0"/>
        </w:rPr>
        <w:t>十二、</w:t>
      </w:r>
      <w:bookmarkEnd w:id="65"/>
      <w:r>
        <w:rPr>
          <w:rStyle w:val="32"/>
          <w:rFonts w:hint="eastAsia" w:ascii="仿宋" w:hAnsi="仿宋" w:eastAsia="仿宋"/>
          <w:b w:val="0"/>
          <w:bCs w:val="0"/>
        </w:rPr>
        <w:t>国有资本经营预算财政拨款支出决算表</w:t>
      </w:r>
    </w:p>
    <w:p>
      <w:pPr>
        <w:pStyle w:val="4"/>
        <w:rPr>
          <w:rFonts w:eastAsia="仿宋"/>
        </w:rPr>
      </w:pPr>
      <w:bookmarkStart w:id="66" w:name="_Toc15396631"/>
      <w:r>
        <w:rPr>
          <w:rStyle w:val="32"/>
          <w:rFonts w:hint="eastAsia" w:ascii="仿宋" w:hAnsi="仿宋" w:eastAsia="仿宋"/>
          <w:b w:val="0"/>
          <w:bCs w:val="0"/>
        </w:rPr>
        <w:t>十三、</w:t>
      </w:r>
      <w:bookmarkEnd w:id="66"/>
      <w:r>
        <w:rPr>
          <w:rStyle w:val="32"/>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等线">
    <w:altName w:val="宋体"/>
    <w:panose1 w:val="00000000000000000000"/>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Helvetica Neue">
    <w:altName w:val="Times New Roman"/>
    <w:panose1 w:val="00000000000000000000"/>
    <w:charset w:val="00"/>
    <w:family w:val="auto"/>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1"/>
          <w:jc w:val="center"/>
        </w:pPr>
        <w:r>
          <w:fldChar w:fldCharType="begin"/>
        </w:r>
        <w:r>
          <w:instrText xml:space="preserve">PAGE   \* MERGEFORMAT</w:instrText>
        </w:r>
        <w:r>
          <w:fldChar w:fldCharType="separate"/>
        </w:r>
        <w:r>
          <w:rPr>
            <w:lang w:val="zh-CN"/>
          </w:rPr>
          <w:t>2</w:t>
        </w:r>
        <w:r>
          <w:rPr>
            <w:lang w:val="zh-CN"/>
          </w:rPr>
          <w:fldChar w:fldCharType="end"/>
        </w:r>
      </w:p>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DEBEF323"/>
    <w:multiLevelType w:val="singleLevel"/>
    <w:tmpl w:val="DEBEF323"/>
    <w:lvl w:ilvl="0" w:tentative="0">
      <w:start w:val="4"/>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FFF674BC"/>
    <w:multiLevelType w:val="singleLevel"/>
    <w:tmpl w:val="FFF674BC"/>
    <w:lvl w:ilvl="0" w:tentative="0">
      <w:start w:val="1"/>
      <w:numFmt w:val="chineseCounting"/>
      <w:suff w:val="nothing"/>
      <w:lvlText w:val="%1、"/>
      <w:lvlJc w:val="left"/>
      <w:rPr>
        <w:rFonts w:hint="eastAsia"/>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2ZWExMDIwMTAyNTlkY2I3MDQ0MGE2NzkwYzQ5NGQifQ=="/>
  </w:docVars>
  <w:rsids>
    <w:rsidRoot w:val="00F1361C"/>
    <w:rsid w:val="0000573B"/>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6A0C"/>
    <w:rsid w:val="000E7119"/>
    <w:rsid w:val="00104167"/>
    <w:rsid w:val="00114E9B"/>
    <w:rsid w:val="00136D0C"/>
    <w:rsid w:val="00142216"/>
    <w:rsid w:val="00144D6A"/>
    <w:rsid w:val="0014729F"/>
    <w:rsid w:val="00157BAB"/>
    <w:rsid w:val="001654D1"/>
    <w:rsid w:val="00174518"/>
    <w:rsid w:val="0018106D"/>
    <w:rsid w:val="001877A7"/>
    <w:rsid w:val="00191536"/>
    <w:rsid w:val="00196687"/>
    <w:rsid w:val="001C0962"/>
    <w:rsid w:val="001D7531"/>
    <w:rsid w:val="001E2FF1"/>
    <w:rsid w:val="001E737D"/>
    <w:rsid w:val="001F0592"/>
    <w:rsid w:val="001F7506"/>
    <w:rsid w:val="002006CD"/>
    <w:rsid w:val="00202B36"/>
    <w:rsid w:val="00204B7A"/>
    <w:rsid w:val="00204CDE"/>
    <w:rsid w:val="0021101A"/>
    <w:rsid w:val="00217081"/>
    <w:rsid w:val="00220536"/>
    <w:rsid w:val="00235629"/>
    <w:rsid w:val="00247B82"/>
    <w:rsid w:val="00260C38"/>
    <w:rsid w:val="002616C0"/>
    <w:rsid w:val="00265372"/>
    <w:rsid w:val="002662AA"/>
    <w:rsid w:val="00280496"/>
    <w:rsid w:val="0028492E"/>
    <w:rsid w:val="00294DC9"/>
    <w:rsid w:val="00295495"/>
    <w:rsid w:val="002A31DE"/>
    <w:rsid w:val="002B2613"/>
    <w:rsid w:val="002D6D05"/>
    <w:rsid w:val="002F1818"/>
    <w:rsid w:val="002F4DC0"/>
    <w:rsid w:val="002F567B"/>
    <w:rsid w:val="0030113A"/>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46E63"/>
    <w:rsid w:val="00467094"/>
    <w:rsid w:val="00471401"/>
    <w:rsid w:val="00473F31"/>
    <w:rsid w:val="0048263A"/>
    <w:rsid w:val="00487E5D"/>
    <w:rsid w:val="004A711F"/>
    <w:rsid w:val="004B199D"/>
    <w:rsid w:val="004B4690"/>
    <w:rsid w:val="004E0A2D"/>
    <w:rsid w:val="004E206B"/>
    <w:rsid w:val="004E6DF7"/>
    <w:rsid w:val="004F0FBD"/>
    <w:rsid w:val="00504819"/>
    <w:rsid w:val="00505A47"/>
    <w:rsid w:val="00512FDA"/>
    <w:rsid w:val="00520DA0"/>
    <w:rsid w:val="00525E15"/>
    <w:rsid w:val="00527DF2"/>
    <w:rsid w:val="005664BB"/>
    <w:rsid w:val="00566FFA"/>
    <w:rsid w:val="00567C81"/>
    <w:rsid w:val="0057481D"/>
    <w:rsid w:val="0058486E"/>
    <w:rsid w:val="00585B33"/>
    <w:rsid w:val="00586F76"/>
    <w:rsid w:val="0059014D"/>
    <w:rsid w:val="005B5C64"/>
    <w:rsid w:val="005B67C6"/>
    <w:rsid w:val="005C5337"/>
    <w:rsid w:val="005C6BD0"/>
    <w:rsid w:val="005D1C8B"/>
    <w:rsid w:val="005D468D"/>
    <w:rsid w:val="005D5CED"/>
    <w:rsid w:val="005D7D8C"/>
    <w:rsid w:val="005F1A4C"/>
    <w:rsid w:val="00605688"/>
    <w:rsid w:val="006070AF"/>
    <w:rsid w:val="00607E6C"/>
    <w:rsid w:val="006101B1"/>
    <w:rsid w:val="00614E44"/>
    <w:rsid w:val="0062270A"/>
    <w:rsid w:val="00622830"/>
    <w:rsid w:val="00623DA0"/>
    <w:rsid w:val="00630AEF"/>
    <w:rsid w:val="006325F8"/>
    <w:rsid w:val="00633463"/>
    <w:rsid w:val="00634C9A"/>
    <w:rsid w:val="006424CF"/>
    <w:rsid w:val="006440E4"/>
    <w:rsid w:val="0066343B"/>
    <w:rsid w:val="00664777"/>
    <w:rsid w:val="0067280B"/>
    <w:rsid w:val="006748A4"/>
    <w:rsid w:val="00681A31"/>
    <w:rsid w:val="00683E73"/>
    <w:rsid w:val="006A3141"/>
    <w:rsid w:val="006A5E34"/>
    <w:rsid w:val="006B2422"/>
    <w:rsid w:val="006B2B9A"/>
    <w:rsid w:val="006C1937"/>
    <w:rsid w:val="006E5FA5"/>
    <w:rsid w:val="006F020C"/>
    <w:rsid w:val="00706172"/>
    <w:rsid w:val="007063D2"/>
    <w:rsid w:val="0071071A"/>
    <w:rsid w:val="00711147"/>
    <w:rsid w:val="007127B7"/>
    <w:rsid w:val="0071798E"/>
    <w:rsid w:val="00717A1D"/>
    <w:rsid w:val="007416B6"/>
    <w:rsid w:val="00746F48"/>
    <w:rsid w:val="0075404D"/>
    <w:rsid w:val="0076182A"/>
    <w:rsid w:val="00767B7E"/>
    <w:rsid w:val="007770C3"/>
    <w:rsid w:val="00784D24"/>
    <w:rsid w:val="00785FBA"/>
    <w:rsid w:val="00786E4A"/>
    <w:rsid w:val="007875EB"/>
    <w:rsid w:val="007925E1"/>
    <w:rsid w:val="0079426B"/>
    <w:rsid w:val="007B3498"/>
    <w:rsid w:val="007D1682"/>
    <w:rsid w:val="007D312A"/>
    <w:rsid w:val="007D3F19"/>
    <w:rsid w:val="007E23B0"/>
    <w:rsid w:val="007E23E5"/>
    <w:rsid w:val="007F1991"/>
    <w:rsid w:val="007F2C2F"/>
    <w:rsid w:val="007F55FC"/>
    <w:rsid w:val="007F5665"/>
    <w:rsid w:val="00800112"/>
    <w:rsid w:val="008012DE"/>
    <w:rsid w:val="00813348"/>
    <w:rsid w:val="008253BB"/>
    <w:rsid w:val="0083706E"/>
    <w:rsid w:val="008408F6"/>
    <w:rsid w:val="008423A5"/>
    <w:rsid w:val="00850625"/>
    <w:rsid w:val="00853718"/>
    <w:rsid w:val="00855221"/>
    <w:rsid w:val="00860645"/>
    <w:rsid w:val="00871F71"/>
    <w:rsid w:val="00872FD8"/>
    <w:rsid w:val="00885AF4"/>
    <w:rsid w:val="008939CD"/>
    <w:rsid w:val="008A0921"/>
    <w:rsid w:val="008B768C"/>
    <w:rsid w:val="008C4DB1"/>
    <w:rsid w:val="008C4EAF"/>
    <w:rsid w:val="008C5176"/>
    <w:rsid w:val="008C7FD0"/>
    <w:rsid w:val="008D2653"/>
    <w:rsid w:val="008E1DE7"/>
    <w:rsid w:val="008E707C"/>
    <w:rsid w:val="00900B08"/>
    <w:rsid w:val="00902155"/>
    <w:rsid w:val="00902FA3"/>
    <w:rsid w:val="00923564"/>
    <w:rsid w:val="0092392E"/>
    <w:rsid w:val="009315F9"/>
    <w:rsid w:val="00933499"/>
    <w:rsid w:val="00935C98"/>
    <w:rsid w:val="00943DCE"/>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E4DB6"/>
    <w:rsid w:val="009F1185"/>
    <w:rsid w:val="009F18CD"/>
    <w:rsid w:val="009F2A13"/>
    <w:rsid w:val="009F5540"/>
    <w:rsid w:val="009F7527"/>
    <w:rsid w:val="00A04EB0"/>
    <w:rsid w:val="00A13CC1"/>
    <w:rsid w:val="00A16847"/>
    <w:rsid w:val="00A237D8"/>
    <w:rsid w:val="00A268C4"/>
    <w:rsid w:val="00A307CD"/>
    <w:rsid w:val="00A331C8"/>
    <w:rsid w:val="00A40A00"/>
    <w:rsid w:val="00A4142F"/>
    <w:rsid w:val="00A422EB"/>
    <w:rsid w:val="00A45BB7"/>
    <w:rsid w:val="00A50676"/>
    <w:rsid w:val="00A56DF2"/>
    <w:rsid w:val="00A56E6E"/>
    <w:rsid w:val="00A67AB5"/>
    <w:rsid w:val="00A733B2"/>
    <w:rsid w:val="00A741C2"/>
    <w:rsid w:val="00A85770"/>
    <w:rsid w:val="00A91760"/>
    <w:rsid w:val="00A93B00"/>
    <w:rsid w:val="00A93C21"/>
    <w:rsid w:val="00AB64C9"/>
    <w:rsid w:val="00AC3C6A"/>
    <w:rsid w:val="00AD07A0"/>
    <w:rsid w:val="00AD5620"/>
    <w:rsid w:val="00AD656B"/>
    <w:rsid w:val="00AD7C1B"/>
    <w:rsid w:val="00AE16BA"/>
    <w:rsid w:val="00AE1EBE"/>
    <w:rsid w:val="00AF0A50"/>
    <w:rsid w:val="00B01117"/>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352B"/>
    <w:rsid w:val="00B77EA6"/>
    <w:rsid w:val="00B81598"/>
    <w:rsid w:val="00B841F1"/>
    <w:rsid w:val="00B944D6"/>
    <w:rsid w:val="00BB4DF0"/>
    <w:rsid w:val="00BC289F"/>
    <w:rsid w:val="00BC2D50"/>
    <w:rsid w:val="00BC5361"/>
    <w:rsid w:val="00BC5460"/>
    <w:rsid w:val="00BC6B50"/>
    <w:rsid w:val="00BD0E25"/>
    <w:rsid w:val="00BE0023"/>
    <w:rsid w:val="00BF5BD6"/>
    <w:rsid w:val="00C03E31"/>
    <w:rsid w:val="00C33E72"/>
    <w:rsid w:val="00C354B2"/>
    <w:rsid w:val="00C35554"/>
    <w:rsid w:val="00C42709"/>
    <w:rsid w:val="00C52575"/>
    <w:rsid w:val="00C533CC"/>
    <w:rsid w:val="00C5751C"/>
    <w:rsid w:val="00C61BFC"/>
    <w:rsid w:val="00C62B85"/>
    <w:rsid w:val="00C65438"/>
    <w:rsid w:val="00C85C0C"/>
    <w:rsid w:val="00C87FD8"/>
    <w:rsid w:val="00C91381"/>
    <w:rsid w:val="00C91CBB"/>
    <w:rsid w:val="00CB4E70"/>
    <w:rsid w:val="00CC09B6"/>
    <w:rsid w:val="00CC666F"/>
    <w:rsid w:val="00CC6BAC"/>
    <w:rsid w:val="00CD1E3F"/>
    <w:rsid w:val="00CE44F6"/>
    <w:rsid w:val="00CE49DA"/>
    <w:rsid w:val="00CE7B61"/>
    <w:rsid w:val="00D00095"/>
    <w:rsid w:val="00D114F0"/>
    <w:rsid w:val="00D20620"/>
    <w:rsid w:val="00D21FE9"/>
    <w:rsid w:val="00D254F7"/>
    <w:rsid w:val="00D26091"/>
    <w:rsid w:val="00D2685C"/>
    <w:rsid w:val="00D34E7C"/>
    <w:rsid w:val="00D34F17"/>
    <w:rsid w:val="00D35489"/>
    <w:rsid w:val="00D36AFE"/>
    <w:rsid w:val="00D4145D"/>
    <w:rsid w:val="00D51276"/>
    <w:rsid w:val="00D7035F"/>
    <w:rsid w:val="00D95577"/>
    <w:rsid w:val="00DA26F5"/>
    <w:rsid w:val="00DA3D6E"/>
    <w:rsid w:val="00DA634F"/>
    <w:rsid w:val="00DA65AC"/>
    <w:rsid w:val="00DB1913"/>
    <w:rsid w:val="00DC410D"/>
    <w:rsid w:val="00DC4B63"/>
    <w:rsid w:val="00DC5A81"/>
    <w:rsid w:val="00DC68CA"/>
    <w:rsid w:val="00DC7CBA"/>
    <w:rsid w:val="00DD73B7"/>
    <w:rsid w:val="00DF06E2"/>
    <w:rsid w:val="00DF28BC"/>
    <w:rsid w:val="00DF34B9"/>
    <w:rsid w:val="00E01053"/>
    <w:rsid w:val="00E07ACF"/>
    <w:rsid w:val="00E22135"/>
    <w:rsid w:val="00E331A1"/>
    <w:rsid w:val="00E33202"/>
    <w:rsid w:val="00E336A9"/>
    <w:rsid w:val="00E43767"/>
    <w:rsid w:val="00E472B1"/>
    <w:rsid w:val="00E50624"/>
    <w:rsid w:val="00E5285B"/>
    <w:rsid w:val="00E568DF"/>
    <w:rsid w:val="00E64269"/>
    <w:rsid w:val="00E747EB"/>
    <w:rsid w:val="00E82267"/>
    <w:rsid w:val="00E853CE"/>
    <w:rsid w:val="00E867B6"/>
    <w:rsid w:val="00EA010F"/>
    <w:rsid w:val="00ED1B63"/>
    <w:rsid w:val="00ED3C1F"/>
    <w:rsid w:val="00ED4085"/>
    <w:rsid w:val="00ED420E"/>
    <w:rsid w:val="00ED6F5B"/>
    <w:rsid w:val="00ED6FBE"/>
    <w:rsid w:val="00EE2F57"/>
    <w:rsid w:val="00EF39C0"/>
    <w:rsid w:val="00EF4C34"/>
    <w:rsid w:val="00EF77C6"/>
    <w:rsid w:val="00F05438"/>
    <w:rsid w:val="00F1361C"/>
    <w:rsid w:val="00F156F0"/>
    <w:rsid w:val="00F160C7"/>
    <w:rsid w:val="00F2408F"/>
    <w:rsid w:val="00F240E9"/>
    <w:rsid w:val="00F25C22"/>
    <w:rsid w:val="00F273CD"/>
    <w:rsid w:val="00F36D8F"/>
    <w:rsid w:val="00F417B1"/>
    <w:rsid w:val="00F45853"/>
    <w:rsid w:val="00F602DF"/>
    <w:rsid w:val="00F754A1"/>
    <w:rsid w:val="00F81FD9"/>
    <w:rsid w:val="00F841AA"/>
    <w:rsid w:val="00F84A94"/>
    <w:rsid w:val="00F87E96"/>
    <w:rsid w:val="00FA23E8"/>
    <w:rsid w:val="00FD3683"/>
    <w:rsid w:val="00FD3CC1"/>
    <w:rsid w:val="00FF1E02"/>
    <w:rsid w:val="00FF30B4"/>
    <w:rsid w:val="01180257"/>
    <w:rsid w:val="015975B8"/>
    <w:rsid w:val="01CB578C"/>
    <w:rsid w:val="02143E91"/>
    <w:rsid w:val="029304E6"/>
    <w:rsid w:val="066E0107"/>
    <w:rsid w:val="07996F6E"/>
    <w:rsid w:val="0A2032A3"/>
    <w:rsid w:val="0F98263C"/>
    <w:rsid w:val="101860EC"/>
    <w:rsid w:val="10983EE8"/>
    <w:rsid w:val="10C055FF"/>
    <w:rsid w:val="118107EC"/>
    <w:rsid w:val="11C64150"/>
    <w:rsid w:val="13803A8F"/>
    <w:rsid w:val="13D50BC4"/>
    <w:rsid w:val="16BB723D"/>
    <w:rsid w:val="1BE8440E"/>
    <w:rsid w:val="1D155CEE"/>
    <w:rsid w:val="1EC7098C"/>
    <w:rsid w:val="1FF35744"/>
    <w:rsid w:val="23860B96"/>
    <w:rsid w:val="240371BF"/>
    <w:rsid w:val="29FD04D3"/>
    <w:rsid w:val="2A451287"/>
    <w:rsid w:val="2C8A61B5"/>
    <w:rsid w:val="2DF04E50"/>
    <w:rsid w:val="2F040D46"/>
    <w:rsid w:val="2F1464CC"/>
    <w:rsid w:val="319F7F4E"/>
    <w:rsid w:val="3304709D"/>
    <w:rsid w:val="3306160A"/>
    <w:rsid w:val="36AA5135"/>
    <w:rsid w:val="376D39B2"/>
    <w:rsid w:val="37E16F03"/>
    <w:rsid w:val="387A4724"/>
    <w:rsid w:val="38D469F0"/>
    <w:rsid w:val="3AE5305A"/>
    <w:rsid w:val="3D98207C"/>
    <w:rsid w:val="3E78745D"/>
    <w:rsid w:val="44E268DA"/>
    <w:rsid w:val="4A627F82"/>
    <w:rsid w:val="4B0E749A"/>
    <w:rsid w:val="4B4F25DA"/>
    <w:rsid w:val="4BE068DB"/>
    <w:rsid w:val="4D577224"/>
    <w:rsid w:val="4EAB630A"/>
    <w:rsid w:val="4ECE2238"/>
    <w:rsid w:val="537E6D0A"/>
    <w:rsid w:val="56CC541F"/>
    <w:rsid w:val="5AF92295"/>
    <w:rsid w:val="5CD71FC4"/>
    <w:rsid w:val="6037173E"/>
    <w:rsid w:val="6081798E"/>
    <w:rsid w:val="6C4A05C8"/>
    <w:rsid w:val="6D8276B5"/>
    <w:rsid w:val="6E7E3605"/>
    <w:rsid w:val="6FF5CC65"/>
    <w:rsid w:val="715C0E4B"/>
    <w:rsid w:val="72734D90"/>
    <w:rsid w:val="73AD73D5"/>
    <w:rsid w:val="73B6EB34"/>
    <w:rsid w:val="744731E5"/>
    <w:rsid w:val="76E3355F"/>
    <w:rsid w:val="778769C8"/>
    <w:rsid w:val="79EE5BA4"/>
    <w:rsid w:val="7A894339"/>
    <w:rsid w:val="7EEF11D3"/>
    <w:rsid w:val="7FA30C79"/>
    <w:rsid w:val="7FB7269E"/>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5"/>
    <w:unhideWhenUsed/>
    <w:qFormat/>
    <w:uiPriority w:val="9"/>
    <w:pPr>
      <w:keepNext/>
      <w:keepLines/>
      <w:spacing w:before="260" w:after="260" w:line="416" w:lineRule="auto"/>
      <w:outlineLvl w:val="2"/>
    </w:pPr>
    <w:rPr>
      <w:b/>
      <w:bCs/>
      <w:sz w:val="32"/>
      <w:szCs w:val="32"/>
    </w:rPr>
  </w:style>
  <w:style w:type="character" w:default="1" w:styleId="18">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2">
    <w:name w:val="Salutation"/>
    <w:basedOn w:val="1"/>
    <w:next w:val="1"/>
    <w:unhideWhenUsed/>
    <w:qFormat/>
    <w:uiPriority w:val="99"/>
    <w:rPr>
      <w:rFonts w:ascii="Times New Roman" w:hAnsi="Times New Roman"/>
    </w:rPr>
  </w:style>
  <w:style w:type="paragraph" w:styleId="6">
    <w:name w:val="Body Text"/>
    <w:basedOn w:val="1"/>
    <w:link w:val="28"/>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Plain Text"/>
    <w:basedOn w:val="1"/>
    <w:link w:val="53"/>
    <w:qFormat/>
    <w:uiPriority w:val="0"/>
    <w:rPr>
      <w:rFonts w:ascii="仿宋_GB2312" w:eastAsia="仿宋_GB2312"/>
      <w:spacing w:val="-70"/>
      <w:sz w:val="32"/>
      <w:szCs w:val="32"/>
    </w:rPr>
  </w:style>
  <w:style w:type="paragraph" w:styleId="10">
    <w:name w:val="Balloon Text"/>
    <w:basedOn w:val="1"/>
    <w:link w:val="34"/>
    <w:unhideWhenUsed/>
    <w:qFormat/>
    <w:uiPriority w:val="99"/>
    <w:rPr>
      <w:sz w:val="18"/>
      <w:szCs w:val="18"/>
    </w:rPr>
  </w:style>
  <w:style w:type="paragraph" w:styleId="11">
    <w:name w:val="footer"/>
    <w:basedOn w:val="1"/>
    <w:link w:val="26"/>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4"/>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paragraph" w:styleId="15">
    <w:name w:val="Normal (Web)"/>
    <w:basedOn w:val="1"/>
    <w:unhideWhenUsed/>
    <w:qFormat/>
    <w:uiPriority w:val="99"/>
    <w:pPr>
      <w:spacing w:beforeAutospacing="1" w:afterAutospacing="1"/>
      <w:jc w:val="left"/>
    </w:pPr>
    <w:rPr>
      <w:kern w:val="0"/>
      <w:sz w:val="24"/>
    </w:rPr>
  </w:style>
  <w:style w:type="paragraph" w:styleId="16">
    <w:name w:val="Body Text First Indent 2"/>
    <w:basedOn w:val="7"/>
    <w:unhideWhenUsed/>
    <w:qFormat/>
    <w:uiPriority w:val="99"/>
    <w:pPr>
      <w:ind w:firstLine="420" w:firstLineChars="200"/>
    </w:pPr>
  </w:style>
  <w:style w:type="character" w:styleId="19">
    <w:name w:val="Strong"/>
    <w:basedOn w:val="18"/>
    <w:qFormat/>
    <w:uiPriority w:val="99"/>
    <w:rPr>
      <w:b/>
    </w:rPr>
  </w:style>
  <w:style w:type="character" w:styleId="20">
    <w:name w:val="FollowedHyperlink"/>
    <w:basedOn w:val="18"/>
    <w:unhideWhenUsed/>
    <w:qFormat/>
    <w:uiPriority w:val="99"/>
    <w:rPr>
      <w:color w:val="954F72"/>
      <w:u w:val="single"/>
    </w:rPr>
  </w:style>
  <w:style w:type="character" w:styleId="21">
    <w:name w:val="Hyperlink"/>
    <w:basedOn w:val="18"/>
    <w:unhideWhenUsed/>
    <w:qFormat/>
    <w:uiPriority w:val="99"/>
    <w:rPr>
      <w:color w:val="0000FF" w:themeColor="hyperlink"/>
      <w:u w:val="single"/>
    </w:rPr>
  </w:style>
  <w:style w:type="paragraph" w:customStyle="1" w:styleId="2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3">
    <w:name w:val="Header Char"/>
    <w:basedOn w:val="18"/>
    <w:semiHidden/>
    <w:qFormat/>
    <w:uiPriority w:val="99"/>
    <w:rPr>
      <w:rFonts w:ascii="Times New Roman" w:hAnsi="Times New Roman"/>
      <w:sz w:val="18"/>
      <w:szCs w:val="18"/>
    </w:rPr>
  </w:style>
  <w:style w:type="character" w:customStyle="1" w:styleId="24">
    <w:name w:val="页眉 Char"/>
    <w:link w:val="12"/>
    <w:semiHidden/>
    <w:qFormat/>
    <w:locked/>
    <w:uiPriority w:val="99"/>
    <w:rPr>
      <w:sz w:val="18"/>
    </w:rPr>
  </w:style>
  <w:style w:type="character" w:customStyle="1" w:styleId="25">
    <w:name w:val="Footer Char"/>
    <w:basedOn w:val="18"/>
    <w:semiHidden/>
    <w:qFormat/>
    <w:uiPriority w:val="99"/>
    <w:rPr>
      <w:rFonts w:ascii="Times New Roman" w:hAnsi="Times New Roman"/>
      <w:sz w:val="18"/>
      <w:szCs w:val="18"/>
    </w:rPr>
  </w:style>
  <w:style w:type="character" w:customStyle="1" w:styleId="26">
    <w:name w:val="页脚 Char"/>
    <w:link w:val="11"/>
    <w:qFormat/>
    <w:locked/>
    <w:uiPriority w:val="99"/>
    <w:rPr>
      <w:sz w:val="18"/>
    </w:rPr>
  </w:style>
  <w:style w:type="character" w:customStyle="1" w:styleId="27">
    <w:name w:val="Body Text Char"/>
    <w:basedOn w:val="18"/>
    <w:semiHidden/>
    <w:qFormat/>
    <w:uiPriority w:val="99"/>
    <w:rPr>
      <w:rFonts w:ascii="Times New Roman" w:hAnsi="Times New Roman"/>
      <w:szCs w:val="24"/>
    </w:rPr>
  </w:style>
  <w:style w:type="character" w:customStyle="1" w:styleId="28">
    <w:name w:val="正文文本 Char"/>
    <w:link w:val="6"/>
    <w:qFormat/>
    <w:locked/>
    <w:uiPriority w:val="99"/>
    <w:rPr>
      <w:rFonts w:ascii="仿宋_GB2312" w:hAnsi="Times New Roman" w:eastAsia="仿宋_GB2312"/>
      <w:sz w:val="24"/>
    </w:rPr>
  </w:style>
  <w:style w:type="paragraph" w:customStyle="1" w:styleId="29">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30">
    <w:name w:val="列出段落1"/>
    <w:basedOn w:val="1"/>
    <w:qFormat/>
    <w:uiPriority w:val="34"/>
    <w:pPr>
      <w:ind w:firstLine="420" w:firstLineChars="200"/>
    </w:pPr>
  </w:style>
  <w:style w:type="character" w:customStyle="1" w:styleId="31">
    <w:name w:val="标题 1 Char"/>
    <w:basedOn w:val="18"/>
    <w:link w:val="3"/>
    <w:qFormat/>
    <w:uiPriority w:val="9"/>
    <w:rPr>
      <w:rFonts w:ascii="Times New Roman" w:hAnsi="Times New Roman"/>
      <w:b/>
      <w:bCs/>
      <w:kern w:val="44"/>
      <w:sz w:val="44"/>
      <w:szCs w:val="44"/>
    </w:rPr>
  </w:style>
  <w:style w:type="character" w:customStyle="1" w:styleId="32">
    <w:name w:val="标题 2 Char"/>
    <w:basedOn w:val="18"/>
    <w:link w:val="4"/>
    <w:qFormat/>
    <w:uiPriority w:val="9"/>
    <w:rPr>
      <w:rFonts w:asciiTheme="majorHAnsi" w:hAnsiTheme="majorHAnsi" w:eastAsiaTheme="majorEastAsia" w:cstheme="majorBidi"/>
      <w:b/>
      <w:bCs/>
      <w:kern w:val="2"/>
      <w:sz w:val="32"/>
      <w:szCs w:val="32"/>
    </w:rPr>
  </w:style>
  <w:style w:type="paragraph" w:customStyle="1" w:styleId="33">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4">
    <w:name w:val="批注框文本 Char"/>
    <w:basedOn w:val="18"/>
    <w:link w:val="10"/>
    <w:semiHidden/>
    <w:qFormat/>
    <w:uiPriority w:val="99"/>
    <w:rPr>
      <w:rFonts w:ascii="Times New Roman" w:hAnsi="Times New Roman"/>
      <w:kern w:val="2"/>
      <w:sz w:val="18"/>
      <w:szCs w:val="18"/>
    </w:rPr>
  </w:style>
  <w:style w:type="character" w:customStyle="1" w:styleId="35">
    <w:name w:val="标题 3 Char"/>
    <w:basedOn w:val="18"/>
    <w:link w:val="5"/>
    <w:qFormat/>
    <w:uiPriority w:val="9"/>
    <w:rPr>
      <w:rFonts w:ascii="Times New Roman" w:hAnsi="Times New Roman"/>
      <w:b/>
      <w:bCs/>
      <w:kern w:val="2"/>
      <w:sz w:val="32"/>
      <w:szCs w:val="32"/>
    </w:rPr>
  </w:style>
  <w:style w:type="paragraph" w:customStyle="1" w:styleId="36">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7">
    <w:name w:val="四号正文"/>
    <w:basedOn w:val="1"/>
    <w:qFormat/>
    <w:uiPriority w:val="0"/>
    <w:pPr>
      <w:spacing w:line="360" w:lineRule="auto"/>
    </w:pPr>
    <w:rPr>
      <w:rFonts w:ascii="??" w:hAnsi="??"/>
      <w:color w:val="000000"/>
      <w:kern w:val="0"/>
      <w:sz w:val="28"/>
      <w:szCs w:val="21"/>
      <w:lang w:val="zh-CN"/>
    </w:rPr>
  </w:style>
  <w:style w:type="paragraph" w:customStyle="1" w:styleId="38">
    <w:name w:val="TOC 标题3"/>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paragraph" w:customStyle="1" w:styleId="3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0">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41">
    <w:name w:val="xl6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42">
    <w:name w:val="xl64"/>
    <w:basedOn w:val="1"/>
    <w:qFormat/>
    <w:uiPriority w:val="0"/>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43">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4">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5">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6">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i/>
      <w:iCs/>
      <w:color w:val="000000"/>
      <w:kern w:val="0"/>
      <w:sz w:val="16"/>
      <w:szCs w:val="16"/>
    </w:rPr>
  </w:style>
  <w:style w:type="paragraph" w:customStyle="1" w:styleId="47">
    <w:name w:val="xl6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8">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hAnsi="黑体" w:eastAsia="黑体" w:cs="宋体"/>
      <w:b/>
      <w:bCs/>
      <w:color w:val="000000"/>
      <w:kern w:val="0"/>
      <w:sz w:val="30"/>
      <w:szCs w:val="30"/>
    </w:rPr>
  </w:style>
  <w:style w:type="paragraph" w:customStyle="1" w:styleId="49">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color w:val="000000"/>
      <w:kern w:val="0"/>
      <w:sz w:val="18"/>
      <w:szCs w:val="18"/>
    </w:rPr>
  </w:style>
  <w:style w:type="paragraph" w:customStyle="1" w:styleId="50">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color w:val="000000"/>
      <w:kern w:val="0"/>
      <w:sz w:val="18"/>
      <w:szCs w:val="18"/>
    </w:rPr>
  </w:style>
  <w:style w:type="paragraph" w:customStyle="1" w:styleId="51">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i/>
      <w:iCs/>
      <w:color w:val="000000"/>
      <w:kern w:val="0"/>
      <w:sz w:val="18"/>
      <w:szCs w:val="18"/>
    </w:rPr>
  </w:style>
  <w:style w:type="paragraph" w:customStyle="1" w:styleId="52">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i/>
      <w:iCs/>
      <w:color w:val="000000"/>
      <w:kern w:val="0"/>
      <w:sz w:val="16"/>
      <w:szCs w:val="16"/>
    </w:rPr>
  </w:style>
  <w:style w:type="character" w:customStyle="1" w:styleId="53">
    <w:name w:val="纯文本 Char"/>
    <w:basedOn w:val="18"/>
    <w:link w:val="9"/>
    <w:qFormat/>
    <w:uiPriority w:val="0"/>
    <w:rPr>
      <w:rFonts w:ascii="仿宋_GB2312" w:hAnsi="Times New Roman" w:eastAsia="仿宋_GB2312" w:cs="Times New Roman"/>
      <w:spacing w:val="-70"/>
      <w:kern w:val="2"/>
      <w:sz w:val="32"/>
      <w:szCs w:val="32"/>
    </w:rPr>
  </w:style>
  <w:style w:type="character" w:customStyle="1" w:styleId="54">
    <w:name w:val="fontstyle01"/>
    <w:basedOn w:val="18"/>
    <w:qFormat/>
    <w:uiPriority w:val="0"/>
    <w:rPr>
      <w:rFonts w:hint="eastAsia" w:ascii="仿宋_GB2312" w:eastAsia="仿宋_GB2312"/>
      <w:color w:val="000000"/>
      <w:sz w:val="32"/>
      <w:szCs w:val="32"/>
    </w:rPr>
  </w:style>
  <w:style w:type="paragraph" w:customStyle="1" w:styleId="55">
    <w:name w:val="默认"/>
    <w:basedOn w:val="1"/>
    <w:next w:val="1"/>
    <w:qFormat/>
    <w:uiPriority w:val="0"/>
    <w:pPr>
      <w:widowControl/>
      <w:jc w:val="left"/>
    </w:pPr>
    <w:rPr>
      <w:rFonts w:ascii="Helvetica Neue" w:hAnsi="Helvetica Neue" w:eastAsia="Arial Unicode MS" w:cs="Arial Unicode MS"/>
      <w:color w:val="000000"/>
      <w:kern w:val="0"/>
      <w:sz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AA9A9-DAF3-453D-96D6-C444C688745E}">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Pages>
  <Words>2142</Words>
  <Characters>12212</Characters>
  <Lines>101</Lines>
  <Paragraphs>28</Paragraphs>
  <TotalTime>16</TotalTime>
  <ScaleCrop>false</ScaleCrop>
  <LinksUpToDate>false</LinksUpToDate>
  <CharactersWithSpaces>14326</CharactersWithSpaces>
  <Application>WPS Office_11.8.6.11830_F1E327BC-269C-435d-A152-05C5408002CA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汪雪梅</cp:lastModifiedBy>
  <cp:lastPrinted>2023-10-26T12:50:00Z</cp:lastPrinted>
  <dcterms:modified xsi:type="dcterms:W3CDTF">2024-05-23T01:22:56Z</dcterms:modified>
  <dc:title>四川省***</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2052-11.8.6.11830</vt:lpwstr>
  </property>
  <property fmtid="{D5CDD505-2E9C-101B-9397-08002B2CF9AE}" pid="3" name="ICV">
    <vt:lpwstr>A6833056A1ED4B76A0F4948ACE805772</vt:lpwstr>
  </property>
</Properties>
</file>