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96597"/>
      <w:bookmarkStart w:id="1" w:name="_Toc15377425"/>
      <w:bookmarkStart w:id="2" w:name="_Toc15396475"/>
      <w:bookmarkStart w:id="3" w:name="_Toc15377193"/>
      <w:bookmarkStart w:id="4" w:name="_Toc15378441"/>
      <w:bookmarkStart w:id="5"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eastAsia="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eastAsia="方正小标宋简体"/>
          <w:sz w:val="72"/>
          <w:szCs w:val="72"/>
        </w:rPr>
      </w:pPr>
      <w:bookmarkStart w:id="6" w:name="_Toc15377194"/>
      <w:bookmarkStart w:id="7" w:name="_Toc15396598"/>
      <w:bookmarkStart w:id="8" w:name="_Toc15378442"/>
      <w:bookmarkStart w:id="9" w:name="_Toc15396476"/>
      <w:bookmarkStart w:id="10" w:name="_Toc15377426"/>
      <w:r>
        <w:rPr>
          <w:rFonts w:eastAsia="方正小标宋简体"/>
          <w:sz w:val="72"/>
          <w:szCs w:val="72"/>
        </w:rPr>
        <w:t>攀枝花市西区</w:t>
      </w:r>
      <w:bookmarkEnd w:id="5"/>
      <w:bookmarkStart w:id="11" w:name="_Toc15306268"/>
      <w:r>
        <w:rPr>
          <w:rFonts w:eastAsia="方正小标宋简体"/>
          <w:sz w:val="72"/>
          <w:szCs w:val="72"/>
        </w:rPr>
        <w:t>人民政府  办公室部门决算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1"/>
        <w:rPr>
          <w:rFonts w:ascii="Times New Roman" w:hAnsi="Times New Roman"/>
        </w:rPr>
      </w:pPr>
      <w:r>
        <w:rPr>
          <w:rFonts w:ascii="Times New Roman" w:hAnsi="Times New Roman"/>
        </w:rPr>
        <w:t>公开时间：2023年10月31日</w:t>
      </w:r>
    </w:p>
    <w:p/>
    <w:p>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第一部分 部门概况</w:t>
      </w:r>
      <w:r>
        <w:rPr>
          <w:rFonts w:ascii="Times New Roman" w:hAnsi="Times New Roman"/>
          <w:sz w:val="24"/>
          <w:szCs w:val="24"/>
        </w:rPr>
        <w:tab/>
      </w:r>
    </w:p>
    <w:p>
      <w:pPr>
        <w:pStyle w:val="12"/>
        <w:adjustRightInd w:val="0"/>
        <w:snapToGrid w:val="0"/>
        <w:spacing w:line="440" w:lineRule="exact"/>
        <w:jc w:val="left"/>
        <w:rPr>
          <w:rFonts w:eastAsia="仿宋"/>
          <w:sz w:val="24"/>
        </w:rPr>
      </w:pPr>
      <w:r>
        <w:rPr>
          <w:sz w:val="24"/>
        </w:rPr>
        <w:t>一、部门职责</w:t>
      </w:r>
      <w:r>
        <w:rPr>
          <w:sz w:val="24"/>
        </w:rPr>
        <w:tab/>
      </w:r>
    </w:p>
    <w:p>
      <w:pPr>
        <w:pStyle w:val="12"/>
        <w:adjustRightInd w:val="0"/>
        <w:snapToGrid w:val="0"/>
        <w:spacing w:line="440" w:lineRule="exact"/>
        <w:jc w:val="left"/>
        <w:rPr>
          <w:rFonts w:eastAsia="仿宋"/>
          <w:sz w:val="24"/>
        </w:rPr>
      </w:pPr>
      <w:r>
        <w:rPr>
          <w:sz w:val="24"/>
        </w:rPr>
        <w:t>二、机构设置</w:t>
      </w:r>
    </w:p>
    <w:p>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第二部分 2022年度部门决算情况说明</w:t>
      </w:r>
    </w:p>
    <w:p>
      <w:pPr>
        <w:pStyle w:val="12"/>
        <w:adjustRightInd w:val="0"/>
        <w:snapToGrid w:val="0"/>
        <w:spacing w:line="440" w:lineRule="exact"/>
        <w:jc w:val="left"/>
        <w:rPr>
          <w:rFonts w:eastAsia="仿宋"/>
          <w:sz w:val="24"/>
        </w:rPr>
      </w:pPr>
      <w:r>
        <w:rPr>
          <w:sz w:val="24"/>
        </w:rPr>
        <w:t>一、收入支出决算总体情况说明</w:t>
      </w:r>
    </w:p>
    <w:p>
      <w:pPr>
        <w:pStyle w:val="12"/>
        <w:adjustRightInd w:val="0"/>
        <w:snapToGrid w:val="0"/>
        <w:spacing w:line="440" w:lineRule="exact"/>
        <w:jc w:val="left"/>
        <w:rPr>
          <w:rFonts w:eastAsia="仿宋"/>
          <w:sz w:val="24"/>
        </w:rPr>
      </w:pPr>
      <w:r>
        <w:rPr>
          <w:sz w:val="24"/>
        </w:rPr>
        <w:t>二、收入决算情况说明</w:t>
      </w:r>
    </w:p>
    <w:p>
      <w:pPr>
        <w:pStyle w:val="12"/>
        <w:adjustRightInd w:val="0"/>
        <w:snapToGrid w:val="0"/>
        <w:spacing w:line="440" w:lineRule="exact"/>
        <w:jc w:val="left"/>
        <w:rPr>
          <w:rFonts w:eastAsia="仿宋"/>
          <w:sz w:val="24"/>
        </w:rPr>
      </w:pPr>
      <w:r>
        <w:rPr>
          <w:sz w:val="24"/>
        </w:rPr>
        <w:t>三、支出决算情况说明</w:t>
      </w:r>
    </w:p>
    <w:p>
      <w:pPr>
        <w:pStyle w:val="12"/>
        <w:adjustRightInd w:val="0"/>
        <w:snapToGrid w:val="0"/>
        <w:spacing w:line="440" w:lineRule="exact"/>
        <w:jc w:val="left"/>
        <w:rPr>
          <w:rFonts w:eastAsia="仿宋"/>
          <w:sz w:val="24"/>
        </w:rPr>
      </w:pPr>
      <w:r>
        <w:rPr>
          <w:sz w:val="24"/>
        </w:rPr>
        <w:t>四、财政拨款收入支出决算总体情况说明</w:t>
      </w:r>
    </w:p>
    <w:p>
      <w:pPr>
        <w:pStyle w:val="12"/>
        <w:adjustRightInd w:val="0"/>
        <w:snapToGrid w:val="0"/>
        <w:spacing w:line="440" w:lineRule="exact"/>
        <w:jc w:val="left"/>
        <w:rPr>
          <w:rFonts w:eastAsia="仿宋"/>
          <w:sz w:val="24"/>
        </w:rPr>
      </w:pPr>
      <w:r>
        <w:rPr>
          <w:sz w:val="24"/>
        </w:rPr>
        <w:t>五、一般公共预算财政拨款支出决算情况说明</w:t>
      </w:r>
    </w:p>
    <w:p>
      <w:pPr>
        <w:pStyle w:val="12"/>
        <w:adjustRightInd w:val="0"/>
        <w:snapToGrid w:val="0"/>
        <w:spacing w:line="440" w:lineRule="exact"/>
        <w:jc w:val="left"/>
        <w:rPr>
          <w:rFonts w:eastAsia="仿宋"/>
          <w:sz w:val="24"/>
        </w:rPr>
      </w:pPr>
      <w:r>
        <w:rPr>
          <w:sz w:val="24"/>
        </w:rPr>
        <w:t>六、一般公共预算财政拨款基本支出决算情况说明</w:t>
      </w:r>
    </w:p>
    <w:p>
      <w:pPr>
        <w:pStyle w:val="12"/>
        <w:adjustRightInd w:val="0"/>
        <w:snapToGrid w:val="0"/>
        <w:spacing w:line="440" w:lineRule="exact"/>
        <w:jc w:val="left"/>
        <w:rPr>
          <w:rFonts w:eastAsia="仿宋"/>
          <w:sz w:val="24"/>
        </w:rPr>
      </w:pPr>
      <w:r>
        <w:rPr>
          <w:sz w:val="24"/>
        </w:rPr>
        <w:t>七、财政拨款“三公”经费支出决算情况说明</w:t>
      </w:r>
    </w:p>
    <w:p>
      <w:pPr>
        <w:pStyle w:val="12"/>
        <w:adjustRightInd w:val="0"/>
        <w:snapToGrid w:val="0"/>
        <w:spacing w:line="440" w:lineRule="exact"/>
        <w:jc w:val="left"/>
        <w:rPr>
          <w:rFonts w:eastAsia="仿宋"/>
          <w:sz w:val="24"/>
        </w:rPr>
      </w:pPr>
      <w:r>
        <w:rPr>
          <w:sz w:val="24"/>
        </w:rPr>
        <w:t>八、政府性基金预算支出决算情况说明</w:t>
      </w:r>
    </w:p>
    <w:p>
      <w:pPr>
        <w:pStyle w:val="12"/>
        <w:adjustRightInd w:val="0"/>
        <w:snapToGrid w:val="0"/>
        <w:spacing w:line="440" w:lineRule="exact"/>
        <w:ind w:leftChars="0"/>
        <w:jc w:val="left"/>
        <w:rPr>
          <w:rFonts w:eastAsiaTheme="minorEastAsia"/>
          <w:sz w:val="24"/>
        </w:rPr>
      </w:pPr>
      <w:r>
        <w:rPr>
          <w:rFonts w:eastAsiaTheme="minorEastAsia"/>
          <w:sz w:val="24"/>
        </w:rPr>
        <w:t>九、国有资本经营预算支出决算情况说明</w:t>
      </w:r>
    </w:p>
    <w:p>
      <w:pPr>
        <w:adjustRightInd w:val="0"/>
        <w:snapToGrid w:val="0"/>
        <w:spacing w:line="440" w:lineRule="exact"/>
        <w:ind w:firstLine="420" w:firstLineChars="175"/>
        <w:jc w:val="left"/>
        <w:rPr>
          <w:rFonts w:eastAsiaTheme="minorEastAsia"/>
          <w:sz w:val="24"/>
        </w:rPr>
      </w:pPr>
      <w:r>
        <w:rPr>
          <w:rStyle w:val="18"/>
          <w:rFonts w:eastAsiaTheme="minorEastAsia"/>
          <w:color w:val="auto"/>
          <w:sz w:val="24"/>
          <w:u w:val="none"/>
        </w:rPr>
        <w:t>十、</w:t>
      </w:r>
      <w:r>
        <w:rPr>
          <w:rFonts w:eastAsiaTheme="minorEastAsia"/>
          <w:sz w:val="24"/>
        </w:rPr>
        <w:t>其他重要事项的情况说明</w:t>
      </w:r>
    </w:p>
    <w:p>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第三部分 名词解释</w:t>
      </w:r>
    </w:p>
    <w:p>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第四部分 附件</w:t>
      </w:r>
    </w:p>
    <w:p>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第五部分 附表</w:t>
      </w:r>
    </w:p>
    <w:p>
      <w:pPr>
        <w:pStyle w:val="12"/>
        <w:adjustRightInd w:val="0"/>
        <w:snapToGrid w:val="0"/>
        <w:spacing w:line="440" w:lineRule="exact"/>
        <w:jc w:val="left"/>
        <w:rPr>
          <w:sz w:val="24"/>
        </w:rPr>
      </w:pPr>
      <w:r>
        <w:rPr>
          <w:sz w:val="24"/>
        </w:rPr>
        <w:t>一、收入支出决算总表</w:t>
      </w:r>
    </w:p>
    <w:p>
      <w:pPr>
        <w:pStyle w:val="12"/>
        <w:adjustRightInd w:val="0"/>
        <w:snapToGrid w:val="0"/>
        <w:spacing w:line="440" w:lineRule="exact"/>
        <w:jc w:val="left"/>
        <w:rPr>
          <w:sz w:val="24"/>
        </w:rPr>
      </w:pPr>
      <w:r>
        <w:rPr>
          <w:sz w:val="24"/>
        </w:rPr>
        <w:t>二、收入决算表</w:t>
      </w:r>
    </w:p>
    <w:p>
      <w:pPr>
        <w:pStyle w:val="12"/>
        <w:adjustRightInd w:val="0"/>
        <w:snapToGrid w:val="0"/>
        <w:spacing w:line="440" w:lineRule="exact"/>
        <w:jc w:val="left"/>
        <w:rPr>
          <w:sz w:val="24"/>
        </w:rPr>
      </w:pPr>
      <w:r>
        <w:rPr>
          <w:sz w:val="24"/>
        </w:rPr>
        <w:t>三、支出决算表</w:t>
      </w:r>
    </w:p>
    <w:p>
      <w:pPr>
        <w:pStyle w:val="12"/>
        <w:adjustRightInd w:val="0"/>
        <w:snapToGrid w:val="0"/>
        <w:spacing w:line="440" w:lineRule="exact"/>
        <w:jc w:val="left"/>
        <w:rPr>
          <w:sz w:val="24"/>
        </w:rPr>
      </w:pPr>
      <w:r>
        <w:rPr>
          <w:sz w:val="24"/>
        </w:rPr>
        <w:t>四、财政拨款收入支出决算总表</w:t>
      </w:r>
    </w:p>
    <w:p>
      <w:pPr>
        <w:pStyle w:val="12"/>
        <w:adjustRightInd w:val="0"/>
        <w:snapToGrid w:val="0"/>
        <w:spacing w:line="440" w:lineRule="exact"/>
        <w:jc w:val="left"/>
        <w:rPr>
          <w:sz w:val="24"/>
        </w:rPr>
      </w:pPr>
      <w:r>
        <w:rPr>
          <w:sz w:val="24"/>
        </w:rPr>
        <w:t>五、财政拨款支出决算明细表</w:t>
      </w:r>
    </w:p>
    <w:p>
      <w:pPr>
        <w:pStyle w:val="12"/>
        <w:adjustRightInd w:val="0"/>
        <w:snapToGrid w:val="0"/>
        <w:spacing w:line="440" w:lineRule="exact"/>
        <w:jc w:val="left"/>
        <w:rPr>
          <w:sz w:val="24"/>
        </w:rPr>
      </w:pPr>
      <w:r>
        <w:rPr>
          <w:sz w:val="24"/>
        </w:rPr>
        <w:t>六、一般公共预算财政拨款支出决算表</w:t>
      </w:r>
    </w:p>
    <w:p>
      <w:pPr>
        <w:pStyle w:val="12"/>
        <w:adjustRightInd w:val="0"/>
        <w:snapToGrid w:val="0"/>
        <w:spacing w:line="440" w:lineRule="exact"/>
        <w:jc w:val="left"/>
        <w:rPr>
          <w:sz w:val="24"/>
        </w:rPr>
      </w:pPr>
      <w:r>
        <w:rPr>
          <w:sz w:val="24"/>
        </w:rPr>
        <w:t>七、一般公共预算财政拨款支出决算明细表</w:t>
      </w:r>
    </w:p>
    <w:p>
      <w:pPr>
        <w:pStyle w:val="12"/>
        <w:adjustRightInd w:val="0"/>
        <w:snapToGrid w:val="0"/>
        <w:spacing w:line="440" w:lineRule="exact"/>
        <w:jc w:val="left"/>
        <w:rPr>
          <w:sz w:val="24"/>
        </w:rPr>
      </w:pPr>
      <w:r>
        <w:rPr>
          <w:sz w:val="24"/>
        </w:rPr>
        <w:t>八、一般公共预算财政拨款基本支出决算明细表</w:t>
      </w:r>
    </w:p>
    <w:p>
      <w:pPr>
        <w:pStyle w:val="12"/>
        <w:adjustRightInd w:val="0"/>
        <w:snapToGrid w:val="0"/>
        <w:spacing w:line="440" w:lineRule="exact"/>
        <w:jc w:val="left"/>
        <w:rPr>
          <w:sz w:val="24"/>
        </w:rPr>
      </w:pPr>
      <w:r>
        <w:rPr>
          <w:sz w:val="24"/>
        </w:rPr>
        <w:t>九、一般公共预算财政拨款项目支出决算表</w:t>
      </w:r>
    </w:p>
    <w:p>
      <w:pPr>
        <w:pStyle w:val="12"/>
        <w:adjustRightInd w:val="0"/>
        <w:snapToGrid w:val="0"/>
        <w:spacing w:line="440" w:lineRule="exact"/>
        <w:jc w:val="left"/>
        <w:rPr>
          <w:sz w:val="24"/>
        </w:rPr>
      </w:pPr>
      <w:r>
        <w:rPr>
          <w:sz w:val="24"/>
        </w:rPr>
        <w:t>十、政府性基金预算财政拨款收入支出决算表</w:t>
      </w:r>
    </w:p>
    <w:p>
      <w:pPr>
        <w:pStyle w:val="12"/>
        <w:adjustRightInd w:val="0"/>
        <w:snapToGrid w:val="0"/>
        <w:spacing w:line="440" w:lineRule="exact"/>
        <w:jc w:val="left"/>
        <w:rPr>
          <w:sz w:val="24"/>
        </w:rPr>
      </w:pPr>
      <w:r>
        <w:rPr>
          <w:sz w:val="24"/>
        </w:rPr>
        <w:t>十一、国有资本经营预算财政拨款收入支出决算表</w:t>
      </w:r>
    </w:p>
    <w:p>
      <w:pPr>
        <w:pStyle w:val="12"/>
        <w:adjustRightInd w:val="0"/>
        <w:snapToGrid w:val="0"/>
        <w:spacing w:line="440" w:lineRule="exact"/>
        <w:jc w:val="left"/>
        <w:rPr>
          <w:sz w:val="24"/>
        </w:rPr>
      </w:pPr>
      <w:r>
        <w:rPr>
          <w:sz w:val="24"/>
        </w:rPr>
        <w:t>十二、国有资本经营预算财政拨款支出决算表</w:t>
      </w:r>
    </w:p>
    <w:p>
      <w:pPr>
        <w:pStyle w:val="12"/>
        <w:adjustRightInd w:val="0"/>
        <w:snapToGrid w:val="0"/>
        <w:spacing w:line="440" w:lineRule="exact"/>
        <w:jc w:val="left"/>
        <w:rPr>
          <w:rFonts w:eastAsiaTheme="minorEastAsia"/>
          <w:sz w:val="24"/>
        </w:rPr>
      </w:pPr>
      <w:r>
        <w:rPr>
          <w:sz w:val="24"/>
        </w:rPr>
        <w:t>十三、财政拨款“三公”经费支出决算表</w:t>
      </w:r>
    </w:p>
    <w:p>
      <w:pPr>
        <w:widowControl/>
        <w:spacing w:line="440" w:lineRule="exact"/>
        <w:jc w:val="left"/>
        <w:rPr>
          <w:rFonts w:eastAsia="仿宋"/>
          <w:bCs/>
          <w:kern w:val="44"/>
          <w:sz w:val="24"/>
        </w:rPr>
      </w:pPr>
      <w:bookmarkStart w:id="12" w:name="_Toc15377196"/>
      <w:bookmarkStart w:id="13" w:name="_Toc15396599"/>
      <w:r>
        <w:rPr>
          <w:rFonts w:eastAsia="仿宋"/>
          <w:b/>
          <w:sz w:val="24"/>
        </w:rPr>
        <w:br w:type="page"/>
      </w:r>
    </w:p>
    <w:p>
      <w:pPr>
        <w:pStyle w:val="3"/>
        <w:jc w:val="center"/>
        <w:rPr>
          <w:rFonts w:eastAsia="黑体"/>
          <w:sz w:val="32"/>
          <w:szCs w:val="32"/>
        </w:rPr>
      </w:pPr>
      <w:r>
        <w:rPr>
          <w:rFonts w:eastAsia="黑体"/>
          <w:b w:val="0"/>
        </w:rPr>
        <w:t xml:space="preserve">第一部分 </w:t>
      </w:r>
      <w:r>
        <w:rPr>
          <w:rStyle w:val="28"/>
          <w:rFonts w:eastAsia="黑体"/>
          <w:b w:val="0"/>
          <w:bCs w:val="0"/>
        </w:rPr>
        <w:t>部门概况</w:t>
      </w:r>
      <w:bookmarkEnd w:id="12"/>
      <w:bookmarkEnd w:id="13"/>
    </w:p>
    <w:p>
      <w:pPr>
        <w:pStyle w:val="4"/>
        <w:adjustRightInd w:val="0"/>
        <w:snapToGrid w:val="0"/>
        <w:spacing w:line="353" w:lineRule="auto"/>
        <w:ind w:firstLine="640" w:firstLineChars="200"/>
        <w:rPr>
          <w:rFonts w:ascii="Times New Roman" w:hAnsi="Times New Roman" w:eastAsia="黑体" w:cs="Times New Roman"/>
          <w:b w:val="0"/>
        </w:rPr>
      </w:pPr>
      <w:r>
        <w:rPr>
          <w:rFonts w:ascii="Times New Roman" w:hAnsi="Times New Roman" w:eastAsia="黑体" w:cs="Times New Roman"/>
          <w:b w:val="0"/>
        </w:rPr>
        <w:t>一、部门职责</w:t>
      </w:r>
    </w:p>
    <w:p>
      <w:pPr>
        <w:adjustRightInd w:val="0"/>
        <w:snapToGrid w:val="0"/>
        <w:spacing w:line="353" w:lineRule="auto"/>
        <w:ind w:firstLine="640" w:firstLineChars="200"/>
        <w:rPr>
          <w:rFonts w:eastAsia="仿宋_GB2312"/>
        </w:rPr>
      </w:pPr>
      <w:r>
        <w:rPr>
          <w:rFonts w:eastAsia="仿宋_GB2312"/>
          <w:sz w:val="32"/>
          <w:szCs w:val="32"/>
        </w:rPr>
        <w:t>攀枝花市西区人民政府办公室（简称区政府办公室），为协助区政府领导处理区政府日常工作的机构。其主要职能为：协助区政府领导同志组织起草或审核以区政府、区政府办公室名义发布的公文，办理市政府、市政府办公室及市级部门发送区政府的文电，指导全区行政机关公文处理工作；研究区政府部门和镇人民政府、区政府派出机构请示区政府的事项，提出审核意见，报区政府领导同志审批；负责区政府重要会议事务工作和区政府领导同志参加重大活动的组织安排；协助完成区政府的有关接待工作；督促检查区政府部门和镇人民政府、区政府派出机构对区政府决定事项及区政府领导同志指示的贯彻落实情况，及时向区政府领导同志报告；根据区政府领导同志的指示，对区政府部门间争议问题提出处理意见和建议，报区政府领导同志决定；负责区政府值班工作，指导区政府部门和镇人民政府、区政府派出机构值班工作，及时报告重要情况；指导、监督全区政府信息公开工作；牵头负责全区民生工程工作的实施和推进，组织办理涉及区政府工作的人大代表议案、批评、建议和政协委员提案、建议案；围绕区政府中心工作和区政府领导同志的指示，组织专题调查研究，及时反映情况，提出政策性建议；负责区政府外事工作；承担区政府公布的有关行政审批事项；承担承办区政府和区政府领导同志交办的其他事项。</w:t>
      </w:r>
    </w:p>
    <w:p>
      <w:pPr>
        <w:pStyle w:val="4"/>
        <w:adjustRightInd w:val="0"/>
        <w:snapToGrid w:val="0"/>
        <w:spacing w:line="353" w:lineRule="auto"/>
        <w:ind w:firstLine="640" w:firstLineChars="200"/>
        <w:rPr>
          <w:rStyle w:val="29"/>
          <w:rFonts w:ascii="Times New Roman" w:hAnsi="Times New Roman" w:cs="Times New Roman"/>
          <w:b w:val="0"/>
          <w:bCs w:val="0"/>
        </w:rPr>
      </w:pPr>
      <w:bookmarkStart w:id="14" w:name="_Toc15377200"/>
      <w:bookmarkStart w:id="15" w:name="_Toc15396601"/>
      <w:r>
        <w:rPr>
          <w:rFonts w:ascii="Times New Roman" w:hAnsi="Times New Roman" w:eastAsia="黑体" w:cs="Times New Roman"/>
          <w:b w:val="0"/>
        </w:rPr>
        <w:t>二、机</w:t>
      </w:r>
      <w:r>
        <w:rPr>
          <w:rStyle w:val="29"/>
          <w:rFonts w:ascii="Times New Roman" w:hAnsi="Times New Roman" w:eastAsia="黑体" w:cs="Times New Roman"/>
          <w:b w:val="0"/>
          <w:bCs w:val="0"/>
        </w:rPr>
        <w:t>构设置</w:t>
      </w:r>
      <w:bookmarkEnd w:id="14"/>
      <w:bookmarkEnd w:id="15"/>
    </w:p>
    <w:p>
      <w:pPr>
        <w:adjustRightInd w:val="0"/>
        <w:snapToGrid w:val="0"/>
        <w:spacing w:line="353" w:lineRule="auto"/>
        <w:ind w:firstLine="640" w:firstLineChars="200"/>
        <w:rPr>
          <w:rFonts w:eastAsia="仿宋_GB2312"/>
          <w:sz w:val="32"/>
          <w:szCs w:val="32"/>
        </w:rPr>
      </w:pPr>
      <w:r>
        <w:rPr>
          <w:rFonts w:eastAsia="仿宋_GB2312"/>
          <w:sz w:val="32"/>
          <w:szCs w:val="32"/>
        </w:rPr>
        <w:t>区政府办公室内设股室6个，二级单位2个，其中行政单位0个，参照《中华人民共和国公务员法》管理的事业单位1个，其他事业单位1个。</w:t>
      </w:r>
    </w:p>
    <w:p>
      <w:pPr>
        <w:adjustRightInd w:val="0"/>
        <w:snapToGrid w:val="0"/>
        <w:spacing w:line="353" w:lineRule="auto"/>
        <w:ind w:firstLine="640" w:firstLineChars="200"/>
        <w:rPr>
          <w:rFonts w:eastAsia="仿宋_GB2312"/>
          <w:sz w:val="32"/>
          <w:szCs w:val="32"/>
        </w:rPr>
      </w:pPr>
      <w:r>
        <w:rPr>
          <w:rFonts w:eastAsia="仿宋_GB2312"/>
          <w:sz w:val="32"/>
          <w:szCs w:val="32"/>
        </w:rPr>
        <w:t>纳入区政府办公室2022年度部门决算编制范围的二级单位包括：</w:t>
      </w:r>
    </w:p>
    <w:p>
      <w:pPr>
        <w:adjustRightInd w:val="0"/>
        <w:snapToGrid w:val="0"/>
        <w:spacing w:line="353" w:lineRule="auto"/>
        <w:ind w:firstLine="640" w:firstLineChars="200"/>
        <w:rPr>
          <w:rFonts w:eastAsia="仿宋_GB2312"/>
          <w:sz w:val="32"/>
          <w:szCs w:val="32"/>
        </w:rPr>
      </w:pPr>
      <w:r>
        <w:rPr>
          <w:rFonts w:eastAsia="仿宋_GB2312"/>
          <w:sz w:val="32"/>
          <w:szCs w:val="32"/>
        </w:rPr>
        <w:t>1.攀枝花市西区地方志编纂中心。</w:t>
      </w:r>
    </w:p>
    <w:p>
      <w:pPr>
        <w:adjustRightInd w:val="0"/>
        <w:snapToGrid w:val="0"/>
        <w:spacing w:line="353" w:lineRule="auto"/>
        <w:ind w:firstLine="640" w:firstLineChars="200"/>
        <w:rPr>
          <w:rFonts w:eastAsia="仿宋_GB2312"/>
          <w:sz w:val="32"/>
          <w:szCs w:val="32"/>
        </w:rPr>
      </w:pPr>
      <w:r>
        <w:rPr>
          <w:rFonts w:eastAsia="仿宋_GB2312"/>
          <w:sz w:val="32"/>
          <w:szCs w:val="32"/>
        </w:rPr>
        <w:t>2.攀枝花市西区政策研究中心。</w:t>
      </w:r>
    </w:p>
    <w:p>
      <w:pPr>
        <w:adjustRightInd w:val="0"/>
        <w:snapToGrid w:val="0"/>
        <w:spacing w:line="353" w:lineRule="auto"/>
        <w:ind w:firstLine="640" w:firstLineChars="200"/>
        <w:rPr>
          <w:rFonts w:eastAsia="仿宋_GB2312"/>
          <w:sz w:val="32"/>
          <w:szCs w:val="32"/>
        </w:rPr>
      </w:pPr>
      <w:r>
        <w:rPr>
          <w:rFonts w:eastAsia="仿宋_GB2312"/>
          <w:sz w:val="32"/>
          <w:szCs w:val="32"/>
        </w:rPr>
        <w:t>以上2个二级单位均不独立编制预算。</w:t>
      </w:r>
    </w:p>
    <w:p>
      <w:pPr>
        <w:widowControl/>
        <w:jc w:val="left"/>
        <w:rPr>
          <w:rFonts w:eastAsia="仿宋"/>
          <w:kern w:val="0"/>
          <w:sz w:val="32"/>
          <w:szCs w:val="32"/>
        </w:rPr>
      </w:pPr>
      <w:r>
        <w:rPr>
          <w:rFonts w:eastAsia="仿宋"/>
          <w:sz w:val="32"/>
          <w:szCs w:val="32"/>
        </w:rPr>
        <w:br w:type="page"/>
      </w:r>
    </w:p>
    <w:p>
      <w:pPr>
        <w:pStyle w:val="3"/>
        <w:ind w:right="440"/>
        <w:jc w:val="center"/>
        <w:rPr>
          <w:rStyle w:val="28"/>
          <w:rFonts w:eastAsia="黑体"/>
          <w:b w:val="0"/>
          <w:bCs/>
        </w:rPr>
      </w:pPr>
      <w:bookmarkStart w:id="16" w:name="_Toc15396602"/>
      <w:bookmarkStart w:id="17" w:name="_Toc15377204"/>
      <w:r>
        <w:rPr>
          <w:rFonts w:eastAsia="黑体"/>
          <w:b w:val="0"/>
        </w:rPr>
        <w:t>第二部分 2022年度</w:t>
      </w:r>
      <w:r>
        <w:rPr>
          <w:rStyle w:val="28"/>
          <w:rFonts w:eastAsia="黑体"/>
          <w:b w:val="0"/>
          <w:bCs/>
        </w:rPr>
        <w:t>部门决算情况说明</w:t>
      </w:r>
      <w:bookmarkEnd w:id="16"/>
      <w:bookmarkEnd w:id="17"/>
    </w:p>
    <w:p/>
    <w:p>
      <w:pPr>
        <w:pStyle w:val="27"/>
        <w:numPr>
          <w:ilvl w:val="0"/>
          <w:numId w:val="1"/>
        </w:numPr>
        <w:adjustRightInd w:val="0"/>
        <w:snapToGrid w:val="0"/>
        <w:spacing w:line="353" w:lineRule="auto"/>
        <w:ind w:firstLineChars="0"/>
        <w:outlineLvl w:val="1"/>
        <w:rPr>
          <w:rStyle w:val="29"/>
          <w:rFonts w:ascii="Times New Roman" w:hAnsi="Times New Roman" w:eastAsia="黑体" w:cs="Times New Roman"/>
          <w:b w:val="0"/>
        </w:rPr>
      </w:pPr>
      <w:bookmarkStart w:id="18" w:name="_Toc15396603"/>
      <w:bookmarkStart w:id="19" w:name="_Toc15377205"/>
      <w:r>
        <w:rPr>
          <w:rFonts w:eastAsia="黑体"/>
          <w:sz w:val="32"/>
          <w:szCs w:val="32"/>
        </w:rPr>
        <w:t>收</w:t>
      </w:r>
      <w:r>
        <w:rPr>
          <w:rStyle w:val="29"/>
          <w:rFonts w:ascii="Times New Roman" w:hAnsi="Times New Roman" w:eastAsia="黑体" w:cs="Times New Roman"/>
          <w:b w:val="0"/>
        </w:rPr>
        <w:t>入支出决算总体情况说明</w:t>
      </w:r>
      <w:bookmarkEnd w:id="18"/>
      <w:bookmarkEnd w:id="19"/>
    </w:p>
    <w:p>
      <w:pPr>
        <w:adjustRightInd w:val="0"/>
        <w:snapToGrid w:val="0"/>
        <w:spacing w:line="353" w:lineRule="auto"/>
        <w:ind w:firstLine="640" w:firstLineChars="200"/>
        <w:rPr>
          <w:rFonts w:eastAsia="仿宋_GB2312"/>
          <w:sz w:val="32"/>
          <w:szCs w:val="32"/>
        </w:rPr>
      </w:pPr>
      <w:r>
        <w:rPr>
          <w:rFonts w:eastAsia="仿宋_GB2312"/>
          <w:sz w:val="32"/>
          <w:szCs w:val="32"/>
        </w:rPr>
        <w:t>2022年度收、支总计806.25万元。与2021年相比，收、支总计各减少68.38万元，下降7.82%。主要变动原因是人员经费支出657.02万元，较去年减少支出7.71万元，同比减少1.16%；2022年日常公用经费支出74.64万元，较去年增加0.37万元，同比增加0.50%；2022年项目经费支出74.45万元，较去年减少17.05万元，同比减少18.63%。</w:t>
      </w:r>
    </w:p>
    <w:p>
      <w:pPr>
        <w:spacing w:line="600" w:lineRule="exact"/>
        <w:ind w:firstLine="640" w:firstLineChars="200"/>
        <w:jc w:val="center"/>
        <w:rPr>
          <w:rFonts w:eastAsia="仿宋_GB2312"/>
          <w:sz w:val="32"/>
          <w:szCs w:val="32"/>
        </w:rPr>
      </w:pPr>
      <w:r>
        <w:rPr>
          <w:rFonts w:eastAsia="仿宋"/>
          <w:sz w:val="32"/>
          <w:szCs w:val="32"/>
        </w:rPr>
        <w:drawing>
          <wp:anchor distT="0" distB="0" distL="114300" distR="114300" simplePos="0" relativeHeight="251659264" behindDoc="1" locked="0" layoutInCell="1" allowOverlap="1">
            <wp:simplePos x="0" y="0"/>
            <wp:positionH relativeFrom="column">
              <wp:posOffset>403225</wp:posOffset>
            </wp:positionH>
            <wp:positionV relativeFrom="paragraph">
              <wp:posOffset>45720</wp:posOffset>
            </wp:positionV>
            <wp:extent cx="4530725" cy="2800985"/>
            <wp:effectExtent l="4445" t="5080" r="17780" b="13335"/>
            <wp:wrapTight wrapText="bothSides">
              <wp:wrapPolygon>
                <wp:start x="-21" y="-39"/>
                <wp:lineTo x="-21" y="21556"/>
                <wp:lineTo x="21503" y="21556"/>
                <wp:lineTo x="21503" y="-39"/>
                <wp:lineTo x="-21" y="-39"/>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eastAsia="仿宋"/>
          <w:sz w:val="32"/>
          <w:szCs w:val="32"/>
        </w:rPr>
        <w:t>）</w:t>
      </w:r>
    </w:p>
    <w:p>
      <w:pPr>
        <w:pStyle w:val="27"/>
        <w:numPr>
          <w:ilvl w:val="0"/>
          <w:numId w:val="1"/>
        </w:numPr>
        <w:adjustRightInd w:val="0"/>
        <w:snapToGrid w:val="0"/>
        <w:spacing w:line="353" w:lineRule="auto"/>
        <w:ind w:firstLineChars="0"/>
        <w:outlineLvl w:val="1"/>
        <w:rPr>
          <w:rStyle w:val="29"/>
          <w:rFonts w:ascii="Times New Roman" w:hAnsi="Times New Roman" w:eastAsia="黑体" w:cs="Times New Roman"/>
          <w:b w:val="0"/>
        </w:rPr>
      </w:pPr>
      <w:bookmarkStart w:id="20" w:name="_Toc15377206"/>
      <w:bookmarkStart w:id="21" w:name="_Toc15396604"/>
      <w:r>
        <w:rPr>
          <w:rFonts w:eastAsia="黑体"/>
          <w:sz w:val="32"/>
          <w:szCs w:val="32"/>
        </w:rPr>
        <w:t>收</w:t>
      </w:r>
      <w:r>
        <w:rPr>
          <w:rStyle w:val="29"/>
          <w:rFonts w:ascii="Times New Roman" w:hAnsi="Times New Roman" w:eastAsia="黑体" w:cs="Times New Roman"/>
          <w:b w:val="0"/>
        </w:rPr>
        <w:t>入决算情况说明</w:t>
      </w:r>
      <w:bookmarkEnd w:id="20"/>
      <w:bookmarkEnd w:id="21"/>
    </w:p>
    <w:p>
      <w:pPr>
        <w:adjustRightInd w:val="0"/>
        <w:snapToGrid w:val="0"/>
        <w:spacing w:line="353" w:lineRule="auto"/>
        <w:ind w:firstLine="640" w:firstLineChars="200"/>
        <w:rPr>
          <w:rFonts w:eastAsia="仿宋_GB2312"/>
          <w:sz w:val="32"/>
          <w:szCs w:val="32"/>
        </w:rPr>
      </w:pPr>
      <w:r>
        <w:rPr>
          <w:rFonts w:eastAsia="仿宋_GB2312"/>
          <w:sz w:val="32"/>
          <w:szCs w:val="32"/>
        </w:rPr>
        <w:t>2022年本年收入合计806.12万元，其中：一般公共预算财政拨款收入731.65万元，占90.76%；政府性基金预算财政拨款收入74.45万元，占9.24%；国有资本经营预算财政拨款收入0万元，占0%；上级补助收入0万元，占0%；事业收入0万元，占0%；经营收入0万元，占0%；附属单</w:t>
      </w:r>
    </w:p>
    <w:p>
      <w:pPr>
        <w:adjustRightInd w:val="0"/>
        <w:snapToGrid w:val="0"/>
        <w:spacing w:line="353" w:lineRule="auto"/>
        <w:rPr>
          <w:rFonts w:eastAsia="仿宋"/>
          <w:sz w:val="32"/>
          <w:szCs w:val="32"/>
        </w:rPr>
      </w:pPr>
      <w:r>
        <w:rPr>
          <w:rFonts w:eastAsia="仿宋_GB2312"/>
          <w:sz w:val="32"/>
          <w:szCs w:val="32"/>
        </w:rPr>
        <w:t>位上缴收入0万元，占0%；其他收入0.02万元，占0.002%。</w:t>
      </w:r>
    </w:p>
    <w:p>
      <w:pPr>
        <w:spacing w:line="600" w:lineRule="exact"/>
        <w:jc w:val="center"/>
        <w:outlineLvl w:val="1"/>
        <w:rPr>
          <w:rFonts w:eastAsia="仿宋"/>
          <w:sz w:val="32"/>
          <w:szCs w:val="32"/>
        </w:rPr>
      </w:pPr>
      <w:r>
        <w:rPr>
          <w:rFonts w:eastAsia="仿宋"/>
          <w:color w:val="FF0000"/>
          <w:sz w:val="32"/>
          <w:szCs w:val="32"/>
        </w:rPr>
        <w:drawing>
          <wp:anchor distT="0" distB="0" distL="114300" distR="114300" simplePos="0" relativeHeight="251660288" behindDoc="1" locked="0" layoutInCell="1" allowOverlap="1">
            <wp:simplePos x="0" y="0"/>
            <wp:positionH relativeFrom="column">
              <wp:posOffset>259080</wp:posOffset>
            </wp:positionH>
            <wp:positionV relativeFrom="paragraph">
              <wp:posOffset>29210</wp:posOffset>
            </wp:positionV>
            <wp:extent cx="4743450" cy="2481580"/>
            <wp:effectExtent l="0" t="0" r="0" b="13970"/>
            <wp:wrapTight wrapText="bothSides">
              <wp:wrapPolygon>
                <wp:start x="0" y="0"/>
                <wp:lineTo x="0" y="21556"/>
                <wp:lineTo x="21513" y="21556"/>
                <wp:lineTo x="21513"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jc w:val="center"/>
        <w:outlineLvl w:val="1"/>
        <w:rPr>
          <w:rFonts w:eastAsia="仿宋"/>
          <w:sz w:val="32"/>
          <w:szCs w:val="32"/>
        </w:rPr>
      </w:pPr>
    </w:p>
    <w:p>
      <w:pPr>
        <w:spacing w:line="600" w:lineRule="exact"/>
        <w:jc w:val="center"/>
        <w:outlineLvl w:val="1"/>
        <w:rPr>
          <w:rFonts w:eastAsia="仿宋"/>
          <w:sz w:val="32"/>
          <w:szCs w:val="32"/>
        </w:rPr>
      </w:pPr>
    </w:p>
    <w:p>
      <w:pPr>
        <w:spacing w:line="600" w:lineRule="exact"/>
        <w:jc w:val="center"/>
        <w:outlineLvl w:val="1"/>
        <w:rPr>
          <w:rFonts w:eastAsia="仿宋"/>
          <w:sz w:val="32"/>
          <w:szCs w:val="32"/>
        </w:rPr>
      </w:pPr>
    </w:p>
    <w:p>
      <w:pPr>
        <w:spacing w:line="600" w:lineRule="exact"/>
        <w:jc w:val="center"/>
        <w:outlineLvl w:val="1"/>
        <w:rPr>
          <w:rFonts w:eastAsia="仿宋"/>
          <w:sz w:val="32"/>
          <w:szCs w:val="32"/>
        </w:rPr>
      </w:pPr>
    </w:p>
    <w:p>
      <w:pPr>
        <w:spacing w:line="600" w:lineRule="exact"/>
        <w:jc w:val="center"/>
        <w:outlineLvl w:val="1"/>
        <w:rPr>
          <w:rFonts w:eastAsia="仿宋"/>
          <w:sz w:val="32"/>
          <w:szCs w:val="32"/>
        </w:rPr>
      </w:pPr>
    </w:p>
    <w:p>
      <w:pPr>
        <w:spacing w:line="600" w:lineRule="exact"/>
        <w:jc w:val="center"/>
        <w:outlineLvl w:val="1"/>
        <w:rPr>
          <w:rFonts w:eastAsia="仿宋"/>
          <w:sz w:val="32"/>
          <w:szCs w:val="32"/>
        </w:rPr>
      </w:pPr>
    </w:p>
    <w:p>
      <w:pPr>
        <w:pStyle w:val="27"/>
        <w:numPr>
          <w:ilvl w:val="0"/>
          <w:numId w:val="1"/>
        </w:numPr>
        <w:adjustRightInd w:val="0"/>
        <w:snapToGrid w:val="0"/>
        <w:spacing w:line="353" w:lineRule="auto"/>
        <w:ind w:firstLineChars="0"/>
        <w:outlineLvl w:val="1"/>
        <w:rPr>
          <w:rStyle w:val="29"/>
          <w:rFonts w:ascii="Times New Roman" w:hAnsi="Times New Roman" w:eastAsia="黑体" w:cs="Times New Roman"/>
          <w:b w:val="0"/>
        </w:rPr>
      </w:pPr>
      <w:bookmarkStart w:id="22" w:name="_Toc15377207"/>
      <w:bookmarkStart w:id="23" w:name="_Toc15396605"/>
      <w:r>
        <w:rPr>
          <w:rFonts w:eastAsia="黑体"/>
          <w:sz w:val="32"/>
          <w:szCs w:val="32"/>
        </w:rPr>
        <w:t>支</w:t>
      </w:r>
      <w:r>
        <w:rPr>
          <w:rStyle w:val="29"/>
          <w:rFonts w:ascii="Times New Roman" w:hAnsi="Times New Roman" w:eastAsia="黑体" w:cs="Times New Roman"/>
          <w:b w:val="0"/>
        </w:rPr>
        <w:t>出决算情况说明</w:t>
      </w:r>
      <w:bookmarkEnd w:id="22"/>
      <w:bookmarkEnd w:id="23"/>
    </w:p>
    <w:p>
      <w:pPr>
        <w:adjustRightInd w:val="0"/>
        <w:snapToGrid w:val="0"/>
        <w:spacing w:line="353" w:lineRule="auto"/>
        <w:ind w:firstLine="640" w:firstLineChars="200"/>
        <w:outlineLvl w:val="1"/>
        <w:rPr>
          <w:rFonts w:eastAsia="仿宋"/>
          <w:sz w:val="32"/>
          <w:szCs w:val="32"/>
        </w:rPr>
      </w:pPr>
      <w:r>
        <w:rPr>
          <w:rFonts w:eastAsia="仿宋_GB2312"/>
          <w:sz w:val="32"/>
          <w:szCs w:val="32"/>
        </w:rPr>
        <w:drawing>
          <wp:anchor distT="0" distB="0" distL="114300" distR="114300" simplePos="0" relativeHeight="251661312" behindDoc="1" locked="0" layoutInCell="1" allowOverlap="1">
            <wp:simplePos x="0" y="0"/>
            <wp:positionH relativeFrom="column">
              <wp:posOffset>314960</wp:posOffset>
            </wp:positionH>
            <wp:positionV relativeFrom="paragraph">
              <wp:posOffset>1536700</wp:posOffset>
            </wp:positionV>
            <wp:extent cx="4664075" cy="2475230"/>
            <wp:effectExtent l="0" t="0" r="3175" b="1270"/>
            <wp:wrapTight wrapText="bothSides">
              <wp:wrapPolygon>
                <wp:start x="0" y="0"/>
                <wp:lineTo x="0" y="21445"/>
                <wp:lineTo x="21526" y="21445"/>
                <wp:lineTo x="21526" y="0"/>
                <wp:lineTo x="0" y="0"/>
              </wp:wrapPolygon>
            </wp:wrapTight>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_GB2312"/>
          <w:sz w:val="32"/>
          <w:szCs w:val="32"/>
        </w:rPr>
        <w:t>2022年本年支出合计806.11万元，其中：基本支出731.66万元，占90.76%；项目支出74.45万元，占9.24%；上缴上级支出0万元，占0%；经营支出0万元，占0%；对附属单位补助支出0万元，占0%</w:t>
      </w:r>
      <w:r>
        <w:rPr>
          <w:rFonts w:eastAsia="仿宋"/>
          <w:sz w:val="32"/>
          <w:szCs w:val="32"/>
        </w:rPr>
        <w:t>。</w:t>
      </w:r>
    </w:p>
    <w:p>
      <w:pPr>
        <w:spacing w:line="600" w:lineRule="exact"/>
        <w:ind w:firstLine="640"/>
        <w:rPr>
          <w:rFonts w:eastAsia="仿宋"/>
          <w:sz w:val="32"/>
          <w:szCs w:val="32"/>
          <w:shd w:val="pct10" w:color="auto" w:fill="FFFFFF"/>
        </w:rPr>
      </w:pPr>
    </w:p>
    <w:p>
      <w:pPr>
        <w:spacing w:line="600" w:lineRule="exact"/>
        <w:ind w:firstLine="640" w:firstLineChars="200"/>
        <w:rPr>
          <w:rFonts w:eastAsia="仿宋"/>
          <w:sz w:val="32"/>
          <w:szCs w:val="32"/>
        </w:rPr>
      </w:pPr>
      <w:r>
        <w:rPr>
          <w:rFonts w:eastAsia="仿宋"/>
          <w:sz w:val="32"/>
          <w:szCs w:val="32"/>
        </w:rPr>
        <w:t>）</w:t>
      </w:r>
    </w:p>
    <w:p>
      <w:pPr>
        <w:spacing w:line="600" w:lineRule="exact"/>
        <w:ind w:firstLine="640" w:firstLineChars="200"/>
        <w:rPr>
          <w:rFonts w:eastAsia="仿宋_GB2312"/>
          <w:sz w:val="32"/>
          <w:szCs w:val="32"/>
        </w:rPr>
      </w:pPr>
    </w:p>
    <w:p>
      <w:pPr>
        <w:adjustRightInd w:val="0"/>
        <w:snapToGrid w:val="0"/>
        <w:spacing w:line="353" w:lineRule="auto"/>
        <w:ind w:firstLine="640" w:firstLineChars="200"/>
        <w:outlineLvl w:val="1"/>
        <w:rPr>
          <w:rStyle w:val="29"/>
          <w:rFonts w:ascii="Times New Roman" w:hAnsi="Times New Roman" w:eastAsia="黑体" w:cs="Times New Roman"/>
          <w:b w:val="0"/>
        </w:rPr>
      </w:pPr>
      <w:bookmarkStart w:id="24" w:name="_Toc15396606"/>
      <w:bookmarkStart w:id="25" w:name="_Toc15377208"/>
      <w:r>
        <w:rPr>
          <w:rFonts w:eastAsia="黑体"/>
          <w:sz w:val="32"/>
          <w:szCs w:val="32"/>
        </w:rPr>
        <w:t>四、财</w:t>
      </w:r>
      <w:r>
        <w:rPr>
          <w:rStyle w:val="29"/>
          <w:rFonts w:ascii="Times New Roman" w:hAnsi="Times New Roman" w:eastAsia="黑体" w:cs="Times New Roman"/>
          <w:b w:val="0"/>
        </w:rPr>
        <w:t>政拨款收入支出决算总体情况说明</w:t>
      </w:r>
      <w:bookmarkEnd w:id="24"/>
      <w:bookmarkEnd w:id="25"/>
    </w:p>
    <w:p>
      <w:pPr>
        <w:adjustRightInd w:val="0"/>
        <w:snapToGrid w:val="0"/>
        <w:spacing w:line="353" w:lineRule="auto"/>
        <w:ind w:firstLine="641"/>
        <w:rPr>
          <w:rFonts w:eastAsia="仿宋_GB2312"/>
          <w:sz w:val="32"/>
          <w:szCs w:val="32"/>
        </w:rPr>
      </w:pPr>
      <w:r>
        <w:rPr>
          <w:rFonts w:eastAsia="仿宋_GB2312"/>
          <w:sz w:val="32"/>
          <w:szCs w:val="32"/>
        </w:rPr>
        <w:t>2022年财政拨款收、支总计806.1万元。与2021年相比，财政拨款收、支总计各减少68.4万元，下降7.82%。主要变动原因是人员经费支出657.02万元，较去年减少7.71万元，同比减少1.16%；2022年日常公用经费支出74.64万元，较去年增加0.37万元，同比增加0.50%；2022年项目经费支出74.45万元，较去年减少17.05万元，同比减少18.63%。</w:t>
      </w:r>
    </w:p>
    <w:p>
      <w:pPr>
        <w:spacing w:line="600" w:lineRule="exact"/>
        <w:ind w:firstLine="640" w:firstLineChars="200"/>
        <w:rPr>
          <w:rFonts w:eastAsia="仿宋"/>
          <w:sz w:val="32"/>
          <w:szCs w:val="32"/>
        </w:rPr>
      </w:pPr>
      <w:r>
        <w:rPr>
          <w:rFonts w:eastAsia="仿宋"/>
          <w:sz w:val="32"/>
          <w:szCs w:val="32"/>
        </w:rPr>
        <w:drawing>
          <wp:anchor distT="0" distB="0" distL="114300" distR="114300" simplePos="0" relativeHeight="251662336" behindDoc="1" locked="0" layoutInCell="1" allowOverlap="1">
            <wp:simplePos x="0" y="0"/>
            <wp:positionH relativeFrom="column">
              <wp:posOffset>495935</wp:posOffset>
            </wp:positionH>
            <wp:positionV relativeFrom="paragraph">
              <wp:posOffset>42545</wp:posOffset>
            </wp:positionV>
            <wp:extent cx="4317365" cy="2697480"/>
            <wp:effectExtent l="4445" t="4445" r="21590" b="22225"/>
            <wp:wrapTight wrapText="bothSides">
              <wp:wrapPolygon>
                <wp:start x="-22" y="-36"/>
                <wp:lineTo x="-22" y="21473"/>
                <wp:lineTo x="21517" y="21473"/>
                <wp:lineTo x="21517" y="-36"/>
                <wp:lineTo x="-22" y="-36"/>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eastAsia="仿宋"/>
          <w:b/>
          <w:sz w:val="32"/>
          <w:szCs w:val="32"/>
        </w:rPr>
      </w:pPr>
    </w:p>
    <w:p>
      <w:pPr>
        <w:adjustRightInd w:val="0"/>
        <w:snapToGrid w:val="0"/>
        <w:spacing w:line="353" w:lineRule="auto"/>
        <w:ind w:firstLine="640" w:firstLineChars="200"/>
        <w:outlineLvl w:val="1"/>
        <w:rPr>
          <w:rStyle w:val="29"/>
          <w:rFonts w:ascii="Times New Roman" w:hAnsi="Times New Roman" w:eastAsia="黑体" w:cs="Times New Roman"/>
          <w:b w:val="0"/>
        </w:rPr>
      </w:pPr>
      <w:bookmarkStart w:id="26" w:name="_Toc15377209"/>
      <w:bookmarkStart w:id="27" w:name="_Toc15396607"/>
      <w:r>
        <w:rPr>
          <w:rFonts w:eastAsia="黑体"/>
          <w:sz w:val="32"/>
          <w:szCs w:val="32"/>
        </w:rPr>
        <w:t>五、</w:t>
      </w:r>
      <w:r>
        <w:rPr>
          <w:rFonts w:eastAsia="黑体"/>
          <w:b/>
          <w:sz w:val="32"/>
          <w:szCs w:val="32"/>
        </w:rPr>
        <w:t>一</w:t>
      </w:r>
      <w:r>
        <w:rPr>
          <w:rStyle w:val="29"/>
          <w:rFonts w:ascii="Times New Roman" w:hAnsi="Times New Roman" w:eastAsia="黑体" w:cs="Times New Roman"/>
          <w:b w:val="0"/>
        </w:rPr>
        <w:t>般公共预算财政拨款支出决算情况说明</w:t>
      </w:r>
      <w:bookmarkEnd w:id="26"/>
      <w:bookmarkEnd w:id="27"/>
    </w:p>
    <w:p>
      <w:pPr>
        <w:adjustRightInd w:val="0"/>
        <w:snapToGrid w:val="0"/>
        <w:spacing w:line="353" w:lineRule="auto"/>
        <w:ind w:firstLine="640" w:firstLineChars="200"/>
        <w:outlineLvl w:val="2"/>
        <w:rPr>
          <w:rFonts w:eastAsia="楷体_GB2312"/>
          <w:bCs/>
          <w:sz w:val="32"/>
          <w:szCs w:val="32"/>
        </w:rPr>
      </w:pPr>
      <w:bookmarkStart w:id="28" w:name="_Toc15377210"/>
      <w:r>
        <w:rPr>
          <w:rFonts w:eastAsia="楷体_GB2312"/>
          <w:bCs/>
          <w:sz w:val="32"/>
          <w:szCs w:val="32"/>
        </w:rPr>
        <w:t>（一）一般公共预算财政拨款支出决算总体情况</w:t>
      </w:r>
      <w:bookmarkEnd w:id="28"/>
      <w:r>
        <w:rPr>
          <w:rFonts w:eastAsia="楷体_GB2312"/>
          <w:bCs/>
          <w:sz w:val="32"/>
          <w:szCs w:val="32"/>
        </w:rPr>
        <w:t>。</w:t>
      </w:r>
    </w:p>
    <w:p>
      <w:pPr>
        <w:adjustRightInd w:val="0"/>
        <w:snapToGrid w:val="0"/>
        <w:spacing w:line="353" w:lineRule="auto"/>
        <w:ind w:firstLine="640" w:firstLineChars="200"/>
        <w:rPr>
          <w:rFonts w:eastAsia="仿宋_GB2312"/>
          <w:sz w:val="32"/>
          <w:szCs w:val="32"/>
        </w:rPr>
      </w:pPr>
      <w:r>
        <w:rPr>
          <w:rFonts w:eastAsia="仿宋_GB2312"/>
          <w:sz w:val="32"/>
          <w:szCs w:val="32"/>
        </w:rPr>
        <w:t>2022年一般公共预算财政拨款支出731.65万元，占本年支出合计的90.76%。与2021年相比，一般公共预算财政拨款支出减少51.35万元，下降6.56%。主要变动原因是一般公共服务支出614万元，较去年减少49.32万元，同比减少8.03%；社会保障和就业支出59.77万元，较去年减少4.53万元，同比减少7.58%；卫生健康支出44.83万元，较去年增加0.84万元，同比增加1.91%；住房保障支出66.91万元，较去年增加1.68万元，同比增加2.58%。</w:t>
      </w:r>
    </w:p>
    <w:p>
      <w:pPr>
        <w:spacing w:line="600" w:lineRule="exact"/>
        <w:ind w:firstLine="640" w:firstLineChars="200"/>
        <w:rPr>
          <w:rFonts w:eastAsia="仿宋"/>
          <w:sz w:val="32"/>
          <w:szCs w:val="32"/>
        </w:rPr>
      </w:pPr>
      <w:r>
        <w:rPr>
          <w:rFonts w:eastAsia="仿宋"/>
          <w:sz w:val="32"/>
          <w:szCs w:val="32"/>
        </w:rPr>
        <w:drawing>
          <wp:anchor distT="0" distB="0" distL="114300" distR="114300" simplePos="0" relativeHeight="251661312" behindDoc="1" locked="0" layoutInCell="1" allowOverlap="1">
            <wp:simplePos x="0" y="0"/>
            <wp:positionH relativeFrom="column">
              <wp:posOffset>480060</wp:posOffset>
            </wp:positionH>
            <wp:positionV relativeFrom="paragraph">
              <wp:posOffset>98425</wp:posOffset>
            </wp:positionV>
            <wp:extent cx="4364990" cy="2634615"/>
            <wp:effectExtent l="4445" t="4445" r="12065" b="8890"/>
            <wp:wrapTight wrapText="bothSides">
              <wp:wrapPolygon>
                <wp:start x="-22" y="-36"/>
                <wp:lineTo x="-22" y="21517"/>
                <wp:lineTo x="21565" y="21517"/>
                <wp:lineTo x="21565" y="-36"/>
                <wp:lineTo x="-22" y="-36"/>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spacing w:line="600" w:lineRule="exact"/>
        <w:ind w:firstLine="643" w:firstLineChars="200"/>
        <w:outlineLvl w:val="2"/>
        <w:rPr>
          <w:rFonts w:eastAsia="仿宋"/>
          <w:b/>
          <w:sz w:val="32"/>
          <w:szCs w:val="32"/>
        </w:rPr>
      </w:pPr>
      <w:bookmarkStart w:id="29" w:name="_Toc15377211"/>
    </w:p>
    <w:p>
      <w:pPr>
        <w:adjustRightInd w:val="0"/>
        <w:snapToGrid w:val="0"/>
        <w:spacing w:line="353" w:lineRule="auto"/>
        <w:ind w:firstLine="640" w:firstLineChars="200"/>
        <w:outlineLvl w:val="2"/>
        <w:rPr>
          <w:rFonts w:eastAsia="楷体_GB2312"/>
          <w:bCs/>
          <w:sz w:val="32"/>
          <w:szCs w:val="32"/>
        </w:rPr>
      </w:pPr>
      <w:r>
        <w:rPr>
          <w:rFonts w:eastAsia="楷体_GB2312"/>
          <w:bCs/>
          <w:sz w:val="32"/>
          <w:szCs w:val="32"/>
        </w:rPr>
        <w:t>（二）一般公共预算财政拨款支出决算结构情况</w:t>
      </w:r>
      <w:bookmarkEnd w:id="29"/>
      <w:r>
        <w:rPr>
          <w:rFonts w:eastAsia="楷体_GB2312"/>
          <w:bCs/>
          <w:sz w:val="32"/>
          <w:szCs w:val="32"/>
        </w:rPr>
        <w:t>。</w:t>
      </w:r>
    </w:p>
    <w:p>
      <w:pPr>
        <w:adjustRightInd w:val="0"/>
        <w:snapToGrid w:val="0"/>
        <w:spacing w:line="353" w:lineRule="auto"/>
        <w:ind w:firstLine="641"/>
        <w:rPr>
          <w:rFonts w:eastAsia="仿宋_GB2312"/>
          <w:sz w:val="32"/>
          <w:szCs w:val="32"/>
        </w:rPr>
      </w:pPr>
      <w:r>
        <w:rPr>
          <w:rFonts w:eastAsia="仿宋_GB2312"/>
          <w:sz w:val="32"/>
          <w:szCs w:val="32"/>
        </w:rPr>
        <w:t>2022年一般公共预算财政拨款支出731.65万元，主要用于以下方面:一般公共服务支出564.68万元，占77.18%；教育支出0万元，占0%；科学技术支出0万元，占0%；文化旅游体育与传媒支出0万元，占0%；社会保障和就业支出55.24万元，占7.55%；卫生健康支出44.83万元，占6.13%；住房保障支出66.91万元，占9.15%。</w:t>
      </w:r>
    </w:p>
    <w:p>
      <w:pPr>
        <w:spacing w:line="600" w:lineRule="exact"/>
        <w:ind w:firstLine="640"/>
        <w:rPr>
          <w:rFonts w:eastAsia="仿宋"/>
          <w:b/>
          <w:sz w:val="32"/>
          <w:szCs w:val="32"/>
        </w:rPr>
      </w:pPr>
      <w:r>
        <w:rPr>
          <w:rFonts w:eastAsia="仿宋"/>
          <w:sz w:val="32"/>
          <w:szCs w:val="32"/>
        </w:rPr>
        <w:drawing>
          <wp:anchor distT="0" distB="0" distL="114300" distR="114300" simplePos="0" relativeHeight="251663360" behindDoc="1" locked="0" layoutInCell="1" allowOverlap="1">
            <wp:simplePos x="0" y="0"/>
            <wp:positionH relativeFrom="column">
              <wp:posOffset>505460</wp:posOffset>
            </wp:positionH>
            <wp:positionV relativeFrom="paragraph">
              <wp:posOffset>26670</wp:posOffset>
            </wp:positionV>
            <wp:extent cx="4248150" cy="2988310"/>
            <wp:effectExtent l="5080" t="4445" r="13970" b="17145"/>
            <wp:wrapTight wrapText="bothSides">
              <wp:wrapPolygon>
                <wp:start x="-26" y="-32"/>
                <wp:lineTo x="-26" y="21449"/>
                <wp:lineTo x="21574" y="21449"/>
                <wp:lineTo x="21574" y="-32"/>
                <wp:lineTo x="-26" y="-32"/>
              </wp:wrapPolygon>
            </wp:wrapTight>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eastAsia="仿宋"/>
          <w:b/>
          <w:sz w:val="32"/>
          <w:szCs w:val="32"/>
        </w:rPr>
      </w:pPr>
    </w:p>
    <w:p>
      <w:pPr>
        <w:spacing w:line="600" w:lineRule="exact"/>
        <w:ind w:firstLine="640"/>
        <w:rPr>
          <w:rFonts w:eastAsia="仿宋"/>
          <w:b/>
          <w:sz w:val="32"/>
          <w:szCs w:val="32"/>
        </w:rPr>
      </w:pPr>
    </w:p>
    <w:p>
      <w:pPr>
        <w:spacing w:line="600" w:lineRule="exact"/>
        <w:ind w:firstLine="640"/>
        <w:rPr>
          <w:rFonts w:eastAsia="仿宋"/>
          <w:b/>
          <w:sz w:val="32"/>
          <w:szCs w:val="32"/>
        </w:rPr>
      </w:pPr>
    </w:p>
    <w:p>
      <w:pPr>
        <w:spacing w:line="600" w:lineRule="exact"/>
        <w:ind w:firstLine="640"/>
        <w:rPr>
          <w:rFonts w:eastAsia="仿宋"/>
          <w:b/>
          <w:sz w:val="32"/>
          <w:szCs w:val="32"/>
        </w:rPr>
      </w:pPr>
    </w:p>
    <w:p>
      <w:pPr>
        <w:spacing w:line="600" w:lineRule="exact"/>
        <w:rPr>
          <w:rFonts w:eastAsia="仿宋"/>
          <w:b/>
          <w:sz w:val="32"/>
          <w:szCs w:val="32"/>
        </w:rPr>
      </w:pPr>
    </w:p>
    <w:p>
      <w:pPr>
        <w:adjustRightInd w:val="0"/>
        <w:snapToGrid w:val="0"/>
        <w:spacing w:line="353" w:lineRule="auto"/>
        <w:ind w:firstLine="640" w:firstLineChars="200"/>
        <w:outlineLvl w:val="2"/>
        <w:rPr>
          <w:rFonts w:eastAsia="楷体_GB2312"/>
          <w:bCs/>
          <w:sz w:val="32"/>
          <w:szCs w:val="32"/>
        </w:rPr>
      </w:pPr>
      <w:bookmarkStart w:id="30" w:name="_Toc15377212"/>
      <w:r>
        <w:rPr>
          <w:rFonts w:eastAsia="楷体_GB2312"/>
          <w:bCs/>
          <w:sz w:val="32"/>
          <w:szCs w:val="32"/>
        </w:rPr>
        <w:t>（三）一般公共预算财政拨款支出决算具体情况</w:t>
      </w:r>
      <w:bookmarkEnd w:id="30"/>
      <w:r>
        <w:rPr>
          <w:rFonts w:eastAsia="楷体_GB2312"/>
          <w:bCs/>
          <w:sz w:val="32"/>
          <w:szCs w:val="32"/>
        </w:rPr>
        <w:t>。</w:t>
      </w:r>
    </w:p>
    <w:p>
      <w:pPr>
        <w:adjustRightInd w:val="0"/>
        <w:snapToGrid w:val="0"/>
        <w:spacing w:line="353" w:lineRule="auto"/>
        <w:ind w:firstLine="643" w:firstLineChars="200"/>
        <w:outlineLvl w:val="2"/>
        <w:rPr>
          <w:rFonts w:eastAsia="仿宋_GB2312"/>
          <w:sz w:val="32"/>
          <w:szCs w:val="32"/>
        </w:rPr>
      </w:pPr>
      <w:bookmarkStart w:id="31" w:name="_Toc15377444"/>
      <w:bookmarkStart w:id="32" w:name="_Toc15378460"/>
      <w:bookmarkStart w:id="33" w:name="_Toc15377213"/>
      <w:r>
        <w:rPr>
          <w:rFonts w:eastAsia="仿宋_GB2312"/>
          <w:b/>
          <w:sz w:val="32"/>
          <w:szCs w:val="32"/>
        </w:rPr>
        <w:t>2022年一般公共预算支出决算数为731.65万元</w:t>
      </w:r>
      <w:r>
        <w:rPr>
          <w:rFonts w:eastAsia="仿宋_GB2312"/>
          <w:sz w:val="32"/>
          <w:szCs w:val="32"/>
        </w:rPr>
        <w:t>，</w:t>
      </w:r>
      <w:r>
        <w:rPr>
          <w:rStyle w:val="16"/>
          <w:rFonts w:eastAsia="仿宋_GB2312"/>
          <w:bCs/>
          <w:sz w:val="32"/>
          <w:szCs w:val="32"/>
        </w:rPr>
        <w:t>完成预算100%。其中：</w:t>
      </w:r>
      <w:bookmarkEnd w:id="31"/>
      <w:bookmarkEnd w:id="32"/>
      <w:bookmarkEnd w:id="33"/>
    </w:p>
    <w:p>
      <w:pPr>
        <w:adjustRightInd w:val="0"/>
        <w:snapToGrid w:val="0"/>
        <w:spacing w:line="353" w:lineRule="auto"/>
        <w:ind w:firstLine="643" w:firstLineChars="200"/>
        <w:rPr>
          <w:rFonts w:eastAsia="仿宋_GB2312"/>
          <w:sz w:val="32"/>
          <w:szCs w:val="32"/>
        </w:rPr>
      </w:pPr>
      <w:r>
        <w:rPr>
          <w:rStyle w:val="16"/>
          <w:rFonts w:eastAsia="仿宋_GB2312"/>
          <w:bCs/>
          <w:sz w:val="32"/>
          <w:szCs w:val="32"/>
        </w:rPr>
        <w:t>1.一般公共服务（类）政府办公厅（室）及相关机构事务（款）行政运行（项）：</w:t>
      </w:r>
      <w:r>
        <w:rPr>
          <w:rFonts w:eastAsia="仿宋_GB2312"/>
          <w:sz w:val="32"/>
          <w:szCs w:val="32"/>
        </w:rPr>
        <w:t>支出决算为424.10万元，完成预算100%。</w:t>
      </w:r>
    </w:p>
    <w:p>
      <w:pPr>
        <w:adjustRightInd w:val="0"/>
        <w:snapToGrid w:val="0"/>
        <w:spacing w:line="353" w:lineRule="auto"/>
        <w:ind w:firstLine="643" w:firstLineChars="200"/>
        <w:rPr>
          <w:rFonts w:eastAsia="仿宋_GB2312"/>
          <w:sz w:val="32"/>
          <w:szCs w:val="32"/>
        </w:rPr>
      </w:pPr>
      <w:r>
        <w:rPr>
          <w:rStyle w:val="16"/>
          <w:rFonts w:eastAsia="仿宋_GB2312"/>
          <w:bCs/>
          <w:sz w:val="32"/>
          <w:szCs w:val="32"/>
        </w:rPr>
        <w:t>2.一般公共服务（类）政府办公厅（室）及相关机构事务（款）事业运行（项）：</w:t>
      </w:r>
      <w:r>
        <w:rPr>
          <w:rFonts w:eastAsia="仿宋_GB2312"/>
          <w:sz w:val="32"/>
          <w:szCs w:val="32"/>
        </w:rPr>
        <w:t>支出决算为140.58万元，完成预算100%。</w:t>
      </w:r>
    </w:p>
    <w:p>
      <w:pPr>
        <w:adjustRightInd w:val="0"/>
        <w:snapToGrid w:val="0"/>
        <w:spacing w:line="353" w:lineRule="auto"/>
        <w:ind w:firstLine="643" w:firstLineChars="200"/>
        <w:rPr>
          <w:rFonts w:eastAsia="仿宋_GB2312"/>
          <w:sz w:val="32"/>
          <w:szCs w:val="32"/>
        </w:rPr>
      </w:pPr>
      <w:r>
        <w:rPr>
          <w:rStyle w:val="16"/>
          <w:rFonts w:eastAsia="仿宋_GB2312"/>
          <w:bCs/>
          <w:sz w:val="32"/>
          <w:szCs w:val="32"/>
        </w:rPr>
        <w:t>3.社会保障和就业（类）行政事业单位养老支出（款）行政单位离退休（项）:</w:t>
      </w:r>
      <w:r>
        <w:rPr>
          <w:rFonts w:eastAsia="仿宋_GB2312"/>
          <w:sz w:val="32"/>
          <w:szCs w:val="32"/>
        </w:rPr>
        <w:t>支出决算为12.15万元，完成预算100%。</w:t>
      </w:r>
    </w:p>
    <w:p>
      <w:pPr>
        <w:adjustRightInd w:val="0"/>
        <w:snapToGrid w:val="0"/>
        <w:spacing w:line="353" w:lineRule="auto"/>
        <w:ind w:firstLine="643" w:firstLineChars="200"/>
        <w:rPr>
          <w:rStyle w:val="16"/>
          <w:rFonts w:eastAsia="仿宋_GB2312"/>
          <w:b w:val="0"/>
          <w:bCs/>
          <w:sz w:val="32"/>
          <w:szCs w:val="32"/>
        </w:rPr>
      </w:pPr>
      <w:r>
        <w:rPr>
          <w:rStyle w:val="16"/>
          <w:rFonts w:eastAsia="仿宋_GB2312"/>
          <w:bCs/>
          <w:sz w:val="32"/>
          <w:szCs w:val="32"/>
        </w:rPr>
        <w:t>4.社会保障和就业（类）行政事业单位养老支出（款）机关事业单位基本养老保险缴费支出（项）:</w:t>
      </w:r>
      <w:r>
        <w:rPr>
          <w:rFonts w:eastAsia="仿宋_GB2312"/>
          <w:sz w:val="32"/>
          <w:szCs w:val="32"/>
        </w:rPr>
        <w:t>支出决算为43.09万元，完成预算100%。</w:t>
      </w:r>
    </w:p>
    <w:p>
      <w:pPr>
        <w:adjustRightInd w:val="0"/>
        <w:snapToGrid w:val="0"/>
        <w:spacing w:line="353" w:lineRule="auto"/>
        <w:ind w:firstLine="643" w:firstLineChars="200"/>
        <w:rPr>
          <w:rStyle w:val="16"/>
          <w:rFonts w:eastAsia="仿宋_GB2312"/>
          <w:b w:val="0"/>
          <w:bCs/>
          <w:sz w:val="32"/>
          <w:szCs w:val="32"/>
        </w:rPr>
      </w:pPr>
      <w:r>
        <w:rPr>
          <w:rStyle w:val="16"/>
          <w:rFonts w:eastAsia="仿宋_GB2312"/>
          <w:bCs/>
          <w:sz w:val="32"/>
          <w:szCs w:val="32"/>
        </w:rPr>
        <w:t>5.</w:t>
      </w:r>
      <w:r>
        <w:rPr>
          <w:rFonts w:eastAsia="仿宋_GB2312"/>
          <w:b/>
          <w:bCs/>
          <w:sz w:val="32"/>
          <w:szCs w:val="32"/>
        </w:rPr>
        <w:t>卫生健康</w:t>
      </w:r>
      <w:r>
        <w:rPr>
          <w:rStyle w:val="16"/>
          <w:rFonts w:eastAsia="仿宋_GB2312"/>
          <w:bCs/>
          <w:sz w:val="32"/>
          <w:szCs w:val="32"/>
        </w:rPr>
        <w:t>（类）行政事业单位医疗（款）行政单位医疗（项）:</w:t>
      </w:r>
      <w:r>
        <w:rPr>
          <w:rFonts w:eastAsia="仿宋_GB2312"/>
          <w:sz w:val="32"/>
          <w:szCs w:val="32"/>
        </w:rPr>
        <w:t>支出决算为30.93万元，完成预算100%。</w:t>
      </w:r>
    </w:p>
    <w:p>
      <w:pPr>
        <w:adjustRightInd w:val="0"/>
        <w:snapToGrid w:val="0"/>
        <w:spacing w:line="353" w:lineRule="auto"/>
        <w:ind w:firstLine="643" w:firstLineChars="200"/>
        <w:rPr>
          <w:rStyle w:val="16"/>
          <w:rFonts w:eastAsia="仿宋_GB2312"/>
          <w:b w:val="0"/>
          <w:bCs/>
          <w:sz w:val="32"/>
          <w:szCs w:val="32"/>
        </w:rPr>
      </w:pPr>
      <w:r>
        <w:rPr>
          <w:rStyle w:val="16"/>
          <w:rFonts w:eastAsia="仿宋_GB2312"/>
          <w:bCs/>
          <w:sz w:val="32"/>
          <w:szCs w:val="32"/>
        </w:rPr>
        <w:t>6.</w:t>
      </w:r>
      <w:r>
        <w:rPr>
          <w:rFonts w:eastAsia="仿宋_GB2312"/>
          <w:b/>
          <w:bCs/>
          <w:sz w:val="32"/>
          <w:szCs w:val="32"/>
        </w:rPr>
        <w:t>卫生健康</w:t>
      </w:r>
      <w:r>
        <w:rPr>
          <w:rStyle w:val="16"/>
          <w:rFonts w:eastAsia="仿宋_GB2312"/>
          <w:bCs/>
          <w:sz w:val="32"/>
          <w:szCs w:val="32"/>
        </w:rPr>
        <w:t>（类）行政事业单位医疗（款）事业单位医疗（项）:</w:t>
      </w:r>
      <w:r>
        <w:rPr>
          <w:rFonts w:eastAsia="仿宋_GB2312"/>
          <w:sz w:val="32"/>
          <w:szCs w:val="32"/>
        </w:rPr>
        <w:t>支出决算为10.40万元，完成预算100%。</w:t>
      </w:r>
    </w:p>
    <w:p>
      <w:pPr>
        <w:adjustRightInd w:val="0"/>
        <w:snapToGrid w:val="0"/>
        <w:spacing w:line="353" w:lineRule="auto"/>
        <w:ind w:firstLine="643" w:firstLineChars="200"/>
        <w:rPr>
          <w:rFonts w:eastAsia="仿宋_GB2312"/>
          <w:sz w:val="32"/>
          <w:szCs w:val="32"/>
        </w:rPr>
      </w:pPr>
      <w:r>
        <w:rPr>
          <w:rStyle w:val="16"/>
          <w:rFonts w:eastAsia="仿宋_GB2312"/>
          <w:bCs/>
          <w:sz w:val="32"/>
          <w:szCs w:val="32"/>
        </w:rPr>
        <w:t>7.</w:t>
      </w:r>
      <w:r>
        <w:rPr>
          <w:rFonts w:eastAsia="仿宋_GB2312"/>
          <w:b/>
          <w:bCs/>
          <w:sz w:val="32"/>
          <w:szCs w:val="32"/>
        </w:rPr>
        <w:t>卫生健康</w:t>
      </w:r>
      <w:r>
        <w:rPr>
          <w:rStyle w:val="16"/>
          <w:rFonts w:eastAsia="仿宋_GB2312"/>
          <w:bCs/>
          <w:sz w:val="32"/>
          <w:szCs w:val="32"/>
        </w:rPr>
        <w:t>（类）行政事业单位医疗（款）公务员医疗补助（项）:</w:t>
      </w:r>
      <w:r>
        <w:rPr>
          <w:rFonts w:eastAsia="仿宋_GB2312"/>
          <w:sz w:val="32"/>
          <w:szCs w:val="32"/>
        </w:rPr>
        <w:t>支出决算为2.6万元，完成预算100%。</w:t>
      </w:r>
    </w:p>
    <w:p>
      <w:pPr>
        <w:adjustRightInd w:val="0"/>
        <w:snapToGrid w:val="0"/>
        <w:spacing w:line="353" w:lineRule="auto"/>
        <w:ind w:firstLine="643" w:firstLineChars="200"/>
        <w:rPr>
          <w:rFonts w:eastAsia="仿宋_GB2312"/>
          <w:b/>
          <w:sz w:val="32"/>
          <w:szCs w:val="32"/>
        </w:rPr>
      </w:pPr>
      <w:r>
        <w:rPr>
          <w:rStyle w:val="16"/>
          <w:rFonts w:eastAsia="仿宋_GB2312"/>
          <w:bCs/>
          <w:sz w:val="32"/>
          <w:szCs w:val="32"/>
        </w:rPr>
        <w:t>8.</w:t>
      </w:r>
      <w:r>
        <w:rPr>
          <w:rFonts w:eastAsia="仿宋_GB2312"/>
          <w:b/>
          <w:bCs/>
          <w:sz w:val="32"/>
          <w:szCs w:val="32"/>
        </w:rPr>
        <w:t>卫生健康</w:t>
      </w:r>
      <w:r>
        <w:rPr>
          <w:rStyle w:val="16"/>
          <w:rFonts w:eastAsia="仿宋_GB2312"/>
          <w:bCs/>
          <w:sz w:val="32"/>
          <w:szCs w:val="32"/>
        </w:rPr>
        <w:t>（类）行政事业单位医疗（款）其它行政事业单位医疗支出（项）:</w:t>
      </w:r>
      <w:r>
        <w:rPr>
          <w:rFonts w:eastAsia="仿宋_GB2312"/>
          <w:sz w:val="32"/>
          <w:szCs w:val="32"/>
        </w:rPr>
        <w:t>支出决算为0.89万元，完成预算100%。</w:t>
      </w:r>
      <w:r>
        <w:rPr>
          <w:rFonts w:eastAsia="仿宋_GB2312"/>
          <w:b/>
          <w:sz w:val="32"/>
          <w:szCs w:val="32"/>
        </w:rPr>
        <w:t xml:space="preserve"> </w:t>
      </w:r>
    </w:p>
    <w:p>
      <w:pPr>
        <w:pStyle w:val="2"/>
        <w:adjustRightInd w:val="0"/>
        <w:snapToGrid w:val="0"/>
        <w:spacing w:before="93" w:line="353" w:lineRule="auto"/>
        <w:rPr>
          <w:rFonts w:ascii="Times New Roman" w:eastAsia="仿宋"/>
          <w:b/>
          <w:sz w:val="32"/>
          <w:szCs w:val="32"/>
        </w:rPr>
      </w:pPr>
      <w:r>
        <w:rPr>
          <w:rFonts w:ascii="Times New Roman"/>
          <w:lang w:val="en"/>
        </w:rPr>
        <w:t xml:space="preserve">    </w:t>
      </w:r>
      <w:r>
        <w:rPr>
          <w:rStyle w:val="16"/>
          <w:rFonts w:ascii="Times New Roman"/>
          <w:bCs/>
          <w:kern w:val="2"/>
          <w:sz w:val="32"/>
          <w:szCs w:val="32"/>
        </w:rPr>
        <w:t>9.住</w:t>
      </w:r>
      <w:r>
        <w:rPr>
          <w:rFonts w:ascii="Times New Roman"/>
          <w:b/>
          <w:bCs/>
          <w:sz w:val="32"/>
          <w:szCs w:val="32"/>
        </w:rPr>
        <w:t>房保障支出</w:t>
      </w:r>
      <w:r>
        <w:rPr>
          <w:rStyle w:val="16"/>
          <w:rFonts w:ascii="Times New Roman"/>
          <w:bCs/>
          <w:sz w:val="32"/>
          <w:szCs w:val="32"/>
        </w:rPr>
        <w:t>（类）住房改革支出（款）住房公积金（项）:</w:t>
      </w:r>
      <w:r>
        <w:rPr>
          <w:rFonts w:ascii="Times New Roman"/>
          <w:kern w:val="2"/>
          <w:sz w:val="32"/>
          <w:szCs w:val="32"/>
        </w:rPr>
        <w:t>支出决算为66.91万元，完成预算100%。</w:t>
      </w:r>
      <w:r>
        <w:rPr>
          <w:rFonts w:ascii="Times New Roman"/>
          <w:b/>
          <w:sz w:val="32"/>
          <w:szCs w:val="32"/>
        </w:rPr>
        <w:t xml:space="preserve"> </w:t>
      </w:r>
    </w:p>
    <w:p>
      <w:pPr>
        <w:tabs>
          <w:tab w:val="right" w:pos="8306"/>
        </w:tabs>
        <w:adjustRightInd w:val="0"/>
        <w:snapToGrid w:val="0"/>
        <w:spacing w:line="353" w:lineRule="auto"/>
        <w:ind w:firstLine="640"/>
        <w:outlineLvl w:val="1"/>
        <w:rPr>
          <w:rStyle w:val="29"/>
          <w:rFonts w:ascii="Times New Roman" w:hAnsi="Times New Roman" w:cs="Times New Roman"/>
        </w:rPr>
      </w:pPr>
      <w:bookmarkStart w:id="34" w:name="_Toc15396608"/>
      <w:bookmarkStart w:id="35" w:name="_Toc15377214"/>
      <w:r>
        <w:rPr>
          <w:rFonts w:eastAsia="黑体"/>
          <w:sz w:val="32"/>
          <w:szCs w:val="32"/>
        </w:rPr>
        <w:t>六</w:t>
      </w:r>
      <w:r>
        <w:rPr>
          <w:rFonts w:eastAsia="黑体"/>
          <w:b/>
          <w:sz w:val="32"/>
          <w:szCs w:val="32"/>
        </w:rPr>
        <w:t>、一</w:t>
      </w:r>
      <w:r>
        <w:rPr>
          <w:rStyle w:val="29"/>
          <w:rFonts w:ascii="Times New Roman" w:hAnsi="Times New Roman" w:eastAsia="黑体" w:cs="Times New Roman"/>
          <w:b w:val="0"/>
        </w:rPr>
        <w:t>般公共预算财政拨款基本支出决算情况说明</w:t>
      </w:r>
      <w:bookmarkEnd w:id="34"/>
      <w:bookmarkEnd w:id="35"/>
      <w:r>
        <w:rPr>
          <w:rStyle w:val="29"/>
          <w:rFonts w:ascii="Times New Roman" w:hAnsi="Times New Roman" w:eastAsia="黑体" w:cs="Times New Roman"/>
          <w:b w:val="0"/>
        </w:rPr>
        <w:tab/>
      </w:r>
    </w:p>
    <w:p>
      <w:pPr>
        <w:adjustRightInd w:val="0"/>
        <w:snapToGrid w:val="0"/>
        <w:spacing w:line="353" w:lineRule="auto"/>
        <w:ind w:firstLine="640" w:firstLineChars="200"/>
        <w:rPr>
          <w:rFonts w:eastAsia="仿宋_GB2312"/>
          <w:sz w:val="32"/>
          <w:szCs w:val="32"/>
        </w:rPr>
      </w:pPr>
      <w:r>
        <w:rPr>
          <w:rFonts w:eastAsia="仿宋_GB2312"/>
          <w:sz w:val="32"/>
          <w:szCs w:val="32"/>
        </w:rPr>
        <w:t>2022年一般公共预算财政拨款基本支出731.65万元，其中：</w:t>
      </w:r>
    </w:p>
    <w:p>
      <w:pPr>
        <w:adjustRightInd w:val="0"/>
        <w:snapToGrid w:val="0"/>
        <w:spacing w:line="353" w:lineRule="auto"/>
        <w:ind w:firstLine="640" w:firstLineChars="200"/>
        <w:rPr>
          <w:rFonts w:eastAsia="仿宋_GB2312"/>
          <w:sz w:val="32"/>
          <w:szCs w:val="32"/>
        </w:rPr>
      </w:pPr>
      <w:r>
        <w:rPr>
          <w:rFonts w:eastAsia="仿宋_GB2312"/>
          <w:sz w:val="32"/>
          <w:szCs w:val="32"/>
        </w:rPr>
        <w:t>人员经费657.01万元，主要包括：基本工资、津贴补贴、奖金、绩效工资、机关事业单位基本养老保险缴费、职工基本医疗保险缴费、公务员医疗补助缴费、其他社会保障缴费、住房公积金、其他工资福利支出、生活补助、其他对个人和家庭的补助支出等。</w:t>
      </w:r>
    </w:p>
    <w:p>
      <w:pPr>
        <w:adjustRightInd w:val="0"/>
        <w:snapToGrid w:val="0"/>
        <w:spacing w:line="353" w:lineRule="auto"/>
        <w:ind w:firstLine="640" w:firstLineChars="200"/>
        <w:rPr>
          <w:rFonts w:eastAsia="仿宋_GB2312"/>
          <w:sz w:val="32"/>
          <w:szCs w:val="32"/>
        </w:rPr>
      </w:pPr>
      <w:r>
        <w:rPr>
          <w:rFonts w:eastAsia="仿宋_GB2312"/>
          <w:sz w:val="32"/>
          <w:szCs w:val="32"/>
        </w:rPr>
        <w:t>公用经费74.64万元，主要包括：办公费、印刷费、邮电费、差旅费、维修（护）费、租赁费、会议费、培训费、劳务费、工会经费、福利费、其他交通费、税金及附加费用、其他商品和服务支出、办公设备购置、其他资本性支出等。</w:t>
      </w:r>
    </w:p>
    <w:p>
      <w:pPr>
        <w:adjustRightInd w:val="0"/>
        <w:snapToGrid w:val="0"/>
        <w:spacing w:line="353" w:lineRule="auto"/>
        <w:ind w:firstLine="640"/>
        <w:outlineLvl w:val="1"/>
        <w:rPr>
          <w:rStyle w:val="29"/>
          <w:rFonts w:ascii="Times New Roman" w:hAnsi="Times New Roman" w:eastAsia="黑体" w:cs="Times New Roman"/>
          <w:b w:val="0"/>
        </w:rPr>
      </w:pPr>
      <w:bookmarkStart w:id="36" w:name="_Toc15396609"/>
      <w:bookmarkStart w:id="37" w:name="_Toc15377215"/>
      <w:r>
        <w:rPr>
          <w:rFonts w:eastAsia="黑体"/>
          <w:sz w:val="32"/>
          <w:szCs w:val="32"/>
        </w:rPr>
        <w:t>七、</w:t>
      </w:r>
      <w:r>
        <w:rPr>
          <w:rStyle w:val="29"/>
          <w:rFonts w:ascii="Times New Roman" w:hAnsi="Times New Roman" w:eastAsia="黑体" w:cs="Times New Roman"/>
          <w:b w:val="0"/>
        </w:rPr>
        <w:t>财政拨款</w:t>
      </w:r>
      <w:r>
        <w:rPr>
          <w:rStyle w:val="29"/>
          <w:rFonts w:ascii="Times New Roman" w:hAnsi="Times New Roman" w:eastAsia="黑体" w:cs="Times New Roman"/>
        </w:rPr>
        <w:t>“</w:t>
      </w:r>
      <w:r>
        <w:rPr>
          <w:rStyle w:val="29"/>
          <w:rFonts w:ascii="Times New Roman" w:hAnsi="Times New Roman" w:eastAsia="黑体" w:cs="Times New Roman"/>
          <w:b w:val="0"/>
        </w:rPr>
        <w:t>三公”经费支出决算情况说明</w:t>
      </w:r>
      <w:bookmarkEnd w:id="36"/>
      <w:bookmarkEnd w:id="37"/>
    </w:p>
    <w:p>
      <w:pPr>
        <w:adjustRightInd w:val="0"/>
        <w:snapToGrid w:val="0"/>
        <w:spacing w:line="353" w:lineRule="auto"/>
        <w:ind w:firstLine="640" w:firstLineChars="200"/>
        <w:outlineLvl w:val="2"/>
        <w:rPr>
          <w:rFonts w:eastAsia="楷体_GB2312"/>
          <w:bCs/>
          <w:sz w:val="32"/>
          <w:szCs w:val="32"/>
        </w:rPr>
      </w:pPr>
      <w:bookmarkStart w:id="38" w:name="_Toc15377216"/>
      <w:r>
        <w:rPr>
          <w:rFonts w:eastAsia="楷体_GB2312"/>
          <w:bCs/>
          <w:sz w:val="32"/>
          <w:szCs w:val="32"/>
        </w:rPr>
        <w:t>（一）“三公”经费财政拨款支出决算总体情况说明</w:t>
      </w:r>
      <w:bookmarkEnd w:id="38"/>
      <w:r>
        <w:rPr>
          <w:rFonts w:eastAsia="楷体_GB2312"/>
          <w:bCs/>
          <w:sz w:val="32"/>
          <w:szCs w:val="32"/>
        </w:rPr>
        <w:t>。</w:t>
      </w:r>
    </w:p>
    <w:p>
      <w:pPr>
        <w:adjustRightInd w:val="0"/>
        <w:snapToGrid w:val="0"/>
        <w:spacing w:line="353" w:lineRule="auto"/>
        <w:ind w:firstLine="640" w:firstLineChars="200"/>
        <w:rPr>
          <w:rFonts w:eastAsia="仿宋_GB2312"/>
          <w:sz w:val="32"/>
          <w:szCs w:val="32"/>
        </w:rPr>
      </w:pPr>
      <w:r>
        <w:rPr>
          <w:rFonts w:eastAsia="仿宋_GB2312"/>
          <w:sz w:val="32"/>
          <w:szCs w:val="32"/>
        </w:rPr>
        <w:t>2022年“三公”经费财政拨款支出决算为0万元，完成预算0%，较上年减少0.07万元，下降100%。决算数小于预算数的主要原因是未产生公务接待。</w:t>
      </w:r>
    </w:p>
    <w:p>
      <w:pPr>
        <w:adjustRightInd w:val="0"/>
        <w:snapToGrid w:val="0"/>
        <w:spacing w:line="353" w:lineRule="auto"/>
        <w:ind w:firstLine="640" w:firstLineChars="200"/>
        <w:outlineLvl w:val="2"/>
        <w:rPr>
          <w:rFonts w:eastAsia="楷体_GB2312"/>
          <w:bCs/>
          <w:sz w:val="32"/>
          <w:szCs w:val="32"/>
        </w:rPr>
      </w:pPr>
      <w:bookmarkStart w:id="39" w:name="_Toc15377217"/>
      <w:r>
        <w:rPr>
          <w:rFonts w:eastAsia="楷体_GB2312"/>
          <w:bCs/>
          <w:sz w:val="32"/>
          <w:szCs w:val="32"/>
        </w:rPr>
        <w:t>（二）“三公”经费财政拨款支出决算具体情况说明</w:t>
      </w:r>
      <w:bookmarkEnd w:id="39"/>
      <w:r>
        <w:rPr>
          <w:rFonts w:eastAsia="楷体_GB2312"/>
          <w:bCs/>
          <w:sz w:val="32"/>
          <w:szCs w:val="32"/>
        </w:rPr>
        <w:t>。</w:t>
      </w:r>
    </w:p>
    <w:p>
      <w:pPr>
        <w:pStyle w:val="2"/>
        <w:adjustRightInd w:val="0"/>
        <w:snapToGrid w:val="0"/>
        <w:spacing w:before="93" w:line="353" w:lineRule="auto"/>
        <w:ind w:firstLine="640" w:firstLineChars="200"/>
        <w:rPr>
          <w:rFonts w:ascii="Times New Roman"/>
          <w:sz w:val="32"/>
          <w:szCs w:val="32"/>
        </w:rPr>
      </w:pPr>
      <w:r>
        <w:rPr>
          <w:rFonts w:ascii="Times New Roman"/>
          <w:sz w:val="32"/>
          <w:szCs w:val="32"/>
        </w:rPr>
        <w:t>2022年“三公”经费财政拨款支出决算中，因公出国（境）费支出决算0万元，占0%；公务用车购置及运行维护费支出决算0万元，占0%；公务接待费支出决算0万元，占0%，较上年减少0.07万元，下降100%。</w:t>
      </w:r>
    </w:p>
    <w:p>
      <w:pPr>
        <w:adjustRightInd w:val="0"/>
        <w:snapToGrid w:val="0"/>
        <w:spacing w:line="353" w:lineRule="auto"/>
        <w:ind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16"/>
          <w:rFonts w:eastAsia="仿宋_GB2312"/>
          <w:b w:val="0"/>
          <w:bCs/>
          <w:sz w:val="32"/>
          <w:szCs w:val="32"/>
        </w:rPr>
        <w:t>完成预算0%。</w:t>
      </w:r>
      <w:r>
        <w:rPr>
          <w:rFonts w:eastAsia="仿宋_GB2312"/>
          <w:sz w:val="32"/>
          <w:szCs w:val="32"/>
        </w:rPr>
        <w:t>全年安排因公出国（境）团组0次，出国（境）0人。因公出国（境）支出决算与2021年持平。</w:t>
      </w:r>
    </w:p>
    <w:p>
      <w:pPr>
        <w:adjustRightInd w:val="0"/>
        <w:snapToGrid w:val="0"/>
        <w:spacing w:line="353" w:lineRule="auto"/>
        <w:ind w:firstLine="640"/>
        <w:rPr>
          <w:rFonts w:eastAsia="仿宋_GB2312"/>
          <w:b/>
          <w:sz w:val="32"/>
          <w:szCs w:val="32"/>
        </w:rPr>
      </w:pPr>
      <w:r>
        <w:rPr>
          <w:rFonts w:eastAsia="仿宋_GB2312"/>
          <w:b/>
          <w:sz w:val="32"/>
          <w:szCs w:val="32"/>
        </w:rPr>
        <w:t>2.公务用车购置及运行维护费支出</w:t>
      </w:r>
      <w:r>
        <w:rPr>
          <w:rFonts w:eastAsia="仿宋_GB2312"/>
          <w:sz w:val="32"/>
          <w:szCs w:val="32"/>
        </w:rPr>
        <w:t>0万元,</w:t>
      </w:r>
      <w:r>
        <w:rPr>
          <w:rStyle w:val="16"/>
          <w:rFonts w:eastAsia="仿宋_GB2312"/>
          <w:b w:val="0"/>
          <w:bCs/>
          <w:sz w:val="32"/>
          <w:szCs w:val="32"/>
        </w:rPr>
        <w:t>完成预算0%。</w:t>
      </w:r>
      <w:r>
        <w:rPr>
          <w:rFonts w:eastAsia="仿宋_GB2312"/>
          <w:sz w:val="32"/>
          <w:szCs w:val="32"/>
        </w:rPr>
        <w:t>公务用车购置及运行维护费支出决算与2021年持平。</w:t>
      </w:r>
    </w:p>
    <w:p>
      <w:pPr>
        <w:adjustRightInd w:val="0"/>
        <w:snapToGrid w:val="0"/>
        <w:spacing w:line="353" w:lineRule="auto"/>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0万元。全年按规定更新购置公务用车0辆，其中：轿车0辆、金额0万元，越野车0辆、金额0万元，载客汽车0辆、金额0万元。截至2022年12月底，单位共有公务用车0辆，其中：轿车0辆、越野车0辆、载客汽车0辆。</w:t>
      </w:r>
    </w:p>
    <w:p>
      <w:pPr>
        <w:adjustRightInd w:val="0"/>
        <w:snapToGrid w:val="0"/>
        <w:spacing w:line="353" w:lineRule="auto"/>
        <w:ind w:firstLine="640"/>
        <w:rPr>
          <w:rFonts w:eastAsia="仿宋_GB2312"/>
          <w:sz w:val="32"/>
          <w:szCs w:val="32"/>
        </w:rPr>
      </w:pPr>
      <w:r>
        <w:rPr>
          <w:rFonts w:eastAsia="仿宋_GB2312"/>
          <w:b/>
          <w:sz w:val="32"/>
          <w:szCs w:val="32"/>
        </w:rPr>
        <w:t>公务用车运行维护费支出</w:t>
      </w:r>
      <w:r>
        <w:rPr>
          <w:rFonts w:eastAsia="仿宋_GB2312"/>
          <w:sz w:val="32"/>
          <w:szCs w:val="32"/>
        </w:rPr>
        <w:t>0万元。</w:t>
      </w:r>
    </w:p>
    <w:p>
      <w:pPr>
        <w:adjustRightInd w:val="0"/>
        <w:snapToGrid w:val="0"/>
        <w:spacing w:line="353" w:lineRule="auto"/>
        <w:ind w:firstLine="640"/>
        <w:rPr>
          <w:rFonts w:eastAsia="仿宋_GB2312"/>
          <w:sz w:val="32"/>
          <w:szCs w:val="32"/>
        </w:rPr>
      </w:pPr>
      <w:r>
        <w:rPr>
          <w:rFonts w:eastAsia="仿宋_GB2312"/>
          <w:b/>
          <w:sz w:val="32"/>
          <w:szCs w:val="32"/>
        </w:rPr>
        <w:t>3.公务接待费支出</w:t>
      </w:r>
      <w:r>
        <w:rPr>
          <w:rFonts w:eastAsia="仿宋_GB2312"/>
          <w:sz w:val="32"/>
          <w:szCs w:val="32"/>
        </w:rPr>
        <w:t>0万元，</w:t>
      </w:r>
      <w:r>
        <w:rPr>
          <w:rStyle w:val="16"/>
          <w:rFonts w:eastAsia="仿宋_GB2312"/>
          <w:b w:val="0"/>
          <w:bCs/>
          <w:sz w:val="32"/>
          <w:szCs w:val="32"/>
        </w:rPr>
        <w:t>完成预算0%。</w:t>
      </w:r>
      <w:r>
        <w:rPr>
          <w:rFonts w:eastAsia="仿宋_GB2312"/>
          <w:sz w:val="32"/>
          <w:szCs w:val="32"/>
        </w:rPr>
        <w:t>公务接待费支出决算比2021年减少0.07万元。其中：</w:t>
      </w:r>
    </w:p>
    <w:p>
      <w:pPr>
        <w:adjustRightInd w:val="0"/>
        <w:snapToGrid w:val="0"/>
        <w:spacing w:line="353" w:lineRule="auto"/>
        <w:ind w:firstLine="640"/>
        <w:rPr>
          <w:rFonts w:eastAsia="仿宋_GB2312"/>
          <w:sz w:val="32"/>
          <w:szCs w:val="32"/>
        </w:rPr>
      </w:pPr>
      <w:r>
        <w:rPr>
          <w:rFonts w:eastAsia="仿宋_GB2312"/>
          <w:b/>
          <w:sz w:val="32"/>
          <w:szCs w:val="32"/>
        </w:rPr>
        <w:t>国内公务接待支出</w:t>
      </w:r>
      <w:r>
        <w:rPr>
          <w:rFonts w:eastAsia="仿宋_GB2312"/>
          <w:sz w:val="32"/>
          <w:szCs w:val="32"/>
        </w:rPr>
        <w:t>0万元。</w:t>
      </w:r>
    </w:p>
    <w:p>
      <w:pPr>
        <w:pStyle w:val="2"/>
        <w:adjustRightInd w:val="0"/>
        <w:snapToGrid w:val="0"/>
        <w:spacing w:before="93" w:line="353" w:lineRule="auto"/>
        <w:ind w:firstLine="643" w:firstLineChars="200"/>
        <w:rPr>
          <w:rFonts w:ascii="Times New Roman"/>
          <w:sz w:val="32"/>
          <w:szCs w:val="32"/>
        </w:rPr>
      </w:pPr>
      <w:r>
        <w:rPr>
          <w:rFonts w:ascii="Times New Roman"/>
          <w:b/>
          <w:sz w:val="32"/>
          <w:szCs w:val="32"/>
        </w:rPr>
        <w:t>外事接待支出</w:t>
      </w:r>
      <w:r>
        <w:rPr>
          <w:rFonts w:ascii="Times New Roman"/>
          <w:sz w:val="32"/>
          <w:szCs w:val="32"/>
        </w:rPr>
        <w:t>0万元。</w:t>
      </w:r>
    </w:p>
    <w:p>
      <w:pPr>
        <w:adjustRightInd w:val="0"/>
        <w:snapToGrid w:val="0"/>
        <w:spacing w:line="353" w:lineRule="auto"/>
        <w:ind w:firstLine="640"/>
        <w:outlineLvl w:val="1"/>
        <w:rPr>
          <w:rStyle w:val="29"/>
          <w:rFonts w:ascii="Times New Roman" w:hAnsi="Times New Roman" w:eastAsia="黑体" w:cs="Times New Roman"/>
          <w:b w:val="0"/>
        </w:rPr>
      </w:pPr>
      <w:bookmarkStart w:id="40" w:name="_Toc15396610"/>
      <w:bookmarkStart w:id="41" w:name="_Toc15377218"/>
      <w:r>
        <w:rPr>
          <w:rFonts w:eastAsia="黑体"/>
          <w:sz w:val="32"/>
          <w:szCs w:val="32"/>
        </w:rPr>
        <w:t>八、</w:t>
      </w:r>
      <w:r>
        <w:rPr>
          <w:rStyle w:val="29"/>
          <w:rFonts w:ascii="Times New Roman" w:hAnsi="Times New Roman" w:eastAsia="黑体" w:cs="Times New Roman"/>
          <w:b w:val="0"/>
        </w:rPr>
        <w:t>政府性基金预算支出决算情况说明</w:t>
      </w:r>
      <w:bookmarkEnd w:id="40"/>
      <w:bookmarkEnd w:id="41"/>
    </w:p>
    <w:p>
      <w:pPr>
        <w:adjustRightInd w:val="0"/>
        <w:snapToGrid w:val="0"/>
        <w:spacing w:line="353" w:lineRule="auto"/>
        <w:ind w:firstLine="640" w:firstLineChars="200"/>
        <w:rPr>
          <w:rFonts w:eastAsia="仿宋_GB2312"/>
          <w:sz w:val="32"/>
          <w:szCs w:val="32"/>
        </w:rPr>
      </w:pPr>
      <w:r>
        <w:rPr>
          <w:rFonts w:eastAsia="仿宋_GB2312"/>
          <w:sz w:val="32"/>
          <w:szCs w:val="32"/>
        </w:rPr>
        <w:t>2022年政府性基金预算财政拨款支出74.45万元。</w:t>
      </w:r>
    </w:p>
    <w:p>
      <w:pPr>
        <w:numPr>
          <w:ilvl w:val="0"/>
          <w:numId w:val="2"/>
        </w:numPr>
        <w:adjustRightInd w:val="0"/>
        <w:snapToGrid w:val="0"/>
        <w:spacing w:line="353" w:lineRule="auto"/>
        <w:ind w:firstLine="640"/>
        <w:outlineLvl w:val="1"/>
        <w:rPr>
          <w:rStyle w:val="29"/>
          <w:rFonts w:ascii="Times New Roman" w:hAnsi="Times New Roman" w:eastAsia="黑体" w:cs="Times New Roman"/>
          <w:b w:val="0"/>
        </w:rPr>
      </w:pPr>
      <w:bookmarkStart w:id="42" w:name="_Toc15377219"/>
      <w:bookmarkStart w:id="43" w:name="_Toc15396611"/>
      <w:r>
        <w:rPr>
          <w:rStyle w:val="29"/>
          <w:rFonts w:ascii="Times New Roman" w:hAnsi="Times New Roman" w:eastAsia="黑体" w:cs="Times New Roman"/>
          <w:b w:val="0"/>
        </w:rPr>
        <w:t>国有资本经营预算支出决算情况说明</w:t>
      </w:r>
      <w:bookmarkEnd w:id="42"/>
      <w:bookmarkEnd w:id="43"/>
    </w:p>
    <w:p>
      <w:pPr>
        <w:adjustRightInd w:val="0"/>
        <w:snapToGrid w:val="0"/>
        <w:spacing w:line="353" w:lineRule="auto"/>
        <w:ind w:firstLine="640" w:firstLineChars="200"/>
        <w:rPr>
          <w:rFonts w:eastAsia="仿宋_GB2312"/>
          <w:sz w:val="44"/>
          <w:szCs w:val="44"/>
        </w:rPr>
      </w:pPr>
      <w:r>
        <w:rPr>
          <w:rFonts w:eastAsia="仿宋_GB2312"/>
          <w:sz w:val="32"/>
          <w:szCs w:val="32"/>
        </w:rPr>
        <w:t>2022年国有资本经营预算财政拨款支出0万元。</w:t>
      </w:r>
    </w:p>
    <w:p>
      <w:pPr>
        <w:numPr>
          <w:ilvl w:val="0"/>
          <w:numId w:val="2"/>
        </w:numPr>
        <w:adjustRightInd w:val="0"/>
        <w:snapToGrid w:val="0"/>
        <w:spacing w:line="353" w:lineRule="auto"/>
        <w:ind w:firstLine="640"/>
        <w:outlineLvl w:val="1"/>
        <w:rPr>
          <w:rStyle w:val="29"/>
          <w:rFonts w:ascii="Times New Roman" w:hAnsi="Times New Roman" w:eastAsia="黑体" w:cs="Times New Roman"/>
          <w:b w:val="0"/>
        </w:rPr>
      </w:pPr>
      <w:bookmarkStart w:id="44" w:name="_Toc15396612"/>
      <w:bookmarkStart w:id="45" w:name="_Toc15377221"/>
      <w:r>
        <w:rPr>
          <w:rStyle w:val="29"/>
          <w:rFonts w:ascii="Times New Roman" w:hAnsi="Times New Roman" w:eastAsia="黑体" w:cs="Times New Roman"/>
          <w:b w:val="0"/>
        </w:rPr>
        <w:t>其他重要事项的情况说明</w:t>
      </w:r>
      <w:bookmarkEnd w:id="44"/>
      <w:bookmarkEnd w:id="45"/>
    </w:p>
    <w:p>
      <w:pPr>
        <w:adjustRightInd w:val="0"/>
        <w:snapToGrid w:val="0"/>
        <w:spacing w:line="353" w:lineRule="auto"/>
        <w:ind w:firstLine="640" w:firstLineChars="200"/>
        <w:outlineLvl w:val="2"/>
        <w:rPr>
          <w:rFonts w:eastAsia="楷体_GB2312"/>
          <w:bCs/>
          <w:sz w:val="32"/>
          <w:szCs w:val="32"/>
        </w:rPr>
      </w:pPr>
      <w:bookmarkStart w:id="46" w:name="_Toc15377222"/>
      <w:r>
        <w:rPr>
          <w:rFonts w:eastAsia="楷体_GB2312"/>
          <w:bCs/>
          <w:sz w:val="32"/>
          <w:szCs w:val="32"/>
        </w:rPr>
        <w:t>（一）机关运行经费支出情况</w:t>
      </w:r>
      <w:bookmarkEnd w:id="46"/>
      <w:r>
        <w:rPr>
          <w:rFonts w:eastAsia="楷体_GB2312"/>
          <w:bCs/>
          <w:sz w:val="32"/>
          <w:szCs w:val="32"/>
        </w:rPr>
        <w:t>。</w:t>
      </w:r>
    </w:p>
    <w:p>
      <w:pPr>
        <w:adjustRightInd w:val="0"/>
        <w:snapToGrid w:val="0"/>
        <w:spacing w:line="353" w:lineRule="auto"/>
        <w:ind w:firstLine="640" w:firstLineChars="200"/>
        <w:rPr>
          <w:rFonts w:eastAsia="仿宋_GB2312"/>
          <w:sz w:val="32"/>
          <w:szCs w:val="32"/>
        </w:rPr>
      </w:pPr>
      <w:r>
        <w:rPr>
          <w:rFonts w:eastAsia="仿宋_GB2312"/>
          <w:sz w:val="32"/>
          <w:szCs w:val="32"/>
        </w:rPr>
        <w:t>2022年，区政府办公室机关运行经费支出74.16万元，比2021年增加0.42万元，同比增加0.57%。主要原因是办公费支出7.35万元，较去年减少0.6万元，同比减少7.55%；邮电费支出4.35万元，较去年减少0.63万元，同比减少12.65%；差旅费支出22.47万元，较去年增加2.38万元，同比增加11.85%；租赁费支出0.17万元，较去年减少2.47万元，同比减少93.56%；会议费支出0.23万元，较去年减少0.54万元，同比减少70.13%；培训费支出0.82万元，较去年减少0.53万元，同比减少39.26%；劳务费支出0.17万元，较去年减少2.5万元，同比减少93.63%；工会经费支出9.35万元，较去年增加3.16万元，同比增加51.05%；其他商品和服务支出3.84万元，较去年增加1.26万元，同比增加48.84%。</w:t>
      </w:r>
    </w:p>
    <w:p>
      <w:pPr>
        <w:adjustRightInd w:val="0"/>
        <w:snapToGrid w:val="0"/>
        <w:spacing w:line="353" w:lineRule="auto"/>
        <w:ind w:firstLine="640" w:firstLineChars="200"/>
        <w:outlineLvl w:val="2"/>
        <w:rPr>
          <w:rFonts w:eastAsia="楷体_GB2312"/>
          <w:bCs/>
          <w:sz w:val="32"/>
          <w:szCs w:val="32"/>
        </w:rPr>
      </w:pPr>
      <w:bookmarkStart w:id="47" w:name="_Toc15377223"/>
      <w:r>
        <w:rPr>
          <w:rFonts w:eastAsia="楷体_GB2312"/>
          <w:bCs/>
          <w:sz w:val="32"/>
          <w:szCs w:val="32"/>
        </w:rPr>
        <w:t>（二）政府采购支出情况</w:t>
      </w:r>
      <w:bookmarkEnd w:id="47"/>
      <w:r>
        <w:rPr>
          <w:rFonts w:eastAsia="楷体_GB2312"/>
          <w:bCs/>
          <w:sz w:val="32"/>
          <w:szCs w:val="32"/>
        </w:rPr>
        <w:t>。</w:t>
      </w:r>
    </w:p>
    <w:p>
      <w:pPr>
        <w:adjustRightInd w:val="0"/>
        <w:snapToGrid w:val="0"/>
        <w:spacing w:line="353" w:lineRule="auto"/>
        <w:ind w:firstLine="640" w:firstLineChars="200"/>
        <w:rPr>
          <w:rFonts w:eastAsia="仿宋_GB2312"/>
          <w:b/>
          <w:sz w:val="32"/>
          <w:szCs w:val="32"/>
        </w:rPr>
      </w:pPr>
      <w:r>
        <w:rPr>
          <w:rFonts w:eastAsia="仿宋_GB2312"/>
          <w:sz w:val="32"/>
          <w:szCs w:val="32"/>
        </w:rPr>
        <w:t>2022年，区政府办公室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djustRightInd w:val="0"/>
        <w:snapToGrid w:val="0"/>
        <w:spacing w:line="353" w:lineRule="auto"/>
        <w:ind w:firstLine="640" w:firstLineChars="200"/>
        <w:outlineLvl w:val="2"/>
        <w:rPr>
          <w:rFonts w:eastAsia="楷体_GB2312"/>
          <w:bCs/>
          <w:sz w:val="32"/>
          <w:szCs w:val="32"/>
        </w:rPr>
      </w:pPr>
      <w:bookmarkStart w:id="48" w:name="_Toc15377224"/>
      <w:r>
        <w:rPr>
          <w:rFonts w:eastAsia="楷体_GB2312"/>
          <w:bCs/>
          <w:sz w:val="32"/>
          <w:szCs w:val="32"/>
        </w:rPr>
        <w:t>（三）国有资产占有使用情况</w:t>
      </w:r>
      <w:bookmarkEnd w:id="48"/>
      <w:r>
        <w:rPr>
          <w:rFonts w:eastAsia="楷体_GB2312"/>
          <w:bCs/>
          <w:sz w:val="32"/>
          <w:szCs w:val="32"/>
        </w:rPr>
        <w:t>。</w:t>
      </w:r>
    </w:p>
    <w:p>
      <w:pPr>
        <w:adjustRightInd w:val="0"/>
        <w:snapToGrid w:val="0"/>
        <w:spacing w:line="353" w:lineRule="auto"/>
        <w:ind w:firstLine="640" w:firstLineChars="200"/>
        <w:rPr>
          <w:rFonts w:eastAsia="仿宋_GB2312"/>
          <w:sz w:val="32"/>
          <w:szCs w:val="32"/>
        </w:rPr>
      </w:pPr>
      <w:r>
        <w:rPr>
          <w:rFonts w:eastAsia="仿宋_GB2312"/>
          <w:sz w:val="32"/>
          <w:szCs w:val="32"/>
        </w:rPr>
        <w:t>截至2022年12月31日，区政府办公室共有车辆0辆，其中：主要领导干部用车0辆、机要通信用车0辆、应急保障用车0辆、其他用车0辆。单价100万元以上专用设备0台（套）。</w:t>
      </w:r>
    </w:p>
    <w:p>
      <w:pPr>
        <w:adjustRightInd w:val="0"/>
        <w:snapToGrid w:val="0"/>
        <w:spacing w:line="353" w:lineRule="auto"/>
        <w:ind w:firstLine="640" w:firstLineChars="200"/>
        <w:outlineLvl w:val="2"/>
        <w:rPr>
          <w:rFonts w:eastAsia="楷体_GB2312"/>
          <w:bCs/>
          <w:sz w:val="32"/>
          <w:szCs w:val="32"/>
        </w:rPr>
      </w:pPr>
      <w:r>
        <w:rPr>
          <w:rFonts w:eastAsia="楷体_GB2312"/>
          <w:bCs/>
          <w:sz w:val="32"/>
          <w:szCs w:val="32"/>
        </w:rPr>
        <w:t>（四）预算绩效管理情况。</w:t>
      </w:r>
    </w:p>
    <w:p>
      <w:pPr>
        <w:adjustRightInd w:val="0"/>
        <w:snapToGrid w:val="0"/>
        <w:spacing w:line="353" w:lineRule="auto"/>
        <w:ind w:firstLine="640" w:firstLineChars="200"/>
        <w:rPr>
          <w:rFonts w:eastAsia="仿宋_GB2312"/>
          <w:sz w:val="32"/>
          <w:szCs w:val="32"/>
        </w:rPr>
      </w:pPr>
      <w:r>
        <w:rPr>
          <w:rFonts w:eastAsia="仿宋_GB2312"/>
          <w:sz w:val="32"/>
          <w:szCs w:val="32"/>
        </w:rPr>
        <w:t>根据预算绩效管理要求，本部门在2022年度预算编制阶段，组织对政府业务经费、政策研究咨询经费、纪检监察工作经费、全区老干部及一线工作人员慰问经费等4个项目开展了预算事前绩效评估，对4个项目编制了绩效目标，预算执行过程中，4个项目均开展绩效监控。</w:t>
      </w:r>
    </w:p>
    <w:p>
      <w:pPr>
        <w:adjustRightInd w:val="0"/>
        <w:snapToGrid w:val="0"/>
        <w:spacing w:line="353" w:lineRule="auto"/>
        <w:ind w:firstLine="640" w:firstLineChars="200"/>
        <w:rPr>
          <w:rFonts w:eastAsia="仿宋"/>
          <w:sz w:val="32"/>
          <w:szCs w:val="32"/>
        </w:rPr>
      </w:pPr>
      <w:r>
        <w:rPr>
          <w:rFonts w:eastAsia="仿宋_GB2312"/>
          <w:sz w:val="32"/>
          <w:szCs w:val="32"/>
        </w:rPr>
        <w:t>组织对2022年度一般公共预算、政府性基金预算等全面开展绩效自评，形成区政府办公室部门整体（含部门预算项目）支出绩效评价报告、政府业务经费专项预算项目绩效自评报告，其中，区政府办公室部门整体（含部门预算项目）绩效自评得分为100分，绩效自评综述：自查自评结果较好，公用支出保证部门正常运转、项目支出保障重点工作顺利开展，全年无超预算、无预算支出，无违规违纪的问题；政府业务经费专项预算项目绩效自评得分为100分，绩效自评综述：自查自评结果较好，政府业务经费保障了项目正常开展，全年无超预算、无预算支出，无违规违纪的问题。绩效自评报告详见附件。</w:t>
      </w:r>
      <w:r>
        <w:rPr>
          <w:rFonts w:eastAsia="仿宋"/>
          <w:sz w:val="32"/>
          <w:szCs w:val="32"/>
        </w:rPr>
        <w:br w:type="page"/>
      </w:r>
    </w:p>
    <w:p>
      <w:pPr>
        <w:numPr>
          <w:ilvl w:val="0"/>
          <w:numId w:val="3"/>
        </w:numPr>
        <w:spacing w:line="600" w:lineRule="exact"/>
        <w:ind w:firstLine="660" w:firstLineChars="150"/>
        <w:jc w:val="center"/>
        <w:outlineLvl w:val="0"/>
        <w:rPr>
          <w:rStyle w:val="28"/>
          <w:rFonts w:eastAsia="黑体"/>
          <w:b w:val="0"/>
        </w:rPr>
      </w:pPr>
      <w:bookmarkStart w:id="49" w:name="_Toc15377225"/>
      <w:bookmarkStart w:id="50" w:name="_Toc15396613"/>
      <w:r>
        <w:rPr>
          <w:rFonts w:eastAsia="黑体"/>
          <w:sz w:val="44"/>
          <w:szCs w:val="44"/>
        </w:rPr>
        <w:t>名</w:t>
      </w:r>
      <w:r>
        <w:rPr>
          <w:rStyle w:val="28"/>
          <w:rFonts w:eastAsia="黑体"/>
          <w:b w:val="0"/>
        </w:rPr>
        <w:t>词解释</w:t>
      </w:r>
      <w:bookmarkEnd w:id="49"/>
      <w:bookmarkEnd w:id="50"/>
    </w:p>
    <w:p>
      <w:pPr>
        <w:spacing w:line="600" w:lineRule="exact"/>
        <w:jc w:val="left"/>
        <w:rPr>
          <w:b/>
          <w:sz w:val="44"/>
          <w:szCs w:val="44"/>
        </w:rPr>
      </w:pPr>
    </w:p>
    <w:p>
      <w:pPr>
        <w:pStyle w:val="26"/>
        <w:snapToGrid w:val="0"/>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6"/>
        <w:snapToGrid w:val="0"/>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2.其他收入：指单位取得的除上述收入以外的各项收入。主要是利息收入。</w:t>
      </w:r>
    </w:p>
    <w:p>
      <w:pPr>
        <w:pStyle w:val="26"/>
        <w:snapToGrid w:val="0"/>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3.年初结转和结余：指以前年度尚未完成、结转到本年按有关规定继续使用的资金。</w:t>
      </w:r>
    </w:p>
    <w:p>
      <w:pPr>
        <w:pStyle w:val="26"/>
        <w:snapToGrid w:val="0"/>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4.年末结转和结余：指单位按有关规定结转到下年或以后年度继续使用的资金。 </w:t>
      </w:r>
    </w:p>
    <w:p>
      <w:pPr>
        <w:adjustRightInd w:val="0"/>
        <w:snapToGrid w:val="0"/>
        <w:spacing w:line="353" w:lineRule="auto"/>
        <w:ind w:firstLine="640" w:firstLineChars="200"/>
        <w:rPr>
          <w:rFonts w:eastAsia="仿宋_GB2312"/>
          <w:color w:val="000000"/>
          <w:sz w:val="32"/>
          <w:szCs w:val="32"/>
        </w:rPr>
      </w:pPr>
      <w:r>
        <w:rPr>
          <w:rFonts w:eastAsia="仿宋_GB2312"/>
          <w:color w:val="000000"/>
          <w:sz w:val="32"/>
          <w:szCs w:val="32"/>
        </w:rPr>
        <w:t>5.一般公共服务支出（类）政府办公厅（室）及相关机构事务（款）行政运行（项）：指区政府办公室用于保障机构正常运行、开展日常工作的基本支出。</w:t>
      </w:r>
    </w:p>
    <w:p>
      <w:pPr>
        <w:adjustRightInd w:val="0"/>
        <w:snapToGrid w:val="0"/>
        <w:spacing w:line="353" w:lineRule="auto"/>
        <w:ind w:firstLine="640" w:firstLineChars="200"/>
        <w:rPr>
          <w:rFonts w:eastAsia="仿宋_GB2312"/>
          <w:color w:val="000000"/>
          <w:sz w:val="32"/>
          <w:szCs w:val="32"/>
        </w:rPr>
      </w:pPr>
      <w:r>
        <w:rPr>
          <w:rFonts w:eastAsia="仿宋_GB2312"/>
          <w:color w:val="000000"/>
          <w:sz w:val="32"/>
          <w:szCs w:val="32"/>
        </w:rPr>
        <w:t>6.社会保障和就业（类）行政事业单位离退休（款）未归口管理的行政单位离退休（项）：指区政府办公室离退休人员的支出。</w:t>
      </w:r>
    </w:p>
    <w:p>
      <w:pPr>
        <w:adjustRightInd w:val="0"/>
        <w:snapToGrid w:val="0"/>
        <w:spacing w:line="353" w:lineRule="auto"/>
        <w:ind w:firstLine="640" w:firstLineChars="200"/>
        <w:rPr>
          <w:rFonts w:eastAsia="仿宋_GB2312"/>
          <w:color w:val="000000"/>
          <w:sz w:val="32"/>
          <w:szCs w:val="32"/>
        </w:rPr>
      </w:pPr>
      <w:r>
        <w:rPr>
          <w:rFonts w:eastAsia="仿宋_GB2312"/>
          <w:color w:val="000000"/>
          <w:sz w:val="32"/>
          <w:szCs w:val="32"/>
        </w:rPr>
        <w:t>7.卫生健康支出（类）行政事业单位医疗（款）行政单位医疗（项）：指单位基本医疗保险缴费经费。</w:t>
      </w:r>
    </w:p>
    <w:p>
      <w:pPr>
        <w:adjustRightInd w:val="0"/>
        <w:snapToGrid w:val="0"/>
        <w:spacing w:line="353" w:lineRule="auto"/>
        <w:ind w:firstLine="640" w:firstLineChars="200"/>
        <w:rPr>
          <w:rFonts w:eastAsia="仿宋_GB2312"/>
          <w:sz w:val="32"/>
          <w:szCs w:val="32"/>
        </w:rPr>
      </w:pPr>
      <w:r>
        <w:rPr>
          <w:rFonts w:eastAsia="仿宋_GB2312"/>
          <w:sz w:val="32"/>
          <w:szCs w:val="32"/>
        </w:rPr>
        <w:t>8.城乡社区支出（类）国有土地使用权出让收入安排的支出（款）土地开发（项）：指地方政府用于前期土地开发性支出以及与前期土地开发相关的费用等支出。</w:t>
      </w:r>
    </w:p>
    <w:p>
      <w:pPr>
        <w:adjustRightInd w:val="0"/>
        <w:snapToGrid w:val="0"/>
        <w:spacing w:line="353" w:lineRule="auto"/>
        <w:ind w:firstLine="640" w:firstLineChars="200"/>
        <w:rPr>
          <w:rFonts w:eastAsia="仿宋_GB2312"/>
          <w:color w:val="000000"/>
          <w:sz w:val="32"/>
          <w:szCs w:val="32"/>
        </w:rPr>
      </w:pPr>
      <w:r>
        <w:rPr>
          <w:rFonts w:eastAsia="仿宋_GB2312"/>
          <w:color w:val="000000"/>
          <w:sz w:val="32"/>
          <w:szCs w:val="32"/>
        </w:rPr>
        <w:t>9.住房保障支出（类）住房改革支出（款）住房公积金（项）：指按照《住房公积金管理条例》规定，由单位及在职职工按规定比例缴存的住房公积金。</w:t>
      </w:r>
    </w:p>
    <w:p>
      <w:pPr>
        <w:adjustRightInd w:val="0"/>
        <w:snapToGrid w:val="0"/>
        <w:spacing w:line="353" w:lineRule="auto"/>
        <w:ind w:firstLine="640" w:firstLineChars="200"/>
        <w:rPr>
          <w:rFonts w:eastAsia="仿宋_GB2312"/>
          <w:sz w:val="32"/>
          <w:szCs w:val="32"/>
        </w:rPr>
      </w:pPr>
      <w:r>
        <w:rPr>
          <w:rFonts w:eastAsia="仿宋_GB2312"/>
          <w:sz w:val="32"/>
          <w:szCs w:val="32"/>
        </w:rPr>
        <w:t>10.基本支出：指为保障机构正常运转、完成日常工作任务而发生的人员支出和公用支出。</w:t>
      </w:r>
    </w:p>
    <w:p>
      <w:pPr>
        <w:adjustRightInd w:val="0"/>
        <w:snapToGrid w:val="0"/>
        <w:spacing w:line="353" w:lineRule="auto"/>
        <w:ind w:firstLine="640" w:firstLineChars="200"/>
        <w:rPr>
          <w:rFonts w:eastAsia="仿宋_GB2312"/>
          <w:sz w:val="32"/>
          <w:szCs w:val="32"/>
        </w:rPr>
      </w:pPr>
      <w:r>
        <w:rPr>
          <w:rFonts w:eastAsia="仿宋_GB2312"/>
          <w:sz w:val="32"/>
          <w:szCs w:val="32"/>
        </w:rPr>
        <w:t xml:space="preserve">11.项目支出：指在基本支出之外为完成特定行政任务和事业发展目标所发生的支出。 </w:t>
      </w:r>
    </w:p>
    <w:p>
      <w:pPr>
        <w:adjustRightInd w:val="0"/>
        <w:snapToGrid w:val="0"/>
        <w:spacing w:line="353" w:lineRule="auto"/>
        <w:ind w:firstLine="640" w:firstLineChars="200"/>
        <w:rPr>
          <w:rFonts w:eastAsia="仿宋_GB2312"/>
          <w:sz w:val="32"/>
          <w:szCs w:val="32"/>
        </w:rPr>
      </w:pPr>
      <w:r>
        <w:rPr>
          <w:rFonts w:eastAsia="仿宋_GB2312"/>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napToGrid w:val="0"/>
        <w:spacing w:line="353" w:lineRule="auto"/>
        <w:ind w:firstLine="640" w:firstLineChars="200"/>
        <w:rPr>
          <w:rFonts w:ascii="Times New Roman" w:hAnsi="Times New Roman" w:cs="Times New Roman"/>
          <w:b/>
          <w:sz w:val="32"/>
          <w:szCs w:val="32"/>
        </w:rPr>
      </w:pPr>
      <w:r>
        <w:rPr>
          <w:rFonts w:ascii="Times New Roman" w:hAnsi="Times New Roman" w:eastAsia="仿宋_GB2312" w:cs="Times New Roman"/>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eastAsia="黑体"/>
          <w:b w:val="0"/>
        </w:rPr>
      </w:pPr>
      <w:bookmarkStart w:id="51" w:name="_Toc15377226"/>
      <w:r>
        <w:rPr>
          <w:b/>
          <w:sz w:val="44"/>
          <w:szCs w:val="44"/>
        </w:rPr>
        <w:br w:type="page"/>
      </w:r>
      <w:bookmarkStart w:id="52" w:name="_Toc15396614"/>
      <w:r>
        <w:rPr>
          <w:rFonts w:eastAsia="黑体"/>
          <w:sz w:val="44"/>
          <w:szCs w:val="44"/>
        </w:rPr>
        <w:t>第</w:t>
      </w:r>
      <w:r>
        <w:rPr>
          <w:rStyle w:val="28"/>
          <w:rFonts w:eastAsia="黑体"/>
          <w:b w:val="0"/>
        </w:rPr>
        <w:t>四部分 附件</w:t>
      </w:r>
      <w:bookmarkEnd w:id="52"/>
    </w:p>
    <w:p>
      <w:pPr>
        <w:spacing w:line="572" w:lineRule="exact"/>
        <w:outlineLvl w:val="0"/>
        <w:rPr>
          <w:rFonts w:eastAsia="方正小标宋简体"/>
          <w:sz w:val="44"/>
          <w:szCs w:val="44"/>
        </w:rPr>
      </w:pPr>
      <w:r>
        <w:rPr>
          <w:rFonts w:eastAsia="黑体"/>
          <w:sz w:val="32"/>
          <w:szCs w:val="32"/>
        </w:rPr>
        <w:t>附件</w:t>
      </w:r>
    </w:p>
    <w:p>
      <w:pPr>
        <w:widowControl/>
        <w:spacing w:line="560" w:lineRule="exact"/>
        <w:contextualSpacing/>
        <w:jc w:val="center"/>
        <w:rPr>
          <w:b/>
          <w:bCs/>
          <w:kern w:val="0"/>
          <w:sz w:val="32"/>
          <w:szCs w:val="32"/>
        </w:rPr>
      </w:pPr>
      <w:r>
        <w:rPr>
          <w:b/>
          <w:bCs/>
          <w:kern w:val="0"/>
          <w:sz w:val="32"/>
          <w:szCs w:val="32"/>
        </w:rPr>
        <w:t>202</w:t>
      </w:r>
      <w:r>
        <w:rPr>
          <w:rFonts w:hint="eastAsia"/>
          <w:b/>
          <w:bCs/>
          <w:kern w:val="0"/>
          <w:sz w:val="32"/>
          <w:szCs w:val="32"/>
          <w:lang w:val="en-US" w:eastAsia="zh-CN"/>
        </w:rPr>
        <w:t>2</w:t>
      </w:r>
      <w:r>
        <w:rPr>
          <w:b/>
          <w:bCs/>
          <w:kern w:val="0"/>
          <w:sz w:val="32"/>
          <w:szCs w:val="32"/>
        </w:rPr>
        <w:t>年攀枝花市西区人民政府办公室</w:t>
      </w:r>
    </w:p>
    <w:p>
      <w:pPr>
        <w:widowControl/>
        <w:spacing w:line="560" w:lineRule="exact"/>
        <w:contextualSpacing/>
        <w:jc w:val="center"/>
        <w:rPr>
          <w:b/>
          <w:bCs/>
          <w:kern w:val="0"/>
          <w:sz w:val="32"/>
          <w:szCs w:val="32"/>
        </w:rPr>
      </w:pPr>
      <w:r>
        <w:rPr>
          <w:b/>
          <w:bCs/>
          <w:kern w:val="0"/>
          <w:sz w:val="32"/>
          <w:szCs w:val="32"/>
        </w:rPr>
        <w:t>部门整体绩效评价报告</w:t>
      </w:r>
    </w:p>
    <w:p>
      <w:pPr>
        <w:widowControl/>
        <w:adjustRightInd w:val="0"/>
        <w:snapToGrid w:val="0"/>
        <w:spacing w:line="560" w:lineRule="exact"/>
        <w:ind w:firstLine="640" w:firstLineChars="200"/>
        <w:contextualSpacing/>
        <w:rPr>
          <w:rFonts w:eastAsia="仿宋_GB2312"/>
          <w:kern w:val="0"/>
          <w:sz w:val="32"/>
          <w:szCs w:val="32"/>
        </w:rPr>
      </w:pPr>
    </w:p>
    <w:p>
      <w:pPr>
        <w:widowControl/>
        <w:numPr>
          <w:ilvl w:val="0"/>
          <w:numId w:val="4"/>
        </w:numPr>
        <w:adjustRightInd w:val="0"/>
        <w:snapToGrid w:val="0"/>
        <w:spacing w:line="353" w:lineRule="auto"/>
        <w:ind w:firstLine="640" w:firstLineChars="200"/>
        <w:rPr>
          <w:rFonts w:eastAsia="黑体"/>
          <w:kern w:val="0"/>
          <w:sz w:val="32"/>
          <w:szCs w:val="32"/>
        </w:rPr>
      </w:pPr>
      <w:r>
        <w:rPr>
          <w:rFonts w:eastAsia="黑体"/>
          <w:kern w:val="0"/>
          <w:sz w:val="32"/>
          <w:szCs w:val="32"/>
        </w:rPr>
        <w:t>部门（单位）基本情况</w:t>
      </w:r>
    </w:p>
    <w:p>
      <w:pPr>
        <w:adjustRightInd w:val="0"/>
        <w:snapToGrid w:val="0"/>
        <w:spacing w:line="353" w:lineRule="auto"/>
        <w:ind w:firstLine="640" w:firstLineChars="200"/>
        <w:outlineLvl w:val="2"/>
        <w:rPr>
          <w:rFonts w:eastAsia="楷体_GB2312"/>
          <w:bCs/>
          <w:sz w:val="32"/>
          <w:szCs w:val="32"/>
        </w:rPr>
      </w:pPr>
      <w:r>
        <w:rPr>
          <w:rFonts w:eastAsia="楷体_GB2312"/>
          <w:bCs/>
          <w:sz w:val="32"/>
          <w:szCs w:val="32"/>
        </w:rPr>
        <w:t>（一）机构组成。</w:t>
      </w:r>
    </w:p>
    <w:p>
      <w:pPr>
        <w:pStyle w:val="2"/>
        <w:adjustRightInd w:val="0"/>
        <w:snapToGrid w:val="0"/>
        <w:spacing w:before="93" w:line="353" w:lineRule="auto"/>
        <w:rPr>
          <w:rFonts w:ascii="Times New Roman"/>
        </w:rPr>
      </w:pPr>
      <w:r>
        <w:rPr>
          <w:rFonts w:ascii="Times New Roman"/>
        </w:rPr>
        <w:t xml:space="preserve">    </w:t>
      </w:r>
      <w:r>
        <w:rPr>
          <w:rFonts w:ascii="Times New Roman"/>
          <w:sz w:val="32"/>
          <w:szCs w:val="32"/>
        </w:rPr>
        <w:t>攀枝花市西区人民政府办公室（以下简称区政府办公室），内设股室6个，</w:t>
      </w:r>
      <w:r>
        <w:rPr>
          <w:rFonts w:hint="eastAsia" w:ascii="Times New Roman"/>
          <w:sz w:val="32"/>
          <w:szCs w:val="32"/>
        </w:rPr>
        <w:t>二级</w:t>
      </w:r>
      <w:r>
        <w:rPr>
          <w:rFonts w:ascii="Times New Roman"/>
          <w:sz w:val="32"/>
          <w:szCs w:val="32"/>
        </w:rPr>
        <w:t>参照《中华人民共和国公务员法》管理的事业单位1个（攀枝花市西区地方志编纂中心），事业单位1个（攀枝花市西区政策研究中心)。</w:t>
      </w:r>
    </w:p>
    <w:p>
      <w:pPr>
        <w:adjustRightInd w:val="0"/>
        <w:snapToGrid w:val="0"/>
        <w:spacing w:line="353" w:lineRule="auto"/>
        <w:ind w:firstLine="640" w:firstLineChars="200"/>
        <w:outlineLvl w:val="2"/>
        <w:rPr>
          <w:rFonts w:eastAsia="楷体_GB2312"/>
          <w:bCs/>
          <w:sz w:val="32"/>
          <w:szCs w:val="32"/>
        </w:rPr>
      </w:pPr>
      <w:r>
        <w:rPr>
          <w:rFonts w:eastAsia="楷体_GB2312"/>
          <w:bCs/>
          <w:sz w:val="32"/>
          <w:szCs w:val="32"/>
        </w:rPr>
        <w:t>（二）机构职能和人员概况。</w:t>
      </w:r>
    </w:p>
    <w:p>
      <w:pPr>
        <w:pStyle w:val="2"/>
        <w:tabs>
          <w:tab w:val="left" w:pos="216"/>
        </w:tabs>
        <w:adjustRightInd w:val="0"/>
        <w:snapToGrid w:val="0"/>
        <w:spacing w:before="93" w:line="353" w:lineRule="auto"/>
        <w:ind w:firstLine="320" w:firstLineChars="100"/>
        <w:rPr>
          <w:rFonts w:ascii="Times New Roman"/>
          <w:b/>
          <w:bCs/>
          <w:sz w:val="32"/>
          <w:szCs w:val="32"/>
        </w:rPr>
      </w:pPr>
      <w:r>
        <w:rPr>
          <w:rFonts w:ascii="Times New Roman"/>
          <w:sz w:val="32"/>
          <w:szCs w:val="32"/>
        </w:rPr>
        <w:tab/>
      </w:r>
      <w:r>
        <w:rPr>
          <w:rFonts w:ascii="Times New Roman"/>
          <w:sz w:val="32"/>
          <w:szCs w:val="32"/>
        </w:rPr>
        <w:t xml:space="preserve"> </w:t>
      </w:r>
      <w:r>
        <w:rPr>
          <w:rFonts w:ascii="Times New Roman"/>
          <w:b/>
          <w:bCs/>
          <w:sz w:val="32"/>
          <w:szCs w:val="32"/>
        </w:rPr>
        <w:t>1.机构职能。</w:t>
      </w:r>
    </w:p>
    <w:p>
      <w:pPr>
        <w:pStyle w:val="2"/>
        <w:tabs>
          <w:tab w:val="left" w:pos="216"/>
        </w:tabs>
        <w:adjustRightInd w:val="0"/>
        <w:snapToGrid w:val="0"/>
        <w:spacing w:before="93" w:line="353" w:lineRule="auto"/>
        <w:ind w:firstLine="640" w:firstLineChars="200"/>
        <w:rPr>
          <w:rFonts w:ascii="Times New Roman"/>
          <w:sz w:val="32"/>
          <w:szCs w:val="32"/>
        </w:rPr>
      </w:pPr>
      <w:r>
        <w:rPr>
          <w:rFonts w:ascii="Times New Roman"/>
          <w:sz w:val="32"/>
          <w:szCs w:val="32"/>
        </w:rPr>
        <w:t>攀枝花市西区人民政府办公室（简称区政府办公室），为协助区政府领导处理区政府日常工作的机构。其主要职能为：协助区政府领导组织起草或审核以区政府、区政府办公室名义发布的公文，办理市政府、市政府办公室及市级部门、区级部门发送区政府的文电，指导全区行政机关公文处理工作；研究区政府部门（单位）和镇人民政府、区政府派出机构请示区政府的事项，提出审核意见，报区政府领导审批；负责区政府重要会议事务工作和区政府领导参加重大活动的组织安排；协助完成区政府有关接待工作；督促检查区政府部门和镇人民政府、区政府派出机构对区政府决定事项及区政府领导指示的贯彻落实情况，及时向区政府领导报告；根据区政府领导指示，对区政府部门间争议问题提出处理意见和建议，报区政府领导决定；负责区政府值班工作，指导区政府各部门（单位）和镇人民政府、区政府派出机构值班工作，及时报告重要情况；指导、监督全区政府信息公开工作；牵头负责全区民生工程工作的实施和推进，组织办理涉及区政府工作的人大代表议案、批评、建议和政协委员提案、建议案；围绕区政府中心工作和区政府领导指示，组织专题调查研究，及时反映情况，提出政策性建议；负责区政府外事工作；负责全区电子政务外网的运行、日常维护管理和技术保障等电子政务外网相关工作；承办区政府和区政府领导交办的其他事项。</w:t>
      </w:r>
    </w:p>
    <w:p>
      <w:pPr>
        <w:pStyle w:val="2"/>
        <w:adjustRightInd w:val="0"/>
        <w:snapToGrid w:val="0"/>
        <w:spacing w:before="93" w:line="353" w:lineRule="auto"/>
        <w:ind w:left="672"/>
        <w:rPr>
          <w:rFonts w:ascii="Times New Roman"/>
          <w:b/>
          <w:bCs/>
          <w:sz w:val="32"/>
          <w:szCs w:val="32"/>
        </w:rPr>
      </w:pPr>
      <w:r>
        <w:rPr>
          <w:rFonts w:ascii="Times New Roman"/>
          <w:b/>
          <w:bCs/>
          <w:sz w:val="32"/>
          <w:szCs w:val="32"/>
        </w:rPr>
        <w:t>2.人员概况。</w:t>
      </w:r>
    </w:p>
    <w:p>
      <w:pPr>
        <w:pStyle w:val="2"/>
        <w:adjustRightInd w:val="0"/>
        <w:snapToGrid w:val="0"/>
        <w:spacing w:before="93" w:line="353" w:lineRule="auto"/>
        <w:ind w:firstLine="640" w:firstLineChars="200"/>
        <w:rPr>
          <w:rFonts w:ascii="Times New Roman"/>
          <w:sz w:val="32"/>
          <w:szCs w:val="32"/>
        </w:rPr>
      </w:pPr>
      <w:r>
        <w:rPr>
          <w:rFonts w:ascii="Times New Roman"/>
          <w:sz w:val="32"/>
          <w:szCs w:val="32"/>
        </w:rPr>
        <w:t>区政府办公室设公务员编制14个；区地方志编纂中心设参公编制8个；区政策研究中心设事业编制14个。2022年年末实有在职人员37名，退休人员12名。</w:t>
      </w:r>
    </w:p>
    <w:p>
      <w:pPr>
        <w:adjustRightInd w:val="0"/>
        <w:snapToGrid w:val="0"/>
        <w:spacing w:line="353" w:lineRule="auto"/>
        <w:ind w:firstLine="640" w:firstLineChars="200"/>
        <w:outlineLvl w:val="2"/>
        <w:rPr>
          <w:rFonts w:eastAsia="楷体_GB2312"/>
          <w:bCs/>
          <w:sz w:val="32"/>
          <w:szCs w:val="32"/>
        </w:rPr>
      </w:pPr>
      <w:r>
        <w:rPr>
          <w:rFonts w:eastAsia="楷体_GB2312"/>
          <w:bCs/>
          <w:sz w:val="32"/>
          <w:szCs w:val="32"/>
        </w:rPr>
        <w:t>（三）年度主要工作任务。</w:t>
      </w:r>
    </w:p>
    <w:p>
      <w:pPr>
        <w:adjustRightInd w:val="0"/>
        <w:snapToGrid w:val="0"/>
        <w:spacing w:line="353" w:lineRule="auto"/>
        <w:ind w:firstLine="643" w:firstLineChars="200"/>
        <w:rPr>
          <w:rFonts w:eastAsia="仿宋_GB2312"/>
          <w:sz w:val="32"/>
          <w:szCs w:val="32"/>
        </w:rPr>
      </w:pPr>
      <w:bookmarkStart w:id="53" w:name="_Hlk129789990"/>
      <w:r>
        <w:rPr>
          <w:rFonts w:eastAsia="仿宋_GB2312"/>
          <w:b/>
          <w:bCs/>
          <w:sz w:val="32"/>
          <w:szCs w:val="32"/>
        </w:rPr>
        <w:t>1.专注精准定位，着力提升服务水平。</w:t>
      </w:r>
      <w:r>
        <w:rPr>
          <w:rFonts w:eastAsia="仿宋_GB2312"/>
          <w:sz w:val="32"/>
          <w:szCs w:val="32"/>
        </w:rPr>
        <w:t>准确理解并在工作中体现领导意图，围绕区政府中心工作和当前重点工作，既做好领导交办的事务性工作，又主动做好政务性工作的参谋、督查和反馈。及时传达领导意图，协调各职能部门，充分发挥桥梁和纽带作用，融洽与职能部门的关系。做好沟通上下、协调内外、联系左右的工作。</w:t>
      </w:r>
    </w:p>
    <w:p>
      <w:pPr>
        <w:adjustRightInd w:val="0"/>
        <w:snapToGrid w:val="0"/>
        <w:spacing w:line="353" w:lineRule="auto"/>
        <w:ind w:firstLine="643" w:firstLineChars="200"/>
        <w:rPr>
          <w:rFonts w:eastAsia="仿宋_GB2312"/>
          <w:sz w:val="32"/>
          <w:szCs w:val="32"/>
        </w:rPr>
      </w:pPr>
      <w:r>
        <w:rPr>
          <w:rFonts w:eastAsia="仿宋_GB2312"/>
          <w:b/>
          <w:bCs/>
          <w:sz w:val="32"/>
          <w:szCs w:val="32"/>
        </w:rPr>
        <w:t>2.专注建言献策，着力提升参谋水平。</w:t>
      </w:r>
      <w:r>
        <w:rPr>
          <w:rFonts w:eastAsia="仿宋_GB2312"/>
          <w:sz w:val="32"/>
          <w:szCs w:val="32"/>
        </w:rPr>
        <w:t>围绕项目建设、招商引资、信访维稳等工作，结合区政府办公室工作实际，到部门、下基层、进企业调研，到项目建设现场实地查看，掌握全区重点项目建设进展情况，掌握基层的重点、难点、热点问题，做到全局在胸、政策在胸、问题在胸。在吃透上情、摸准下情的基础上思考和谋划，在上下之间找准结合点、发力点，提高建议的针对性、实效性。时刻关注研究上级政策变化，社会形势变化，群众需求变化，提前把脉，主动设问，及时献策。</w:t>
      </w:r>
    </w:p>
    <w:p>
      <w:pPr>
        <w:adjustRightInd w:val="0"/>
        <w:snapToGrid w:val="0"/>
        <w:spacing w:line="353" w:lineRule="auto"/>
        <w:ind w:firstLine="643" w:firstLineChars="200"/>
        <w:rPr>
          <w:rFonts w:eastAsia="仿宋_GB2312"/>
          <w:sz w:val="32"/>
          <w:szCs w:val="32"/>
        </w:rPr>
      </w:pPr>
      <w:r>
        <w:rPr>
          <w:rFonts w:eastAsia="仿宋_GB2312"/>
          <w:b/>
          <w:bCs/>
          <w:sz w:val="32"/>
          <w:szCs w:val="32"/>
        </w:rPr>
        <w:t>3.专注规范高效，着力提升办文水平。</w:t>
      </w:r>
      <w:r>
        <w:rPr>
          <w:rFonts w:eastAsia="仿宋_GB2312"/>
          <w:sz w:val="32"/>
          <w:szCs w:val="32"/>
        </w:rPr>
        <w:t>发文严把文字关，注意在文件的细节上提高发文质量；严把格式关，确保每一份文件都符合政府公文格式要求；严把程序关，严格公文拟稿、审核、会签、签发程序，提高办文效率和办文质量。收文做到及时收转、传阅、送阅，并在职责范围内及时为领导决策提供拟办意见，确保文件的正常运转和工作的顺利进行。对领导的指示特别是领导要求报结果的批示件，及时向承办单位了解工作落实情况和完成情况，确保领导的工作意图和批示精神得到及时贯彻和落实。认真撰写好会议、领导讲话等各类材料。</w:t>
      </w:r>
    </w:p>
    <w:p>
      <w:pPr>
        <w:widowControl/>
        <w:adjustRightInd w:val="0"/>
        <w:snapToGrid w:val="0"/>
        <w:spacing w:line="353" w:lineRule="auto"/>
        <w:ind w:firstLine="643" w:firstLineChars="200"/>
        <w:rPr>
          <w:rFonts w:eastAsia="楷体_GB2312"/>
          <w:b/>
          <w:bCs/>
          <w:kern w:val="0"/>
          <w:sz w:val="32"/>
          <w:szCs w:val="32"/>
          <w:shd w:val="clear" w:color="auto" w:fill="FFFFFF"/>
          <w:lang w:val="zh-CN"/>
        </w:rPr>
      </w:pPr>
      <w:r>
        <w:rPr>
          <w:rFonts w:eastAsia="仿宋_GB2312"/>
          <w:b/>
          <w:bCs/>
          <w:sz w:val="32"/>
          <w:szCs w:val="32"/>
        </w:rPr>
        <w:t>4.专注统筹协调，着力提升办会水平。</w:t>
      </w:r>
      <w:r>
        <w:rPr>
          <w:rFonts w:eastAsia="仿宋_GB2312"/>
          <w:sz w:val="32"/>
          <w:szCs w:val="32"/>
        </w:rPr>
        <w:t>搞好协调，在重大活动中积极争取区级有关部门的配合、支持和帮助。充分发挥各职能部门的主动性和积极性，圆满高效地完成各类会议、活动准备工作。</w:t>
      </w:r>
      <w:bookmarkEnd w:id="53"/>
    </w:p>
    <w:p>
      <w:pPr>
        <w:widowControl/>
        <w:adjustRightInd w:val="0"/>
        <w:snapToGrid w:val="0"/>
        <w:spacing w:line="353" w:lineRule="auto"/>
        <w:ind w:firstLine="640" w:firstLineChars="200"/>
        <w:rPr>
          <w:rFonts w:eastAsia="楷体_GB2312"/>
          <w:b/>
          <w:bCs/>
          <w:kern w:val="0"/>
          <w:sz w:val="32"/>
          <w:szCs w:val="32"/>
          <w:shd w:val="clear" w:color="auto" w:fill="FFFFFF"/>
          <w:lang w:val="zh-CN"/>
        </w:rPr>
      </w:pPr>
      <w:r>
        <w:rPr>
          <w:rFonts w:eastAsia="楷体_GB2312"/>
          <w:kern w:val="0"/>
          <w:sz w:val="32"/>
          <w:szCs w:val="32"/>
        </w:rPr>
        <w:t>（四）部门整体支出绩效目标。</w:t>
      </w:r>
    </w:p>
    <w:p>
      <w:pPr>
        <w:pStyle w:val="2"/>
        <w:adjustRightInd w:val="0"/>
        <w:snapToGrid w:val="0"/>
        <w:spacing w:before="93" w:line="353" w:lineRule="auto"/>
        <w:rPr>
          <w:rFonts w:ascii="Times New Roman"/>
          <w:sz w:val="32"/>
          <w:szCs w:val="32"/>
        </w:rPr>
      </w:pPr>
      <w:r>
        <w:rPr>
          <w:rFonts w:ascii="Times New Roman"/>
        </w:rPr>
        <w:t xml:space="preserve">  </w:t>
      </w:r>
      <w:r>
        <w:rPr>
          <w:rFonts w:ascii="Times New Roman"/>
          <w:sz w:val="32"/>
          <w:szCs w:val="32"/>
        </w:rPr>
        <w:t xml:space="preserve">  2022年区政府办公室部门整体支出绩效自查自评结果良好，公用支出保证了部门正常运转、项目支出保障了重点工作开展。</w:t>
      </w:r>
    </w:p>
    <w:p>
      <w:pPr>
        <w:widowControl/>
        <w:adjustRightInd w:val="0"/>
        <w:snapToGrid w:val="0"/>
        <w:spacing w:line="353" w:lineRule="auto"/>
        <w:ind w:firstLine="640" w:firstLineChars="200"/>
        <w:contextualSpacing/>
        <w:rPr>
          <w:rFonts w:eastAsia="黑体"/>
          <w:kern w:val="0"/>
          <w:sz w:val="32"/>
          <w:szCs w:val="32"/>
        </w:rPr>
      </w:pPr>
      <w:r>
        <w:rPr>
          <w:rFonts w:eastAsia="黑体"/>
          <w:kern w:val="0"/>
          <w:sz w:val="32"/>
          <w:szCs w:val="32"/>
        </w:rPr>
        <w:t>二、部门资金收支情况</w:t>
      </w:r>
    </w:p>
    <w:p>
      <w:pPr>
        <w:widowControl/>
        <w:adjustRightInd w:val="0"/>
        <w:snapToGrid w:val="0"/>
        <w:spacing w:line="353" w:lineRule="auto"/>
        <w:ind w:firstLine="640" w:firstLineChars="200"/>
        <w:contextualSpacing/>
        <w:rPr>
          <w:rFonts w:eastAsia="楷体_GB2312"/>
          <w:kern w:val="0"/>
          <w:sz w:val="32"/>
          <w:szCs w:val="32"/>
        </w:rPr>
      </w:pPr>
      <w:r>
        <w:rPr>
          <w:rFonts w:eastAsia="楷体_GB2312"/>
          <w:kern w:val="0"/>
          <w:sz w:val="32"/>
          <w:szCs w:val="32"/>
        </w:rPr>
        <w:t>（一）部门总体收支情况。</w:t>
      </w:r>
    </w:p>
    <w:p>
      <w:pPr>
        <w:widowControl/>
        <w:adjustRightInd w:val="0"/>
        <w:snapToGrid w:val="0"/>
        <w:spacing w:line="353" w:lineRule="auto"/>
        <w:ind w:firstLine="643" w:firstLineChars="200"/>
        <w:contextualSpacing/>
        <w:rPr>
          <w:rFonts w:eastAsia="仿宋_GB2312"/>
          <w:b/>
          <w:bCs/>
          <w:kern w:val="0"/>
          <w:sz w:val="32"/>
          <w:szCs w:val="32"/>
        </w:rPr>
      </w:pPr>
      <w:r>
        <w:rPr>
          <w:rFonts w:eastAsia="仿宋_GB2312"/>
          <w:b/>
          <w:bCs/>
          <w:kern w:val="0"/>
          <w:sz w:val="32"/>
          <w:szCs w:val="32"/>
        </w:rPr>
        <w:t>1.部门总体收入情况。</w:t>
      </w:r>
    </w:p>
    <w:p>
      <w:pPr>
        <w:widowControl/>
        <w:adjustRightInd w:val="0"/>
        <w:snapToGrid w:val="0"/>
        <w:spacing w:line="353" w:lineRule="auto"/>
        <w:ind w:firstLine="640" w:firstLineChars="200"/>
        <w:contextualSpacing/>
        <w:rPr>
          <w:rFonts w:eastAsia="仿宋_GB2312"/>
          <w:kern w:val="0"/>
          <w:sz w:val="32"/>
          <w:szCs w:val="32"/>
        </w:rPr>
      </w:pPr>
      <w:r>
        <w:rPr>
          <w:rFonts w:eastAsia="仿宋_GB2312"/>
          <w:sz w:val="32"/>
          <w:szCs w:val="32"/>
        </w:rPr>
        <w:t>2022年全年预算收入806.25万元，较去年减少16.77万元，同比减少2.04%。</w:t>
      </w:r>
    </w:p>
    <w:p>
      <w:pPr>
        <w:widowControl/>
        <w:adjustRightInd w:val="0"/>
        <w:snapToGrid w:val="0"/>
        <w:spacing w:line="353" w:lineRule="auto"/>
        <w:ind w:firstLine="643" w:firstLineChars="200"/>
        <w:contextualSpacing/>
        <w:rPr>
          <w:rFonts w:eastAsia="仿宋_GB2312"/>
          <w:b/>
          <w:bCs/>
          <w:kern w:val="0"/>
          <w:sz w:val="32"/>
          <w:szCs w:val="32"/>
        </w:rPr>
      </w:pPr>
      <w:r>
        <w:rPr>
          <w:rFonts w:eastAsia="仿宋_GB2312"/>
          <w:b/>
          <w:bCs/>
          <w:kern w:val="0"/>
          <w:sz w:val="32"/>
          <w:szCs w:val="32"/>
        </w:rPr>
        <w:t>2.部门总体支出情况。</w:t>
      </w:r>
    </w:p>
    <w:p>
      <w:pPr>
        <w:widowControl/>
        <w:adjustRightInd w:val="0"/>
        <w:snapToGrid w:val="0"/>
        <w:spacing w:line="353" w:lineRule="auto"/>
        <w:ind w:firstLine="640" w:firstLineChars="200"/>
        <w:contextualSpacing/>
        <w:rPr>
          <w:rFonts w:eastAsia="仿宋_GB2312"/>
          <w:szCs w:val="32"/>
        </w:rPr>
      </w:pPr>
      <w:r>
        <w:rPr>
          <w:rFonts w:eastAsia="仿宋_GB2312"/>
          <w:sz w:val="32"/>
          <w:szCs w:val="32"/>
        </w:rPr>
        <w:t>2022年全年支出806.25万元，较去年减少68.38万元，同比减少7.82%。</w:t>
      </w:r>
    </w:p>
    <w:p>
      <w:pPr>
        <w:widowControl/>
        <w:adjustRightInd w:val="0"/>
        <w:snapToGrid w:val="0"/>
        <w:spacing w:line="353" w:lineRule="auto"/>
        <w:ind w:firstLine="643" w:firstLineChars="200"/>
        <w:contextualSpacing/>
        <w:rPr>
          <w:rFonts w:eastAsia="仿宋_GB2312"/>
          <w:b/>
          <w:bCs/>
          <w:kern w:val="0"/>
          <w:sz w:val="32"/>
          <w:szCs w:val="32"/>
        </w:rPr>
      </w:pPr>
      <w:r>
        <w:rPr>
          <w:rFonts w:eastAsia="仿宋_GB2312"/>
          <w:b/>
          <w:bCs/>
          <w:kern w:val="0"/>
          <w:sz w:val="32"/>
          <w:szCs w:val="32"/>
        </w:rPr>
        <w:t>3.部门总体结转结余情况。</w:t>
      </w:r>
    </w:p>
    <w:p>
      <w:pPr>
        <w:widowControl/>
        <w:adjustRightInd w:val="0"/>
        <w:snapToGrid w:val="0"/>
        <w:spacing w:line="353" w:lineRule="auto"/>
        <w:ind w:firstLine="640" w:firstLineChars="200"/>
        <w:contextualSpacing/>
        <w:rPr>
          <w:rFonts w:eastAsia="仿宋_GB2312"/>
        </w:rPr>
      </w:pPr>
      <w:r>
        <w:rPr>
          <w:rFonts w:eastAsia="仿宋_GB2312"/>
          <w:sz w:val="32"/>
          <w:szCs w:val="32"/>
        </w:rPr>
        <w:t>2022年年末无结转和结余。</w:t>
      </w:r>
    </w:p>
    <w:p>
      <w:pPr>
        <w:widowControl/>
        <w:adjustRightInd w:val="0"/>
        <w:snapToGrid w:val="0"/>
        <w:spacing w:line="353" w:lineRule="auto"/>
        <w:ind w:firstLine="640" w:firstLineChars="200"/>
        <w:contextualSpacing/>
        <w:rPr>
          <w:rFonts w:eastAsia="楷体_GB2312"/>
          <w:kern w:val="0"/>
          <w:sz w:val="32"/>
          <w:szCs w:val="32"/>
        </w:rPr>
      </w:pPr>
      <w:r>
        <w:rPr>
          <w:rFonts w:eastAsia="楷体_GB2312"/>
          <w:kern w:val="0"/>
          <w:sz w:val="32"/>
          <w:szCs w:val="32"/>
        </w:rPr>
        <w:t>（二）部门财政拨款收支情况。</w:t>
      </w:r>
    </w:p>
    <w:p>
      <w:pPr>
        <w:widowControl/>
        <w:adjustRightInd w:val="0"/>
        <w:snapToGrid w:val="0"/>
        <w:spacing w:line="353" w:lineRule="auto"/>
        <w:ind w:firstLine="643" w:firstLineChars="200"/>
        <w:contextualSpacing/>
        <w:rPr>
          <w:rFonts w:eastAsia="仿宋_GB2312"/>
          <w:b/>
          <w:bCs/>
          <w:kern w:val="0"/>
          <w:sz w:val="32"/>
          <w:szCs w:val="32"/>
        </w:rPr>
      </w:pPr>
      <w:r>
        <w:rPr>
          <w:rFonts w:eastAsia="仿宋_GB2312"/>
          <w:b/>
          <w:bCs/>
          <w:kern w:val="0"/>
          <w:sz w:val="32"/>
          <w:szCs w:val="32"/>
        </w:rPr>
        <w:t>1.部门财政拨款收入情况。</w:t>
      </w:r>
    </w:p>
    <w:p>
      <w:pPr>
        <w:widowControl/>
        <w:adjustRightInd w:val="0"/>
        <w:snapToGrid w:val="0"/>
        <w:spacing w:line="353" w:lineRule="auto"/>
        <w:ind w:firstLine="640" w:firstLineChars="200"/>
        <w:contextualSpacing/>
        <w:rPr>
          <w:rFonts w:eastAsia="仿宋_GB2312"/>
        </w:rPr>
      </w:pPr>
      <w:r>
        <w:rPr>
          <w:rFonts w:eastAsia="仿宋_GB2312"/>
          <w:sz w:val="32"/>
          <w:szCs w:val="32"/>
        </w:rPr>
        <w:t>2022年财政拨款收入年初预算收入698.16万元，其中一般公共服务支出预算支出536.67万元，社会保障和就业支出54.95万元，卫生健康支出42.74万元，住房保障支出63.8万元。</w:t>
      </w:r>
    </w:p>
    <w:p>
      <w:pPr>
        <w:widowControl/>
        <w:adjustRightInd w:val="0"/>
        <w:snapToGrid w:val="0"/>
        <w:spacing w:line="353" w:lineRule="auto"/>
        <w:ind w:firstLine="643" w:firstLineChars="200"/>
        <w:contextualSpacing/>
        <w:rPr>
          <w:rFonts w:eastAsia="仿宋_GB2312"/>
          <w:b/>
          <w:bCs/>
          <w:kern w:val="0"/>
          <w:sz w:val="32"/>
          <w:szCs w:val="32"/>
        </w:rPr>
      </w:pPr>
      <w:r>
        <w:rPr>
          <w:rFonts w:eastAsia="仿宋_GB2312"/>
          <w:b/>
          <w:bCs/>
          <w:kern w:val="0"/>
          <w:sz w:val="32"/>
          <w:szCs w:val="32"/>
        </w:rPr>
        <w:t>2.部门财政拨款支出情况。</w:t>
      </w:r>
    </w:p>
    <w:p>
      <w:pPr>
        <w:widowControl/>
        <w:adjustRightInd w:val="0"/>
        <w:snapToGrid w:val="0"/>
        <w:spacing w:line="353" w:lineRule="auto"/>
        <w:ind w:firstLine="640" w:firstLineChars="200"/>
        <w:contextualSpacing/>
        <w:rPr>
          <w:rFonts w:eastAsia="仿宋_GB2312"/>
        </w:rPr>
      </w:pPr>
      <w:r>
        <w:rPr>
          <w:rFonts w:eastAsia="仿宋_GB2312"/>
          <w:sz w:val="32"/>
          <w:szCs w:val="32"/>
        </w:rPr>
        <w:t>2022年部门支出806.11万元，其中基本支出731.66万元，占总支出的90.76%，其中人员经费支出657.02万元，日常公用经费支出74.64万元；项目经费支出74.45万元，占总支出的9.24%，项目支出主要在城乡社区支出列支。</w:t>
      </w:r>
    </w:p>
    <w:p>
      <w:pPr>
        <w:widowControl/>
        <w:adjustRightInd w:val="0"/>
        <w:snapToGrid w:val="0"/>
        <w:spacing w:line="353" w:lineRule="auto"/>
        <w:ind w:firstLine="643" w:firstLineChars="200"/>
        <w:contextualSpacing/>
        <w:rPr>
          <w:rFonts w:eastAsia="仿宋_GB2312"/>
          <w:b/>
          <w:bCs/>
          <w:kern w:val="0"/>
          <w:sz w:val="32"/>
          <w:szCs w:val="32"/>
        </w:rPr>
      </w:pPr>
      <w:r>
        <w:rPr>
          <w:rFonts w:eastAsia="仿宋_GB2312"/>
          <w:b/>
          <w:bCs/>
          <w:kern w:val="0"/>
          <w:sz w:val="32"/>
          <w:szCs w:val="32"/>
        </w:rPr>
        <w:t>3.部门财政拨款结转结余情况</w:t>
      </w:r>
    </w:p>
    <w:p>
      <w:pPr>
        <w:widowControl/>
        <w:adjustRightInd w:val="0"/>
        <w:snapToGrid w:val="0"/>
        <w:spacing w:line="353" w:lineRule="auto"/>
        <w:ind w:firstLine="640" w:firstLineChars="200"/>
        <w:contextualSpacing/>
        <w:rPr>
          <w:rFonts w:eastAsia="仿宋_GB2312"/>
          <w:color w:val="000000"/>
          <w:sz w:val="32"/>
          <w:szCs w:val="32"/>
        </w:rPr>
      </w:pPr>
      <w:r>
        <w:rPr>
          <w:rFonts w:eastAsia="仿宋_GB2312"/>
          <w:sz w:val="32"/>
          <w:szCs w:val="32"/>
        </w:rPr>
        <w:t>2022年年末无结余资金。</w:t>
      </w:r>
    </w:p>
    <w:p>
      <w:pPr>
        <w:widowControl/>
        <w:adjustRightInd w:val="0"/>
        <w:snapToGrid w:val="0"/>
        <w:spacing w:line="353" w:lineRule="auto"/>
        <w:ind w:firstLine="640" w:firstLineChars="200"/>
        <w:contextualSpacing/>
        <w:rPr>
          <w:rFonts w:eastAsia="黑体"/>
          <w:kern w:val="0"/>
          <w:sz w:val="32"/>
          <w:szCs w:val="32"/>
        </w:rPr>
      </w:pPr>
      <w:r>
        <w:rPr>
          <w:rFonts w:eastAsia="黑体"/>
          <w:kern w:val="0"/>
          <w:sz w:val="32"/>
          <w:szCs w:val="32"/>
        </w:rPr>
        <w:t>三、部门整体绩效分析</w:t>
      </w:r>
    </w:p>
    <w:p>
      <w:pPr>
        <w:widowControl/>
        <w:adjustRightInd w:val="0"/>
        <w:snapToGrid w:val="0"/>
        <w:spacing w:line="353" w:lineRule="auto"/>
        <w:ind w:firstLine="640" w:firstLineChars="200"/>
        <w:contextualSpacing/>
        <w:rPr>
          <w:rFonts w:eastAsia="楷体_GB2312"/>
          <w:kern w:val="0"/>
          <w:sz w:val="32"/>
          <w:szCs w:val="32"/>
        </w:rPr>
      </w:pPr>
      <w:r>
        <w:rPr>
          <w:rFonts w:eastAsia="楷体_GB2312"/>
          <w:kern w:val="0"/>
          <w:sz w:val="32"/>
          <w:szCs w:val="32"/>
        </w:rPr>
        <w:t>（一）部门预算项目绩效分析。</w:t>
      </w:r>
    </w:p>
    <w:p>
      <w:pPr>
        <w:widowControl/>
        <w:adjustRightInd w:val="0"/>
        <w:snapToGrid w:val="0"/>
        <w:spacing w:line="353" w:lineRule="auto"/>
        <w:ind w:firstLine="643" w:firstLineChars="200"/>
        <w:contextualSpacing/>
        <w:rPr>
          <w:rFonts w:eastAsia="仿宋_GB2312"/>
          <w:b/>
          <w:bCs/>
          <w:kern w:val="0"/>
          <w:sz w:val="32"/>
          <w:szCs w:val="32"/>
        </w:rPr>
      </w:pPr>
      <w:r>
        <w:rPr>
          <w:rFonts w:eastAsia="仿宋_GB2312"/>
          <w:b/>
          <w:bCs/>
          <w:kern w:val="0"/>
          <w:sz w:val="32"/>
          <w:szCs w:val="32"/>
        </w:rPr>
        <w:t>1.人员类项目绩效分析。</w:t>
      </w:r>
    </w:p>
    <w:p>
      <w:pPr>
        <w:widowControl/>
        <w:adjustRightInd w:val="0"/>
        <w:snapToGrid w:val="0"/>
        <w:spacing w:line="353" w:lineRule="auto"/>
        <w:ind w:firstLine="640" w:firstLineChars="200"/>
        <w:contextualSpacing/>
        <w:rPr>
          <w:rFonts w:eastAsia="仿宋_GB2312"/>
          <w:kern w:val="0"/>
          <w:sz w:val="32"/>
          <w:szCs w:val="32"/>
          <w:shd w:val="clear" w:color="auto" w:fill="FFFFFF"/>
        </w:rPr>
      </w:pPr>
      <w:r>
        <w:rPr>
          <w:rFonts w:eastAsia="仿宋_GB2312"/>
          <w:sz w:val="32"/>
          <w:szCs w:val="32"/>
        </w:rPr>
        <w:t>部门绩效目标依据机构职能制定，人员类项目主要包括全年在编在岗人员的基本工资、公务员和参照公务员管理的事业人员的国家规定的津贴补贴、基础绩效奖，事业人员绩效工资，退休人员部分补贴、生活补助、医疗费补助定额定期发放、在编在职人员五险一金定额定期扣缴。2022年人员经费预算安排620.46万元，年中各项人员经费追加下达36.56万元，主要原因：</w:t>
      </w:r>
      <w:r>
        <w:rPr>
          <w:rFonts w:eastAsia="仿宋_GB2312"/>
          <w:b/>
          <w:sz w:val="32"/>
          <w:szCs w:val="32"/>
        </w:rPr>
        <w:t>一是</w:t>
      </w:r>
      <w:r>
        <w:rPr>
          <w:rFonts w:eastAsia="仿宋_GB2312"/>
          <w:sz w:val="32"/>
          <w:szCs w:val="32"/>
        </w:rPr>
        <w:t>在编职工人数增加，按要求进行增人增资；</w:t>
      </w:r>
      <w:r>
        <w:rPr>
          <w:rFonts w:eastAsia="仿宋_GB2312"/>
          <w:b/>
          <w:sz w:val="32"/>
          <w:szCs w:val="32"/>
        </w:rPr>
        <w:t>二是</w:t>
      </w:r>
      <w:r>
        <w:rPr>
          <w:rFonts w:eastAsia="仿宋_GB2312"/>
          <w:sz w:val="32"/>
          <w:szCs w:val="32"/>
        </w:rPr>
        <w:t>补发区属财政全额保障事业单位在编在职人员2020年度绩效奖；</w:t>
      </w:r>
      <w:r>
        <w:rPr>
          <w:rFonts w:eastAsia="仿宋_GB2312"/>
          <w:b/>
          <w:sz w:val="32"/>
          <w:szCs w:val="32"/>
        </w:rPr>
        <w:t>三是</w:t>
      </w:r>
      <w:r>
        <w:rPr>
          <w:rFonts w:eastAsia="仿宋_GB2312"/>
          <w:sz w:val="32"/>
          <w:szCs w:val="32"/>
        </w:rPr>
        <w:t>补发2021年10月至2022年2月基本工资调标部分；</w:t>
      </w:r>
      <w:r>
        <w:rPr>
          <w:rFonts w:eastAsia="仿宋_GB2312"/>
          <w:b/>
          <w:sz w:val="32"/>
          <w:szCs w:val="32"/>
        </w:rPr>
        <w:t>四是</w:t>
      </w:r>
      <w:r>
        <w:rPr>
          <w:rFonts w:eastAsia="仿宋_GB2312"/>
          <w:sz w:val="32"/>
          <w:szCs w:val="32"/>
        </w:rPr>
        <w:t>预兑现离退休人员2021年度生活补助。以上支出依法依规按月或按年定期发放，全年支出控制、执行进度、预算完成100%，年末人员类资金无结余，无违规情况。</w:t>
      </w:r>
    </w:p>
    <w:p>
      <w:pPr>
        <w:widowControl/>
        <w:adjustRightInd w:val="0"/>
        <w:snapToGrid w:val="0"/>
        <w:spacing w:line="353" w:lineRule="auto"/>
        <w:ind w:firstLine="643" w:firstLineChars="200"/>
        <w:contextualSpacing/>
        <w:rPr>
          <w:rFonts w:eastAsia="仿宋_GB2312"/>
          <w:b/>
          <w:bCs/>
          <w:sz w:val="32"/>
          <w:szCs w:val="32"/>
        </w:rPr>
      </w:pPr>
      <w:r>
        <w:rPr>
          <w:rFonts w:eastAsia="仿宋_GB2312"/>
          <w:b/>
          <w:bCs/>
          <w:sz w:val="32"/>
          <w:szCs w:val="32"/>
        </w:rPr>
        <w:t>2.运转类项目绩效分析。</w:t>
      </w:r>
    </w:p>
    <w:p>
      <w:pPr>
        <w:widowControl/>
        <w:adjustRightInd w:val="0"/>
        <w:snapToGrid w:val="0"/>
        <w:spacing w:line="353" w:lineRule="auto"/>
        <w:ind w:firstLine="640" w:firstLineChars="200"/>
        <w:contextualSpacing/>
        <w:rPr>
          <w:rFonts w:eastAsia="仿宋_GB2312"/>
          <w:sz w:val="32"/>
          <w:szCs w:val="32"/>
        </w:rPr>
      </w:pPr>
      <w:r>
        <w:rPr>
          <w:rFonts w:eastAsia="仿宋_GB2312"/>
          <w:sz w:val="32"/>
          <w:szCs w:val="32"/>
        </w:rPr>
        <w:t>运转类项目主要是维持单位基本运转的各类商品服务，包括差旅费、办公费等。2022年日常公用经费支出年初预算77.7万元，支出数74.64万元，严格落实过紧日子要求，按期支付日常公用经费，鼓励使用公务卡结算，严控会务、培训、差旅等公务事项审批，加强内部控制管理，推行无纸化办公，开展能耗分析，各项公用经费得到了大幅压减。公用经费控制率超100%，年末运转类资金无结余、无违规情况。</w:t>
      </w:r>
    </w:p>
    <w:p>
      <w:pPr>
        <w:widowControl/>
        <w:adjustRightInd w:val="0"/>
        <w:snapToGrid w:val="0"/>
        <w:spacing w:line="353" w:lineRule="auto"/>
        <w:ind w:firstLine="643" w:firstLineChars="200"/>
        <w:contextualSpacing/>
        <w:rPr>
          <w:rFonts w:eastAsia="仿宋_GB2312"/>
          <w:b/>
          <w:bCs/>
          <w:sz w:val="32"/>
          <w:szCs w:val="32"/>
        </w:rPr>
      </w:pPr>
      <w:r>
        <w:rPr>
          <w:rFonts w:eastAsia="仿宋_GB2312"/>
          <w:b/>
          <w:bCs/>
          <w:sz w:val="32"/>
          <w:szCs w:val="32"/>
        </w:rPr>
        <w:t>3.特定目标类项目绩效分析。</w:t>
      </w:r>
    </w:p>
    <w:p>
      <w:pPr>
        <w:widowControl/>
        <w:adjustRightInd w:val="0"/>
        <w:snapToGrid w:val="0"/>
        <w:spacing w:line="353" w:lineRule="auto"/>
        <w:ind w:firstLine="640" w:firstLineChars="200"/>
        <w:contextualSpacing/>
        <w:rPr>
          <w:rFonts w:eastAsia="仿宋_GB2312"/>
          <w:sz w:val="32"/>
          <w:szCs w:val="32"/>
        </w:rPr>
      </w:pPr>
      <w:r>
        <w:rPr>
          <w:rFonts w:eastAsia="仿宋_GB2312"/>
          <w:sz w:val="32"/>
          <w:szCs w:val="32"/>
        </w:rPr>
        <w:t>特定目标类项目主要有政府业务经费、政策研究咨询经费、纪检监察工作经费、全区老干部及一线工作人员慰问经费等。2022年初项目经费支出预算120.4万元，年度预算执行项目经费支出74.45万元，项目经费无结余，项目经费控制率100%。无财政结余资金，无自有资金结余，预算控制较好。</w:t>
      </w:r>
    </w:p>
    <w:p>
      <w:pPr>
        <w:widowControl/>
        <w:adjustRightInd w:val="0"/>
        <w:snapToGrid w:val="0"/>
        <w:spacing w:line="353" w:lineRule="auto"/>
        <w:ind w:firstLine="640" w:firstLineChars="200"/>
        <w:contextualSpacing/>
        <w:rPr>
          <w:rFonts w:eastAsia="楷体_GB2312"/>
          <w:sz w:val="32"/>
          <w:szCs w:val="32"/>
        </w:rPr>
      </w:pPr>
      <w:r>
        <w:rPr>
          <w:rFonts w:eastAsia="楷体_GB2312"/>
          <w:sz w:val="32"/>
          <w:szCs w:val="32"/>
        </w:rPr>
        <w:t>（二）部门整体履职绩效分析。</w:t>
      </w:r>
    </w:p>
    <w:p>
      <w:pPr>
        <w:pStyle w:val="2"/>
        <w:adjustRightInd w:val="0"/>
        <w:snapToGrid w:val="0"/>
        <w:spacing w:before="93" w:line="353" w:lineRule="auto"/>
        <w:ind w:firstLine="640" w:firstLineChars="200"/>
        <w:rPr>
          <w:rFonts w:ascii="Times New Roman"/>
          <w:kern w:val="2"/>
          <w:sz w:val="32"/>
          <w:szCs w:val="32"/>
        </w:rPr>
      </w:pPr>
      <w:r>
        <w:rPr>
          <w:rFonts w:ascii="Times New Roman"/>
          <w:kern w:val="2"/>
          <w:sz w:val="32"/>
          <w:szCs w:val="32"/>
        </w:rPr>
        <w:t>在过去的2022年中，区政府办公室通过各项指标的监测和分析，工作效率得到了提高，顺利完成项目预算执行任务，在部门整体履职绩效方面表现良好。</w:t>
      </w:r>
    </w:p>
    <w:p>
      <w:pPr>
        <w:widowControl/>
        <w:adjustRightInd w:val="0"/>
        <w:snapToGrid w:val="0"/>
        <w:spacing w:line="353" w:lineRule="auto"/>
        <w:ind w:firstLine="640" w:firstLineChars="200"/>
        <w:contextualSpacing/>
        <w:rPr>
          <w:rFonts w:eastAsia="楷体_GB2312"/>
          <w:sz w:val="32"/>
          <w:szCs w:val="32"/>
        </w:rPr>
      </w:pPr>
      <w:r>
        <w:rPr>
          <w:rFonts w:eastAsia="楷体_GB2312"/>
          <w:sz w:val="32"/>
          <w:szCs w:val="32"/>
        </w:rPr>
        <w:t>（三）结果应用情况。</w:t>
      </w:r>
    </w:p>
    <w:p>
      <w:pPr>
        <w:widowControl/>
        <w:adjustRightInd w:val="0"/>
        <w:snapToGrid w:val="0"/>
        <w:spacing w:line="353" w:lineRule="auto"/>
        <w:ind w:firstLine="643" w:firstLineChars="200"/>
        <w:contextualSpacing/>
        <w:rPr>
          <w:rFonts w:eastAsia="仿宋_GB2312"/>
          <w:sz w:val="32"/>
          <w:szCs w:val="32"/>
        </w:rPr>
      </w:pPr>
      <w:r>
        <w:rPr>
          <w:rFonts w:eastAsia="仿宋_GB2312"/>
          <w:b/>
          <w:bCs/>
          <w:sz w:val="32"/>
          <w:szCs w:val="32"/>
        </w:rPr>
        <w:t>1.内部应用。</w:t>
      </w:r>
      <w:r>
        <w:rPr>
          <w:rFonts w:eastAsia="仿宋_GB2312"/>
          <w:sz w:val="32"/>
          <w:szCs w:val="32"/>
        </w:rPr>
        <w:t>通过开展绩效目标自评工作，及时调整和优化本单位以后年度预算支出的方向和结构，合理配置资源，细化开支范围和用途，进一步加强财务管理。</w:t>
      </w:r>
    </w:p>
    <w:p>
      <w:pPr>
        <w:widowControl/>
        <w:adjustRightInd w:val="0"/>
        <w:snapToGrid w:val="0"/>
        <w:spacing w:line="353" w:lineRule="auto"/>
        <w:ind w:firstLine="643" w:firstLineChars="200"/>
        <w:contextualSpacing/>
        <w:rPr>
          <w:rFonts w:eastAsia="仿宋_GB2312"/>
          <w:sz w:val="32"/>
          <w:szCs w:val="32"/>
        </w:rPr>
      </w:pPr>
      <w:r>
        <w:rPr>
          <w:rFonts w:eastAsia="仿宋_GB2312"/>
          <w:b/>
          <w:bCs/>
          <w:sz w:val="32"/>
          <w:szCs w:val="32"/>
        </w:rPr>
        <w:t>2.自评公开。</w:t>
      </w:r>
      <w:r>
        <w:rPr>
          <w:rFonts w:eastAsia="仿宋_GB2312"/>
          <w:sz w:val="32"/>
          <w:szCs w:val="32"/>
        </w:rPr>
        <w:t>按照区财政局有关要求，部门预算项目绩效自评报告、自评表在西区政府门户网站（ttp://www.pzhsxq.gov.cn/）进行公开。</w:t>
      </w:r>
    </w:p>
    <w:p>
      <w:pPr>
        <w:widowControl/>
        <w:adjustRightInd w:val="0"/>
        <w:snapToGrid w:val="0"/>
        <w:spacing w:line="353" w:lineRule="auto"/>
        <w:ind w:firstLine="643" w:firstLineChars="200"/>
        <w:contextualSpacing/>
        <w:rPr>
          <w:rFonts w:eastAsia="仿宋_GB2312"/>
          <w:sz w:val="32"/>
          <w:szCs w:val="32"/>
        </w:rPr>
      </w:pPr>
      <w:r>
        <w:rPr>
          <w:rFonts w:eastAsia="仿宋_GB2312"/>
          <w:b/>
          <w:bCs/>
          <w:sz w:val="32"/>
          <w:szCs w:val="32"/>
        </w:rPr>
        <w:t>3.问题整改。</w:t>
      </w:r>
      <w:r>
        <w:rPr>
          <w:rFonts w:eastAsia="仿宋_GB2312"/>
          <w:sz w:val="32"/>
          <w:szCs w:val="32"/>
        </w:rPr>
        <w:t>未支付完成的将在2023年继续支付。</w:t>
      </w:r>
    </w:p>
    <w:p>
      <w:pPr>
        <w:widowControl/>
        <w:adjustRightInd w:val="0"/>
        <w:snapToGrid w:val="0"/>
        <w:spacing w:line="353" w:lineRule="auto"/>
        <w:ind w:firstLine="643" w:firstLineChars="200"/>
        <w:contextualSpacing/>
        <w:rPr>
          <w:rFonts w:eastAsia="仿宋_GB2312"/>
          <w:sz w:val="32"/>
          <w:szCs w:val="32"/>
        </w:rPr>
      </w:pPr>
      <w:r>
        <w:rPr>
          <w:rFonts w:eastAsia="仿宋_GB2312"/>
          <w:b/>
          <w:bCs/>
          <w:sz w:val="32"/>
          <w:szCs w:val="32"/>
        </w:rPr>
        <w:t>4.应用反馈。</w:t>
      </w:r>
      <w:r>
        <w:rPr>
          <w:rFonts w:eastAsia="仿宋_GB2312"/>
          <w:sz w:val="32"/>
          <w:szCs w:val="32"/>
        </w:rPr>
        <w:t>完善年初预算编制工作；合理安排项目预算执行，确保各项工作高效运行。</w:t>
      </w:r>
    </w:p>
    <w:p>
      <w:pPr>
        <w:widowControl/>
        <w:adjustRightInd w:val="0"/>
        <w:snapToGrid w:val="0"/>
        <w:spacing w:line="353" w:lineRule="auto"/>
        <w:ind w:firstLine="640" w:firstLineChars="200"/>
        <w:contextualSpacing/>
        <w:rPr>
          <w:rFonts w:eastAsia="仿宋_GB2312"/>
          <w:sz w:val="32"/>
          <w:szCs w:val="32"/>
        </w:rPr>
      </w:pPr>
      <w:r>
        <w:rPr>
          <w:rFonts w:eastAsia="楷体_GB2312"/>
          <w:sz w:val="32"/>
          <w:szCs w:val="32"/>
        </w:rPr>
        <w:t>（四）自评质量。</w:t>
      </w:r>
    </w:p>
    <w:p>
      <w:pPr>
        <w:widowControl/>
        <w:adjustRightInd w:val="0"/>
        <w:snapToGrid w:val="0"/>
        <w:spacing w:line="353" w:lineRule="auto"/>
        <w:ind w:firstLine="640" w:firstLineChars="200"/>
        <w:contextualSpacing/>
        <w:rPr>
          <w:rFonts w:eastAsia="仿宋_GB2312"/>
          <w:sz w:val="32"/>
          <w:szCs w:val="32"/>
        </w:rPr>
      </w:pPr>
      <w:r>
        <w:rPr>
          <w:rFonts w:eastAsia="仿宋_GB2312"/>
          <w:sz w:val="32"/>
          <w:szCs w:val="32"/>
        </w:rPr>
        <w:t>2022年区政府办公室部门整体支出绩效自查得分较为客观，全年无超预算、无预算支出，无违规违纪的问题。选取政府业务经费开展财政专项预算项目绩效评价工作，形成政府业务经费专项绩效自评报告（见附件2）。</w:t>
      </w:r>
    </w:p>
    <w:p>
      <w:pPr>
        <w:widowControl/>
        <w:adjustRightInd w:val="0"/>
        <w:snapToGrid w:val="0"/>
        <w:spacing w:line="353" w:lineRule="auto"/>
        <w:ind w:firstLine="640" w:firstLineChars="200"/>
        <w:contextualSpacing/>
        <w:rPr>
          <w:rFonts w:eastAsia="黑体"/>
          <w:sz w:val="32"/>
          <w:szCs w:val="32"/>
        </w:rPr>
      </w:pPr>
      <w:r>
        <w:rPr>
          <w:rFonts w:eastAsia="黑体"/>
          <w:sz w:val="32"/>
          <w:szCs w:val="32"/>
        </w:rPr>
        <w:t>四、评价结论及建议</w:t>
      </w:r>
    </w:p>
    <w:p>
      <w:pPr>
        <w:widowControl/>
        <w:adjustRightInd w:val="0"/>
        <w:snapToGrid w:val="0"/>
        <w:spacing w:line="353" w:lineRule="auto"/>
        <w:ind w:firstLine="640" w:firstLineChars="200"/>
        <w:contextualSpacing/>
        <w:rPr>
          <w:rFonts w:eastAsia="楷体_GB2312"/>
          <w:sz w:val="32"/>
          <w:szCs w:val="32"/>
        </w:rPr>
      </w:pPr>
      <w:r>
        <w:rPr>
          <w:rFonts w:eastAsia="楷体_GB2312"/>
          <w:sz w:val="32"/>
          <w:szCs w:val="32"/>
        </w:rPr>
        <w:t>（一）评价结论。</w:t>
      </w:r>
    </w:p>
    <w:p>
      <w:pPr>
        <w:widowControl/>
        <w:adjustRightInd w:val="0"/>
        <w:snapToGrid w:val="0"/>
        <w:spacing w:line="353" w:lineRule="auto"/>
        <w:ind w:firstLine="640" w:firstLineChars="200"/>
        <w:contextualSpacing/>
        <w:rPr>
          <w:rFonts w:eastAsia="仿宋_GB2312"/>
          <w:sz w:val="32"/>
          <w:szCs w:val="32"/>
        </w:rPr>
      </w:pPr>
      <w:r>
        <w:rPr>
          <w:rFonts w:eastAsia="仿宋_GB2312"/>
          <w:sz w:val="32"/>
          <w:szCs w:val="32"/>
        </w:rPr>
        <w:t>2022年区政府办公室聚焦“三办”主责主业，提升“三服务”工作质效，积极为推动西区转型发展、高质量发展贡献力量。严格执行资金预算管理制度，在资金管理、执行、支付等流程，进一步强化资金统筹，优化资金结构，明确开支范围、细化资金用途，各项支出保证了部门正常运行和日常工作顺利开展，较好的完成了全年绩效目标任务。</w:t>
      </w:r>
    </w:p>
    <w:p>
      <w:pPr>
        <w:widowControl/>
        <w:adjustRightInd w:val="0"/>
        <w:snapToGrid w:val="0"/>
        <w:spacing w:line="353" w:lineRule="auto"/>
        <w:ind w:firstLine="640" w:firstLineChars="200"/>
        <w:contextualSpacing/>
        <w:rPr>
          <w:rFonts w:eastAsia="楷体_GB2312"/>
          <w:sz w:val="32"/>
          <w:szCs w:val="32"/>
        </w:rPr>
      </w:pPr>
      <w:r>
        <w:rPr>
          <w:rFonts w:eastAsia="楷体_GB2312"/>
          <w:sz w:val="32"/>
          <w:szCs w:val="32"/>
        </w:rPr>
        <w:t>（二）存在问题。</w:t>
      </w:r>
    </w:p>
    <w:p>
      <w:pPr>
        <w:widowControl/>
        <w:adjustRightInd w:val="0"/>
        <w:snapToGrid w:val="0"/>
        <w:spacing w:line="353" w:lineRule="auto"/>
        <w:ind w:firstLine="640" w:firstLineChars="200"/>
        <w:contextualSpacing/>
        <w:rPr>
          <w:rFonts w:eastAsia="仿宋_GB2312"/>
          <w:sz w:val="32"/>
          <w:szCs w:val="32"/>
        </w:rPr>
      </w:pPr>
      <w:r>
        <w:rPr>
          <w:rFonts w:eastAsia="仿宋_GB2312"/>
          <w:sz w:val="32"/>
          <w:szCs w:val="32"/>
        </w:rPr>
        <w:t>在项目实施过程中，因项目的持续性，部分项目已完成报账程序，未能及时支付，待2023年继续支付。</w:t>
      </w:r>
    </w:p>
    <w:p>
      <w:pPr>
        <w:widowControl/>
        <w:adjustRightInd w:val="0"/>
        <w:snapToGrid w:val="0"/>
        <w:spacing w:line="353" w:lineRule="auto"/>
        <w:ind w:firstLine="640" w:firstLineChars="200"/>
        <w:contextualSpacing/>
        <w:rPr>
          <w:rFonts w:eastAsia="楷体_GB2312"/>
          <w:sz w:val="32"/>
          <w:szCs w:val="32"/>
        </w:rPr>
      </w:pPr>
      <w:r>
        <w:rPr>
          <w:rFonts w:eastAsia="楷体_GB2312"/>
          <w:sz w:val="32"/>
          <w:szCs w:val="32"/>
        </w:rPr>
        <w:t>（三）改进建议。</w:t>
      </w:r>
    </w:p>
    <w:p>
      <w:pPr>
        <w:widowControl/>
        <w:adjustRightInd w:val="0"/>
        <w:snapToGrid w:val="0"/>
        <w:spacing w:line="353" w:lineRule="auto"/>
        <w:ind w:firstLine="640" w:firstLineChars="200"/>
        <w:contextualSpacing/>
        <w:rPr>
          <w:rFonts w:eastAsia="仿宋_GB2312"/>
          <w:sz w:val="32"/>
          <w:szCs w:val="32"/>
        </w:rPr>
      </w:pPr>
      <w:r>
        <w:rPr>
          <w:rFonts w:eastAsia="仿宋_GB2312"/>
          <w:sz w:val="32"/>
          <w:szCs w:val="32"/>
        </w:rPr>
        <w:t>一是继续完善年初预算特别是项目预算的编制工作，保证预算编制的完整性和准确性。二是合理安排项目预算执行，对项目任务提前计划，及时分解、落实，切实提高财政资金使用效率，确保各项工作高效运行。</w:t>
      </w:r>
    </w:p>
    <w:p>
      <w:pPr>
        <w:pStyle w:val="13"/>
        <w:adjustRightInd w:val="0"/>
        <w:snapToGrid w:val="0"/>
        <w:spacing w:line="353" w:lineRule="auto"/>
        <w:ind w:left="0" w:leftChars="0" w:firstLine="640"/>
        <w:rPr>
          <w:rFonts w:ascii="Times New Roman" w:eastAsia="仿宋_GB2312"/>
          <w:sz w:val="32"/>
          <w:lang w:val="zh-CN"/>
        </w:rPr>
      </w:pPr>
    </w:p>
    <w:p>
      <w:pPr>
        <w:pStyle w:val="13"/>
        <w:adjustRightInd w:val="0"/>
        <w:snapToGrid w:val="0"/>
        <w:spacing w:line="353" w:lineRule="auto"/>
        <w:ind w:left="0" w:leftChars="0" w:firstLine="640"/>
        <w:rPr>
          <w:rStyle w:val="28"/>
          <w:rFonts w:eastAsia="仿宋_GB2312"/>
          <w:b w:val="0"/>
        </w:rPr>
      </w:pPr>
      <w:r>
        <w:rPr>
          <w:rFonts w:ascii="Times New Roman" w:eastAsia="仿宋_GB2312"/>
          <w:sz w:val="32"/>
          <w:lang w:val="zh-CN"/>
        </w:rPr>
        <w:t>附表：</w:t>
      </w:r>
      <w:r>
        <w:rPr>
          <w:rFonts w:ascii="Times New Roman" w:eastAsia="仿宋_GB2312"/>
          <w:sz w:val="32"/>
        </w:rPr>
        <w:t>部门预算项目支出绩效自评表（2022年度）见附件3</w:t>
      </w:r>
    </w:p>
    <w:p>
      <w:pPr>
        <w:widowControl/>
        <w:adjustRightInd w:val="0"/>
        <w:snapToGrid w:val="0"/>
        <w:spacing w:line="353" w:lineRule="auto"/>
        <w:jc w:val="left"/>
        <w:rPr>
          <w:sz w:val="32"/>
          <w:szCs w:val="32"/>
        </w:rPr>
      </w:pPr>
      <w:bookmarkStart w:id="54" w:name="_Toc15396618"/>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widowControl/>
        <w:adjustRightInd w:val="0"/>
        <w:snapToGrid w:val="0"/>
        <w:spacing w:line="353" w:lineRule="auto"/>
        <w:jc w:val="left"/>
        <w:rPr>
          <w:sz w:val="32"/>
          <w:szCs w:val="32"/>
        </w:rPr>
      </w:pPr>
    </w:p>
    <w:p>
      <w:pPr>
        <w:pStyle w:val="2"/>
        <w:spacing w:before="93"/>
      </w:pPr>
    </w:p>
    <w:p>
      <w:pPr>
        <w:widowControl/>
        <w:adjustRightInd w:val="0"/>
        <w:snapToGrid w:val="0"/>
        <w:spacing w:line="353" w:lineRule="auto"/>
        <w:jc w:val="left"/>
        <w:rPr>
          <w:sz w:val="32"/>
          <w:szCs w:val="32"/>
        </w:rPr>
      </w:pPr>
    </w:p>
    <w:p>
      <w:pPr>
        <w:widowControl/>
        <w:adjustRightInd w:val="0"/>
        <w:snapToGrid w:val="0"/>
        <w:spacing w:line="353" w:lineRule="auto"/>
        <w:jc w:val="left"/>
        <w:rPr>
          <w:rFonts w:eastAsia="黑体"/>
          <w:sz w:val="32"/>
          <w:szCs w:val="32"/>
        </w:rPr>
      </w:pPr>
      <w:r>
        <w:rPr>
          <w:rFonts w:eastAsia="黑体"/>
          <w:sz w:val="32"/>
          <w:szCs w:val="32"/>
        </w:rPr>
        <w:t>附件2</w:t>
      </w:r>
    </w:p>
    <w:p>
      <w:pPr>
        <w:pStyle w:val="34"/>
        <w:adjustRightInd w:val="0"/>
        <w:snapToGrid w:val="0"/>
        <w:spacing w:line="353" w:lineRule="auto"/>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202</w:t>
      </w:r>
      <w:r>
        <w:rPr>
          <w:rFonts w:hint="eastAsia" w:ascii="Times New Roman" w:hAnsi="Times New Roman" w:eastAsia="方正小标宋简体"/>
          <w:color w:val="auto"/>
          <w:kern w:val="2"/>
          <w:sz w:val="32"/>
          <w:szCs w:val="32"/>
          <w:lang w:val="en-US" w:eastAsia="zh-CN"/>
        </w:rPr>
        <w:t>2</w:t>
      </w:r>
      <w:r>
        <w:rPr>
          <w:rFonts w:ascii="Times New Roman" w:hAnsi="Times New Roman" w:eastAsia="方正小标宋简体"/>
          <w:color w:val="auto"/>
          <w:kern w:val="2"/>
          <w:sz w:val="32"/>
          <w:szCs w:val="32"/>
          <w:lang w:val="en-US"/>
        </w:rPr>
        <w:t>年专项资金预算项目绩效自评报告</w:t>
      </w:r>
      <w:bookmarkStart w:id="68" w:name="_GoBack"/>
      <w:bookmarkEnd w:id="68"/>
    </w:p>
    <w:p>
      <w:pPr>
        <w:pStyle w:val="34"/>
        <w:adjustRightInd w:val="0"/>
        <w:snapToGrid w:val="0"/>
        <w:spacing w:line="353" w:lineRule="auto"/>
        <w:jc w:val="center"/>
        <w:rPr>
          <w:rFonts w:ascii="Times New Roman" w:hAnsi="Times New Roman" w:eastAsia="方正小标宋简体"/>
          <w:color w:val="auto"/>
          <w:kern w:val="2"/>
          <w:sz w:val="32"/>
          <w:szCs w:val="32"/>
          <w:lang w:val="en-US"/>
        </w:rPr>
      </w:pPr>
      <w:r>
        <w:rPr>
          <w:rFonts w:ascii="Times New Roman" w:hAnsi="Times New Roman" w:eastAsia="方正小标宋简体"/>
          <w:color w:val="auto"/>
          <w:kern w:val="2"/>
          <w:sz w:val="32"/>
          <w:szCs w:val="32"/>
          <w:lang w:val="en-US"/>
        </w:rPr>
        <w:t>政府业务经费支出绩效自评</w:t>
      </w:r>
    </w:p>
    <w:p>
      <w:pPr>
        <w:pStyle w:val="34"/>
        <w:adjustRightInd w:val="0"/>
        <w:snapToGrid w:val="0"/>
        <w:spacing w:line="353" w:lineRule="auto"/>
        <w:ind w:firstLine="640"/>
        <w:jc w:val="center"/>
        <w:rPr>
          <w:rFonts w:ascii="Times New Roman" w:hAnsi="Times New Roman"/>
          <w:color w:val="auto"/>
          <w:kern w:val="2"/>
          <w:sz w:val="32"/>
          <w:szCs w:val="32"/>
        </w:rPr>
      </w:pPr>
    </w:p>
    <w:p>
      <w:pPr>
        <w:adjustRightInd w:val="0"/>
        <w:snapToGrid w:val="0"/>
        <w:spacing w:line="348" w:lineRule="auto"/>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（一）项目基本情况。</w:t>
      </w:r>
    </w:p>
    <w:p>
      <w:pPr>
        <w:adjustRightInd w:val="0"/>
        <w:snapToGrid w:val="0"/>
        <w:spacing w:line="348" w:lineRule="auto"/>
        <w:ind w:firstLine="640" w:firstLineChars="200"/>
        <w:rPr>
          <w:rFonts w:eastAsia="仿宋_GB2312"/>
          <w:sz w:val="32"/>
          <w:szCs w:val="32"/>
        </w:rPr>
      </w:pPr>
      <w:r>
        <w:rPr>
          <w:rFonts w:eastAsia="仿宋_GB2312"/>
          <w:sz w:val="32"/>
          <w:szCs w:val="32"/>
        </w:rPr>
        <w:t>根据区政府办公室负责的区政府重要会议事务和区政府领导同志参加重大活动组织等工作安排，经政府办党组审议，通过政府业务经费项目。</w:t>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（二）项目绩效目标。</w:t>
      </w:r>
    </w:p>
    <w:p>
      <w:pPr>
        <w:adjustRightInd w:val="0"/>
        <w:snapToGrid w:val="0"/>
        <w:spacing w:line="348" w:lineRule="auto"/>
        <w:ind w:firstLine="643" w:firstLineChars="200"/>
        <w:rPr>
          <w:rFonts w:eastAsia="仿宋_GB2312"/>
          <w:sz w:val="32"/>
          <w:szCs w:val="32"/>
        </w:rPr>
      </w:pPr>
      <w:r>
        <w:rPr>
          <w:rFonts w:eastAsia="仿宋_GB2312"/>
          <w:b/>
          <w:bCs/>
          <w:sz w:val="32"/>
          <w:szCs w:val="32"/>
        </w:rPr>
        <w:t>1.项目主要内容。</w:t>
      </w:r>
      <w:r>
        <w:rPr>
          <w:rFonts w:eastAsia="仿宋_GB2312"/>
          <w:sz w:val="32"/>
          <w:szCs w:val="32"/>
        </w:rPr>
        <w:t>完成全区重大项目推进、招商引资、政务信息、各类会议、重大活动等全年各项目标任务。</w:t>
      </w:r>
    </w:p>
    <w:p>
      <w:pPr>
        <w:adjustRightInd w:val="0"/>
        <w:snapToGrid w:val="0"/>
        <w:spacing w:line="348" w:lineRule="auto"/>
        <w:ind w:firstLine="643" w:firstLineChars="200"/>
        <w:rPr>
          <w:rFonts w:eastAsia="仿宋_GB2312"/>
          <w:sz w:val="32"/>
          <w:szCs w:val="32"/>
        </w:rPr>
      </w:pPr>
      <w:r>
        <w:rPr>
          <w:rFonts w:eastAsia="仿宋_GB2312"/>
          <w:b/>
          <w:bCs/>
          <w:sz w:val="32"/>
          <w:szCs w:val="32"/>
        </w:rPr>
        <w:t>2.项目应实现的具体绩效目标。</w:t>
      </w:r>
      <w:r>
        <w:rPr>
          <w:rFonts w:eastAsia="仿宋_GB2312"/>
          <w:sz w:val="32"/>
          <w:szCs w:val="32"/>
        </w:rPr>
        <w:t>产出指标，数量指标：开展重点工作推进、重要活动举办≥10项；召开各类会议≥360次，质量指标：政府业务有关工作完成率=100%，时效指标：完成时限2022年，成本指标：政府业务经费83万元；效益指标，可持续影响指标：资金使用效率=100%；满意度指标，服务对象满意度指标：区级各部门满意度≥95%。</w:t>
      </w:r>
    </w:p>
    <w:p>
      <w:pPr>
        <w:adjustRightInd w:val="0"/>
        <w:snapToGrid w:val="0"/>
        <w:spacing w:line="348" w:lineRule="auto"/>
        <w:ind w:firstLine="643" w:firstLineChars="200"/>
        <w:rPr>
          <w:rFonts w:eastAsia="仿宋_GB2312"/>
          <w:sz w:val="32"/>
          <w:szCs w:val="32"/>
        </w:rPr>
      </w:pPr>
      <w:r>
        <w:rPr>
          <w:rFonts w:eastAsia="仿宋_GB2312"/>
          <w:b/>
          <w:bCs/>
          <w:sz w:val="32"/>
          <w:szCs w:val="32"/>
        </w:rPr>
        <w:t>3.申报内容与具体实施内容相符、申报目标合理可行。</w:t>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（三）项目自评步骤及方法。</w:t>
      </w:r>
    </w:p>
    <w:p>
      <w:pPr>
        <w:adjustRightInd w:val="0"/>
        <w:snapToGrid w:val="0"/>
        <w:spacing w:line="348" w:lineRule="auto"/>
        <w:ind w:firstLine="720"/>
        <w:rPr>
          <w:rFonts w:eastAsia="仿宋_GB2312"/>
          <w:b/>
          <w:bCs/>
          <w:sz w:val="32"/>
          <w:szCs w:val="32"/>
          <w:lang w:val="zh-CN"/>
        </w:rPr>
      </w:pPr>
      <w:r>
        <w:rPr>
          <w:rFonts w:eastAsia="仿宋_GB2312"/>
          <w:b/>
          <w:bCs/>
          <w:sz w:val="32"/>
          <w:szCs w:val="32"/>
        </w:rPr>
        <w:t>1.</w:t>
      </w:r>
      <w:r>
        <w:rPr>
          <w:rFonts w:eastAsia="仿宋_GB2312"/>
          <w:b/>
          <w:bCs/>
          <w:sz w:val="32"/>
          <w:szCs w:val="32"/>
          <w:lang w:val="zh-CN"/>
        </w:rPr>
        <w:t>确定评价指标和标准。</w:t>
      </w:r>
    </w:p>
    <w:p>
      <w:pPr>
        <w:adjustRightInd w:val="0"/>
        <w:snapToGrid w:val="0"/>
        <w:spacing w:line="348" w:lineRule="auto"/>
        <w:ind w:firstLine="720"/>
        <w:rPr>
          <w:rFonts w:eastAsia="仿宋_GB2312"/>
          <w:b/>
          <w:bCs/>
          <w:sz w:val="32"/>
          <w:szCs w:val="32"/>
          <w:lang w:val="zh-CN"/>
        </w:rPr>
      </w:pPr>
      <w:r>
        <w:rPr>
          <w:rFonts w:eastAsia="仿宋_GB2312"/>
          <w:b/>
          <w:bCs/>
          <w:sz w:val="32"/>
          <w:szCs w:val="32"/>
        </w:rPr>
        <w:t>2.</w:t>
      </w:r>
      <w:r>
        <w:rPr>
          <w:rFonts w:eastAsia="仿宋_GB2312"/>
          <w:b/>
          <w:bCs/>
          <w:sz w:val="32"/>
          <w:szCs w:val="32"/>
          <w:lang w:val="zh-CN"/>
        </w:rPr>
        <w:t>收集项目数据和信息。</w:t>
      </w:r>
    </w:p>
    <w:p>
      <w:pPr>
        <w:adjustRightInd w:val="0"/>
        <w:snapToGrid w:val="0"/>
        <w:spacing w:line="348" w:lineRule="auto"/>
        <w:ind w:firstLine="720"/>
        <w:rPr>
          <w:rFonts w:eastAsia="仿宋_GB2312"/>
          <w:b/>
          <w:bCs/>
          <w:sz w:val="32"/>
          <w:szCs w:val="32"/>
          <w:lang w:val="zh-CN"/>
        </w:rPr>
      </w:pPr>
      <w:r>
        <w:rPr>
          <w:rFonts w:eastAsia="仿宋_GB2312"/>
          <w:b/>
          <w:bCs/>
          <w:sz w:val="32"/>
          <w:szCs w:val="32"/>
        </w:rPr>
        <w:t>3.</w:t>
      </w:r>
      <w:r>
        <w:rPr>
          <w:rFonts w:eastAsia="仿宋_GB2312"/>
          <w:b/>
          <w:bCs/>
          <w:sz w:val="32"/>
          <w:szCs w:val="32"/>
          <w:lang w:val="zh-CN"/>
        </w:rPr>
        <w:t>进行自评活动。</w:t>
      </w:r>
    </w:p>
    <w:p>
      <w:pPr>
        <w:adjustRightInd w:val="0"/>
        <w:snapToGrid w:val="0"/>
        <w:spacing w:line="348" w:lineRule="auto"/>
        <w:ind w:firstLine="720"/>
        <w:rPr>
          <w:rFonts w:eastAsia="仿宋_GB2312"/>
          <w:sz w:val="32"/>
          <w:szCs w:val="32"/>
          <w:lang w:val="zh-CN"/>
        </w:rPr>
      </w:pPr>
      <w:r>
        <w:rPr>
          <w:rFonts w:eastAsia="仿宋_GB2312"/>
          <w:b/>
          <w:bCs/>
          <w:sz w:val="32"/>
          <w:szCs w:val="32"/>
        </w:rPr>
        <w:t>4.</w:t>
      </w:r>
      <w:r>
        <w:rPr>
          <w:rFonts w:eastAsia="仿宋_GB2312"/>
          <w:b/>
          <w:bCs/>
          <w:sz w:val="32"/>
          <w:szCs w:val="32"/>
          <w:lang w:val="zh-CN"/>
        </w:rPr>
        <w:t>分析自评结果。</w:t>
      </w:r>
    </w:p>
    <w:p>
      <w:pPr>
        <w:adjustRightInd w:val="0"/>
        <w:snapToGrid w:val="0"/>
        <w:spacing w:line="348" w:lineRule="auto"/>
        <w:ind w:firstLine="720"/>
        <w:rPr>
          <w:rFonts w:eastAsia="黑体"/>
          <w:sz w:val="32"/>
          <w:szCs w:val="32"/>
        </w:rPr>
      </w:pPr>
      <w:r>
        <w:rPr>
          <w:rFonts w:eastAsia="黑体"/>
          <w:sz w:val="32"/>
          <w:szCs w:val="32"/>
        </w:rPr>
        <w:t>二、项目资金申报及使用情况</w:t>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（一）项目资金申报及批复情况。</w:t>
      </w:r>
      <w:r>
        <w:rPr>
          <w:rFonts w:eastAsia="仿宋_GB2312"/>
          <w:sz w:val="32"/>
          <w:szCs w:val="32"/>
        </w:rPr>
        <w:t>2021年底，区政府办公室党组会通过政府业务经费83万元申请事宜，2022年4月区财政局下达预算批复。申报和批复流程</w:t>
      </w:r>
      <w:r>
        <w:rPr>
          <w:rFonts w:eastAsia="仿宋_GB2312"/>
          <w:sz w:val="32"/>
          <w:szCs w:val="32"/>
          <w:lang w:val="zh-CN"/>
        </w:rPr>
        <w:t>符合资金管理办法等有关规定。</w:t>
      </w:r>
    </w:p>
    <w:p>
      <w:pPr>
        <w:adjustRightInd w:val="0"/>
        <w:snapToGrid w:val="0"/>
        <w:spacing w:line="348" w:lineRule="auto"/>
        <w:ind w:firstLine="720"/>
        <w:rPr>
          <w:bCs/>
          <w:sz w:val="32"/>
          <w:szCs w:val="32"/>
          <w:lang w:val="zh-CN"/>
        </w:rPr>
      </w:pPr>
      <w:r>
        <w:rPr>
          <w:rFonts w:eastAsia="楷体_GB2312"/>
          <w:bCs/>
          <w:sz w:val="32"/>
          <w:szCs w:val="32"/>
          <w:lang w:val="zh-CN"/>
        </w:rPr>
        <w:t>（二）资金计划、到位及使用情况。</w:t>
      </w:r>
    </w:p>
    <w:p>
      <w:pPr>
        <w:widowControl/>
        <w:adjustRightInd w:val="0"/>
        <w:snapToGrid w:val="0"/>
        <w:spacing w:line="348" w:lineRule="auto"/>
        <w:ind w:firstLine="643" w:firstLineChars="200"/>
        <w:contextualSpacing/>
        <w:jc w:val="left"/>
        <w:rPr>
          <w:rFonts w:eastAsia="仿宋_GB2312"/>
          <w:sz w:val="32"/>
          <w:szCs w:val="32"/>
        </w:rPr>
      </w:pPr>
      <w:r>
        <w:rPr>
          <w:rFonts w:eastAsia="仿宋_GB2312"/>
          <w:b/>
          <w:bCs/>
          <w:sz w:val="32"/>
          <w:szCs w:val="32"/>
        </w:rPr>
        <w:t>1.资金计划。</w:t>
      </w:r>
      <w:r>
        <w:rPr>
          <w:rFonts w:eastAsia="仿宋_GB2312"/>
          <w:sz w:val="32"/>
          <w:szCs w:val="32"/>
        </w:rPr>
        <w:t>该项目资金通过区政府办公室年度项目经费解决。</w:t>
      </w:r>
    </w:p>
    <w:p>
      <w:pPr>
        <w:widowControl/>
        <w:adjustRightInd w:val="0"/>
        <w:snapToGrid w:val="0"/>
        <w:spacing w:line="348" w:lineRule="auto"/>
        <w:ind w:firstLine="643" w:firstLineChars="200"/>
        <w:contextualSpacing/>
        <w:jc w:val="left"/>
        <w:rPr>
          <w:rFonts w:eastAsia="仿宋_GB2312"/>
          <w:sz w:val="32"/>
          <w:szCs w:val="32"/>
        </w:rPr>
      </w:pPr>
      <w:r>
        <w:rPr>
          <w:rFonts w:eastAsia="仿宋_GB2312"/>
          <w:b/>
          <w:bCs/>
          <w:sz w:val="32"/>
          <w:szCs w:val="32"/>
        </w:rPr>
        <w:t>2.资金到位。</w:t>
      </w:r>
      <w:r>
        <w:rPr>
          <w:rFonts w:eastAsia="仿宋_GB2312"/>
          <w:sz w:val="32"/>
          <w:szCs w:val="32"/>
        </w:rPr>
        <w:t>截至项目实施时</w:t>
      </w:r>
      <w:r>
        <w:rPr>
          <w:rFonts w:hint="eastAsia" w:eastAsia="仿宋_GB2312"/>
          <w:sz w:val="32"/>
          <w:szCs w:val="32"/>
        </w:rPr>
        <w:t>，资金</w:t>
      </w:r>
      <w:r>
        <w:rPr>
          <w:rFonts w:eastAsia="仿宋_GB2312"/>
          <w:sz w:val="32"/>
          <w:szCs w:val="32"/>
        </w:rPr>
        <w:t>已及时到位。</w:t>
      </w:r>
    </w:p>
    <w:p>
      <w:pPr>
        <w:widowControl/>
        <w:adjustRightInd w:val="0"/>
        <w:snapToGrid w:val="0"/>
        <w:spacing w:line="348" w:lineRule="auto"/>
        <w:ind w:firstLine="643" w:firstLineChars="200"/>
        <w:contextualSpacing/>
        <w:jc w:val="left"/>
        <w:rPr>
          <w:rFonts w:eastAsia="仿宋_GB2312"/>
          <w:sz w:val="32"/>
          <w:szCs w:val="32"/>
        </w:rPr>
      </w:pPr>
      <w:r>
        <w:rPr>
          <w:rFonts w:eastAsia="仿宋_GB2312"/>
          <w:b/>
          <w:bCs/>
          <w:sz w:val="32"/>
          <w:szCs w:val="32"/>
        </w:rPr>
        <w:t>3.资金使用。</w:t>
      </w:r>
      <w:r>
        <w:rPr>
          <w:rFonts w:eastAsia="仿宋_GB2312"/>
          <w:sz w:val="32"/>
          <w:szCs w:val="32"/>
        </w:rPr>
        <w:t>政府业务经费项目绩效目标按质按量完成，全年预算数为83万元，执行预算数为45.08万元，完成预算的54.31%。</w:t>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（三）项目财务管理情况。</w:t>
      </w:r>
      <w:r>
        <w:rPr>
          <w:rFonts w:eastAsia="仿宋_GB2312"/>
          <w:sz w:val="32"/>
          <w:szCs w:val="32"/>
        </w:rPr>
        <w:t>严格执行财务管理制度，及时处理账务，会计规范核算。</w:t>
      </w:r>
    </w:p>
    <w:p>
      <w:pPr>
        <w:adjustRightInd w:val="0"/>
        <w:snapToGrid w:val="0"/>
        <w:spacing w:line="348" w:lineRule="auto"/>
        <w:ind w:firstLine="720"/>
        <w:rPr>
          <w:rFonts w:eastAsia="黑体"/>
          <w:sz w:val="32"/>
          <w:szCs w:val="32"/>
        </w:rPr>
      </w:pPr>
      <w:r>
        <w:rPr>
          <w:rFonts w:eastAsia="黑体"/>
          <w:sz w:val="32"/>
          <w:szCs w:val="32"/>
        </w:rPr>
        <w:t>三、项目实施及管理情况</w:t>
      </w:r>
    </w:p>
    <w:p>
      <w:pPr>
        <w:adjustRightInd w:val="0"/>
        <w:snapToGrid w:val="0"/>
        <w:spacing w:line="348" w:lineRule="auto"/>
        <w:ind w:firstLine="720"/>
        <w:rPr>
          <w:rFonts w:eastAsia="仿宋_GB2312"/>
          <w:sz w:val="32"/>
          <w:szCs w:val="32"/>
        </w:rPr>
      </w:pPr>
      <w:r>
        <w:rPr>
          <w:rFonts w:eastAsia="楷体_GB2312"/>
          <w:bCs/>
          <w:sz w:val="32"/>
          <w:szCs w:val="32"/>
          <w:lang w:val="zh-CN"/>
        </w:rPr>
        <w:t>（一）项目组织架构及实施流程。</w:t>
      </w:r>
      <w:r>
        <w:rPr>
          <w:rFonts w:eastAsia="仿宋_GB2312"/>
          <w:sz w:val="32"/>
          <w:szCs w:val="32"/>
        </w:rPr>
        <w:t>预算批复后遵照流程，规范支付。</w:t>
      </w:r>
    </w:p>
    <w:p>
      <w:pPr>
        <w:adjustRightInd w:val="0"/>
        <w:snapToGrid w:val="0"/>
        <w:spacing w:line="348" w:lineRule="auto"/>
        <w:ind w:firstLine="720"/>
        <w:rPr>
          <w:rFonts w:eastAsia="仿宋_GB2312"/>
          <w:sz w:val="32"/>
          <w:szCs w:val="32"/>
        </w:rPr>
      </w:pPr>
      <w:r>
        <w:rPr>
          <w:rFonts w:eastAsia="楷体_GB2312"/>
          <w:bCs/>
          <w:sz w:val="32"/>
          <w:szCs w:val="32"/>
          <w:lang w:val="zh-CN"/>
        </w:rPr>
        <w:t>（二）项目管理情况。</w:t>
      </w:r>
      <w:r>
        <w:rPr>
          <w:rFonts w:eastAsia="仿宋_GB2312"/>
          <w:sz w:val="32"/>
          <w:szCs w:val="32"/>
        </w:rPr>
        <w:t>严格执行有关法律法规、项目管理制度。</w:t>
      </w:r>
    </w:p>
    <w:p>
      <w:pPr>
        <w:adjustRightInd w:val="0"/>
        <w:snapToGrid w:val="0"/>
        <w:spacing w:line="348" w:lineRule="auto"/>
        <w:ind w:firstLine="720"/>
        <w:rPr>
          <w:rFonts w:eastAsia="仿宋_GB2312"/>
          <w:kern w:val="0"/>
          <w:sz w:val="32"/>
          <w:szCs w:val="32"/>
          <w:shd w:val="clear" w:color="auto" w:fill="FFFFFF"/>
          <w:lang w:val="zh-CN"/>
        </w:rPr>
      </w:pPr>
      <w:r>
        <w:rPr>
          <w:rFonts w:eastAsia="楷体_GB2312"/>
          <w:bCs/>
          <w:sz w:val="32"/>
          <w:szCs w:val="32"/>
          <w:lang w:val="zh-CN"/>
        </w:rPr>
        <w:t>（三）项目监管情况。</w:t>
      </w:r>
      <w:r>
        <w:rPr>
          <w:rFonts w:eastAsia="仿宋_GB2312"/>
          <w:sz w:val="32"/>
          <w:szCs w:val="32"/>
        </w:rPr>
        <w:t>区政府办公室强化项目监管，该项目执行过程中，支付金额超过1万元的支出均提请办公室党组会审议，审议通过后按程序支付，效果较好。</w:t>
      </w:r>
    </w:p>
    <w:p>
      <w:pPr>
        <w:adjustRightInd w:val="0"/>
        <w:snapToGrid w:val="0"/>
        <w:spacing w:line="348" w:lineRule="auto"/>
        <w:ind w:firstLine="720"/>
        <w:rPr>
          <w:sz w:val="32"/>
          <w:szCs w:val="32"/>
          <w:lang w:val="zh-CN"/>
        </w:rPr>
      </w:pPr>
      <w:r>
        <w:rPr>
          <w:rFonts w:eastAsia="黑体"/>
          <w:sz w:val="32"/>
          <w:szCs w:val="32"/>
        </w:rPr>
        <w:t>四、项目绩效情况</w:t>
      </w:r>
      <w:r>
        <w:rPr>
          <w:sz w:val="32"/>
          <w:szCs w:val="32"/>
          <w:lang w:val="zh-CN"/>
        </w:rPr>
        <w:tab/>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（一）项目完成情况。</w:t>
      </w:r>
    </w:p>
    <w:p>
      <w:pPr>
        <w:widowControl/>
        <w:adjustRightInd w:val="0"/>
        <w:snapToGrid w:val="0"/>
        <w:spacing w:line="348" w:lineRule="auto"/>
        <w:ind w:firstLine="640" w:firstLineChars="200"/>
        <w:contextualSpacing/>
        <w:rPr>
          <w:rFonts w:eastAsia="仿宋_GB2312"/>
          <w:sz w:val="32"/>
          <w:szCs w:val="32"/>
        </w:rPr>
      </w:pPr>
      <w:r>
        <w:rPr>
          <w:rFonts w:eastAsia="仿宋_GB2312"/>
          <w:sz w:val="32"/>
          <w:szCs w:val="32"/>
        </w:rPr>
        <w:t>圆满完成全区重大项目推进、招商引资、政务信息、各类会议、重大活动等全年各项目标任务。</w:t>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（二）项目效益情况。</w:t>
      </w:r>
    </w:p>
    <w:p>
      <w:pPr>
        <w:widowControl/>
        <w:adjustRightInd w:val="0"/>
        <w:snapToGrid w:val="0"/>
        <w:spacing w:line="348" w:lineRule="auto"/>
        <w:ind w:firstLine="640" w:firstLineChars="200"/>
        <w:contextualSpacing/>
        <w:rPr>
          <w:rFonts w:eastAsia="仿宋_GB2312"/>
          <w:sz w:val="32"/>
          <w:szCs w:val="32"/>
        </w:rPr>
      </w:pPr>
      <w:r>
        <w:rPr>
          <w:rFonts w:eastAsia="仿宋_GB2312"/>
          <w:sz w:val="32"/>
          <w:szCs w:val="32"/>
        </w:rPr>
        <w:t>各项具体绩效目标得以实现，产出指标，数量指标：开展重点工作推进、重要活动举办≥10项；召开各类会议≥360次，质量指标：政府业务有关工作完成率=100%，时效指标：完成时限2022年，成本指标：调整后，完成支付政府业务经费45.08万元；效益指标，可持续影响指标：资金使用效率=100%；满意度指标，服务对象满意度指标：区级各部门满意度≥95%。</w:t>
      </w:r>
    </w:p>
    <w:p>
      <w:pPr>
        <w:adjustRightInd w:val="0"/>
        <w:snapToGrid w:val="0"/>
        <w:spacing w:line="348" w:lineRule="auto"/>
        <w:ind w:firstLine="720"/>
        <w:rPr>
          <w:rFonts w:eastAsia="黑体"/>
          <w:sz w:val="32"/>
          <w:szCs w:val="32"/>
        </w:rPr>
      </w:pPr>
      <w:r>
        <w:rPr>
          <w:rFonts w:eastAsia="黑体"/>
          <w:sz w:val="32"/>
          <w:szCs w:val="32"/>
        </w:rPr>
        <w:t>五、评价结论及建议</w:t>
      </w:r>
    </w:p>
    <w:p>
      <w:pPr>
        <w:adjustRightInd w:val="0"/>
        <w:snapToGrid w:val="0"/>
        <w:spacing w:line="348" w:lineRule="auto"/>
        <w:ind w:firstLine="720"/>
        <w:rPr>
          <w:rFonts w:eastAsia="仿宋_GB2312"/>
          <w:sz w:val="32"/>
          <w:szCs w:val="32"/>
        </w:rPr>
      </w:pPr>
      <w:r>
        <w:rPr>
          <w:rFonts w:eastAsia="楷体_GB2312"/>
          <w:bCs/>
          <w:sz w:val="32"/>
          <w:szCs w:val="32"/>
          <w:lang w:val="zh-CN"/>
        </w:rPr>
        <w:t>（一）评价结论。</w:t>
      </w:r>
      <w:r>
        <w:rPr>
          <w:rFonts w:eastAsia="仿宋_GB2312"/>
          <w:sz w:val="32"/>
          <w:szCs w:val="32"/>
        </w:rPr>
        <w:t>自查自评结果较好，全年无超预算、无预算支出，无违规违纪的问题。</w:t>
      </w:r>
    </w:p>
    <w:p>
      <w:pPr>
        <w:adjustRightInd w:val="0"/>
        <w:snapToGrid w:val="0"/>
        <w:spacing w:line="348" w:lineRule="auto"/>
        <w:ind w:firstLine="720"/>
        <w:rPr>
          <w:rFonts w:eastAsia="楷体_GB2312"/>
          <w:bCs/>
          <w:sz w:val="32"/>
          <w:szCs w:val="32"/>
          <w:lang w:val="zh-CN"/>
        </w:rPr>
      </w:pPr>
      <w:r>
        <w:rPr>
          <w:rFonts w:eastAsia="楷体_GB2312"/>
          <w:bCs/>
          <w:sz w:val="32"/>
          <w:szCs w:val="32"/>
          <w:lang w:val="zh-CN"/>
        </w:rPr>
        <w:t>（二）存在的问题。</w:t>
      </w:r>
      <w:r>
        <w:rPr>
          <w:rFonts w:eastAsia="仿宋_GB2312"/>
          <w:sz w:val="32"/>
          <w:szCs w:val="32"/>
        </w:rPr>
        <w:t>在项目实施过程中，因项目的持续性，部分项目已完成报账程序，未能及时支付，待2023年继续支付。</w:t>
      </w:r>
    </w:p>
    <w:p>
      <w:pPr>
        <w:adjustRightInd w:val="0"/>
        <w:snapToGrid w:val="0"/>
        <w:spacing w:line="348" w:lineRule="auto"/>
        <w:ind w:firstLine="720"/>
        <w:rPr>
          <w:rFonts w:eastAsia="黑体"/>
          <w:sz w:val="44"/>
          <w:szCs w:val="44"/>
        </w:rPr>
      </w:pPr>
      <w:r>
        <w:rPr>
          <w:rFonts w:eastAsia="楷体_GB2312"/>
          <w:bCs/>
          <w:sz w:val="32"/>
          <w:szCs w:val="32"/>
          <w:lang w:val="zh-CN"/>
        </w:rPr>
        <w:t>（三）相关建议。</w:t>
      </w:r>
      <w:r>
        <w:rPr>
          <w:rFonts w:eastAsia="仿宋_GB2312"/>
          <w:sz w:val="32"/>
          <w:szCs w:val="32"/>
        </w:rPr>
        <w:t>一是继续完善年初预算特别是项目预算的编制工作，保证预算编制的完整性和准确性。二是合理安排项目预算执行，对项目任务提前计划，及时分解、落实，切实提高财政资金使用效率，确保各项工作高效运行。</w:t>
      </w:r>
    </w:p>
    <w:p>
      <w:pPr>
        <w:spacing w:line="600" w:lineRule="exact"/>
        <w:outlineLvl w:val="0"/>
        <w:rPr>
          <w:rFonts w:eastAsia="黑体"/>
          <w:sz w:val="44"/>
          <w:szCs w:val="44"/>
        </w:rPr>
      </w:pPr>
    </w:p>
    <w:p>
      <w:pPr>
        <w:spacing w:line="600" w:lineRule="exact"/>
        <w:jc w:val="center"/>
        <w:outlineLvl w:val="0"/>
        <w:rPr>
          <w:rFonts w:eastAsia="仿宋"/>
        </w:rPr>
      </w:pPr>
      <w:r>
        <w:rPr>
          <w:rFonts w:eastAsia="黑体"/>
          <w:sz w:val="44"/>
          <w:szCs w:val="44"/>
        </w:rPr>
        <w:t>第</w:t>
      </w:r>
      <w:r>
        <w:rPr>
          <w:rStyle w:val="28"/>
          <w:rFonts w:eastAsia="黑体"/>
          <w:b w:val="0"/>
        </w:rPr>
        <w:t>五部分 附表</w:t>
      </w:r>
      <w:bookmarkEnd w:id="51"/>
      <w:bookmarkEnd w:id="54"/>
      <w:bookmarkStart w:id="55" w:name="_Toc15396619"/>
    </w:p>
    <w:p>
      <w:pPr>
        <w:pStyle w:val="4"/>
        <w:adjustRightInd w:val="0"/>
        <w:snapToGrid w:val="0"/>
        <w:spacing w:line="353" w:lineRule="auto"/>
        <w:rPr>
          <w:rFonts w:ascii="Times New Roman" w:hAnsi="Times New Roman" w:eastAsia="仿宋_GB2312" w:cs="Times New Roman"/>
        </w:rPr>
      </w:pPr>
      <w:r>
        <w:rPr>
          <w:rFonts w:ascii="Times New Roman" w:hAnsi="Times New Roman" w:eastAsia="仿宋_GB2312" w:cs="Times New Roman"/>
          <w:b w:val="0"/>
        </w:rPr>
        <w:t>一、收</w:t>
      </w:r>
      <w:r>
        <w:rPr>
          <w:rStyle w:val="29"/>
          <w:rFonts w:ascii="Times New Roman" w:hAnsi="Times New Roman" w:eastAsia="仿宋_GB2312" w:cs="Times New Roman"/>
          <w:b w:val="0"/>
          <w:bCs w:val="0"/>
        </w:rPr>
        <w:t>入支出决算总表</w:t>
      </w:r>
      <w:bookmarkEnd w:id="55"/>
    </w:p>
    <w:p>
      <w:pPr>
        <w:pStyle w:val="4"/>
        <w:adjustRightInd w:val="0"/>
        <w:snapToGrid w:val="0"/>
        <w:spacing w:line="353" w:lineRule="auto"/>
        <w:rPr>
          <w:rFonts w:ascii="Times New Roman" w:hAnsi="Times New Roman" w:eastAsia="仿宋_GB2312" w:cs="Times New Roman"/>
        </w:rPr>
      </w:pPr>
      <w:bookmarkStart w:id="56" w:name="_Toc15396620"/>
      <w:r>
        <w:rPr>
          <w:rFonts w:ascii="Times New Roman" w:hAnsi="Times New Roman" w:eastAsia="仿宋_GB2312" w:cs="Times New Roman"/>
          <w:b w:val="0"/>
        </w:rPr>
        <w:t>二、收</w:t>
      </w:r>
      <w:r>
        <w:rPr>
          <w:rStyle w:val="29"/>
          <w:rFonts w:ascii="Times New Roman" w:hAnsi="Times New Roman" w:eastAsia="仿宋_GB2312" w:cs="Times New Roman"/>
          <w:b w:val="0"/>
          <w:bCs w:val="0"/>
        </w:rPr>
        <w:t>入决算表</w:t>
      </w:r>
      <w:bookmarkEnd w:id="56"/>
    </w:p>
    <w:p>
      <w:pPr>
        <w:pStyle w:val="4"/>
        <w:adjustRightInd w:val="0"/>
        <w:snapToGrid w:val="0"/>
        <w:spacing w:line="353" w:lineRule="auto"/>
        <w:rPr>
          <w:rFonts w:ascii="Times New Roman" w:hAnsi="Times New Roman" w:eastAsia="仿宋_GB2312" w:cs="Times New Roman"/>
        </w:rPr>
      </w:pPr>
      <w:bookmarkStart w:id="57" w:name="_Toc15396621"/>
      <w:r>
        <w:rPr>
          <w:rStyle w:val="29"/>
          <w:rFonts w:ascii="Times New Roman" w:hAnsi="Times New Roman" w:eastAsia="仿宋_GB2312" w:cs="Times New Roman"/>
          <w:b w:val="0"/>
          <w:bCs w:val="0"/>
        </w:rPr>
        <w:t>三、</w:t>
      </w:r>
      <w:r>
        <w:rPr>
          <w:rFonts w:ascii="Times New Roman" w:hAnsi="Times New Roman" w:eastAsia="仿宋_GB2312" w:cs="Times New Roman"/>
          <w:b w:val="0"/>
        </w:rPr>
        <w:t>支</w:t>
      </w:r>
      <w:r>
        <w:rPr>
          <w:rStyle w:val="29"/>
          <w:rFonts w:ascii="Times New Roman" w:hAnsi="Times New Roman" w:eastAsia="仿宋_GB2312" w:cs="Times New Roman"/>
          <w:b w:val="0"/>
          <w:bCs w:val="0"/>
        </w:rPr>
        <w:t>出决算表</w:t>
      </w:r>
      <w:bookmarkEnd w:id="57"/>
    </w:p>
    <w:p>
      <w:pPr>
        <w:pStyle w:val="4"/>
        <w:adjustRightInd w:val="0"/>
        <w:snapToGrid w:val="0"/>
        <w:spacing w:line="353" w:lineRule="auto"/>
        <w:rPr>
          <w:rFonts w:ascii="Times New Roman" w:hAnsi="Times New Roman" w:eastAsia="仿宋_GB2312" w:cs="Times New Roman"/>
          <w:b w:val="0"/>
        </w:rPr>
      </w:pPr>
      <w:bookmarkStart w:id="58" w:name="_Toc15396622"/>
      <w:r>
        <w:rPr>
          <w:rStyle w:val="29"/>
          <w:rFonts w:ascii="Times New Roman" w:hAnsi="Times New Roman" w:eastAsia="仿宋_GB2312" w:cs="Times New Roman"/>
          <w:b w:val="0"/>
          <w:bCs w:val="0"/>
        </w:rPr>
        <w:t>四、</w:t>
      </w:r>
      <w:r>
        <w:rPr>
          <w:rFonts w:ascii="Times New Roman" w:hAnsi="Times New Roman" w:eastAsia="仿宋_GB2312" w:cs="Times New Roman"/>
          <w:b w:val="0"/>
        </w:rPr>
        <w:t>财</w:t>
      </w:r>
      <w:r>
        <w:rPr>
          <w:rStyle w:val="29"/>
          <w:rFonts w:ascii="Times New Roman" w:hAnsi="Times New Roman" w:eastAsia="仿宋_GB2312" w:cs="Times New Roman"/>
          <w:b w:val="0"/>
          <w:bCs w:val="0"/>
        </w:rPr>
        <w:t>政拨款收入支出决算总表</w:t>
      </w:r>
      <w:bookmarkEnd w:id="58"/>
    </w:p>
    <w:p>
      <w:pPr>
        <w:pStyle w:val="4"/>
        <w:adjustRightInd w:val="0"/>
        <w:snapToGrid w:val="0"/>
        <w:spacing w:line="353" w:lineRule="auto"/>
        <w:rPr>
          <w:rStyle w:val="29"/>
          <w:rFonts w:ascii="Times New Roman" w:hAnsi="Times New Roman" w:eastAsia="仿宋_GB2312" w:cs="Times New Roman"/>
          <w:b w:val="0"/>
          <w:bCs w:val="0"/>
        </w:rPr>
      </w:pPr>
      <w:bookmarkStart w:id="59" w:name="_Toc15396623"/>
      <w:r>
        <w:rPr>
          <w:rStyle w:val="29"/>
          <w:rFonts w:ascii="Times New Roman" w:hAnsi="Times New Roman" w:eastAsia="仿宋_GB2312" w:cs="Times New Roman"/>
          <w:b w:val="0"/>
          <w:bCs w:val="0"/>
        </w:rPr>
        <w:t>五、</w:t>
      </w:r>
      <w:r>
        <w:rPr>
          <w:rFonts w:ascii="Times New Roman" w:hAnsi="Times New Roman" w:eastAsia="仿宋_GB2312" w:cs="Times New Roman"/>
          <w:b w:val="0"/>
        </w:rPr>
        <w:t>财</w:t>
      </w:r>
      <w:r>
        <w:rPr>
          <w:rStyle w:val="29"/>
          <w:rFonts w:ascii="Times New Roman" w:hAnsi="Times New Roman" w:eastAsia="仿宋_GB2312" w:cs="Times New Roman"/>
          <w:b w:val="0"/>
          <w:bCs w:val="0"/>
        </w:rPr>
        <w:t>政拨款支出决算明细表</w:t>
      </w:r>
      <w:bookmarkEnd w:id="59"/>
      <w:bookmarkStart w:id="60" w:name="_Toc15396624"/>
    </w:p>
    <w:p>
      <w:pPr>
        <w:pStyle w:val="4"/>
        <w:adjustRightInd w:val="0"/>
        <w:snapToGrid w:val="0"/>
        <w:spacing w:line="353" w:lineRule="auto"/>
        <w:rPr>
          <w:rFonts w:ascii="Times New Roman" w:hAnsi="Times New Roman" w:eastAsia="仿宋_GB2312" w:cs="Times New Roman"/>
        </w:rPr>
      </w:pPr>
      <w:r>
        <w:rPr>
          <w:rStyle w:val="29"/>
          <w:rFonts w:ascii="Times New Roman" w:hAnsi="Times New Roman" w:eastAsia="仿宋_GB2312" w:cs="Times New Roman"/>
          <w:b w:val="0"/>
          <w:bCs w:val="0"/>
        </w:rPr>
        <w:t>六、</w:t>
      </w:r>
      <w:r>
        <w:rPr>
          <w:rFonts w:ascii="Times New Roman" w:hAnsi="Times New Roman" w:eastAsia="仿宋_GB2312" w:cs="Times New Roman"/>
          <w:b w:val="0"/>
        </w:rPr>
        <w:t>一</w:t>
      </w:r>
      <w:r>
        <w:rPr>
          <w:rStyle w:val="29"/>
          <w:rFonts w:ascii="Times New Roman" w:hAnsi="Times New Roman" w:eastAsia="仿宋_GB2312" w:cs="Times New Roman"/>
          <w:b w:val="0"/>
          <w:bCs w:val="0"/>
        </w:rPr>
        <w:t>般公共预算财政拨款支出决算表</w:t>
      </w:r>
      <w:bookmarkEnd w:id="60"/>
    </w:p>
    <w:p>
      <w:pPr>
        <w:pStyle w:val="4"/>
        <w:adjustRightInd w:val="0"/>
        <w:snapToGrid w:val="0"/>
        <w:spacing w:line="353" w:lineRule="auto"/>
        <w:rPr>
          <w:rFonts w:ascii="Times New Roman" w:hAnsi="Times New Roman" w:eastAsia="仿宋_GB2312" w:cs="Times New Roman"/>
        </w:rPr>
      </w:pPr>
      <w:bookmarkStart w:id="61" w:name="_Toc15396625"/>
      <w:r>
        <w:rPr>
          <w:rStyle w:val="29"/>
          <w:rFonts w:ascii="Times New Roman" w:hAnsi="Times New Roman" w:eastAsia="仿宋_GB2312" w:cs="Times New Roman"/>
          <w:b w:val="0"/>
          <w:bCs w:val="0"/>
        </w:rPr>
        <w:t>七、</w:t>
      </w:r>
      <w:r>
        <w:rPr>
          <w:rFonts w:ascii="Times New Roman" w:hAnsi="Times New Roman" w:eastAsia="仿宋_GB2312" w:cs="Times New Roman"/>
          <w:b w:val="0"/>
        </w:rPr>
        <w:t>一</w:t>
      </w:r>
      <w:r>
        <w:rPr>
          <w:rStyle w:val="29"/>
          <w:rFonts w:ascii="Times New Roman" w:hAnsi="Times New Roman" w:eastAsia="仿宋_GB2312" w:cs="Times New Roman"/>
          <w:b w:val="0"/>
          <w:bCs w:val="0"/>
        </w:rPr>
        <w:t>般公共预算财政拨款支出决算明细表</w:t>
      </w:r>
      <w:bookmarkEnd w:id="61"/>
    </w:p>
    <w:p>
      <w:pPr>
        <w:pStyle w:val="4"/>
        <w:adjustRightInd w:val="0"/>
        <w:snapToGrid w:val="0"/>
        <w:spacing w:line="353" w:lineRule="auto"/>
        <w:rPr>
          <w:rFonts w:ascii="Times New Roman" w:hAnsi="Times New Roman" w:eastAsia="仿宋_GB2312" w:cs="Times New Roman"/>
        </w:rPr>
      </w:pPr>
      <w:bookmarkStart w:id="62" w:name="_Toc15396626"/>
      <w:r>
        <w:rPr>
          <w:rStyle w:val="29"/>
          <w:rFonts w:ascii="Times New Roman" w:hAnsi="Times New Roman" w:eastAsia="仿宋_GB2312" w:cs="Times New Roman"/>
          <w:b w:val="0"/>
          <w:bCs w:val="0"/>
        </w:rPr>
        <w:t>八、</w:t>
      </w:r>
      <w:r>
        <w:rPr>
          <w:rFonts w:ascii="Times New Roman" w:hAnsi="Times New Roman" w:eastAsia="仿宋_GB2312" w:cs="Times New Roman"/>
          <w:b w:val="0"/>
        </w:rPr>
        <w:t>一</w:t>
      </w:r>
      <w:r>
        <w:rPr>
          <w:rStyle w:val="29"/>
          <w:rFonts w:ascii="Times New Roman" w:hAnsi="Times New Roman" w:eastAsia="仿宋_GB2312" w:cs="Times New Roman"/>
          <w:b w:val="0"/>
          <w:bCs w:val="0"/>
        </w:rPr>
        <w:t>般公共预算财政拨款基本支出决算表</w:t>
      </w:r>
      <w:bookmarkEnd w:id="62"/>
    </w:p>
    <w:p>
      <w:pPr>
        <w:pStyle w:val="4"/>
        <w:adjustRightInd w:val="0"/>
        <w:snapToGrid w:val="0"/>
        <w:spacing w:line="353" w:lineRule="auto"/>
        <w:rPr>
          <w:rFonts w:ascii="Times New Roman" w:hAnsi="Times New Roman" w:eastAsia="仿宋_GB2312" w:cs="Times New Roman"/>
        </w:rPr>
      </w:pPr>
      <w:bookmarkStart w:id="63" w:name="_Toc15396627"/>
      <w:r>
        <w:rPr>
          <w:rStyle w:val="29"/>
          <w:rFonts w:ascii="Times New Roman" w:hAnsi="Times New Roman" w:eastAsia="仿宋_GB2312" w:cs="Times New Roman"/>
          <w:b w:val="0"/>
          <w:bCs w:val="0"/>
        </w:rPr>
        <w:t>九、</w:t>
      </w:r>
      <w:r>
        <w:rPr>
          <w:rFonts w:ascii="Times New Roman" w:hAnsi="Times New Roman" w:eastAsia="仿宋_GB2312" w:cs="Times New Roman"/>
          <w:b w:val="0"/>
        </w:rPr>
        <w:t>一</w:t>
      </w:r>
      <w:r>
        <w:rPr>
          <w:rStyle w:val="29"/>
          <w:rFonts w:ascii="Times New Roman" w:hAnsi="Times New Roman" w:eastAsia="仿宋_GB2312" w:cs="Times New Roman"/>
          <w:b w:val="0"/>
          <w:bCs w:val="0"/>
        </w:rPr>
        <w:t>般公共预算财政拨款项目支出决算表</w:t>
      </w:r>
      <w:bookmarkEnd w:id="63"/>
    </w:p>
    <w:p>
      <w:pPr>
        <w:pStyle w:val="4"/>
        <w:adjustRightInd w:val="0"/>
        <w:snapToGrid w:val="0"/>
        <w:spacing w:line="353" w:lineRule="auto"/>
        <w:rPr>
          <w:rFonts w:ascii="Times New Roman" w:hAnsi="Times New Roman" w:eastAsia="仿宋_GB2312" w:cs="Times New Roman"/>
        </w:rPr>
      </w:pPr>
      <w:bookmarkStart w:id="64" w:name="_Toc15396628"/>
      <w:r>
        <w:rPr>
          <w:rStyle w:val="29"/>
          <w:rFonts w:ascii="Times New Roman" w:hAnsi="Times New Roman" w:eastAsia="仿宋_GB2312" w:cs="Times New Roman"/>
          <w:b w:val="0"/>
          <w:bCs w:val="0"/>
        </w:rPr>
        <w:t>十、</w:t>
      </w:r>
      <w:bookmarkEnd w:id="64"/>
      <w:r>
        <w:rPr>
          <w:rFonts w:ascii="Times New Roman" w:hAnsi="Times New Roman" w:eastAsia="仿宋_GB2312" w:cs="Times New Roman"/>
          <w:b w:val="0"/>
        </w:rPr>
        <w:t>政</w:t>
      </w:r>
      <w:r>
        <w:rPr>
          <w:rStyle w:val="29"/>
          <w:rFonts w:ascii="Times New Roman" w:hAnsi="Times New Roman" w:eastAsia="仿宋_GB2312" w:cs="Times New Roman"/>
          <w:b w:val="0"/>
          <w:bCs w:val="0"/>
        </w:rPr>
        <w:t>府性基金预算财政拨款收入支出决算表</w:t>
      </w:r>
    </w:p>
    <w:p>
      <w:pPr>
        <w:pStyle w:val="4"/>
        <w:adjustRightInd w:val="0"/>
        <w:snapToGrid w:val="0"/>
        <w:spacing w:line="353" w:lineRule="auto"/>
        <w:rPr>
          <w:rFonts w:ascii="Times New Roman" w:hAnsi="Times New Roman" w:eastAsia="仿宋_GB2312" w:cs="Times New Roman"/>
        </w:rPr>
      </w:pPr>
      <w:bookmarkStart w:id="65" w:name="_Toc15396629"/>
      <w:r>
        <w:rPr>
          <w:rStyle w:val="29"/>
          <w:rFonts w:ascii="Times New Roman" w:hAnsi="Times New Roman" w:eastAsia="仿宋_GB2312" w:cs="Times New Roman"/>
          <w:b w:val="0"/>
          <w:bCs w:val="0"/>
        </w:rPr>
        <w:t>十一、</w:t>
      </w:r>
      <w:bookmarkEnd w:id="65"/>
      <w:r>
        <w:rPr>
          <w:rFonts w:ascii="Times New Roman" w:hAnsi="Times New Roman" w:eastAsia="仿宋_GB2312" w:cs="Times New Roman"/>
          <w:b w:val="0"/>
        </w:rPr>
        <w:t>国</w:t>
      </w:r>
      <w:r>
        <w:rPr>
          <w:rStyle w:val="29"/>
          <w:rFonts w:ascii="Times New Roman" w:hAnsi="Times New Roman" w:eastAsia="仿宋_GB2312" w:cs="Times New Roman"/>
          <w:b w:val="0"/>
          <w:bCs w:val="0"/>
        </w:rPr>
        <w:t>有资本经营预算财政拨款收入支出决算表</w:t>
      </w:r>
    </w:p>
    <w:p>
      <w:pPr>
        <w:pStyle w:val="4"/>
        <w:adjustRightInd w:val="0"/>
        <w:snapToGrid w:val="0"/>
        <w:spacing w:line="353" w:lineRule="auto"/>
        <w:rPr>
          <w:rFonts w:ascii="Times New Roman" w:hAnsi="Times New Roman" w:eastAsia="仿宋_GB2312" w:cs="Times New Roman"/>
        </w:rPr>
      </w:pPr>
      <w:bookmarkStart w:id="66" w:name="_Toc15396630"/>
      <w:r>
        <w:rPr>
          <w:rStyle w:val="29"/>
          <w:rFonts w:ascii="Times New Roman" w:hAnsi="Times New Roman" w:eastAsia="仿宋_GB2312" w:cs="Times New Roman"/>
          <w:b w:val="0"/>
          <w:bCs w:val="0"/>
        </w:rPr>
        <w:t>十二、</w:t>
      </w:r>
      <w:bookmarkEnd w:id="66"/>
      <w:r>
        <w:rPr>
          <w:rStyle w:val="29"/>
          <w:rFonts w:ascii="Times New Roman" w:hAnsi="Times New Roman" w:eastAsia="仿宋_GB2312" w:cs="Times New Roman"/>
          <w:b w:val="0"/>
          <w:bCs w:val="0"/>
        </w:rPr>
        <w:t>国有资本经营预算财政拨款支出决算表</w:t>
      </w:r>
    </w:p>
    <w:p>
      <w:pPr>
        <w:pStyle w:val="4"/>
        <w:adjustRightInd w:val="0"/>
        <w:snapToGrid w:val="0"/>
        <w:spacing w:line="353" w:lineRule="auto"/>
        <w:rPr>
          <w:rFonts w:ascii="Times New Roman" w:hAnsi="Times New Roman" w:eastAsia="仿宋_GB2312" w:cs="Times New Roman"/>
        </w:rPr>
      </w:pPr>
      <w:bookmarkStart w:id="67" w:name="_Toc15396631"/>
      <w:r>
        <w:rPr>
          <w:rStyle w:val="29"/>
          <w:rFonts w:ascii="Times New Roman" w:hAnsi="Times New Roman" w:eastAsia="仿宋_GB2312" w:cs="Times New Roman"/>
          <w:b w:val="0"/>
          <w:bCs w:val="0"/>
        </w:rPr>
        <w:t>十三、</w:t>
      </w:r>
      <w:bookmarkEnd w:id="67"/>
      <w:r>
        <w:rPr>
          <w:rStyle w:val="29"/>
          <w:rFonts w:ascii="Times New Roman" w:hAnsi="Times New Roman" w:eastAsia="仿宋_GB2312" w:cs="Times New Roman"/>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Neue">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468DB"/>
    <w:rsid w:val="00052EF0"/>
    <w:rsid w:val="0006487A"/>
    <w:rsid w:val="00065F8F"/>
    <w:rsid w:val="00070A43"/>
    <w:rsid w:val="000768F2"/>
    <w:rsid w:val="00085BFA"/>
    <w:rsid w:val="0009184B"/>
    <w:rsid w:val="00094236"/>
    <w:rsid w:val="0009593C"/>
    <w:rsid w:val="00097322"/>
    <w:rsid w:val="000A087F"/>
    <w:rsid w:val="000A6A92"/>
    <w:rsid w:val="000B047F"/>
    <w:rsid w:val="000B5923"/>
    <w:rsid w:val="000B5A48"/>
    <w:rsid w:val="000B6FF3"/>
    <w:rsid w:val="000C3467"/>
    <w:rsid w:val="000C3CA6"/>
    <w:rsid w:val="000D0209"/>
    <w:rsid w:val="000D1267"/>
    <w:rsid w:val="000D1D50"/>
    <w:rsid w:val="000D5782"/>
    <w:rsid w:val="000E6613"/>
    <w:rsid w:val="000E7119"/>
    <w:rsid w:val="00103AB5"/>
    <w:rsid w:val="00114E9B"/>
    <w:rsid w:val="001340A9"/>
    <w:rsid w:val="00136D0C"/>
    <w:rsid w:val="00142216"/>
    <w:rsid w:val="00144D6A"/>
    <w:rsid w:val="0014729F"/>
    <w:rsid w:val="00157BAB"/>
    <w:rsid w:val="001654D1"/>
    <w:rsid w:val="00174518"/>
    <w:rsid w:val="0018106D"/>
    <w:rsid w:val="001877A7"/>
    <w:rsid w:val="00191536"/>
    <w:rsid w:val="00196687"/>
    <w:rsid w:val="001B192F"/>
    <w:rsid w:val="001B40B6"/>
    <w:rsid w:val="001C0962"/>
    <w:rsid w:val="001D7531"/>
    <w:rsid w:val="001E2FF1"/>
    <w:rsid w:val="001E737D"/>
    <w:rsid w:val="001F0592"/>
    <w:rsid w:val="001F7506"/>
    <w:rsid w:val="002006CD"/>
    <w:rsid w:val="00202B36"/>
    <w:rsid w:val="00204B7A"/>
    <w:rsid w:val="00204CDE"/>
    <w:rsid w:val="0021101A"/>
    <w:rsid w:val="00217081"/>
    <w:rsid w:val="00220536"/>
    <w:rsid w:val="00234AB2"/>
    <w:rsid w:val="00235629"/>
    <w:rsid w:val="00240439"/>
    <w:rsid w:val="00247B82"/>
    <w:rsid w:val="00247BAD"/>
    <w:rsid w:val="00257BF1"/>
    <w:rsid w:val="00260C38"/>
    <w:rsid w:val="002616C0"/>
    <w:rsid w:val="00265372"/>
    <w:rsid w:val="002662AA"/>
    <w:rsid w:val="00272CD6"/>
    <w:rsid w:val="002730CD"/>
    <w:rsid w:val="00280496"/>
    <w:rsid w:val="002855C3"/>
    <w:rsid w:val="002901C5"/>
    <w:rsid w:val="00294DC9"/>
    <w:rsid w:val="00295495"/>
    <w:rsid w:val="002A31DE"/>
    <w:rsid w:val="002B1C55"/>
    <w:rsid w:val="002B2613"/>
    <w:rsid w:val="002D32A3"/>
    <w:rsid w:val="002D6D05"/>
    <w:rsid w:val="002E38DE"/>
    <w:rsid w:val="002F1818"/>
    <w:rsid w:val="002F567B"/>
    <w:rsid w:val="003216A9"/>
    <w:rsid w:val="003244CA"/>
    <w:rsid w:val="00335A74"/>
    <w:rsid w:val="0036561B"/>
    <w:rsid w:val="003660EE"/>
    <w:rsid w:val="0037013F"/>
    <w:rsid w:val="00380C92"/>
    <w:rsid w:val="0038572E"/>
    <w:rsid w:val="003A484F"/>
    <w:rsid w:val="003A4883"/>
    <w:rsid w:val="003B0BE0"/>
    <w:rsid w:val="003B0C1B"/>
    <w:rsid w:val="003B641B"/>
    <w:rsid w:val="003B688C"/>
    <w:rsid w:val="003C0291"/>
    <w:rsid w:val="003C39AE"/>
    <w:rsid w:val="003C7B60"/>
    <w:rsid w:val="003D0C0F"/>
    <w:rsid w:val="003D1FB2"/>
    <w:rsid w:val="003D2280"/>
    <w:rsid w:val="003D66DA"/>
    <w:rsid w:val="003E1310"/>
    <w:rsid w:val="003E6F55"/>
    <w:rsid w:val="004016C1"/>
    <w:rsid w:val="00406254"/>
    <w:rsid w:val="00412AFA"/>
    <w:rsid w:val="004223DE"/>
    <w:rsid w:val="00427CED"/>
    <w:rsid w:val="00434489"/>
    <w:rsid w:val="00437085"/>
    <w:rsid w:val="0044001F"/>
    <w:rsid w:val="00443880"/>
    <w:rsid w:val="004464F4"/>
    <w:rsid w:val="00446E63"/>
    <w:rsid w:val="00466EFB"/>
    <w:rsid w:val="00467094"/>
    <w:rsid w:val="00471401"/>
    <w:rsid w:val="00473F31"/>
    <w:rsid w:val="00474D57"/>
    <w:rsid w:val="0048263A"/>
    <w:rsid w:val="00487E5D"/>
    <w:rsid w:val="004A711F"/>
    <w:rsid w:val="004B199D"/>
    <w:rsid w:val="004B38BA"/>
    <w:rsid w:val="004B4690"/>
    <w:rsid w:val="004D2DCE"/>
    <w:rsid w:val="004E0A2D"/>
    <w:rsid w:val="004E206B"/>
    <w:rsid w:val="004E2FA3"/>
    <w:rsid w:val="004E6DF7"/>
    <w:rsid w:val="004F0FBD"/>
    <w:rsid w:val="00505A47"/>
    <w:rsid w:val="00512FDA"/>
    <w:rsid w:val="00520DA0"/>
    <w:rsid w:val="00525E15"/>
    <w:rsid w:val="00532AD5"/>
    <w:rsid w:val="00551BF1"/>
    <w:rsid w:val="0055749E"/>
    <w:rsid w:val="005664BB"/>
    <w:rsid w:val="00566FFA"/>
    <w:rsid w:val="0057161A"/>
    <w:rsid w:val="0057481D"/>
    <w:rsid w:val="0058486E"/>
    <w:rsid w:val="00584CC8"/>
    <w:rsid w:val="00585B33"/>
    <w:rsid w:val="0059014D"/>
    <w:rsid w:val="005B2343"/>
    <w:rsid w:val="005B5C64"/>
    <w:rsid w:val="005B67C6"/>
    <w:rsid w:val="005C5337"/>
    <w:rsid w:val="005C6BD0"/>
    <w:rsid w:val="005D108A"/>
    <w:rsid w:val="005D1C8B"/>
    <w:rsid w:val="005D468D"/>
    <w:rsid w:val="005D5CED"/>
    <w:rsid w:val="005D7D8C"/>
    <w:rsid w:val="005E415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1BAB"/>
    <w:rsid w:val="00683E73"/>
    <w:rsid w:val="00694C08"/>
    <w:rsid w:val="006A3141"/>
    <w:rsid w:val="006A5E34"/>
    <w:rsid w:val="006B2422"/>
    <w:rsid w:val="006B2B9A"/>
    <w:rsid w:val="006B7CB5"/>
    <w:rsid w:val="006C1937"/>
    <w:rsid w:val="006D6861"/>
    <w:rsid w:val="006F020C"/>
    <w:rsid w:val="007127B7"/>
    <w:rsid w:val="0071798E"/>
    <w:rsid w:val="007416B6"/>
    <w:rsid w:val="00746EEB"/>
    <w:rsid w:val="00746F48"/>
    <w:rsid w:val="0075404D"/>
    <w:rsid w:val="0076182A"/>
    <w:rsid w:val="00767B7E"/>
    <w:rsid w:val="00773419"/>
    <w:rsid w:val="007770C3"/>
    <w:rsid w:val="00784D24"/>
    <w:rsid w:val="00785FBA"/>
    <w:rsid w:val="00786E4A"/>
    <w:rsid w:val="007875EB"/>
    <w:rsid w:val="0079426B"/>
    <w:rsid w:val="00797490"/>
    <w:rsid w:val="00797AF9"/>
    <w:rsid w:val="007C1C18"/>
    <w:rsid w:val="007D1682"/>
    <w:rsid w:val="007D312A"/>
    <w:rsid w:val="007D3F19"/>
    <w:rsid w:val="007D78CB"/>
    <w:rsid w:val="007E23B0"/>
    <w:rsid w:val="007E23E5"/>
    <w:rsid w:val="007F1991"/>
    <w:rsid w:val="007F2C2F"/>
    <w:rsid w:val="007F55FC"/>
    <w:rsid w:val="007F5665"/>
    <w:rsid w:val="00800112"/>
    <w:rsid w:val="00813348"/>
    <w:rsid w:val="00815C5A"/>
    <w:rsid w:val="008245CA"/>
    <w:rsid w:val="008253BB"/>
    <w:rsid w:val="0083706E"/>
    <w:rsid w:val="008408F6"/>
    <w:rsid w:val="008423A5"/>
    <w:rsid w:val="00850625"/>
    <w:rsid w:val="00853718"/>
    <w:rsid w:val="00855221"/>
    <w:rsid w:val="00860645"/>
    <w:rsid w:val="00867AD9"/>
    <w:rsid w:val="00871F71"/>
    <w:rsid w:val="00872FD8"/>
    <w:rsid w:val="00885AF4"/>
    <w:rsid w:val="008904C1"/>
    <w:rsid w:val="008939CD"/>
    <w:rsid w:val="00894C14"/>
    <w:rsid w:val="008B768C"/>
    <w:rsid w:val="008C4DB1"/>
    <w:rsid w:val="008C4EAF"/>
    <w:rsid w:val="008C5176"/>
    <w:rsid w:val="008C6526"/>
    <w:rsid w:val="008C7FD0"/>
    <w:rsid w:val="008E1DE7"/>
    <w:rsid w:val="008E7021"/>
    <w:rsid w:val="008E707C"/>
    <w:rsid w:val="00900B08"/>
    <w:rsid w:val="00902155"/>
    <w:rsid w:val="00902FA3"/>
    <w:rsid w:val="00923564"/>
    <w:rsid w:val="0092392E"/>
    <w:rsid w:val="009315F9"/>
    <w:rsid w:val="00933499"/>
    <w:rsid w:val="00935C98"/>
    <w:rsid w:val="00943DCE"/>
    <w:rsid w:val="00946945"/>
    <w:rsid w:val="00951248"/>
    <w:rsid w:val="0095152F"/>
    <w:rsid w:val="00952325"/>
    <w:rsid w:val="00954C49"/>
    <w:rsid w:val="00955E37"/>
    <w:rsid w:val="0096710D"/>
    <w:rsid w:val="0097099F"/>
    <w:rsid w:val="00971997"/>
    <w:rsid w:val="00971FFC"/>
    <w:rsid w:val="0098660A"/>
    <w:rsid w:val="009931C3"/>
    <w:rsid w:val="009B2C43"/>
    <w:rsid w:val="009B3E46"/>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5808"/>
    <w:rsid w:val="00A16847"/>
    <w:rsid w:val="00A22DA4"/>
    <w:rsid w:val="00A237D8"/>
    <w:rsid w:val="00A23FD3"/>
    <w:rsid w:val="00A268C4"/>
    <w:rsid w:val="00A307CD"/>
    <w:rsid w:val="00A32F1E"/>
    <w:rsid w:val="00A331C8"/>
    <w:rsid w:val="00A40A00"/>
    <w:rsid w:val="00A4142F"/>
    <w:rsid w:val="00A422EB"/>
    <w:rsid w:val="00A45BB7"/>
    <w:rsid w:val="00A56DF2"/>
    <w:rsid w:val="00A56E6E"/>
    <w:rsid w:val="00A64FFB"/>
    <w:rsid w:val="00A672E3"/>
    <w:rsid w:val="00A67AB5"/>
    <w:rsid w:val="00A733B2"/>
    <w:rsid w:val="00A741C2"/>
    <w:rsid w:val="00A91760"/>
    <w:rsid w:val="00A93B00"/>
    <w:rsid w:val="00A93C21"/>
    <w:rsid w:val="00AA3EFD"/>
    <w:rsid w:val="00AB64C9"/>
    <w:rsid w:val="00AC3C6A"/>
    <w:rsid w:val="00AD4D22"/>
    <w:rsid w:val="00AD5620"/>
    <w:rsid w:val="00AD656B"/>
    <w:rsid w:val="00AD7C1B"/>
    <w:rsid w:val="00AE16BA"/>
    <w:rsid w:val="00AE1EBE"/>
    <w:rsid w:val="00AF0A50"/>
    <w:rsid w:val="00B03C9D"/>
    <w:rsid w:val="00B060AE"/>
    <w:rsid w:val="00B10517"/>
    <w:rsid w:val="00B14E76"/>
    <w:rsid w:val="00B15D90"/>
    <w:rsid w:val="00B161B8"/>
    <w:rsid w:val="00B2048C"/>
    <w:rsid w:val="00B310B9"/>
    <w:rsid w:val="00B3462B"/>
    <w:rsid w:val="00B35F3F"/>
    <w:rsid w:val="00B36CBB"/>
    <w:rsid w:val="00B4257B"/>
    <w:rsid w:val="00B425E0"/>
    <w:rsid w:val="00B440AA"/>
    <w:rsid w:val="00B44B70"/>
    <w:rsid w:val="00B53C56"/>
    <w:rsid w:val="00B57DAF"/>
    <w:rsid w:val="00B77EA6"/>
    <w:rsid w:val="00B81598"/>
    <w:rsid w:val="00B841F1"/>
    <w:rsid w:val="00B867A5"/>
    <w:rsid w:val="00B91EA8"/>
    <w:rsid w:val="00B93E46"/>
    <w:rsid w:val="00B944D6"/>
    <w:rsid w:val="00BB4DF0"/>
    <w:rsid w:val="00BC289F"/>
    <w:rsid w:val="00BC2D50"/>
    <w:rsid w:val="00BC43E7"/>
    <w:rsid w:val="00BC5361"/>
    <w:rsid w:val="00BC5460"/>
    <w:rsid w:val="00BC6B50"/>
    <w:rsid w:val="00BD0E25"/>
    <w:rsid w:val="00BE623E"/>
    <w:rsid w:val="00BF47EE"/>
    <w:rsid w:val="00BF5BD6"/>
    <w:rsid w:val="00BF693E"/>
    <w:rsid w:val="00C03E31"/>
    <w:rsid w:val="00C23DAB"/>
    <w:rsid w:val="00C33E72"/>
    <w:rsid w:val="00C354B2"/>
    <w:rsid w:val="00C35554"/>
    <w:rsid w:val="00C42709"/>
    <w:rsid w:val="00C4498F"/>
    <w:rsid w:val="00C52575"/>
    <w:rsid w:val="00C533CC"/>
    <w:rsid w:val="00C5751C"/>
    <w:rsid w:val="00C61BFC"/>
    <w:rsid w:val="00C62B85"/>
    <w:rsid w:val="00C65438"/>
    <w:rsid w:val="00C6580D"/>
    <w:rsid w:val="00C76498"/>
    <w:rsid w:val="00C87FD8"/>
    <w:rsid w:val="00C91381"/>
    <w:rsid w:val="00C91CBB"/>
    <w:rsid w:val="00CA6F87"/>
    <w:rsid w:val="00CB4E70"/>
    <w:rsid w:val="00CC09B6"/>
    <w:rsid w:val="00CC666F"/>
    <w:rsid w:val="00CC6BAC"/>
    <w:rsid w:val="00CD1E3F"/>
    <w:rsid w:val="00CD520F"/>
    <w:rsid w:val="00CD66D9"/>
    <w:rsid w:val="00CE44F6"/>
    <w:rsid w:val="00CE49DA"/>
    <w:rsid w:val="00CE7B61"/>
    <w:rsid w:val="00D00095"/>
    <w:rsid w:val="00D114F0"/>
    <w:rsid w:val="00D20620"/>
    <w:rsid w:val="00D254F7"/>
    <w:rsid w:val="00D26091"/>
    <w:rsid w:val="00D2685C"/>
    <w:rsid w:val="00D34E7C"/>
    <w:rsid w:val="00D34F17"/>
    <w:rsid w:val="00D35489"/>
    <w:rsid w:val="00D36AFE"/>
    <w:rsid w:val="00D47F48"/>
    <w:rsid w:val="00D51276"/>
    <w:rsid w:val="00D60357"/>
    <w:rsid w:val="00D7035F"/>
    <w:rsid w:val="00D703B4"/>
    <w:rsid w:val="00D940CA"/>
    <w:rsid w:val="00DA634F"/>
    <w:rsid w:val="00DA65AC"/>
    <w:rsid w:val="00DB1913"/>
    <w:rsid w:val="00DB787F"/>
    <w:rsid w:val="00DC410D"/>
    <w:rsid w:val="00DC4B63"/>
    <w:rsid w:val="00DC5A81"/>
    <w:rsid w:val="00DC68CA"/>
    <w:rsid w:val="00DC7CBA"/>
    <w:rsid w:val="00DD73B7"/>
    <w:rsid w:val="00DF06E2"/>
    <w:rsid w:val="00DF28BC"/>
    <w:rsid w:val="00DF34B9"/>
    <w:rsid w:val="00E01053"/>
    <w:rsid w:val="00E07ACF"/>
    <w:rsid w:val="00E1353F"/>
    <w:rsid w:val="00E22135"/>
    <w:rsid w:val="00E331A1"/>
    <w:rsid w:val="00E33202"/>
    <w:rsid w:val="00E336A9"/>
    <w:rsid w:val="00E472B1"/>
    <w:rsid w:val="00E50624"/>
    <w:rsid w:val="00E5285B"/>
    <w:rsid w:val="00E568DF"/>
    <w:rsid w:val="00E60D33"/>
    <w:rsid w:val="00E64269"/>
    <w:rsid w:val="00E82267"/>
    <w:rsid w:val="00E853CE"/>
    <w:rsid w:val="00E867B6"/>
    <w:rsid w:val="00E9753C"/>
    <w:rsid w:val="00EA010F"/>
    <w:rsid w:val="00ED1B63"/>
    <w:rsid w:val="00ED3C1F"/>
    <w:rsid w:val="00ED4085"/>
    <w:rsid w:val="00ED420E"/>
    <w:rsid w:val="00ED6FBE"/>
    <w:rsid w:val="00EE2F57"/>
    <w:rsid w:val="00EF39C0"/>
    <w:rsid w:val="00EF4C34"/>
    <w:rsid w:val="00EF77C6"/>
    <w:rsid w:val="00F05438"/>
    <w:rsid w:val="00F068D6"/>
    <w:rsid w:val="00F10F05"/>
    <w:rsid w:val="00F1361C"/>
    <w:rsid w:val="00F156F0"/>
    <w:rsid w:val="00F160C7"/>
    <w:rsid w:val="00F2408F"/>
    <w:rsid w:val="00F240E9"/>
    <w:rsid w:val="00F36D8F"/>
    <w:rsid w:val="00F417B1"/>
    <w:rsid w:val="00F45853"/>
    <w:rsid w:val="00F57460"/>
    <w:rsid w:val="00F602DF"/>
    <w:rsid w:val="00F72D5D"/>
    <w:rsid w:val="00F754A1"/>
    <w:rsid w:val="00F80F29"/>
    <w:rsid w:val="00F81FD9"/>
    <w:rsid w:val="00F841AA"/>
    <w:rsid w:val="00F84A94"/>
    <w:rsid w:val="00F87E96"/>
    <w:rsid w:val="00FA23E8"/>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EC7098C"/>
    <w:rsid w:val="1FF35744"/>
    <w:rsid w:val="23860B96"/>
    <w:rsid w:val="240371BF"/>
    <w:rsid w:val="29FD04D3"/>
    <w:rsid w:val="2C8A61B5"/>
    <w:rsid w:val="2DF04E50"/>
    <w:rsid w:val="2F040D46"/>
    <w:rsid w:val="319F7F4E"/>
    <w:rsid w:val="3304709D"/>
    <w:rsid w:val="36AA5135"/>
    <w:rsid w:val="376D39B2"/>
    <w:rsid w:val="37E16F03"/>
    <w:rsid w:val="38D469F0"/>
    <w:rsid w:val="3BFE61B3"/>
    <w:rsid w:val="3D98207C"/>
    <w:rsid w:val="3E6D8E51"/>
    <w:rsid w:val="3E78745D"/>
    <w:rsid w:val="3FE771BF"/>
    <w:rsid w:val="3FEEF2C5"/>
    <w:rsid w:val="43D275EB"/>
    <w:rsid w:val="44E268DA"/>
    <w:rsid w:val="4A627F82"/>
    <w:rsid w:val="4B0E749A"/>
    <w:rsid w:val="4B4F25DA"/>
    <w:rsid w:val="4BE068DB"/>
    <w:rsid w:val="4BF64EC9"/>
    <w:rsid w:val="4D577224"/>
    <w:rsid w:val="4EAB630A"/>
    <w:rsid w:val="4ECE2238"/>
    <w:rsid w:val="537E6D0A"/>
    <w:rsid w:val="561DD266"/>
    <w:rsid w:val="57D364A1"/>
    <w:rsid w:val="57FE3BC8"/>
    <w:rsid w:val="5A5FE2D8"/>
    <w:rsid w:val="5AF92295"/>
    <w:rsid w:val="5CD71FC4"/>
    <w:rsid w:val="660C28C7"/>
    <w:rsid w:val="66FE7D32"/>
    <w:rsid w:val="6767F6C3"/>
    <w:rsid w:val="6BDF8F0A"/>
    <w:rsid w:val="6C4A05C8"/>
    <w:rsid w:val="6D8276B5"/>
    <w:rsid w:val="6E7E3605"/>
    <w:rsid w:val="6E7F04F2"/>
    <w:rsid w:val="6FF5CC65"/>
    <w:rsid w:val="715C0E4B"/>
    <w:rsid w:val="71FF9B1D"/>
    <w:rsid w:val="72734D90"/>
    <w:rsid w:val="73AD73D5"/>
    <w:rsid w:val="73B6EB34"/>
    <w:rsid w:val="73CE8332"/>
    <w:rsid w:val="744731E5"/>
    <w:rsid w:val="76DF38E2"/>
    <w:rsid w:val="76E3355F"/>
    <w:rsid w:val="7779EB41"/>
    <w:rsid w:val="778769C8"/>
    <w:rsid w:val="77BF2C80"/>
    <w:rsid w:val="77EE0579"/>
    <w:rsid w:val="79EE5BA4"/>
    <w:rsid w:val="7A775CFC"/>
    <w:rsid w:val="7A894339"/>
    <w:rsid w:val="7BBB963B"/>
    <w:rsid w:val="7BBFC91B"/>
    <w:rsid w:val="7BFEB964"/>
    <w:rsid w:val="7DAE49E7"/>
    <w:rsid w:val="7DDDA35C"/>
    <w:rsid w:val="7DFD53E0"/>
    <w:rsid w:val="7EEF11D3"/>
    <w:rsid w:val="7F6FB31E"/>
    <w:rsid w:val="7FA30C79"/>
    <w:rsid w:val="7FB7269E"/>
    <w:rsid w:val="7FC96657"/>
    <w:rsid w:val="7FCF195A"/>
    <w:rsid w:val="7FEEE39A"/>
    <w:rsid w:val="7FF7C0C0"/>
    <w:rsid w:val="ABFBC12F"/>
    <w:rsid w:val="AD789522"/>
    <w:rsid w:val="B74D4D35"/>
    <w:rsid w:val="BEEFDE7C"/>
    <w:rsid w:val="CE6A4641"/>
    <w:rsid w:val="D5F63FDA"/>
    <w:rsid w:val="D7BD8AB5"/>
    <w:rsid w:val="D8D6DB89"/>
    <w:rsid w:val="DB6F4CAB"/>
    <w:rsid w:val="DE7FC308"/>
    <w:rsid w:val="DF6F9789"/>
    <w:rsid w:val="DFB4EFCC"/>
    <w:rsid w:val="DFFA2E71"/>
    <w:rsid w:val="EFCDE35A"/>
    <w:rsid w:val="EFF65EBA"/>
    <w:rsid w:val="F54FD42B"/>
    <w:rsid w:val="F7554AA4"/>
    <w:rsid w:val="F76D2655"/>
    <w:rsid w:val="F771BA1A"/>
    <w:rsid w:val="F7FF6A22"/>
    <w:rsid w:val="F97EAAA8"/>
    <w:rsid w:val="FBFD5EC5"/>
    <w:rsid w:val="FCFC2670"/>
    <w:rsid w:val="FD573696"/>
    <w:rsid w:val="FF6BDDA0"/>
    <w:rsid w:val="FF6DBC69"/>
    <w:rsid w:val="FFE7CCC1"/>
    <w:rsid w:val="FFE922BC"/>
    <w:rsid w:val="FFEDBFE1"/>
    <w:rsid w:val="FFEF3541"/>
    <w:rsid w:val="FFF5FF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FollowedHyperlink"/>
    <w:basedOn w:val="15"/>
    <w:semiHidden/>
    <w:unhideWhenUsed/>
    <w:qFormat/>
    <w:uiPriority w:val="99"/>
    <w:rPr>
      <w:color w:val="954F72"/>
      <w:u w:val="single"/>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5"/>
    <w:autoRedefine/>
    <w:semiHidden/>
    <w:qFormat/>
    <w:uiPriority w:val="99"/>
    <w:rPr>
      <w:rFonts w:ascii="Times New Roman" w:hAnsi="Times New Roman"/>
      <w:sz w:val="18"/>
      <w:szCs w:val="18"/>
    </w:rPr>
  </w:style>
  <w:style w:type="character" w:customStyle="1" w:styleId="21">
    <w:name w:val="页眉 字符"/>
    <w:link w:val="10"/>
    <w:autoRedefine/>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字符"/>
    <w:link w:val="9"/>
    <w:autoRedefine/>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5"/>
    <w:link w:val="3"/>
    <w:qFormat/>
    <w:uiPriority w:val="9"/>
    <w:rPr>
      <w:rFonts w:ascii="Times New Roman" w:hAnsi="Times New Roman"/>
      <w:b/>
      <w:bCs/>
      <w:kern w:val="44"/>
      <w:sz w:val="44"/>
      <w:szCs w:val="44"/>
    </w:rPr>
  </w:style>
  <w:style w:type="character" w:customStyle="1" w:styleId="29">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5"/>
    <w:link w:val="8"/>
    <w:semiHidden/>
    <w:qFormat/>
    <w:uiPriority w:val="99"/>
    <w:rPr>
      <w:rFonts w:ascii="Times New Roman" w:hAnsi="Times New Roman"/>
      <w:kern w:val="2"/>
      <w:sz w:val="18"/>
      <w:szCs w:val="18"/>
    </w:rPr>
  </w:style>
  <w:style w:type="character" w:customStyle="1" w:styleId="32">
    <w:name w:val="标题 3 字符"/>
    <w:basedOn w:val="15"/>
    <w:link w:val="5"/>
    <w:autoRedefine/>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8">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0">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0">
    <w:name w:val="默认"/>
    <w:basedOn w:val="1"/>
    <w:next w:val="1"/>
    <w:autoRedefine/>
    <w:qFormat/>
    <w:uiPriority w:val="99"/>
    <w:pPr>
      <w:widowControl/>
    </w:pPr>
    <w:rPr>
      <w:rFonts w:ascii="Helvetica Neue" w:hAnsi="Helvetica Neue" w:cs="Arial Unicode MS"/>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年与</a:t>
            </a:r>
            <a:r>
              <a:rPr lang="en-US" altLang="zh-CN"/>
              <a:t>2022</a:t>
            </a:r>
            <a:r>
              <a:rPr lang="zh-CN" altLang="en-US"/>
              <a:t>年收、支决算总计对比图</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874.63</c:v>
                </c:pt>
                <c:pt idx="1">
                  <c:v>806.25</c:v>
                </c:pt>
              </c:numCache>
            </c:numRef>
          </c:val>
        </c:ser>
        <c:dLbls>
          <c:showLegendKey val="0"/>
          <c:showVal val="0"/>
          <c:showCatName val="0"/>
          <c:showSerName val="0"/>
          <c:showPercent val="0"/>
          <c:showBubbleSize val="0"/>
        </c:dLbls>
        <c:gapWidth val="219"/>
        <c:overlap val="-27"/>
        <c:axId val="23041974"/>
        <c:axId val="46391878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Sheet1!$D$2:$D$3</c15:sqref>
                        </c15:formulaRef>
                      </c:ext>
                    </c:extLst>
                    <c:numCache>
                      <c:formatCode>General</c:formatCode>
                      <c:ptCount val="2"/>
                      <c:pt idx="0">
                        <c:v>2</c:v>
                      </c:pt>
                      <c:pt idx="1">
                        <c:v>2</c:v>
                      </c:pt>
                    </c:numCache>
                  </c:numRef>
                </c:val>
              </c15:ser>
            </c15:filteredBarSeries>
          </c:ext>
        </c:extLst>
      </c:barChart>
      <c:catAx>
        <c:axId val="2304197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918781"/>
        <c:crosses val="autoZero"/>
        <c:auto val="1"/>
        <c:lblAlgn val="ctr"/>
        <c:lblOffset val="100"/>
        <c:noMultiLvlLbl val="0"/>
      </c:catAx>
      <c:valAx>
        <c:axId val="463918781"/>
        <c:scaling>
          <c:orientation val="minMax"/>
          <c:max val="880"/>
          <c:min val="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419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0.002%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fld id="{2435f64d-3e32-4f8e-95fe-c21872b33ecd}"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其他收入</c:v>
                </c:pt>
                <c:pt idx="2">
                  <c:v>政府性基金预算财政拨款收入</c:v>
                </c:pt>
              </c:strCache>
            </c:strRef>
          </c:cat>
          <c:val>
            <c:numRef>
              <c:f>Sheet1!$B$2:$B$4</c:f>
              <c:numCache>
                <c:formatCode>0.00%</c:formatCode>
                <c:ptCount val="3"/>
                <c:pt idx="0">
                  <c:v>0.9076</c:v>
                </c:pt>
                <c:pt idx="1">
                  <c:v>2e-5</c:v>
                </c:pt>
                <c:pt idx="2" c:formatCode="General">
                  <c:v>9.24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年支出决算结构图</a:t>
            </a:r>
            <a:endParaRPr lang="zh-CN" altLang="en-US"/>
          </a:p>
        </c:rich>
      </c:tx>
      <c:layout>
        <c:manualLayout>
          <c:xMode val="edge"/>
          <c:yMode val="edge"/>
          <c:x val="0.314"/>
          <c:y val="0.0258333333333333"/>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90.76%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9.24%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一、基本支出</c:v>
                </c:pt>
                <c:pt idx="1">
                  <c:v>二、项目支出</c:v>
                </c:pt>
              </c:strCache>
            </c:strRef>
          </c:cat>
          <c:val>
            <c:numRef>
              <c:f>Sheet1!$B$2:$B$3</c:f>
              <c:numCache>
                <c:formatCode>0.00%</c:formatCode>
                <c:ptCount val="2"/>
                <c:pt idx="0">
                  <c:v>7.3166</c:v>
                </c:pt>
                <c:pt idx="1">
                  <c:v>0.7445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69"/>
          <c:y val="0.916166666666666"/>
          <c:w val="0.501625"/>
          <c:h val="0.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年与</a:t>
            </a:r>
            <a:r>
              <a:rPr lang="en-US" altLang="zh-CN"/>
              <a:t>2022</a:t>
            </a:r>
            <a:r>
              <a:rPr lang="zh-CN" altLang="en-US"/>
              <a:t>年财政拨款收、支决算总计变动情况对比图</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874.5</c:v>
                </c:pt>
                <c:pt idx="1">
                  <c:v>806.1</c:v>
                </c:pt>
              </c:numCache>
            </c:numRef>
          </c:val>
        </c:ser>
        <c:dLbls>
          <c:showLegendKey val="0"/>
          <c:showVal val="0"/>
          <c:showCatName val="0"/>
          <c:showSerName val="0"/>
          <c:showPercent val="0"/>
          <c:showBubbleSize val="0"/>
        </c:dLbls>
        <c:gapWidth val="219"/>
        <c:overlap val="-27"/>
        <c:axId val="23041974"/>
        <c:axId val="46391878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Sheet1!$D$2:$D$3</c15:sqref>
                        </c15:formulaRef>
                      </c:ext>
                    </c:extLst>
                    <c:numCache>
                      <c:formatCode>General</c:formatCode>
                      <c:ptCount val="2"/>
                      <c:pt idx="0">
                        <c:v>2</c:v>
                      </c:pt>
                      <c:pt idx="1">
                        <c:v>2</c:v>
                      </c:pt>
                    </c:numCache>
                  </c:numRef>
                </c:val>
              </c15:ser>
            </c15:filteredBarSeries>
          </c:ext>
        </c:extLst>
      </c:barChart>
      <c:catAx>
        <c:axId val="2304197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918781"/>
        <c:crosses val="autoZero"/>
        <c:auto val="1"/>
        <c:lblAlgn val="ctr"/>
        <c:lblOffset val="100"/>
        <c:noMultiLvlLbl val="0"/>
      </c:catAx>
      <c:valAx>
        <c:axId val="463918781"/>
        <c:scaling>
          <c:orientation val="minMax"/>
          <c:max val="880"/>
          <c:min val="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419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年与</a:t>
            </a:r>
            <a:r>
              <a:rPr lang="en-US" altLang="zh-CN"/>
              <a:t>2022</a:t>
            </a:r>
            <a:r>
              <a:rPr lang="zh-CN" altLang="en-US"/>
              <a:t>年一般公共预算财政拨款支出决算变动情况对比图</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783</c:v>
                </c:pt>
                <c:pt idx="1">
                  <c:v>731.65</c:v>
                </c:pt>
              </c:numCache>
            </c:numRef>
          </c:val>
        </c:ser>
        <c:dLbls>
          <c:showLegendKey val="0"/>
          <c:showVal val="0"/>
          <c:showCatName val="0"/>
          <c:showSerName val="0"/>
          <c:showPercent val="0"/>
          <c:showBubbleSize val="0"/>
        </c:dLbls>
        <c:gapWidth val="219"/>
        <c:overlap val="-27"/>
        <c:axId val="23041974"/>
        <c:axId val="46391878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Sheet1!$D$2:$D$3</c15:sqref>
                        </c15:formulaRef>
                      </c:ext>
                    </c:extLst>
                    <c:numCache>
                      <c:formatCode>General</c:formatCode>
                      <c:ptCount val="2"/>
                      <c:pt idx="0">
                        <c:v>2</c:v>
                      </c:pt>
                      <c:pt idx="1">
                        <c:v>2</c:v>
                      </c:pt>
                    </c:numCache>
                  </c:numRef>
                </c:val>
              </c15:ser>
            </c15:filteredBarSeries>
          </c:ext>
        </c:extLst>
      </c:barChart>
      <c:catAx>
        <c:axId val="2304197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918781"/>
        <c:crosses val="autoZero"/>
        <c:auto val="1"/>
        <c:lblAlgn val="ctr"/>
        <c:lblOffset val="100"/>
        <c:noMultiLvlLbl val="0"/>
      </c:catAx>
      <c:valAx>
        <c:axId val="463918781"/>
        <c:scaling>
          <c:orientation val="minMax"/>
          <c:max val="800"/>
          <c:min val="7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419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一般公共预算财政拨款支出决算结构图</a:t>
            </a:r>
            <a:endParaRPr lang="zh-CN" altLang="en-US"/>
          </a:p>
        </c:rich>
      </c:tx>
      <c:layout/>
      <c:overlay val="0"/>
      <c:spPr>
        <a:noFill/>
        <a:ln>
          <a:noFill/>
        </a:ln>
        <a:effectLst/>
      </c:spPr>
    </c:title>
    <c:autoTitleDeleted val="0"/>
    <c:plotArea>
      <c:layout>
        <c:manualLayout>
          <c:layoutTarget val="inner"/>
          <c:xMode val="edge"/>
          <c:yMode val="edge"/>
          <c:x val="0.076325"/>
          <c:y val="0.1844"/>
          <c:w val="0.8316"/>
          <c:h val="0.6292"/>
        </c:manualLayout>
      </c:layout>
      <c:pieChart>
        <c:varyColors val="1"/>
        <c:ser>
          <c:idx val="0"/>
          <c:order val="0"/>
          <c:tx>
            <c:strRef>
              <c:f>Sheet1!$B$1</c:f>
              <c:strCache>
                <c:ptCount val="1"/>
                <c:pt idx="0">
                  <c:v>销售额</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dLbl>
              <c:idx val="1"/>
              <c:layout>
                <c:manualLayout>
                  <c:x val="-0.332956394161406"/>
                  <c:y val="0.35343236570692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319080893204111"/>
                  <c:y val="0.17759524443726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63420909586746"/>
                  <c:y val="0.076587574493707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0.7718</c:v>
                </c:pt>
                <c:pt idx="1">
                  <c:v>0.0755</c:v>
                </c:pt>
                <c:pt idx="2">
                  <c:v>0.0613</c:v>
                </c:pt>
                <c:pt idx="3">
                  <c:v>0.0915</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9801</Words>
  <Characters>1229</Characters>
  <Lines>10</Lines>
  <Paragraphs>22</Paragraphs>
  <TotalTime>1064</TotalTime>
  <ScaleCrop>false</ScaleCrop>
  <LinksUpToDate>false</LinksUpToDate>
  <CharactersWithSpaces>11008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企业用户_592795982</cp:lastModifiedBy>
  <cp:lastPrinted>2023-10-30T03:55:00Z</cp:lastPrinted>
  <dcterms:modified xsi:type="dcterms:W3CDTF">2024-05-21T04:13:32Z</dcterms:modified>
  <dc:title>四川省***</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423AE45F2EA74D15BDF760A36EB3D5FE_12</vt:lpwstr>
  </property>
</Properties>
</file>