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96475"/>
      <w:bookmarkStart w:id="2" w:name="_Toc15378441"/>
      <w:bookmarkStart w:id="3" w:name="_Toc15377425"/>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49203596"/>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7194"/>
      <w:bookmarkStart w:id="8" w:name="_Toc15378442"/>
      <w:bookmarkStart w:id="9" w:name="_Toc15396598"/>
      <w:bookmarkStart w:id="10" w:name="_Toc15377426"/>
      <w:bookmarkStart w:id="11" w:name="_Toc149203597"/>
      <w:bookmarkStart w:id="12" w:name="_Toc15396476"/>
      <w:r>
        <w:rPr>
          <w:rFonts w:hint="eastAsia" w:ascii="方正小标宋简体" w:hAnsi="方正小标宋简体" w:eastAsia="方正小标宋简体" w:cs="方正小标宋简体"/>
          <w:sz w:val="72"/>
          <w:szCs w:val="72"/>
        </w:rPr>
        <w:t>攀枝花市西区</w:t>
      </w:r>
      <w:bookmarkEnd w:id="5"/>
      <w:bookmarkStart w:id="13" w:name="_Toc15306268"/>
      <w:r>
        <w:rPr>
          <w:rFonts w:hint="eastAsia" w:ascii="方正小标宋简体" w:hAnsi="方正小标宋简体" w:eastAsia="方正小标宋简体" w:cs="方正小标宋简体"/>
          <w:sz w:val="72"/>
          <w:szCs w:val="72"/>
        </w:rPr>
        <w:t>矿产资源保护中心部门决算</w:t>
      </w:r>
      <w:bookmarkEnd w:id="7"/>
      <w:bookmarkEnd w:id="8"/>
      <w:bookmarkEnd w:id="9"/>
      <w:bookmarkEnd w:id="10"/>
      <w:bookmarkEnd w:id="11"/>
      <w:bookmarkEnd w:id="12"/>
      <w:bookmarkEnd w:id="13"/>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公开时间：2023年10月27日</w:t>
      </w:r>
    </w:p>
    <w:p/>
    <w:sdt>
      <w:sdtPr>
        <w:rPr>
          <w:rFonts w:ascii="Times New Roman" w:hAnsi="Times New Roman" w:eastAsia="宋体" w:cs="Times New Roman"/>
          <w:b w:val="0"/>
          <w:bCs w:val="0"/>
          <w:color w:val="auto"/>
          <w:kern w:val="2"/>
          <w:sz w:val="21"/>
          <w:szCs w:val="24"/>
          <w:lang w:val="zh-CN"/>
        </w:rPr>
        <w:id w:val="2654924"/>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55"/>
          </w:pPr>
          <w:bookmarkStart w:id="14" w:name="_Toc15396599"/>
          <w:bookmarkStart w:id="15" w:name="_Toc15377196"/>
          <w:r>
            <w:rPr>
              <w:lang w:val="zh-CN"/>
            </w:rPr>
            <w:t>目录</w:t>
          </w:r>
        </w:p>
        <w:p>
          <w:pPr>
            <w:pStyle w:val="13"/>
            <w:rPr>
              <w:rFonts w:asciiTheme="minorHAnsi" w:hAnsiTheme="minorHAnsi" w:eastAsiaTheme="minorEastAsia" w:cstheme="minorBidi"/>
              <w:sz w:val="21"/>
              <w:szCs w:val="22"/>
            </w:rPr>
          </w:pPr>
          <w:r>
            <w:fldChar w:fldCharType="begin"/>
          </w:r>
          <w:r>
            <w:instrText xml:space="preserve"> TOC \o "1-3" \h \z \u </w:instrText>
          </w:r>
          <w:r>
            <w:fldChar w:fldCharType="separate"/>
          </w:r>
        </w:p>
        <w:p>
          <w:pPr>
            <w:pStyle w:val="13"/>
            <w:rPr>
              <w:rFonts w:asciiTheme="minorHAnsi" w:hAnsiTheme="minorHAnsi" w:eastAsiaTheme="minorEastAsia" w:cstheme="minorBidi"/>
              <w:sz w:val="21"/>
              <w:szCs w:val="22"/>
            </w:rPr>
          </w:pPr>
          <w:r>
            <w:fldChar w:fldCharType="begin"/>
          </w:r>
          <w:r>
            <w:instrText xml:space="preserve"> HYPERLINK \l "_Toc149203598" </w:instrText>
          </w:r>
          <w:r>
            <w:fldChar w:fldCharType="separate"/>
          </w:r>
          <w:r>
            <w:rPr>
              <w:rStyle w:val="20"/>
              <w:rFonts w:hint="eastAsia" w:ascii="黑体" w:hAnsi="黑体" w:eastAsia="黑体"/>
            </w:rPr>
            <w:t>第一部分</w:t>
          </w:r>
          <w:r>
            <w:rPr>
              <w:rStyle w:val="20"/>
              <w:rFonts w:ascii="黑体" w:hAnsi="黑体" w:eastAsia="黑体"/>
            </w:rPr>
            <w:t xml:space="preserve"> </w:t>
          </w:r>
          <w:r>
            <w:rPr>
              <w:rStyle w:val="20"/>
              <w:rFonts w:hint="eastAsia" w:ascii="黑体" w:hAnsi="黑体" w:eastAsia="黑体"/>
            </w:rPr>
            <w:t>部门概况</w:t>
          </w:r>
          <w:r>
            <w:tab/>
          </w:r>
          <w:r>
            <w:fldChar w:fldCharType="begin"/>
          </w:r>
          <w:r>
            <w:instrText xml:space="preserve"> PAGEREF _Toc149203598 \h </w:instrText>
          </w:r>
          <w:r>
            <w:fldChar w:fldCharType="separate"/>
          </w:r>
          <w:r>
            <w:t>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"_Toc149203599" </w:instrText>
          </w:r>
          <w:r>
            <w:fldChar w:fldCharType="separate"/>
          </w:r>
          <w:r>
            <w:rPr>
              <w:rStyle w:val="20"/>
              <w:rFonts w:hint="eastAsia" w:ascii="黑体" w:hAnsi="黑体" w:eastAsia="黑体"/>
            </w:rPr>
            <w:t>一、部门职责</w:t>
          </w:r>
          <w:r>
            <w:tab/>
          </w:r>
          <w:r>
            <w:fldChar w:fldCharType="begin"/>
          </w:r>
          <w:r>
            <w:instrText xml:space="preserve"> PAGEREF _Toc149203599 \h </w:instrText>
          </w:r>
          <w:r>
            <w:fldChar w:fldCharType="separate"/>
          </w:r>
          <w:r>
            <w:t>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"_Toc149203600" </w:instrText>
          </w:r>
          <w:r>
            <w:fldChar w:fldCharType="separate"/>
          </w:r>
          <w:r>
            <w:rPr>
              <w:rStyle w:val="20"/>
              <w:rFonts w:hint="eastAsia" w:ascii="黑体" w:eastAsia="黑体"/>
            </w:rPr>
            <w:t>二、</w:t>
          </w:r>
          <w:r>
            <w:rPr>
              <w:rStyle w:val="20"/>
              <w:rFonts w:hint="eastAsia" w:ascii="黑体" w:hAnsi="黑体" w:eastAsia="黑体"/>
            </w:rPr>
            <w:t>机构设置</w:t>
          </w:r>
          <w:r>
            <w:tab/>
          </w:r>
          <w:r>
            <w:fldChar w:fldCharType="begin"/>
          </w:r>
          <w:r>
            <w:instrText xml:space="preserve"> PAGEREF _Toc149203600 \h </w:instrText>
          </w:r>
          <w:r>
            <w:fldChar w:fldCharType="separate"/>
          </w:r>
          <w:r>
            <w:t>4</w:t>
          </w:r>
          <w:r>
            <w:fldChar w:fldCharType="end"/>
          </w:r>
          <w:r>
            <w:fldChar w:fldCharType="end"/>
          </w:r>
        </w:p>
        <w:p>
          <w:pPr>
            <w:pStyle w:val="13"/>
            <w:rPr>
              <w:rFonts w:asciiTheme="minorHAnsi" w:hAnsiTheme="minorHAnsi" w:eastAsiaTheme="minorEastAsia" w:cstheme="minorBidi"/>
              <w:sz w:val="21"/>
              <w:szCs w:val="22"/>
            </w:rPr>
          </w:pPr>
          <w:r>
            <w:fldChar w:fldCharType="begin"/>
          </w:r>
          <w:r>
            <w:instrText xml:space="preserve"> HYPERLINK \l "_Toc149203601" </w:instrText>
          </w:r>
          <w:r>
            <w:fldChar w:fldCharType="separate"/>
          </w:r>
          <w:r>
            <w:rPr>
              <w:rStyle w:val="20"/>
              <w:rFonts w:hint="eastAsia" w:ascii="黑体" w:hAnsi="黑体" w:eastAsia="黑体"/>
            </w:rPr>
            <w:t>第二部分</w:t>
          </w:r>
          <w:r>
            <w:rPr>
              <w:rStyle w:val="20"/>
              <w:rFonts w:ascii="黑体" w:hAnsi="黑体" w:eastAsia="黑体"/>
            </w:rPr>
            <w:t xml:space="preserve"> 2022</w:t>
          </w:r>
          <w:r>
            <w:rPr>
              <w:rStyle w:val="20"/>
              <w:rFonts w:hint="eastAsia" w:ascii="黑体" w:hAnsi="黑体" w:eastAsia="黑体"/>
            </w:rPr>
            <w:t>年度部门决算情况说明</w:t>
          </w:r>
          <w:r>
            <w:tab/>
          </w:r>
          <w:r>
            <w:fldChar w:fldCharType="begin"/>
          </w:r>
          <w:r>
            <w:instrText xml:space="preserve"> PAGEREF _Toc149203601 \h </w:instrText>
          </w:r>
          <w:r>
            <w:fldChar w:fldCharType="separate"/>
          </w:r>
          <w:r>
            <w:t>5</w:t>
          </w:r>
          <w:r>
            <w:fldChar w:fldCharType="end"/>
          </w:r>
          <w:r>
            <w:fldChar w:fldCharType="end"/>
          </w:r>
        </w:p>
        <w:p>
          <w:pPr>
            <w:pStyle w:val="14"/>
            <w:tabs>
              <w:tab w:val="left" w:pos="1260"/>
            </w:tabs>
            <w:rPr>
              <w:rFonts w:asciiTheme="minorHAnsi" w:hAnsiTheme="minorHAnsi" w:eastAsiaTheme="minorEastAsia" w:cstheme="minorBidi"/>
              <w:szCs w:val="22"/>
            </w:rPr>
          </w:pPr>
          <w:r>
            <w:fldChar w:fldCharType="begin"/>
          </w:r>
          <w:r>
            <w:instrText xml:space="preserve"> HYPERLINK \l "_Toc149203602" </w:instrText>
          </w:r>
          <w:r>
            <w:fldChar w:fldCharType="separate"/>
          </w:r>
          <w:r>
            <w:rPr>
              <w:rStyle w:val="20"/>
              <w:rFonts w:hint="eastAsia" w:ascii="黑体" w:hAnsi="黑体" w:eastAsia="黑体" w:cstheme="majorBidi"/>
              <w:bCs/>
            </w:rPr>
            <w:t>一、</w:t>
          </w:r>
          <w:r>
            <w:rPr>
              <w:rFonts w:asciiTheme="minorHAnsi" w:hAnsiTheme="minorHAnsi" w:eastAsiaTheme="minorEastAsia" w:cstheme="minorBidi"/>
              <w:szCs w:val="22"/>
            </w:rPr>
            <w:tab/>
          </w:r>
          <w:r>
            <w:rPr>
              <w:rStyle w:val="20"/>
              <w:rFonts w:hint="eastAsia" w:ascii="黑体" w:hAnsi="黑体" w:eastAsia="黑体"/>
            </w:rPr>
            <w:t>收</w:t>
          </w:r>
          <w:r>
            <w:rPr>
              <w:rStyle w:val="20"/>
              <w:rFonts w:hint="eastAsia" w:ascii="黑体" w:hAnsi="黑体" w:eastAsia="黑体" w:cstheme="majorBidi"/>
              <w:bCs/>
            </w:rPr>
            <w:t>入支出决算总体情况说明</w:t>
          </w:r>
          <w:r>
            <w:tab/>
          </w:r>
          <w:r>
            <w:fldChar w:fldCharType="begin"/>
          </w:r>
          <w:r>
            <w:instrText xml:space="preserve"> PAGEREF _Toc149203602 \h </w:instrText>
          </w:r>
          <w:r>
            <w:fldChar w:fldCharType="separate"/>
          </w:r>
          <w:r>
            <w:t>5</w:t>
          </w:r>
          <w:r>
            <w:fldChar w:fldCharType="end"/>
          </w:r>
          <w:r>
            <w:fldChar w:fldCharType="end"/>
          </w:r>
        </w:p>
        <w:p>
          <w:pPr>
            <w:pStyle w:val="14"/>
            <w:tabs>
              <w:tab w:val="left" w:pos="1260"/>
            </w:tabs>
            <w:rPr>
              <w:rFonts w:asciiTheme="minorHAnsi" w:hAnsiTheme="minorHAnsi" w:eastAsiaTheme="minorEastAsia" w:cstheme="minorBidi"/>
              <w:szCs w:val="22"/>
            </w:rPr>
          </w:pPr>
          <w:r>
            <w:fldChar w:fldCharType="begin"/>
          </w:r>
          <w:r>
            <w:instrText xml:space="preserve"> HYPERLINK \l "_Toc149203603" </w:instrText>
          </w:r>
          <w:r>
            <w:fldChar w:fldCharType="separate"/>
          </w:r>
          <w:r>
            <w:rPr>
              <w:rStyle w:val="20"/>
              <w:rFonts w:hint="eastAsia" w:ascii="黑体" w:hAnsi="黑体" w:eastAsia="黑体" w:cstheme="majorBidi"/>
              <w:bCs/>
            </w:rPr>
            <w:t>二、</w:t>
          </w:r>
          <w:r>
            <w:rPr>
              <w:rFonts w:asciiTheme="minorHAnsi" w:hAnsiTheme="minorHAnsi" w:eastAsiaTheme="minorEastAsia" w:cstheme="minorBidi"/>
              <w:szCs w:val="22"/>
            </w:rPr>
            <w:tab/>
          </w:r>
          <w:r>
            <w:rPr>
              <w:rStyle w:val="20"/>
              <w:rFonts w:hint="eastAsia" w:ascii="黑体" w:hAnsi="黑体" w:eastAsia="黑体"/>
            </w:rPr>
            <w:t>收</w:t>
          </w:r>
          <w:r>
            <w:rPr>
              <w:rStyle w:val="20"/>
              <w:rFonts w:hint="eastAsia" w:ascii="黑体" w:hAnsi="黑体" w:eastAsia="黑体" w:cstheme="majorBidi"/>
              <w:bCs/>
            </w:rPr>
            <w:t>入决算情况说明</w:t>
          </w:r>
          <w:r>
            <w:tab/>
          </w:r>
          <w:r>
            <w:fldChar w:fldCharType="begin"/>
          </w:r>
          <w:r>
            <w:instrText xml:space="preserve"> PAGEREF _Toc149203603 \h </w:instrText>
          </w:r>
          <w:r>
            <w:fldChar w:fldCharType="separate"/>
          </w:r>
          <w:r>
            <w:t>5</w:t>
          </w:r>
          <w:r>
            <w:fldChar w:fldCharType="end"/>
          </w:r>
          <w:r>
            <w:fldChar w:fldCharType="end"/>
          </w:r>
        </w:p>
        <w:p>
          <w:pPr>
            <w:pStyle w:val="14"/>
            <w:tabs>
              <w:tab w:val="left" w:pos="1260"/>
            </w:tabs>
            <w:rPr>
              <w:rFonts w:asciiTheme="minorHAnsi" w:hAnsiTheme="minorHAnsi" w:eastAsiaTheme="minorEastAsia" w:cstheme="minorBidi"/>
              <w:szCs w:val="22"/>
            </w:rPr>
          </w:pPr>
          <w:r>
            <w:fldChar w:fldCharType="begin"/>
          </w:r>
          <w:r>
            <w:instrText xml:space="preserve"> HYPERLINK \l "_Toc149203605" </w:instrText>
          </w:r>
          <w:r>
            <w:fldChar w:fldCharType="separate"/>
          </w:r>
          <w:r>
            <w:rPr>
              <w:rStyle w:val="20"/>
              <w:rFonts w:hint="eastAsia" w:ascii="黑体" w:hAnsi="黑体" w:eastAsia="黑体" w:cstheme="majorBidi"/>
              <w:bCs/>
            </w:rPr>
            <w:t>三、</w:t>
          </w:r>
          <w:r>
            <w:rPr>
              <w:rFonts w:asciiTheme="minorHAnsi" w:hAnsiTheme="minorHAnsi" w:eastAsiaTheme="minorEastAsia" w:cstheme="minorBidi"/>
              <w:szCs w:val="22"/>
            </w:rPr>
            <w:tab/>
          </w:r>
          <w:r>
            <w:rPr>
              <w:rStyle w:val="20"/>
              <w:rFonts w:hint="eastAsia" w:ascii="黑体" w:hAnsi="黑体" w:eastAsia="黑体"/>
            </w:rPr>
            <w:t>支</w:t>
          </w:r>
          <w:r>
            <w:rPr>
              <w:rStyle w:val="20"/>
              <w:rFonts w:hint="eastAsia" w:ascii="黑体" w:hAnsi="黑体" w:eastAsia="黑体" w:cstheme="majorBidi"/>
              <w:bCs/>
            </w:rPr>
            <w:t>出决算情况说明</w:t>
          </w:r>
          <w:r>
            <w:tab/>
          </w:r>
          <w:r>
            <w:fldChar w:fldCharType="begin"/>
          </w:r>
          <w:r>
            <w:instrText xml:space="preserve"> PAGEREF _Toc149203605 \h </w:instrText>
          </w:r>
          <w:r>
            <w:fldChar w:fldCharType="separate"/>
          </w:r>
          <w:r>
            <w:t>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"_Toc149203607" </w:instrText>
          </w:r>
          <w:r>
            <w:fldChar w:fldCharType="separate"/>
          </w:r>
          <w:r>
            <w:rPr>
              <w:rStyle w:val="20"/>
              <w:rFonts w:hint="eastAsia" w:ascii="黑体" w:hAnsi="黑体" w:eastAsia="黑体"/>
            </w:rPr>
            <w:t>四、财</w:t>
          </w:r>
          <w:r>
            <w:rPr>
              <w:rStyle w:val="20"/>
              <w:rFonts w:hint="eastAsia" w:ascii="黑体" w:hAnsi="黑体" w:eastAsia="黑体" w:cstheme="majorBidi"/>
              <w:bCs/>
            </w:rPr>
            <w:t>政拨款收入支出决算总体情况说明</w:t>
          </w:r>
          <w:r>
            <w:tab/>
          </w:r>
          <w:r>
            <w:fldChar w:fldCharType="begin"/>
          </w:r>
          <w:r>
            <w:instrText xml:space="preserve"> PAGEREF _Toc149203607 \h </w:instrText>
          </w:r>
          <w:r>
            <w:fldChar w:fldCharType="separate"/>
          </w:r>
          <w:r>
            <w:t>7</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"_Toc149203608" </w:instrText>
          </w:r>
          <w:r>
            <w:fldChar w:fldCharType="separate"/>
          </w:r>
          <w:r>
            <w:rPr>
              <w:rStyle w:val="20"/>
              <w:rFonts w:hint="eastAsia" w:ascii="黑体" w:hAnsi="黑体" w:eastAsia="黑体"/>
            </w:rPr>
            <w:t>五、</w:t>
          </w:r>
          <w:r>
            <w:rPr>
              <w:rStyle w:val="20"/>
              <w:rFonts w:hint="eastAsia" w:ascii="黑体" w:hAnsi="黑体" w:eastAsia="黑体"/>
              <w:b/>
            </w:rPr>
            <w:t>一</w:t>
          </w:r>
          <w:r>
            <w:rPr>
              <w:rStyle w:val="20"/>
              <w:rFonts w:hint="eastAsia" w:ascii="黑体" w:hAnsi="黑体" w:eastAsia="黑体" w:cstheme="majorBidi"/>
              <w:bCs/>
            </w:rPr>
            <w:t>般公共预算财政拨款支出决算情况说明</w:t>
          </w:r>
          <w:r>
            <w:tab/>
          </w:r>
          <w:r>
            <w:fldChar w:fldCharType="begin"/>
          </w:r>
          <w:r>
            <w:instrText xml:space="preserve"> PAGEREF _Toc149203608 \h </w:instrText>
          </w:r>
          <w:r>
            <w:fldChar w:fldCharType="separate"/>
          </w:r>
          <w:r>
            <w:t>7</w:t>
          </w:r>
          <w:r>
            <w:fldChar w:fldCharType="end"/>
          </w:r>
          <w:r>
            <w:fldChar w:fldCharType="end"/>
          </w:r>
        </w:p>
        <w:p>
          <w:pPr>
            <w:pStyle w:val="8"/>
            <w:rPr>
              <w:rFonts w:asciiTheme="minorHAnsi" w:hAnsiTheme="minorHAnsi" w:eastAsiaTheme="minorEastAsia" w:cstheme="minorBidi"/>
              <w:szCs w:val="22"/>
            </w:rPr>
          </w:pPr>
          <w:r>
            <w:fldChar w:fldCharType="begin"/>
          </w:r>
          <w:r>
            <w:instrText xml:space="preserve"> HYPERLINK \l "_Toc149203609" </w:instrText>
          </w:r>
          <w:r>
            <w:fldChar w:fldCharType="separate"/>
          </w:r>
          <w:r>
            <w:rPr>
              <w:rStyle w:val="20"/>
              <w:rFonts w:hint="eastAsia" w:ascii="仿宋" w:hAnsi="仿宋" w:eastAsia="仿宋"/>
              <w:b/>
            </w:rPr>
            <w:t>（一）一般公共预算财政拨款支出决算总体情况</w:t>
          </w:r>
          <w:r>
            <w:tab/>
          </w:r>
          <w:r>
            <w:fldChar w:fldCharType="begin"/>
          </w:r>
          <w:r>
            <w:instrText xml:space="preserve"> PAGEREF _Toc149203609 \h </w:instrText>
          </w:r>
          <w:r>
            <w:fldChar w:fldCharType="separate"/>
          </w:r>
          <w:r>
            <w:t>7</w:t>
          </w:r>
          <w:r>
            <w:fldChar w:fldCharType="end"/>
          </w:r>
          <w:r>
            <w:fldChar w:fldCharType="end"/>
          </w:r>
        </w:p>
        <w:p>
          <w:pPr>
            <w:pStyle w:val="8"/>
            <w:rPr>
              <w:rFonts w:asciiTheme="minorHAnsi" w:hAnsiTheme="minorHAnsi" w:eastAsiaTheme="minorEastAsia" w:cstheme="minorBidi"/>
              <w:szCs w:val="22"/>
            </w:rPr>
          </w:pPr>
          <w:r>
            <w:fldChar w:fldCharType="begin"/>
          </w:r>
          <w:r>
            <w:instrText xml:space="preserve"> HYPERLINK \l "_Toc149203610" </w:instrText>
          </w:r>
          <w:r>
            <w:fldChar w:fldCharType="separate"/>
          </w:r>
          <w:r>
            <w:rPr>
              <w:rStyle w:val="20"/>
              <w:rFonts w:hint="eastAsia" w:ascii="仿宋" w:hAnsi="仿宋" w:eastAsia="仿宋"/>
              <w:b/>
            </w:rPr>
            <w:t>（二）一般公共预算财政拨款支出决算结构情况</w:t>
          </w:r>
          <w:r>
            <w:tab/>
          </w:r>
          <w:r>
            <w:fldChar w:fldCharType="begin"/>
          </w:r>
          <w:r>
            <w:instrText xml:space="preserve"> PAGEREF _Toc149203610 \h </w:instrText>
          </w:r>
          <w:r>
            <w:fldChar w:fldCharType="separate"/>
          </w:r>
          <w:r>
            <w:t>8</w:t>
          </w:r>
          <w:r>
            <w:fldChar w:fldCharType="end"/>
          </w:r>
          <w:r>
            <w:fldChar w:fldCharType="end"/>
          </w:r>
        </w:p>
        <w:p>
          <w:pPr>
            <w:pStyle w:val="8"/>
            <w:rPr>
              <w:rFonts w:asciiTheme="minorHAnsi" w:hAnsiTheme="minorHAnsi" w:eastAsiaTheme="minorEastAsia" w:cstheme="minorBidi"/>
              <w:szCs w:val="22"/>
            </w:rPr>
          </w:pPr>
          <w:r>
            <w:fldChar w:fldCharType="begin"/>
          </w:r>
          <w:r>
            <w:instrText xml:space="preserve"> HYPERLINK \l "_Toc149203611" </w:instrText>
          </w:r>
          <w:r>
            <w:fldChar w:fldCharType="separate"/>
          </w:r>
          <w:r>
            <w:rPr>
              <w:rStyle w:val="20"/>
              <w:rFonts w:hint="eastAsia" w:ascii="仿宋" w:hAnsi="仿宋" w:eastAsia="仿宋"/>
              <w:b/>
            </w:rPr>
            <w:t>（三）一般公共预算财政拨款支出决算具体情况</w:t>
          </w:r>
          <w:r>
            <w:tab/>
          </w:r>
          <w:r>
            <w:fldChar w:fldCharType="begin"/>
          </w:r>
          <w:r>
            <w:instrText xml:space="preserve"> PAGEREF _Toc149203611 \h </w:instrText>
          </w:r>
          <w:r>
            <w:fldChar w:fldCharType="separate"/>
          </w:r>
          <w:r>
            <w:t>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"_Toc149203613" </w:instrText>
          </w:r>
          <w:r>
            <w:fldChar w:fldCharType="separate"/>
          </w:r>
          <w:r>
            <w:rPr>
              <w:rStyle w:val="20"/>
              <w:rFonts w:hint="eastAsia" w:ascii="黑体" w:eastAsia="黑体"/>
            </w:rPr>
            <w:t>六</w:t>
          </w:r>
          <w:r>
            <w:rPr>
              <w:rStyle w:val="20"/>
              <w:rFonts w:hint="eastAsia" w:ascii="黑体" w:eastAsia="黑体"/>
              <w:b/>
            </w:rPr>
            <w:t>、</w:t>
          </w:r>
          <w:r>
            <w:rPr>
              <w:rStyle w:val="20"/>
              <w:rFonts w:hint="eastAsia" w:ascii="黑体" w:hAnsi="黑体" w:eastAsia="黑体"/>
              <w:b/>
            </w:rPr>
            <w:t>一</w:t>
          </w:r>
          <w:r>
            <w:rPr>
              <w:rStyle w:val="20"/>
              <w:rFonts w:hint="eastAsia" w:ascii="黑体" w:hAnsi="黑体" w:eastAsia="黑体" w:cstheme="majorBidi"/>
              <w:bCs/>
            </w:rPr>
            <w:t>般公共预算财政拨款基本支出决算情况说明</w:t>
          </w:r>
          <w:r>
            <w:tab/>
          </w:r>
          <w:r>
            <w:fldChar w:fldCharType="begin"/>
          </w:r>
          <w:r>
            <w:instrText xml:space="preserve"> PAGEREF _Toc149203613 \h </w:instrText>
          </w:r>
          <w:r>
            <w:fldChar w:fldCharType="separate"/>
          </w:r>
          <w:r>
            <w:t>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"_Toc149203614" </w:instrText>
          </w:r>
          <w:r>
            <w:fldChar w:fldCharType="separate"/>
          </w:r>
          <w:r>
            <w:rPr>
              <w:rStyle w:val="20"/>
              <w:rFonts w:hint="eastAsia" w:ascii="黑体" w:eastAsia="黑体"/>
            </w:rPr>
            <w:t>七、</w:t>
          </w:r>
          <w:r>
            <w:rPr>
              <w:rStyle w:val="20"/>
              <w:rFonts w:hint="eastAsia" w:ascii="黑体" w:hAnsi="黑体" w:eastAsia="黑体" w:cstheme="majorBidi"/>
              <w:bCs/>
            </w:rPr>
            <w:t>财政拨款</w:t>
          </w:r>
          <w:r>
            <w:rPr>
              <w:rStyle w:val="20"/>
              <w:rFonts w:ascii="黑体" w:hAnsi="黑体" w:eastAsia="黑体" w:cstheme="majorBidi"/>
              <w:b/>
              <w:bCs/>
            </w:rPr>
            <w:t>“</w:t>
          </w:r>
          <w:r>
            <w:rPr>
              <w:rStyle w:val="20"/>
              <w:rFonts w:hint="eastAsia" w:ascii="黑体" w:hAnsi="黑体" w:eastAsia="黑体" w:cstheme="majorBidi"/>
              <w:bCs/>
            </w:rPr>
            <w:t>三公”经费支出决算情况说明</w:t>
          </w:r>
          <w:r>
            <w:tab/>
          </w:r>
          <w:r>
            <w:fldChar w:fldCharType="begin"/>
          </w:r>
          <w:r>
            <w:instrText xml:space="preserve"> PAGEREF _Toc149203614 \h </w:instrText>
          </w:r>
          <w:r>
            <w:fldChar w:fldCharType="separate"/>
          </w:r>
          <w:r>
            <w:t>10</w:t>
          </w:r>
          <w:r>
            <w:fldChar w:fldCharType="end"/>
          </w:r>
          <w:r>
            <w:fldChar w:fldCharType="end"/>
          </w:r>
        </w:p>
        <w:p>
          <w:pPr>
            <w:pStyle w:val="8"/>
            <w:rPr>
              <w:rFonts w:asciiTheme="minorHAnsi" w:hAnsiTheme="minorHAnsi" w:eastAsiaTheme="minorEastAsia" w:cstheme="minorBidi"/>
              <w:szCs w:val="22"/>
            </w:rPr>
          </w:pPr>
          <w:r>
            <w:fldChar w:fldCharType="begin"/>
          </w:r>
          <w:r>
            <w:instrText xml:space="preserve"> HYPERLINK \l "_Toc149203615" </w:instrText>
          </w:r>
          <w:r>
            <w:fldChar w:fldCharType="separate"/>
          </w:r>
          <w:r>
            <w:rPr>
              <w:rStyle w:val="20"/>
              <w:rFonts w:hint="eastAsia" w:ascii="仿宋" w:hAnsi="仿宋" w:eastAsia="仿宋"/>
              <w:b/>
            </w:rPr>
            <w:t>（一）“三公”经费财政拨款支出决算总体情况说明</w:t>
          </w:r>
          <w:r>
            <w:tab/>
          </w:r>
          <w:r>
            <w:fldChar w:fldCharType="begin"/>
          </w:r>
          <w:r>
            <w:instrText xml:space="preserve"> PAGEREF _Toc149203615 \h </w:instrText>
          </w:r>
          <w:r>
            <w:fldChar w:fldCharType="separate"/>
          </w:r>
          <w:r>
            <w:t>10</w:t>
          </w:r>
          <w:r>
            <w:fldChar w:fldCharType="end"/>
          </w:r>
          <w:r>
            <w:fldChar w:fldCharType="end"/>
          </w:r>
        </w:p>
        <w:p>
          <w:pPr>
            <w:pStyle w:val="8"/>
            <w:rPr>
              <w:rFonts w:asciiTheme="minorHAnsi" w:hAnsiTheme="minorHAnsi" w:eastAsiaTheme="minorEastAsia" w:cstheme="minorBidi"/>
              <w:szCs w:val="22"/>
            </w:rPr>
          </w:pPr>
          <w:r>
            <w:fldChar w:fldCharType="begin"/>
          </w:r>
          <w:r>
            <w:instrText xml:space="preserve"> HYPERLINK \l "_Toc149203616" </w:instrText>
          </w:r>
          <w:r>
            <w:fldChar w:fldCharType="separate"/>
          </w:r>
          <w:r>
            <w:rPr>
              <w:rStyle w:val="20"/>
              <w:rFonts w:hint="eastAsia" w:ascii="仿宋" w:hAnsi="仿宋" w:eastAsia="仿宋"/>
              <w:b/>
            </w:rPr>
            <w:t>（二）“三公”经费财政拨款支出决算具体情况说明</w:t>
          </w:r>
          <w:r>
            <w:tab/>
          </w:r>
          <w:r>
            <w:fldChar w:fldCharType="begin"/>
          </w:r>
          <w:r>
            <w:instrText xml:space="preserve"> PAGEREF _Toc149203616 \h </w:instrText>
          </w:r>
          <w:r>
            <w:fldChar w:fldCharType="separate"/>
          </w:r>
          <w:r>
            <w:t>10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"_Toc149203617" </w:instrText>
          </w:r>
          <w:r>
            <w:fldChar w:fldCharType="separate"/>
          </w:r>
          <w:r>
            <w:rPr>
              <w:rStyle w:val="20"/>
              <w:rFonts w:hint="eastAsia" w:ascii="黑体" w:eastAsia="黑体"/>
            </w:rPr>
            <w:t>八、</w:t>
          </w:r>
          <w:r>
            <w:rPr>
              <w:rStyle w:val="20"/>
              <w:rFonts w:hint="eastAsia" w:ascii="黑体" w:hAnsi="黑体" w:eastAsia="黑体" w:cstheme="majorBidi"/>
              <w:bCs/>
            </w:rPr>
            <w:t>政府性基金预算支出决算情况说明</w:t>
          </w:r>
          <w:r>
            <w:tab/>
          </w:r>
          <w:r>
            <w:fldChar w:fldCharType="begin"/>
          </w:r>
          <w:r>
            <w:instrText xml:space="preserve"> PAGEREF _Toc149203617 \h </w:instrText>
          </w:r>
          <w:r>
            <w:fldChar w:fldCharType="separate"/>
          </w:r>
          <w:r>
            <w:t>12</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"_Toc149203618" </w:instrText>
          </w:r>
          <w:r>
            <w:fldChar w:fldCharType="separate"/>
          </w:r>
          <w:r>
            <w:rPr>
              <w:rStyle w:val="20"/>
              <w:rFonts w:hint="eastAsia" w:ascii="黑体" w:hAnsi="黑体" w:eastAsia="黑体" w:cstheme="majorBidi"/>
              <w:bCs/>
            </w:rPr>
            <w:t>九、 国有资本经营预算支出决算情况说明</w:t>
          </w:r>
          <w:r>
            <w:tab/>
          </w:r>
          <w:r>
            <w:fldChar w:fldCharType="begin"/>
          </w:r>
          <w:r>
            <w:instrText xml:space="preserve"> PAGEREF _Toc149203618 \h </w:instrText>
          </w:r>
          <w:r>
            <w:fldChar w:fldCharType="separate"/>
          </w:r>
          <w:r>
            <w:t>12</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"_Toc149203619" </w:instrText>
          </w:r>
          <w:r>
            <w:fldChar w:fldCharType="separate"/>
          </w:r>
          <w:r>
            <w:rPr>
              <w:rStyle w:val="20"/>
              <w:rFonts w:hint="eastAsia" w:ascii="黑体" w:hAnsi="黑体" w:eastAsia="黑体" w:cstheme="majorBidi"/>
              <w:bCs/>
            </w:rPr>
            <w:t>十、 其他重要事项的情况说明</w:t>
          </w:r>
          <w:r>
            <w:tab/>
          </w:r>
          <w:r>
            <w:fldChar w:fldCharType="begin"/>
          </w:r>
          <w:r>
            <w:instrText xml:space="preserve"> PAGEREF _Toc149203619 \h </w:instrText>
          </w:r>
          <w:r>
            <w:fldChar w:fldCharType="separate"/>
          </w:r>
          <w:r>
            <w:t>12</w:t>
          </w:r>
          <w:r>
            <w:fldChar w:fldCharType="end"/>
          </w:r>
          <w:r>
            <w:fldChar w:fldCharType="end"/>
          </w:r>
        </w:p>
        <w:p>
          <w:pPr>
            <w:pStyle w:val="8"/>
            <w:rPr>
              <w:rFonts w:asciiTheme="minorHAnsi" w:hAnsiTheme="minorHAnsi" w:eastAsiaTheme="minorEastAsia" w:cstheme="minorBidi"/>
              <w:szCs w:val="22"/>
            </w:rPr>
          </w:pPr>
          <w:r>
            <w:fldChar w:fldCharType="begin"/>
          </w:r>
          <w:r>
            <w:instrText xml:space="preserve"> HYPERLINK \l "_Toc149203620" </w:instrText>
          </w:r>
          <w:r>
            <w:fldChar w:fldCharType="separate"/>
          </w:r>
          <w:r>
            <w:rPr>
              <w:rStyle w:val="20"/>
              <w:rFonts w:hint="eastAsia" w:ascii="仿宋" w:hAnsi="仿宋" w:eastAsia="仿宋"/>
              <w:b/>
            </w:rPr>
            <w:t>（一）机关运行经费支出情况</w:t>
          </w:r>
          <w:r>
            <w:tab/>
          </w:r>
          <w:r>
            <w:fldChar w:fldCharType="begin"/>
          </w:r>
          <w:r>
            <w:instrText xml:space="preserve"> PAGEREF _Toc149203620 \h </w:instrText>
          </w:r>
          <w:r>
            <w:fldChar w:fldCharType="separate"/>
          </w:r>
          <w:r>
            <w:t>12</w:t>
          </w:r>
          <w:r>
            <w:fldChar w:fldCharType="end"/>
          </w:r>
          <w:r>
            <w:fldChar w:fldCharType="end"/>
          </w:r>
        </w:p>
        <w:p>
          <w:pPr>
            <w:pStyle w:val="8"/>
            <w:rPr>
              <w:rFonts w:asciiTheme="minorHAnsi" w:hAnsiTheme="minorHAnsi" w:eastAsiaTheme="minorEastAsia" w:cstheme="minorBidi"/>
              <w:szCs w:val="22"/>
            </w:rPr>
          </w:pPr>
          <w:r>
            <w:fldChar w:fldCharType="begin"/>
          </w:r>
          <w:r>
            <w:instrText xml:space="preserve"> HYPERLINK \l "_Toc149203621" </w:instrText>
          </w:r>
          <w:r>
            <w:fldChar w:fldCharType="separate"/>
          </w:r>
          <w:r>
            <w:rPr>
              <w:rStyle w:val="20"/>
              <w:rFonts w:hint="eastAsia" w:ascii="仿宋" w:hAnsi="仿宋" w:eastAsia="仿宋"/>
              <w:b/>
            </w:rPr>
            <w:t>（二）政府采购支出情况</w:t>
          </w:r>
          <w:r>
            <w:tab/>
          </w:r>
          <w:r>
            <w:fldChar w:fldCharType="begin"/>
          </w:r>
          <w:r>
            <w:instrText xml:space="preserve"> PAGEREF _Toc149203621 \h </w:instrText>
          </w:r>
          <w:r>
            <w:fldChar w:fldCharType="separate"/>
          </w:r>
          <w:r>
            <w:t>12</w:t>
          </w:r>
          <w:r>
            <w:fldChar w:fldCharType="end"/>
          </w:r>
          <w:r>
            <w:fldChar w:fldCharType="end"/>
          </w:r>
        </w:p>
        <w:p>
          <w:pPr>
            <w:pStyle w:val="8"/>
            <w:rPr>
              <w:rFonts w:asciiTheme="minorHAnsi" w:hAnsiTheme="minorHAnsi" w:eastAsiaTheme="minorEastAsia" w:cstheme="minorBidi"/>
              <w:szCs w:val="22"/>
            </w:rPr>
          </w:pPr>
          <w:r>
            <w:fldChar w:fldCharType="begin"/>
          </w:r>
          <w:r>
            <w:instrText xml:space="preserve"> HYPERLINK \l "_Toc149203622" </w:instrText>
          </w:r>
          <w:r>
            <w:fldChar w:fldCharType="separate"/>
          </w:r>
          <w:r>
            <w:rPr>
              <w:rStyle w:val="20"/>
              <w:rFonts w:hint="eastAsia" w:ascii="仿宋" w:hAnsi="仿宋" w:eastAsia="仿宋"/>
              <w:b/>
            </w:rPr>
            <w:t>（三）国有资产占有使用情况</w:t>
          </w:r>
          <w:r>
            <w:tab/>
          </w:r>
          <w:r>
            <w:fldChar w:fldCharType="begin"/>
          </w:r>
          <w:r>
            <w:instrText xml:space="preserve"> PAGEREF _Toc149203622 \h </w:instrText>
          </w:r>
          <w:r>
            <w:fldChar w:fldCharType="separate"/>
          </w:r>
          <w:r>
            <w:t>12</w:t>
          </w:r>
          <w:r>
            <w:fldChar w:fldCharType="end"/>
          </w:r>
          <w:r>
            <w:fldChar w:fldCharType="end"/>
          </w:r>
        </w:p>
        <w:p>
          <w:pPr>
            <w:pStyle w:val="8"/>
            <w:rPr>
              <w:rFonts w:asciiTheme="minorHAnsi" w:hAnsiTheme="minorHAnsi" w:eastAsiaTheme="minorEastAsia" w:cstheme="minorBidi"/>
              <w:szCs w:val="22"/>
            </w:rPr>
          </w:pPr>
          <w:r>
            <w:fldChar w:fldCharType="begin"/>
          </w:r>
          <w:r>
            <w:instrText xml:space="preserve"> HYPERLINK \l "_Toc149203623" </w:instrText>
          </w:r>
          <w:r>
            <w:fldChar w:fldCharType="separate"/>
          </w:r>
          <w:r>
            <w:rPr>
              <w:rStyle w:val="20"/>
              <w:rFonts w:hint="eastAsia" w:ascii="仿宋" w:hAnsi="仿宋" w:eastAsia="仿宋"/>
              <w:b/>
            </w:rPr>
            <w:t>（四）预算绩效管理情况</w:t>
          </w:r>
          <w:r>
            <w:tab/>
          </w:r>
          <w:r>
            <w:fldChar w:fldCharType="begin"/>
          </w:r>
          <w:r>
            <w:instrText xml:space="preserve"> PAGEREF _Toc149203623 \h </w:instrText>
          </w:r>
          <w:r>
            <w:fldChar w:fldCharType="separate"/>
          </w:r>
          <w:r>
            <w:t>13</w:t>
          </w:r>
          <w:r>
            <w:fldChar w:fldCharType="end"/>
          </w:r>
          <w:r>
            <w:fldChar w:fldCharType="end"/>
          </w:r>
        </w:p>
        <w:p>
          <w:pPr>
            <w:pStyle w:val="13"/>
            <w:rPr>
              <w:rFonts w:asciiTheme="minorHAnsi" w:hAnsiTheme="minorHAnsi" w:eastAsiaTheme="minorEastAsia" w:cstheme="minorBidi"/>
              <w:sz w:val="21"/>
              <w:szCs w:val="22"/>
            </w:rPr>
          </w:pPr>
          <w:r>
            <w:fldChar w:fldCharType="begin"/>
          </w:r>
          <w:r>
            <w:instrText xml:space="preserve"> HYPERLINK \l "_Toc149203624" </w:instrText>
          </w:r>
          <w:r>
            <w:fldChar w:fldCharType="separate"/>
          </w:r>
          <w:r>
            <w:rPr>
              <w:rStyle w:val="20"/>
              <w:rFonts w:hint="eastAsia" w:ascii="黑体" w:hAnsi="黑体" w:eastAsia="黑体"/>
              <w:bCs/>
              <w:kern w:val="44"/>
            </w:rPr>
            <w:t>第三部分</w:t>
          </w:r>
          <w:r>
            <w:rPr>
              <w:rStyle w:val="20"/>
              <w:rFonts w:hint="eastAsia" w:ascii="黑体" w:hAnsi="黑体" w:eastAsia="黑体"/>
            </w:rPr>
            <w:t xml:space="preserve"> 名</w:t>
          </w:r>
          <w:r>
            <w:rPr>
              <w:rStyle w:val="20"/>
              <w:rFonts w:hint="eastAsia" w:ascii="黑体" w:hAnsi="黑体" w:eastAsia="黑体"/>
              <w:bCs/>
              <w:kern w:val="44"/>
            </w:rPr>
            <w:t>词解释</w:t>
          </w:r>
          <w:r>
            <w:tab/>
          </w:r>
          <w:r>
            <w:fldChar w:fldCharType="begin"/>
          </w:r>
          <w:r>
            <w:instrText xml:space="preserve"> PAGEREF _Toc149203624 \h </w:instrText>
          </w:r>
          <w:r>
            <w:fldChar w:fldCharType="separate"/>
          </w:r>
          <w:r>
            <w:t>14</w:t>
          </w:r>
          <w:r>
            <w:fldChar w:fldCharType="end"/>
          </w:r>
          <w:r>
            <w:fldChar w:fldCharType="end"/>
          </w:r>
        </w:p>
        <w:p>
          <w:pPr>
            <w:pStyle w:val="13"/>
            <w:rPr>
              <w:rFonts w:asciiTheme="minorHAnsi" w:hAnsiTheme="minorHAnsi" w:eastAsiaTheme="minorEastAsia" w:cstheme="minorBidi"/>
              <w:sz w:val="21"/>
              <w:szCs w:val="22"/>
            </w:rPr>
          </w:pPr>
          <w:r>
            <w:fldChar w:fldCharType="begin"/>
          </w:r>
          <w:r>
            <w:instrText xml:space="preserve"> HYPERLINK \l "_Toc149203625" </w:instrText>
          </w:r>
          <w:r>
            <w:fldChar w:fldCharType="separate"/>
          </w:r>
          <w:r>
            <w:rPr>
              <w:rStyle w:val="20"/>
              <w:rFonts w:hint="eastAsia" w:ascii="黑体" w:hAnsi="黑体" w:eastAsia="黑体"/>
            </w:rPr>
            <w:t>第</w:t>
          </w:r>
          <w:r>
            <w:rPr>
              <w:rStyle w:val="20"/>
              <w:rFonts w:hint="eastAsia" w:ascii="黑体" w:hAnsi="黑体" w:eastAsia="黑体"/>
              <w:bCs/>
              <w:kern w:val="44"/>
            </w:rPr>
            <w:t>四部分</w:t>
          </w:r>
          <w:r>
            <w:rPr>
              <w:rStyle w:val="20"/>
              <w:rFonts w:ascii="黑体" w:hAnsi="黑体" w:eastAsia="黑体"/>
              <w:bCs/>
              <w:kern w:val="44"/>
            </w:rPr>
            <w:t xml:space="preserve"> </w:t>
          </w:r>
          <w:r>
            <w:rPr>
              <w:rStyle w:val="20"/>
              <w:rFonts w:hint="eastAsia" w:ascii="黑体" w:hAnsi="黑体" w:eastAsia="黑体"/>
              <w:bCs/>
              <w:kern w:val="44"/>
            </w:rPr>
            <w:t>附件</w:t>
          </w:r>
          <w:r>
            <w:tab/>
          </w:r>
          <w:r>
            <w:fldChar w:fldCharType="begin"/>
          </w:r>
          <w:r>
            <w:instrText xml:space="preserve"> PAGEREF _Toc149203625 \h </w:instrText>
          </w:r>
          <w:r>
            <w:fldChar w:fldCharType="separate"/>
          </w:r>
          <w:r>
            <w:t>22</w:t>
          </w:r>
          <w:r>
            <w:fldChar w:fldCharType="end"/>
          </w:r>
          <w:r>
            <w:fldChar w:fldCharType="end"/>
          </w:r>
        </w:p>
        <w:p>
          <w:pPr>
            <w:pStyle w:val="13"/>
            <w:rPr>
              <w:rFonts w:asciiTheme="minorHAnsi" w:hAnsiTheme="minorHAnsi" w:eastAsiaTheme="minorEastAsia" w:cstheme="minorBidi"/>
              <w:sz w:val="21"/>
              <w:szCs w:val="22"/>
            </w:rPr>
          </w:pPr>
          <w:r>
            <w:fldChar w:fldCharType="begin"/>
          </w:r>
          <w:r>
            <w:instrText xml:space="preserve"> HYPERLINK \l "_Toc149203626" </w:instrText>
          </w:r>
          <w:r>
            <w:fldChar w:fldCharType="separate"/>
          </w:r>
          <w:r>
            <w:rPr>
              <w:rStyle w:val="20"/>
              <w:rFonts w:hint="eastAsia" w:ascii="黑体" w:hAnsi="黑体" w:eastAsia="黑体" w:cs="黑体"/>
            </w:rPr>
            <w:t>附件</w:t>
          </w:r>
          <w:r>
            <w:tab/>
          </w:r>
          <w:r>
            <w:fldChar w:fldCharType="begin"/>
          </w:r>
          <w:r>
            <w:instrText xml:space="preserve"> PAGEREF _Toc149203626 \h </w:instrText>
          </w:r>
          <w:r>
            <w:fldChar w:fldCharType="separate"/>
          </w:r>
          <w:r>
            <w:t>22</w:t>
          </w:r>
          <w:r>
            <w:fldChar w:fldCharType="end"/>
          </w:r>
          <w:r>
            <w:fldChar w:fldCharType="end"/>
          </w:r>
        </w:p>
        <w:p>
          <w:pPr>
            <w:pStyle w:val="13"/>
            <w:rPr>
              <w:rFonts w:asciiTheme="minorHAnsi" w:hAnsiTheme="minorHAnsi" w:eastAsiaTheme="minorEastAsia" w:cstheme="minorBidi"/>
              <w:sz w:val="21"/>
              <w:szCs w:val="22"/>
            </w:rPr>
          </w:pPr>
          <w:r>
            <w:fldChar w:fldCharType="begin"/>
          </w:r>
          <w:r>
            <w:instrText xml:space="preserve"> HYPERLINK \l "_Toc149203627" </w:instrText>
          </w:r>
          <w:r>
            <w:fldChar w:fldCharType="separate"/>
          </w:r>
          <w:r>
            <w:rPr>
              <w:rStyle w:val="20"/>
              <w:rFonts w:hint="eastAsia" w:ascii="黑体" w:hAnsi="黑体" w:eastAsia="黑体"/>
            </w:rPr>
            <w:t>第</w:t>
          </w:r>
          <w:r>
            <w:rPr>
              <w:rStyle w:val="20"/>
              <w:rFonts w:hint="eastAsia" w:ascii="黑体" w:hAnsi="黑体" w:eastAsia="黑体"/>
              <w:bCs/>
              <w:kern w:val="44"/>
            </w:rPr>
            <w:t>五部分</w:t>
          </w:r>
          <w:r>
            <w:rPr>
              <w:rStyle w:val="20"/>
              <w:rFonts w:ascii="黑体" w:hAnsi="黑体" w:eastAsia="黑体"/>
              <w:bCs/>
              <w:kern w:val="44"/>
            </w:rPr>
            <w:t xml:space="preserve"> </w:t>
          </w:r>
          <w:r>
            <w:rPr>
              <w:rStyle w:val="20"/>
              <w:rFonts w:hint="eastAsia" w:ascii="黑体" w:hAnsi="黑体" w:eastAsia="黑体"/>
              <w:bCs/>
              <w:kern w:val="44"/>
            </w:rPr>
            <w:t>附表</w:t>
          </w:r>
          <w:r>
            <w:tab/>
          </w:r>
          <w:r>
            <w:fldChar w:fldCharType="begin"/>
          </w:r>
          <w:r>
            <w:instrText xml:space="preserve"> PAGEREF _Toc149203627 \h </w:instrText>
          </w:r>
          <w:r>
            <w:fldChar w:fldCharType="separate"/>
          </w:r>
          <w:r>
            <w:t>33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"_Toc149203628" </w:instrText>
          </w:r>
          <w:r>
            <w:fldChar w:fldCharType="separate"/>
          </w:r>
          <w:r>
            <w:rPr>
              <w:rStyle w:val="20"/>
              <w:rFonts w:hint="eastAsia" w:ascii="仿宋" w:hAnsi="仿宋" w:eastAsia="仿宋"/>
            </w:rPr>
            <w:t>一、收入支出决算总表</w:t>
          </w:r>
          <w:r>
            <w:tab/>
          </w:r>
          <w:r>
            <w:fldChar w:fldCharType="begin"/>
          </w:r>
          <w:r>
            <w:instrText xml:space="preserve"> PAGEREF _Toc149203628 \h </w:instrText>
          </w:r>
          <w:r>
            <w:fldChar w:fldCharType="separate"/>
          </w:r>
          <w:r>
            <w:t>33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"_Toc149203629" </w:instrText>
          </w:r>
          <w:r>
            <w:fldChar w:fldCharType="separate"/>
          </w:r>
          <w:r>
            <w:rPr>
              <w:rStyle w:val="20"/>
              <w:rFonts w:hint="eastAsia" w:ascii="仿宋" w:hAnsi="仿宋" w:eastAsia="仿宋"/>
            </w:rPr>
            <w:t>二、收入决算表</w:t>
          </w:r>
          <w:r>
            <w:tab/>
          </w:r>
          <w:r>
            <w:fldChar w:fldCharType="begin"/>
          </w:r>
          <w:r>
            <w:instrText xml:space="preserve"> PAGEREF _Toc149203629 \h </w:instrText>
          </w:r>
          <w:r>
            <w:fldChar w:fldCharType="separate"/>
          </w:r>
          <w:r>
            <w:t>33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"_Toc149203630" </w:instrText>
          </w:r>
          <w:r>
            <w:fldChar w:fldCharType="separate"/>
          </w:r>
          <w:r>
            <w:rPr>
              <w:rStyle w:val="20"/>
              <w:rFonts w:hint="eastAsia" w:ascii="仿宋" w:hAnsi="仿宋" w:eastAsia="仿宋"/>
            </w:rPr>
            <w:t>三、支出决算表</w:t>
          </w:r>
          <w:r>
            <w:tab/>
          </w:r>
          <w:r>
            <w:fldChar w:fldCharType="begin"/>
          </w:r>
          <w:r>
            <w:instrText xml:space="preserve"> PAGEREF _Toc149203630 \h </w:instrText>
          </w:r>
          <w:r>
            <w:fldChar w:fldCharType="separate"/>
          </w:r>
          <w:r>
            <w:t>33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"_Toc149203631" </w:instrText>
          </w:r>
          <w:r>
            <w:fldChar w:fldCharType="separate"/>
          </w:r>
          <w:r>
            <w:rPr>
              <w:rStyle w:val="20"/>
              <w:rFonts w:hint="eastAsia" w:ascii="仿宋" w:hAnsi="仿宋" w:eastAsia="仿宋"/>
            </w:rPr>
            <w:t>四、财政拨款收入支出决算总表</w:t>
          </w:r>
          <w:r>
            <w:tab/>
          </w:r>
          <w:r>
            <w:fldChar w:fldCharType="begin"/>
          </w:r>
          <w:r>
            <w:instrText xml:space="preserve"> PAGEREF _Toc149203631 \h </w:instrText>
          </w:r>
          <w:r>
            <w:fldChar w:fldCharType="separate"/>
          </w:r>
          <w:r>
            <w:t>33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"_Toc149203632" </w:instrText>
          </w:r>
          <w:r>
            <w:fldChar w:fldCharType="separate"/>
          </w:r>
          <w:r>
            <w:rPr>
              <w:rStyle w:val="20"/>
              <w:rFonts w:hint="eastAsia" w:ascii="仿宋" w:hAnsi="仿宋" w:eastAsia="仿宋"/>
            </w:rPr>
            <w:t>五、财政拨款支出决算明细表</w:t>
          </w:r>
          <w:r>
            <w:tab/>
          </w:r>
          <w:r>
            <w:fldChar w:fldCharType="begin"/>
          </w:r>
          <w:r>
            <w:instrText xml:space="preserve"> PAGEREF _Toc149203632 \h </w:instrText>
          </w:r>
          <w:r>
            <w:fldChar w:fldCharType="separate"/>
          </w:r>
          <w:r>
            <w:t>33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"_Toc149203633" </w:instrText>
          </w:r>
          <w:r>
            <w:fldChar w:fldCharType="separate"/>
          </w:r>
          <w:r>
            <w:rPr>
              <w:rStyle w:val="20"/>
              <w:rFonts w:hint="eastAsia" w:ascii="仿宋" w:hAnsi="仿宋" w:eastAsia="仿宋"/>
            </w:rPr>
            <w:t>六、一般公共预算财政拨款支出决算表</w:t>
          </w:r>
          <w:r>
            <w:tab/>
          </w:r>
          <w:r>
            <w:fldChar w:fldCharType="begin"/>
          </w:r>
          <w:r>
            <w:instrText xml:space="preserve"> PAGEREF _Toc149203633 \h </w:instrText>
          </w:r>
          <w:r>
            <w:fldChar w:fldCharType="separate"/>
          </w:r>
          <w:r>
            <w:t>33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"_Toc149203634" </w:instrText>
          </w:r>
          <w:r>
            <w:fldChar w:fldCharType="separate"/>
          </w:r>
          <w:r>
            <w:rPr>
              <w:rStyle w:val="20"/>
              <w:rFonts w:hint="eastAsia" w:ascii="仿宋" w:hAnsi="仿宋" w:eastAsia="仿宋"/>
            </w:rPr>
            <w:t>七、一般公共预算财政拨款支出决算明细表</w:t>
          </w:r>
          <w:r>
            <w:tab/>
          </w:r>
          <w:r>
            <w:fldChar w:fldCharType="begin"/>
          </w:r>
          <w:r>
            <w:instrText xml:space="preserve"> PAGEREF _Toc149203634 \h </w:instrText>
          </w:r>
          <w:r>
            <w:fldChar w:fldCharType="separate"/>
          </w:r>
          <w:r>
            <w:t>33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"_Toc149203635" </w:instrText>
          </w:r>
          <w:r>
            <w:fldChar w:fldCharType="separate"/>
          </w:r>
          <w:r>
            <w:rPr>
              <w:rStyle w:val="20"/>
              <w:rFonts w:hint="eastAsia" w:ascii="仿宋" w:hAnsi="仿宋" w:eastAsia="仿宋"/>
            </w:rPr>
            <w:t>八、一般公共预算财政拨款基本支出决算表</w:t>
          </w:r>
          <w:r>
            <w:tab/>
          </w:r>
          <w:r>
            <w:fldChar w:fldCharType="begin"/>
          </w:r>
          <w:r>
            <w:instrText xml:space="preserve"> PAGEREF _Toc149203635 \h </w:instrText>
          </w:r>
          <w:r>
            <w:fldChar w:fldCharType="separate"/>
          </w:r>
          <w:r>
            <w:t>33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"_Toc149203636" </w:instrText>
          </w:r>
          <w:r>
            <w:fldChar w:fldCharType="separate"/>
          </w:r>
          <w:r>
            <w:rPr>
              <w:rStyle w:val="20"/>
              <w:rFonts w:hint="eastAsia" w:ascii="仿宋" w:hAnsi="仿宋" w:eastAsia="仿宋"/>
            </w:rPr>
            <w:t>九、一般公共预算财政拨款项目支出决算表</w:t>
          </w:r>
          <w:r>
            <w:tab/>
          </w:r>
          <w:r>
            <w:fldChar w:fldCharType="begin"/>
          </w:r>
          <w:r>
            <w:instrText xml:space="preserve"> PAGEREF _Toc149203636 \h </w:instrText>
          </w:r>
          <w:r>
            <w:fldChar w:fldCharType="separate"/>
          </w:r>
          <w:r>
            <w:t>33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"_Toc149203637" </w:instrText>
          </w:r>
          <w:r>
            <w:fldChar w:fldCharType="separate"/>
          </w:r>
          <w:r>
            <w:rPr>
              <w:rStyle w:val="20"/>
              <w:rFonts w:hint="eastAsia" w:ascii="仿宋" w:hAnsi="仿宋" w:eastAsia="仿宋"/>
            </w:rPr>
            <w:t>十、政府性基金预算财政拨款收入支出决算表</w:t>
          </w:r>
          <w:r>
            <w:tab/>
          </w:r>
          <w:r>
            <w:fldChar w:fldCharType="begin"/>
          </w:r>
          <w:r>
            <w:instrText xml:space="preserve"> PAGEREF _Toc149203637 \h </w:instrText>
          </w:r>
          <w:r>
            <w:fldChar w:fldCharType="separate"/>
          </w:r>
          <w:r>
            <w:t>33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"_Toc149203638" </w:instrText>
          </w:r>
          <w:r>
            <w:fldChar w:fldCharType="separate"/>
          </w:r>
          <w:r>
            <w:rPr>
              <w:rStyle w:val="20"/>
              <w:rFonts w:hint="eastAsia" w:ascii="仿宋" w:hAnsi="仿宋" w:eastAsia="仿宋"/>
            </w:rPr>
            <w:t>十一、国有资本经营预算财政拨款收入支出决算表</w:t>
          </w:r>
          <w:r>
            <w:tab/>
          </w:r>
          <w:r>
            <w:fldChar w:fldCharType="begin"/>
          </w:r>
          <w:r>
            <w:instrText xml:space="preserve"> PAGEREF _Toc149203638 \h </w:instrText>
          </w:r>
          <w:r>
            <w:fldChar w:fldCharType="separate"/>
          </w:r>
          <w:r>
            <w:t>33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"_Toc149203639" </w:instrText>
          </w:r>
          <w:r>
            <w:fldChar w:fldCharType="separate"/>
          </w:r>
          <w:r>
            <w:rPr>
              <w:rStyle w:val="20"/>
              <w:rFonts w:hint="eastAsia" w:ascii="仿宋" w:hAnsi="仿宋" w:eastAsia="仿宋"/>
            </w:rPr>
            <w:t>十二、国有资本经营预算财政拨款支出决算表</w:t>
          </w:r>
          <w:r>
            <w:tab/>
          </w:r>
          <w:r>
            <w:fldChar w:fldCharType="begin"/>
          </w:r>
          <w:r>
            <w:instrText xml:space="preserve"> PAGEREF _Toc149203639 \h </w:instrText>
          </w:r>
          <w:r>
            <w:fldChar w:fldCharType="separate"/>
          </w:r>
          <w:r>
            <w:t>33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"_Toc149203640" </w:instrText>
          </w:r>
          <w:r>
            <w:fldChar w:fldCharType="separate"/>
          </w:r>
          <w:r>
            <w:rPr>
              <w:rStyle w:val="20"/>
              <w:rFonts w:hint="eastAsia" w:ascii="仿宋" w:hAnsi="仿宋" w:eastAsia="仿宋"/>
            </w:rPr>
            <w:t>十三、财政拨款“三公”经费支出决算表</w:t>
          </w:r>
          <w:r>
            <w:tab/>
          </w:r>
          <w:r>
            <w:fldChar w:fldCharType="begin"/>
          </w:r>
          <w:r>
            <w:instrText xml:space="preserve"> PAGEREF _Toc149203640 \h </w:instrText>
          </w:r>
          <w:r>
            <w:fldChar w:fldCharType="separate"/>
          </w:r>
          <w:r>
            <w:t>33</w:t>
          </w:r>
          <w:r>
            <w:fldChar w:fldCharType="end"/>
          </w:r>
          <w:r>
            <w:fldChar w:fldCharType="end"/>
          </w:r>
        </w:p>
        <w:p>
          <w:r>
            <w:fldChar w:fldCharType="end"/>
          </w:r>
        </w:p>
      </w:sdtContent>
    </w:sdt>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spacing w:line="240" w:lineRule="auto"/>
        <w:jc w:val="center"/>
        <w:rPr>
          <w:rStyle w:val="30"/>
          <w:rFonts w:ascii="黑体" w:hAnsi="黑体" w:eastAsia="黑体"/>
          <w:b/>
          <w:bCs w:val="0"/>
        </w:rPr>
      </w:pPr>
      <w:bookmarkStart w:id="16" w:name="_Toc149203598"/>
      <w:r>
        <w:rPr>
          <w:rFonts w:hint="eastAsia" w:ascii="黑体" w:hAnsi="黑体" w:eastAsia="黑体"/>
          <w:b w:val="0"/>
        </w:rPr>
        <w:t xml:space="preserve">第一部分 </w:t>
      </w:r>
      <w:r>
        <w:rPr>
          <w:rStyle w:val="30"/>
          <w:rFonts w:hint="eastAsia" w:ascii="黑体" w:hAnsi="黑体" w:eastAsia="黑体"/>
          <w:b w:val="0"/>
          <w:bCs w:val="0"/>
        </w:rPr>
        <w:t>部门概况</w:t>
      </w:r>
      <w:bookmarkEnd w:id="14"/>
      <w:bookmarkEnd w:id="15"/>
      <w:bookmarkEnd w:id="16"/>
    </w:p>
    <w:p>
      <w:pPr>
        <w:widowControl/>
        <w:jc w:val="left"/>
        <w:rPr>
          <w:rFonts w:ascii="黑体" w:eastAsia="黑体"/>
          <w:sz w:val="32"/>
          <w:szCs w:val="32"/>
        </w:rPr>
      </w:pPr>
    </w:p>
    <w:p>
      <w:pPr>
        <w:pStyle w:val="4"/>
        <w:numPr>
          <w:ilvl w:val="0"/>
          <w:numId w:val="1"/>
        </w:numPr>
        <w:spacing w:line="240" w:lineRule="auto"/>
        <w:rPr>
          <w:rFonts w:ascii="黑体" w:hAnsi="黑体" w:eastAsia="黑体"/>
          <w:b w:val="0"/>
        </w:rPr>
      </w:pPr>
      <w:bookmarkStart w:id="17" w:name="_Toc149203599"/>
      <w:r>
        <w:rPr>
          <w:rFonts w:hint="eastAsia" w:ascii="黑体" w:hAnsi="黑体" w:eastAsia="黑体"/>
          <w:b w:val="0"/>
        </w:rPr>
        <w:t>部门职责</w:t>
      </w:r>
      <w:bookmarkEnd w:id="17"/>
    </w:p>
    <w:p>
      <w:pPr>
        <w:ind w:firstLine="640" w:firstLineChars="200"/>
        <w:rPr>
          <w:rFonts w:ascii="仿宋_GB2312" w:eastAsia="仿宋_GB2312"/>
          <w:sz w:val="32"/>
          <w:szCs w:val="32"/>
        </w:rPr>
      </w:pPr>
      <w:r>
        <w:rPr>
          <w:rFonts w:hint="eastAsia" w:ascii="仿宋_GB2312" w:eastAsia="仿宋_GB2312"/>
          <w:sz w:val="32"/>
          <w:szCs w:val="32"/>
        </w:rPr>
        <w:t>接受西区人民政府的委托，保护辖区矿产资源。在西区人民政府预防和打击非法采矿行为领导小组的领导下，统筹协调相关部门，组织相关人员履行对辖区范围内的打击私挖滥采矿产资源工作职能。联系市自然资源和规划局、市自然资源和规划局西区分局，在市、区自然资源和规划部门的指导下开展好辖区范围内的依法打击私挖滥采矿产资源工作。了解辖区内矿产资源开发情况，加强对矿产资源的监管和巡查，会同相关部门严厉打击私挖滥采矿产资源的行为。</w:t>
      </w:r>
      <w:r>
        <w:rPr>
          <w:rFonts w:hint="eastAsia" w:eastAsia="仿宋_GB2312"/>
          <w:sz w:val="32"/>
          <w:szCs w:val="32"/>
        </w:rPr>
        <w:t> </w:t>
      </w:r>
      <w:r>
        <w:rPr>
          <w:rFonts w:hint="eastAsia" w:ascii="仿宋_GB2312" w:eastAsia="仿宋_GB2312"/>
          <w:sz w:val="32"/>
          <w:szCs w:val="32"/>
        </w:rPr>
        <w:t>指导乡镇</w:t>
      </w:r>
      <w:r>
        <w:rPr>
          <w:rFonts w:hint="eastAsia" w:eastAsia="仿宋_GB2312"/>
          <w:sz w:val="32"/>
          <w:szCs w:val="32"/>
        </w:rPr>
        <w:t> </w:t>
      </w:r>
      <w:r>
        <w:rPr>
          <w:rFonts w:hint="eastAsia" w:ascii="仿宋_GB2312" w:eastAsia="仿宋_GB2312"/>
          <w:sz w:val="32"/>
          <w:szCs w:val="32"/>
        </w:rPr>
        <w:t>（街道）对辖区范围内的矿产资源开采活动进行监督和巡查工作。接受群众举报，组织依法封堵非法矿井。</w:t>
      </w:r>
    </w:p>
    <w:p>
      <w:pPr>
        <w:pStyle w:val="4"/>
        <w:spacing w:line="240" w:lineRule="auto"/>
        <w:rPr>
          <w:rStyle w:val="31"/>
          <w:b w:val="0"/>
          <w:bCs w:val="0"/>
        </w:rPr>
      </w:pPr>
      <w:bookmarkStart w:id="18" w:name="_Toc15377200"/>
      <w:bookmarkStart w:id="19" w:name="_Toc15396601"/>
      <w:bookmarkStart w:id="20" w:name="_Toc149203600"/>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18"/>
      <w:bookmarkEnd w:id="19"/>
      <w:bookmarkEnd w:id="20"/>
    </w:p>
    <w:p>
      <w:pPr>
        <w:ind w:firstLine="640" w:firstLineChars="200"/>
        <w:rPr>
          <w:rFonts w:ascii="仿宋_GB2312" w:eastAsia="仿宋_GB2312"/>
          <w:sz w:val="32"/>
          <w:szCs w:val="32"/>
        </w:rPr>
      </w:pPr>
      <w:r>
        <w:rPr>
          <w:rFonts w:hint="eastAsia" w:ascii="仿宋_GB2312" w:eastAsia="仿宋_GB2312"/>
          <w:sz w:val="32"/>
          <w:szCs w:val="32"/>
        </w:rPr>
        <w:t>攀枝花市西区矿产资源保护中心属西区人民政府一级事业单位，下属二级预算单位0个，其中行政单位0个，参照公务员法管理的事业单位0个，其他事业单位0个。</w:t>
      </w:r>
    </w:p>
    <w:p>
      <w:pPr>
        <w:ind w:firstLine="640" w:firstLineChars="200"/>
        <w:rPr>
          <w:rFonts w:ascii="仿宋_GB2312" w:eastAsia="仿宋_GB2312"/>
          <w:sz w:val="32"/>
          <w:szCs w:val="32"/>
        </w:rPr>
      </w:pPr>
      <w:r>
        <w:rPr>
          <w:rFonts w:hint="eastAsia" w:ascii="仿宋_GB2312" w:eastAsia="仿宋_GB2312"/>
          <w:sz w:val="32"/>
          <w:szCs w:val="32"/>
        </w:rPr>
        <w:t>纳入攀枝花市西区矿产资源保护中心2022年度部门决算编制范围的二级预算单位0个</w:t>
      </w:r>
    </w:p>
    <w:p>
      <w:pPr>
        <w:widowControl/>
        <w:jc w:val="left"/>
        <w:rPr>
          <w:rFonts w:ascii="仿宋" w:hAnsi="仿宋" w:eastAsia="仿宋"/>
          <w:kern w:val="0"/>
          <w:sz w:val="32"/>
          <w:szCs w:val="32"/>
        </w:rPr>
      </w:pPr>
      <w:r>
        <w:rPr>
          <w:rFonts w:ascii="仿宋" w:hAnsi="仿宋" w:eastAsia="仿宋"/>
          <w:sz w:val="32"/>
          <w:szCs w:val="32"/>
        </w:rPr>
        <w:br w:type="page"/>
      </w:r>
    </w:p>
    <w:p>
      <w:pPr>
        <w:pStyle w:val="3"/>
        <w:spacing w:line="240" w:lineRule="auto"/>
        <w:ind w:right="440"/>
        <w:jc w:val="center"/>
        <w:rPr>
          <w:rStyle w:val="30"/>
          <w:rFonts w:ascii="黑体" w:hAnsi="黑体" w:eastAsia="黑体"/>
          <w:b w:val="0"/>
          <w:bCs/>
        </w:rPr>
      </w:pPr>
      <w:bookmarkStart w:id="21" w:name="_Toc149203601"/>
      <w:bookmarkStart w:id="22" w:name="_Toc15396602"/>
      <w:bookmarkStart w:id="23" w:name="_Toc15377204"/>
      <w:r>
        <w:rPr>
          <w:rFonts w:hint="eastAsia" w:ascii="黑体" w:hAnsi="黑体" w:eastAsia="黑体"/>
          <w:b w:val="0"/>
        </w:rPr>
        <w:t>第二部分 2022年度</w:t>
      </w:r>
      <w:r>
        <w:rPr>
          <w:rStyle w:val="30"/>
          <w:rFonts w:hint="eastAsia" w:ascii="黑体" w:hAnsi="黑体" w:eastAsia="黑体"/>
          <w:b w:val="0"/>
          <w:bCs/>
        </w:rPr>
        <w:t>部门决算情况说明</w:t>
      </w:r>
      <w:bookmarkEnd w:id="21"/>
      <w:bookmarkEnd w:id="22"/>
      <w:bookmarkEnd w:id="23"/>
    </w:p>
    <w:p/>
    <w:p>
      <w:pPr>
        <w:pStyle w:val="29"/>
        <w:numPr>
          <w:ilvl w:val="0"/>
          <w:numId w:val="2"/>
        </w:numPr>
        <w:ind w:firstLineChars="0"/>
        <w:outlineLvl w:val="1"/>
        <w:rPr>
          <w:rStyle w:val="31"/>
          <w:rFonts w:ascii="黑体" w:hAnsi="黑体" w:eastAsia="黑体"/>
          <w:b w:val="0"/>
        </w:rPr>
      </w:pPr>
      <w:bookmarkStart w:id="24" w:name="_Toc149203602"/>
      <w:bookmarkStart w:id="25" w:name="_Toc15377205"/>
      <w:bookmarkStart w:id="26" w:name="_Toc15396603"/>
      <w:r>
        <w:rPr>
          <w:rFonts w:hint="eastAsia" w:ascii="黑体" w:hAnsi="黑体" w:eastAsia="黑体"/>
          <w:sz w:val="32"/>
          <w:szCs w:val="32"/>
        </w:rPr>
        <w:t>收</w:t>
      </w:r>
      <w:r>
        <w:rPr>
          <w:rStyle w:val="31"/>
          <w:rFonts w:hint="eastAsia" w:ascii="黑体" w:hAnsi="黑体" w:eastAsia="黑体"/>
          <w:b w:val="0"/>
        </w:rPr>
        <w:t>入支出决算总体情况说明</w:t>
      </w:r>
      <w:bookmarkEnd w:id="24"/>
      <w:bookmarkEnd w:id="25"/>
      <w:bookmarkEnd w:id="26"/>
    </w:p>
    <w:p>
      <w:pPr>
        <w:ind w:firstLine="640" w:firstLineChars="200"/>
        <w:rPr>
          <w:rFonts w:ascii="仿宋" w:hAnsi="仿宋" w:eastAsia="仿宋"/>
          <w:sz w:val="32"/>
          <w:szCs w:val="32"/>
        </w:rPr>
      </w:pPr>
      <w:r>
        <w:rPr>
          <w:rFonts w:hint="eastAsia" w:ascii="仿宋" w:hAnsi="仿宋" w:eastAsia="仿宋"/>
          <w:sz w:val="32"/>
          <w:szCs w:val="32"/>
        </w:rPr>
        <w:t>2022年度收、支总计2</w:t>
      </w:r>
      <w:r>
        <w:rPr>
          <w:rFonts w:ascii="仿宋" w:hAnsi="仿宋" w:eastAsia="仿宋"/>
          <w:sz w:val="32"/>
          <w:szCs w:val="32"/>
        </w:rPr>
        <w:t>07.77</w:t>
      </w:r>
      <w:r>
        <w:rPr>
          <w:rFonts w:hint="eastAsia" w:ascii="仿宋" w:hAnsi="仿宋" w:eastAsia="仿宋"/>
          <w:sz w:val="32"/>
          <w:szCs w:val="32"/>
        </w:rPr>
        <w:t>万元，与2021年相比，收、支总计各减少</w:t>
      </w:r>
      <w:r>
        <w:rPr>
          <w:rFonts w:ascii="仿宋" w:hAnsi="仿宋" w:eastAsia="仿宋"/>
          <w:sz w:val="32"/>
          <w:szCs w:val="32"/>
        </w:rPr>
        <w:t>15.43</w:t>
      </w:r>
      <w:r>
        <w:rPr>
          <w:rFonts w:hint="eastAsia" w:ascii="仿宋" w:hAnsi="仿宋" w:eastAsia="仿宋"/>
          <w:sz w:val="32"/>
          <w:szCs w:val="32"/>
        </w:rPr>
        <w:t>万元，下降6</w:t>
      </w:r>
      <w:r>
        <w:rPr>
          <w:rFonts w:ascii="仿宋" w:hAnsi="仿宋" w:eastAsia="仿宋"/>
          <w:sz w:val="32"/>
          <w:szCs w:val="32"/>
        </w:rPr>
        <w:t>.91%</w:t>
      </w:r>
      <w:r>
        <w:rPr>
          <w:rFonts w:hint="eastAsia" w:ascii="仿宋" w:hAnsi="仿宋" w:eastAsia="仿宋"/>
          <w:sz w:val="32"/>
          <w:szCs w:val="32"/>
        </w:rPr>
        <w:t>。主要变动原因是政府性基金预算财政拨款收支减少，项目经费减少。</w:t>
      </w:r>
    </w:p>
    <w:p>
      <w:pPr>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spacing w:before="93"/>
      </w:pPr>
      <w:r>
        <w:rPr>
          <w:rFonts w:hint="eastAsia"/>
        </w:rPr>
        <w:drawing>
          <wp:inline distT="0" distB="0" distL="0" distR="0">
            <wp:extent cx="5274310" cy="307657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9"/>
        <w:numPr>
          <w:ilvl w:val="0"/>
          <w:numId w:val="2"/>
        </w:numPr>
        <w:ind w:firstLineChars="0"/>
        <w:outlineLvl w:val="1"/>
        <w:rPr>
          <w:rStyle w:val="31"/>
          <w:rFonts w:ascii="黑体" w:hAnsi="黑体" w:eastAsia="黑体"/>
          <w:b w:val="0"/>
        </w:rPr>
      </w:pPr>
      <w:bookmarkStart w:id="27" w:name="_Toc15396604"/>
      <w:bookmarkStart w:id="28" w:name="_Toc149203603"/>
      <w:bookmarkStart w:id="29" w:name="_Toc15377206"/>
      <w:r>
        <w:rPr>
          <w:rFonts w:hint="eastAsia" w:ascii="黑体" w:hAnsi="黑体" w:eastAsia="黑体"/>
          <w:sz w:val="32"/>
          <w:szCs w:val="32"/>
        </w:rPr>
        <w:t>收</w:t>
      </w:r>
      <w:r>
        <w:rPr>
          <w:rStyle w:val="31"/>
          <w:rFonts w:hint="eastAsia" w:ascii="黑体" w:hAnsi="黑体" w:eastAsia="黑体"/>
          <w:b w:val="0"/>
        </w:rPr>
        <w:t>入决算情况说明</w:t>
      </w:r>
      <w:bookmarkEnd w:id="27"/>
      <w:bookmarkEnd w:id="28"/>
      <w:bookmarkEnd w:id="29"/>
    </w:p>
    <w:p>
      <w:pPr>
        <w:ind w:firstLine="640" w:firstLineChars="200"/>
        <w:outlineLvl w:val="1"/>
        <w:rPr>
          <w:rFonts w:ascii="仿宋" w:hAnsi="仿宋" w:eastAsia="仿宋"/>
          <w:sz w:val="32"/>
          <w:szCs w:val="32"/>
        </w:rPr>
      </w:pPr>
      <w:bookmarkStart w:id="30" w:name="_Toc149203604"/>
      <w:r>
        <w:rPr>
          <w:rFonts w:ascii="仿宋" w:hAnsi="仿宋" w:eastAsia="仿宋"/>
          <w:sz w:val="32"/>
          <w:szCs w:val="32"/>
        </w:rPr>
        <w:t>20</w:t>
      </w:r>
      <w:r>
        <w:rPr>
          <w:rFonts w:hint="eastAsia" w:ascii="仿宋" w:hAnsi="仿宋" w:eastAsia="仿宋"/>
          <w:sz w:val="32"/>
          <w:szCs w:val="32"/>
        </w:rPr>
        <w:t>22年本年收入合计</w:t>
      </w:r>
      <w:r>
        <w:rPr>
          <w:rFonts w:ascii="仿宋" w:hAnsi="仿宋" w:eastAsia="仿宋"/>
          <w:sz w:val="32"/>
          <w:szCs w:val="32"/>
        </w:rPr>
        <w:t>179.22</w:t>
      </w:r>
      <w:r>
        <w:rPr>
          <w:rFonts w:hint="eastAsia" w:ascii="仿宋" w:hAnsi="仿宋" w:eastAsia="仿宋"/>
          <w:sz w:val="32"/>
          <w:szCs w:val="32"/>
        </w:rPr>
        <w:t>万元，其中：一般公共预算财政拨款收入</w:t>
      </w:r>
      <w:r>
        <w:rPr>
          <w:rFonts w:ascii="仿宋" w:hAnsi="仿宋" w:eastAsia="仿宋"/>
          <w:sz w:val="32"/>
          <w:szCs w:val="32"/>
        </w:rPr>
        <w:t>153.87</w:t>
      </w:r>
      <w:r>
        <w:rPr>
          <w:rFonts w:hint="eastAsia" w:ascii="仿宋" w:hAnsi="仿宋" w:eastAsia="仿宋"/>
          <w:sz w:val="32"/>
          <w:szCs w:val="32"/>
        </w:rPr>
        <w:t>万元，占8</w:t>
      </w:r>
      <w:r>
        <w:rPr>
          <w:rFonts w:ascii="仿宋" w:hAnsi="仿宋" w:eastAsia="仿宋"/>
          <w:sz w:val="32"/>
          <w:szCs w:val="32"/>
        </w:rPr>
        <w:t>5.86%</w:t>
      </w:r>
      <w:r>
        <w:rPr>
          <w:rFonts w:hint="eastAsia" w:ascii="仿宋" w:hAnsi="仿宋" w:eastAsia="仿宋"/>
          <w:sz w:val="32"/>
          <w:szCs w:val="32"/>
        </w:rPr>
        <w:t>；政府性基金预算财政拨款收入2</w:t>
      </w:r>
      <w:r>
        <w:rPr>
          <w:rFonts w:ascii="仿宋" w:hAnsi="仿宋" w:eastAsia="仿宋"/>
          <w:sz w:val="32"/>
          <w:szCs w:val="32"/>
        </w:rPr>
        <w:t>5.35</w:t>
      </w:r>
      <w:r>
        <w:rPr>
          <w:rFonts w:hint="eastAsia" w:ascii="仿宋" w:hAnsi="仿宋" w:eastAsia="仿宋"/>
          <w:sz w:val="32"/>
          <w:szCs w:val="32"/>
        </w:rPr>
        <w:t>万元，占1</w:t>
      </w:r>
      <w:r>
        <w:rPr>
          <w:rFonts w:ascii="仿宋" w:hAnsi="仿宋" w:eastAsia="仿宋"/>
          <w:sz w:val="32"/>
          <w:szCs w:val="32"/>
        </w:rPr>
        <w:t>4.14%</w:t>
      </w:r>
      <w:r>
        <w:rPr>
          <w:rFonts w:hint="eastAsia" w:ascii="仿宋" w:hAnsi="仿宋" w:eastAsia="仿宋"/>
          <w:sz w:val="32"/>
          <w:szCs w:val="32"/>
        </w:rPr>
        <w:t>；国有资本经营预算财政拨款收入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；上级补助收入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；经营收入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；附属单位上缴收入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；其他收入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w:t>
      </w:r>
      <w:bookmarkEnd w:id="30"/>
    </w:p>
    <w:p>
      <w:pPr>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
        <w:spacing w:before="93"/>
      </w:pPr>
      <w:r>
        <w:rPr>
          <w:rFonts w:hint="eastAsia"/>
        </w:rPr>
        <w:drawing>
          <wp:inline distT="0" distB="0" distL="0" distR="0">
            <wp:extent cx="5274310" cy="2638425"/>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9"/>
        <w:numPr>
          <w:ilvl w:val="0"/>
          <w:numId w:val="2"/>
        </w:numPr>
        <w:ind w:firstLineChars="0"/>
        <w:outlineLvl w:val="1"/>
        <w:rPr>
          <w:rStyle w:val="31"/>
          <w:rFonts w:ascii="黑体" w:hAnsi="黑体" w:eastAsia="黑体"/>
          <w:b w:val="0"/>
        </w:rPr>
      </w:pPr>
      <w:bookmarkStart w:id="31" w:name="_Toc149203605"/>
      <w:bookmarkStart w:id="32" w:name="_Toc15396605"/>
      <w:bookmarkStart w:id="33" w:name="_Toc15377207"/>
      <w:r>
        <w:rPr>
          <w:rFonts w:hint="eastAsia" w:ascii="黑体" w:hAnsi="黑体" w:eastAsia="黑体"/>
          <w:sz w:val="32"/>
          <w:szCs w:val="32"/>
        </w:rPr>
        <w:t>支</w:t>
      </w:r>
      <w:r>
        <w:rPr>
          <w:rStyle w:val="31"/>
          <w:rFonts w:hint="eastAsia" w:ascii="黑体" w:hAnsi="黑体" w:eastAsia="黑体"/>
          <w:b w:val="0"/>
        </w:rPr>
        <w:t>出决算情况说明</w:t>
      </w:r>
      <w:bookmarkEnd w:id="31"/>
      <w:bookmarkEnd w:id="32"/>
      <w:bookmarkEnd w:id="33"/>
    </w:p>
    <w:p>
      <w:pPr>
        <w:ind w:firstLine="640" w:firstLineChars="200"/>
        <w:outlineLvl w:val="1"/>
        <w:rPr>
          <w:rFonts w:ascii="仿宋" w:hAnsi="仿宋" w:eastAsia="仿宋"/>
          <w:sz w:val="32"/>
          <w:szCs w:val="32"/>
        </w:rPr>
      </w:pPr>
      <w:bookmarkStart w:id="34" w:name="_Toc149203606"/>
      <w:r>
        <w:rPr>
          <w:rFonts w:ascii="仿宋" w:hAnsi="仿宋" w:eastAsia="仿宋"/>
          <w:sz w:val="32"/>
          <w:szCs w:val="32"/>
        </w:rPr>
        <w:t>20</w:t>
      </w:r>
      <w:r>
        <w:rPr>
          <w:rFonts w:hint="eastAsia" w:ascii="仿宋" w:hAnsi="仿宋" w:eastAsia="仿宋"/>
          <w:sz w:val="32"/>
          <w:szCs w:val="32"/>
        </w:rPr>
        <w:t>22年本年支出合计</w:t>
      </w:r>
      <w:r>
        <w:rPr>
          <w:rFonts w:ascii="仿宋" w:hAnsi="仿宋" w:eastAsia="仿宋"/>
          <w:sz w:val="32"/>
          <w:szCs w:val="32"/>
        </w:rPr>
        <w:t>207.77</w:t>
      </w:r>
      <w:r>
        <w:rPr>
          <w:rFonts w:hint="eastAsia" w:ascii="仿宋" w:hAnsi="仿宋" w:eastAsia="仿宋"/>
          <w:sz w:val="32"/>
          <w:szCs w:val="32"/>
        </w:rPr>
        <w:t>万元，其中：基本支出1</w:t>
      </w:r>
      <w:r>
        <w:rPr>
          <w:rFonts w:ascii="仿宋" w:hAnsi="仿宋" w:eastAsia="仿宋"/>
          <w:sz w:val="32"/>
          <w:szCs w:val="32"/>
        </w:rPr>
        <w:t>82.42</w:t>
      </w:r>
      <w:r>
        <w:rPr>
          <w:rFonts w:hint="eastAsia" w:ascii="仿宋" w:hAnsi="仿宋" w:eastAsia="仿宋"/>
          <w:sz w:val="32"/>
          <w:szCs w:val="32"/>
        </w:rPr>
        <w:t>万元，占8</w:t>
      </w:r>
      <w:r>
        <w:rPr>
          <w:rFonts w:ascii="仿宋" w:hAnsi="仿宋" w:eastAsia="仿宋"/>
          <w:sz w:val="32"/>
          <w:szCs w:val="32"/>
        </w:rPr>
        <w:t>7.80%</w:t>
      </w:r>
      <w:r>
        <w:rPr>
          <w:rFonts w:hint="eastAsia" w:ascii="仿宋" w:hAnsi="仿宋" w:eastAsia="仿宋"/>
          <w:sz w:val="32"/>
          <w:szCs w:val="32"/>
        </w:rPr>
        <w:t>；项目支出</w:t>
      </w:r>
      <w:r>
        <w:rPr>
          <w:rFonts w:ascii="仿宋" w:hAnsi="仿宋" w:eastAsia="仿宋"/>
          <w:sz w:val="32"/>
          <w:szCs w:val="32"/>
        </w:rPr>
        <w:t>25.35</w:t>
      </w:r>
      <w:r>
        <w:rPr>
          <w:rFonts w:hint="eastAsia" w:ascii="仿宋" w:hAnsi="仿宋" w:eastAsia="仿宋"/>
          <w:sz w:val="32"/>
          <w:szCs w:val="32"/>
        </w:rPr>
        <w:t>万元，占1</w:t>
      </w:r>
      <w:r>
        <w:rPr>
          <w:rFonts w:ascii="仿宋" w:hAnsi="仿宋" w:eastAsia="仿宋"/>
          <w:sz w:val="32"/>
          <w:szCs w:val="32"/>
        </w:rPr>
        <w:t>2.20%</w:t>
      </w:r>
      <w:r>
        <w:rPr>
          <w:rFonts w:hint="eastAsia" w:ascii="仿宋" w:hAnsi="仿宋" w:eastAsia="仿宋"/>
          <w:sz w:val="32"/>
          <w:szCs w:val="32"/>
        </w:rPr>
        <w:t>；上缴上级支出0万元，占</w:t>
      </w:r>
      <w:r>
        <w:rPr>
          <w:rFonts w:ascii="仿宋" w:hAnsi="仿宋" w:eastAsia="仿宋"/>
          <w:sz w:val="32"/>
          <w:szCs w:val="32"/>
        </w:rPr>
        <w:t>0%</w:t>
      </w:r>
      <w:r>
        <w:rPr>
          <w:rFonts w:hint="eastAsia" w:ascii="仿宋" w:hAnsi="仿宋" w:eastAsia="仿宋"/>
          <w:sz w:val="32"/>
          <w:szCs w:val="32"/>
        </w:rPr>
        <w:t>；经营支出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；对附属单位补助支出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w:t>
      </w:r>
      <w:bookmarkEnd w:id="34"/>
    </w:p>
    <w:p>
      <w:pPr>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pStyle w:val="2"/>
        <w:spacing w:before="93"/>
      </w:pPr>
      <w:r>
        <w:rPr>
          <w:rFonts w:hint="eastAsia"/>
        </w:rPr>
        <w:drawing>
          <wp:inline distT="0" distB="0" distL="0" distR="0">
            <wp:extent cx="5274310" cy="2886075"/>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640" w:firstLineChars="200"/>
        <w:outlineLvl w:val="1"/>
        <w:rPr>
          <w:rStyle w:val="31"/>
          <w:rFonts w:ascii="黑体" w:hAnsi="黑体" w:eastAsia="黑体"/>
          <w:b w:val="0"/>
        </w:rPr>
      </w:pPr>
      <w:bookmarkStart w:id="35" w:name="_Toc149203607"/>
      <w:bookmarkStart w:id="36" w:name="_Toc15396606"/>
      <w:bookmarkStart w:id="37" w:name="_Toc15377208"/>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35"/>
      <w:bookmarkEnd w:id="36"/>
      <w:bookmarkEnd w:id="37"/>
    </w:p>
    <w:p>
      <w:pPr>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22年财政拨款收、支总计2</w:t>
      </w:r>
      <w:r>
        <w:rPr>
          <w:rFonts w:ascii="仿宋" w:hAnsi="仿宋" w:eastAsia="仿宋"/>
          <w:sz w:val="32"/>
          <w:szCs w:val="32"/>
        </w:rPr>
        <w:t>07.77</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21年相比，财政拨款收、支总计各减少1</w:t>
      </w:r>
      <w:r>
        <w:rPr>
          <w:rFonts w:ascii="仿宋" w:hAnsi="仿宋" w:eastAsia="仿宋"/>
          <w:sz w:val="32"/>
          <w:szCs w:val="32"/>
        </w:rPr>
        <w:t>5.43</w:t>
      </w:r>
      <w:r>
        <w:rPr>
          <w:rFonts w:hint="eastAsia" w:ascii="仿宋" w:hAnsi="仿宋" w:eastAsia="仿宋"/>
          <w:sz w:val="32"/>
          <w:szCs w:val="32"/>
        </w:rPr>
        <w:t>万元，下降6</w:t>
      </w:r>
      <w:r>
        <w:rPr>
          <w:rFonts w:ascii="仿宋" w:hAnsi="仿宋" w:eastAsia="仿宋"/>
          <w:sz w:val="32"/>
          <w:szCs w:val="32"/>
        </w:rPr>
        <w:t>.91%</w:t>
      </w:r>
      <w:r>
        <w:rPr>
          <w:rFonts w:hint="eastAsia" w:ascii="仿宋" w:hAnsi="仿宋" w:eastAsia="仿宋"/>
          <w:sz w:val="32"/>
          <w:szCs w:val="32"/>
        </w:rPr>
        <w:t>。主要变动原因是政府性基金预算财政拨款收入减少，项目经费减少。</w:t>
      </w:r>
    </w:p>
    <w:p>
      <w:pPr>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pStyle w:val="2"/>
        <w:spacing w:before="93"/>
      </w:pPr>
      <w:r>
        <w:rPr>
          <w:rFonts w:hint="eastAsia"/>
        </w:rPr>
        <w:drawing>
          <wp:inline distT="0" distB="0" distL="0" distR="0">
            <wp:extent cx="5274310" cy="3076575"/>
            <wp:effectExtent l="0" t="0" r="254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
      <w:pPr>
        <w:ind w:firstLine="640" w:firstLineChars="200"/>
        <w:outlineLvl w:val="1"/>
        <w:rPr>
          <w:rStyle w:val="31"/>
          <w:rFonts w:ascii="黑体" w:hAnsi="黑体" w:eastAsia="黑体"/>
          <w:b w:val="0"/>
        </w:rPr>
      </w:pPr>
      <w:bookmarkStart w:id="38" w:name="_Toc15377209"/>
      <w:bookmarkStart w:id="39" w:name="_Toc15396607"/>
      <w:bookmarkStart w:id="40" w:name="_Toc149203608"/>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38"/>
      <w:bookmarkEnd w:id="39"/>
      <w:bookmarkEnd w:id="40"/>
    </w:p>
    <w:p>
      <w:pPr>
        <w:ind w:firstLine="643" w:firstLineChars="200"/>
        <w:outlineLvl w:val="2"/>
        <w:rPr>
          <w:rFonts w:ascii="仿宋" w:hAnsi="仿宋" w:eastAsia="仿宋"/>
          <w:b/>
          <w:sz w:val="32"/>
          <w:szCs w:val="32"/>
        </w:rPr>
      </w:pPr>
      <w:bookmarkStart w:id="41" w:name="_Toc149203609"/>
      <w:bookmarkStart w:id="42" w:name="_Toc15377210"/>
      <w:r>
        <w:rPr>
          <w:rFonts w:hint="eastAsia" w:ascii="仿宋" w:hAnsi="仿宋" w:eastAsia="仿宋"/>
          <w:b/>
          <w:sz w:val="32"/>
          <w:szCs w:val="32"/>
        </w:rPr>
        <w:t>（一）一般公共预算财政拨款支出决算总体情况</w:t>
      </w:r>
      <w:bookmarkEnd w:id="41"/>
      <w:bookmarkEnd w:id="42"/>
    </w:p>
    <w:p>
      <w:pPr>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182.42</w:t>
      </w:r>
      <w:r>
        <w:rPr>
          <w:rFonts w:hint="eastAsia" w:ascii="仿宋" w:hAnsi="仿宋" w:eastAsia="仿宋"/>
          <w:sz w:val="32"/>
          <w:szCs w:val="32"/>
        </w:rPr>
        <w:t>万元，占本年支出合计的</w:t>
      </w:r>
      <w:r>
        <w:rPr>
          <w:rFonts w:ascii="仿宋" w:hAnsi="仿宋" w:eastAsia="仿宋"/>
          <w:sz w:val="32"/>
          <w:szCs w:val="32"/>
        </w:rPr>
        <w:t>87.80%</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w:t>
      </w:r>
      <w:r>
        <w:rPr>
          <w:rFonts w:ascii="仿宋" w:hAnsi="仿宋" w:eastAsia="仿宋"/>
          <w:sz w:val="32"/>
          <w:szCs w:val="32"/>
        </w:rPr>
        <w:t>21.43</w:t>
      </w:r>
      <w:r>
        <w:rPr>
          <w:rFonts w:hint="eastAsia" w:ascii="仿宋" w:hAnsi="仿宋" w:eastAsia="仿宋"/>
          <w:sz w:val="32"/>
          <w:szCs w:val="32"/>
        </w:rPr>
        <w:t>万元，增长</w:t>
      </w:r>
      <w:r>
        <w:rPr>
          <w:rFonts w:ascii="仿宋" w:hAnsi="仿宋" w:eastAsia="仿宋"/>
          <w:sz w:val="32"/>
          <w:szCs w:val="32"/>
        </w:rPr>
        <w:t>13.31%</w:t>
      </w:r>
      <w:r>
        <w:rPr>
          <w:rFonts w:hint="eastAsia" w:ascii="仿宋" w:hAnsi="仿宋" w:eastAsia="仿宋"/>
          <w:sz w:val="32"/>
          <w:szCs w:val="32"/>
        </w:rPr>
        <w:t>。主要变动原因是灾害防治应急管理支出增加。</w:t>
      </w:r>
    </w:p>
    <w:p>
      <w:pPr>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spacing w:before="93"/>
      </w:pPr>
      <w:r>
        <w:rPr>
          <w:rFonts w:hint="eastAsia"/>
        </w:rPr>
        <w:drawing>
          <wp:inline distT="0" distB="0" distL="0" distR="0">
            <wp:extent cx="5274310" cy="3076575"/>
            <wp:effectExtent l="0" t="0" r="254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3" w:firstLineChars="200"/>
        <w:outlineLvl w:val="2"/>
        <w:rPr>
          <w:rFonts w:ascii="仿宋" w:hAnsi="仿宋" w:eastAsia="仿宋"/>
          <w:b/>
          <w:sz w:val="32"/>
          <w:szCs w:val="32"/>
        </w:rPr>
      </w:pPr>
      <w:bookmarkStart w:id="43" w:name="_Toc149203610"/>
      <w:bookmarkStart w:id="44" w:name="_Toc15377211"/>
      <w:r>
        <w:rPr>
          <w:rFonts w:hint="eastAsia" w:ascii="仿宋" w:hAnsi="仿宋" w:eastAsia="仿宋"/>
          <w:b/>
          <w:sz w:val="32"/>
          <w:szCs w:val="32"/>
        </w:rPr>
        <w:t>（二）一般公共预算财政拨款支出决算结构情况</w:t>
      </w:r>
      <w:bookmarkEnd w:id="43"/>
      <w:bookmarkEnd w:id="44"/>
    </w:p>
    <w:p>
      <w:pPr>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182.42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ascii="仿宋" w:hAnsi="仿宋" w:eastAsia="仿宋"/>
          <w:sz w:val="32"/>
          <w:szCs w:val="32"/>
        </w:rPr>
        <w:t>3.23</w:t>
      </w:r>
      <w:r>
        <w:rPr>
          <w:rFonts w:hint="eastAsia" w:ascii="仿宋" w:hAnsi="仿宋" w:eastAsia="仿宋"/>
          <w:sz w:val="32"/>
          <w:szCs w:val="32"/>
        </w:rPr>
        <w:t>万元，占</w:t>
      </w:r>
      <w:r>
        <w:rPr>
          <w:rFonts w:ascii="仿宋" w:hAnsi="仿宋" w:eastAsia="仿宋"/>
          <w:sz w:val="32"/>
          <w:szCs w:val="32"/>
        </w:rPr>
        <w:t>1.78%</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w:t>
      </w:r>
      <w:r>
        <w:rPr>
          <w:rFonts w:ascii="仿宋" w:hAnsi="仿宋" w:eastAsia="仿宋"/>
          <w:sz w:val="32"/>
          <w:szCs w:val="32"/>
        </w:rPr>
        <w:t>.83</w:t>
      </w:r>
      <w:r>
        <w:rPr>
          <w:rFonts w:hint="eastAsia" w:ascii="仿宋" w:hAnsi="仿宋" w:eastAsia="仿宋"/>
          <w:sz w:val="32"/>
          <w:szCs w:val="32"/>
        </w:rPr>
        <w:t>万元，占1</w:t>
      </w:r>
      <w:r>
        <w:rPr>
          <w:rFonts w:ascii="仿宋" w:hAnsi="仿宋" w:eastAsia="仿宋"/>
          <w:sz w:val="32"/>
          <w:szCs w:val="32"/>
        </w:rPr>
        <w:t>.55%</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3</w:t>
      </w:r>
      <w:r>
        <w:rPr>
          <w:rFonts w:ascii="仿宋" w:hAnsi="仿宋" w:eastAsia="仿宋"/>
          <w:sz w:val="32"/>
          <w:szCs w:val="32"/>
        </w:rPr>
        <w:t>.84</w:t>
      </w:r>
      <w:r>
        <w:rPr>
          <w:rFonts w:hint="eastAsia" w:ascii="仿宋" w:hAnsi="仿宋" w:eastAsia="仿宋"/>
          <w:sz w:val="32"/>
          <w:szCs w:val="32"/>
        </w:rPr>
        <w:t>万元，占2</w:t>
      </w:r>
      <w:r>
        <w:rPr>
          <w:rFonts w:ascii="仿宋" w:hAnsi="仿宋" w:eastAsia="仿宋"/>
          <w:sz w:val="32"/>
          <w:szCs w:val="32"/>
        </w:rPr>
        <w:t>.10%</w:t>
      </w:r>
      <w:r>
        <w:rPr>
          <w:rFonts w:hint="eastAsia" w:ascii="仿宋" w:hAnsi="仿宋" w:eastAsia="仿宋"/>
          <w:sz w:val="32"/>
          <w:szCs w:val="32"/>
        </w:rPr>
        <w:t>;占1</w:t>
      </w:r>
      <w:r>
        <w:rPr>
          <w:rFonts w:ascii="仿宋" w:hAnsi="仿宋" w:eastAsia="仿宋"/>
          <w:sz w:val="32"/>
          <w:szCs w:val="32"/>
        </w:rPr>
        <w:t>3.89%</w:t>
      </w:r>
      <w:r>
        <w:rPr>
          <w:rFonts w:hint="eastAsia" w:ascii="仿宋" w:hAnsi="仿宋" w:eastAsia="仿宋"/>
          <w:sz w:val="32"/>
          <w:szCs w:val="32"/>
        </w:rPr>
        <w:t>；</w:t>
      </w:r>
      <w:r>
        <w:rPr>
          <w:rFonts w:hint="eastAsia" w:ascii="仿宋" w:hAnsi="仿宋" w:eastAsia="仿宋"/>
          <w:b/>
          <w:sz w:val="32"/>
          <w:szCs w:val="32"/>
        </w:rPr>
        <w:t>灾害防治及应急管理支出</w:t>
      </w:r>
      <w:r>
        <w:rPr>
          <w:rFonts w:hint="eastAsia" w:ascii="仿宋" w:hAnsi="仿宋" w:eastAsia="仿宋"/>
          <w:sz w:val="32"/>
          <w:szCs w:val="32"/>
        </w:rPr>
        <w:t>1</w:t>
      </w:r>
      <w:r>
        <w:rPr>
          <w:rFonts w:ascii="仿宋" w:hAnsi="仿宋" w:eastAsia="仿宋"/>
          <w:sz w:val="32"/>
          <w:szCs w:val="32"/>
        </w:rPr>
        <w:t>72.52</w:t>
      </w:r>
      <w:r>
        <w:rPr>
          <w:rFonts w:hint="eastAsia" w:ascii="仿宋" w:hAnsi="仿宋" w:eastAsia="仿宋"/>
          <w:sz w:val="32"/>
          <w:szCs w:val="32"/>
        </w:rPr>
        <w:t>万元，占9</w:t>
      </w:r>
      <w:r>
        <w:rPr>
          <w:rFonts w:ascii="仿宋" w:hAnsi="仿宋" w:eastAsia="仿宋"/>
          <w:sz w:val="32"/>
          <w:szCs w:val="32"/>
        </w:rPr>
        <w:t>4.57%</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r>
        <w:rPr>
          <w:rFonts w:hint="eastAsia"/>
        </w:rPr>
        <w:drawing>
          <wp:inline distT="0" distB="0" distL="0" distR="0">
            <wp:extent cx="5274310" cy="219075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3" w:firstLineChars="200"/>
        <w:outlineLvl w:val="2"/>
        <w:rPr>
          <w:rFonts w:ascii="仿宋" w:hAnsi="仿宋" w:eastAsia="仿宋"/>
          <w:b/>
          <w:sz w:val="32"/>
          <w:szCs w:val="32"/>
        </w:rPr>
      </w:pPr>
      <w:bookmarkStart w:id="45" w:name="_Toc15377212"/>
      <w:bookmarkStart w:id="46" w:name="_Toc149203611"/>
      <w:r>
        <w:rPr>
          <w:rFonts w:hint="eastAsia" w:ascii="仿宋" w:hAnsi="仿宋" w:eastAsia="仿宋"/>
          <w:b/>
          <w:sz w:val="32"/>
          <w:szCs w:val="32"/>
        </w:rPr>
        <w:t>（三）一般公共预算财政拨款支出决算具体情况</w:t>
      </w:r>
      <w:bookmarkEnd w:id="45"/>
      <w:bookmarkEnd w:id="46"/>
    </w:p>
    <w:p>
      <w:pPr>
        <w:ind w:firstLine="643" w:firstLineChars="200"/>
        <w:outlineLvl w:val="2"/>
        <w:rPr>
          <w:rFonts w:ascii="仿宋" w:hAnsi="仿宋" w:eastAsia="仿宋"/>
          <w:sz w:val="32"/>
          <w:szCs w:val="32"/>
        </w:rPr>
      </w:pPr>
      <w:bookmarkStart w:id="47" w:name="_Toc15377213"/>
      <w:bookmarkStart w:id="48" w:name="_Toc15378460"/>
      <w:bookmarkStart w:id="49" w:name="_Toc15377444"/>
      <w:bookmarkStart w:id="50" w:name="_Toc149203612"/>
      <w:r>
        <w:rPr>
          <w:rFonts w:hint="eastAsia" w:ascii="仿宋" w:hAnsi="仿宋" w:eastAsia="仿宋"/>
          <w:b/>
          <w:sz w:val="32"/>
          <w:szCs w:val="32"/>
        </w:rPr>
        <w:t>2022年一般公共预算支出决算数为</w:t>
      </w:r>
      <w:r>
        <w:rPr>
          <w:rFonts w:ascii="仿宋" w:hAnsi="仿宋" w:eastAsia="仿宋"/>
          <w:b/>
          <w:sz w:val="32"/>
          <w:szCs w:val="32"/>
        </w:rPr>
        <w:t>182.42</w:t>
      </w:r>
      <w:r>
        <w:rPr>
          <w:rFonts w:hint="eastAsia" w:ascii="仿宋" w:hAnsi="仿宋" w:eastAsia="仿宋"/>
          <w:b/>
          <w:sz w:val="32"/>
          <w:szCs w:val="32"/>
        </w:rPr>
        <w:t>万元</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ascii="仿宋" w:hAnsi="仿宋" w:eastAsia="仿宋"/>
          <w:bCs/>
          <w:sz w:val="32"/>
          <w:szCs w:val="32"/>
        </w:rPr>
        <w:t>100%</w:t>
      </w:r>
      <w:r>
        <w:rPr>
          <w:rStyle w:val="18"/>
          <w:rFonts w:hint="eastAsia" w:ascii="仿宋" w:hAnsi="仿宋" w:eastAsia="仿宋"/>
          <w:bCs/>
          <w:sz w:val="32"/>
          <w:szCs w:val="32"/>
        </w:rPr>
        <w:t>。其中：</w:t>
      </w:r>
      <w:bookmarkEnd w:id="47"/>
      <w:bookmarkEnd w:id="48"/>
      <w:bookmarkEnd w:id="49"/>
      <w:bookmarkEnd w:id="50"/>
    </w:p>
    <w:p>
      <w:pPr>
        <w:ind w:firstLine="643" w:firstLineChars="200"/>
        <w:rPr>
          <w:rFonts w:ascii="仿宋" w:hAnsi="仿宋" w:eastAsia="仿宋"/>
          <w:b/>
          <w:sz w:val="32"/>
          <w:szCs w:val="32"/>
        </w:rPr>
      </w:pPr>
      <w:r>
        <w:rPr>
          <w:rStyle w:val="18"/>
          <w:rFonts w:ascii="仿宋" w:hAnsi="仿宋" w:eastAsia="仿宋"/>
          <w:bCs/>
          <w:sz w:val="32"/>
          <w:szCs w:val="32"/>
        </w:rPr>
        <w:t>1.</w:t>
      </w:r>
      <w:r>
        <w:rPr>
          <w:rStyle w:val="18"/>
          <w:rFonts w:hint="eastAsia" w:ascii="仿宋" w:hAnsi="仿宋" w:eastAsia="仿宋"/>
          <w:bCs/>
          <w:sz w:val="32"/>
          <w:szCs w:val="32"/>
        </w:rPr>
        <w:t>社会保障和就业支出（类）机关事业单位基本养老保险费</w:t>
      </w:r>
      <w:r>
        <w:rPr>
          <w:rStyle w:val="18"/>
          <w:rFonts w:ascii="仿宋" w:hAnsi="仿宋" w:eastAsia="仿宋"/>
          <w:bCs/>
          <w:sz w:val="32"/>
          <w:szCs w:val="32"/>
        </w:rPr>
        <w:t>:</w:t>
      </w:r>
      <w:r>
        <w:rPr>
          <w:rStyle w:val="18"/>
          <w:rFonts w:hint="eastAsia" w:ascii="仿宋" w:hAnsi="仿宋" w:eastAsia="仿宋"/>
          <w:bCs/>
          <w:sz w:val="32"/>
          <w:szCs w:val="32"/>
        </w:rPr>
        <w:t>支出决算为3</w:t>
      </w:r>
      <w:r>
        <w:rPr>
          <w:rStyle w:val="18"/>
          <w:rFonts w:ascii="仿宋" w:hAnsi="仿宋" w:eastAsia="仿宋"/>
          <w:bCs/>
          <w:sz w:val="32"/>
          <w:szCs w:val="32"/>
        </w:rPr>
        <w:t>.23</w:t>
      </w:r>
      <w:r>
        <w:rPr>
          <w:rStyle w:val="18"/>
          <w:rFonts w:hint="eastAsia" w:ascii="仿宋" w:hAnsi="仿宋" w:eastAsia="仿宋"/>
          <w:bCs/>
          <w:sz w:val="32"/>
          <w:szCs w:val="32"/>
        </w:rPr>
        <w:t>万元，完成预算</w:t>
      </w:r>
      <w:r>
        <w:rPr>
          <w:rStyle w:val="18"/>
          <w:rFonts w:ascii="仿宋" w:hAnsi="仿宋" w:eastAsia="仿宋"/>
          <w:bCs/>
          <w:sz w:val="32"/>
          <w:szCs w:val="32"/>
        </w:rPr>
        <w:t>100%</w:t>
      </w:r>
      <w:r>
        <w:rPr>
          <w:rStyle w:val="18"/>
          <w:rFonts w:hint="eastAsia" w:ascii="仿宋" w:hAnsi="仿宋" w:eastAsia="仿宋"/>
          <w:bCs/>
          <w:sz w:val="32"/>
          <w:szCs w:val="32"/>
        </w:rPr>
        <w:t>，决算数与预算数持平。</w:t>
      </w:r>
    </w:p>
    <w:p>
      <w:pPr>
        <w:ind w:firstLine="643" w:firstLineChars="200"/>
        <w:rPr>
          <w:rStyle w:val="18"/>
          <w:rFonts w:ascii="仿宋" w:hAnsi="仿宋" w:eastAsia="仿宋"/>
          <w:b w:val="0"/>
          <w:bCs/>
          <w:sz w:val="32"/>
          <w:szCs w:val="32"/>
        </w:rPr>
      </w:pPr>
      <w:r>
        <w:rPr>
          <w:rStyle w:val="18"/>
          <w:rFonts w:ascii="仿宋" w:hAnsi="仿宋" w:eastAsia="仿宋"/>
          <w:bCs/>
          <w:sz w:val="32"/>
          <w:szCs w:val="32"/>
        </w:rPr>
        <w:t>2.</w:t>
      </w:r>
      <w:r>
        <w:rPr>
          <w:rFonts w:hint="eastAsia" w:ascii="仿宋" w:hAnsi="仿宋" w:eastAsia="仿宋"/>
          <w:b/>
          <w:bCs/>
          <w:sz w:val="32"/>
          <w:szCs w:val="32"/>
        </w:rPr>
        <w:t>卫生健康支出</w:t>
      </w:r>
      <w:r>
        <w:rPr>
          <w:rStyle w:val="18"/>
          <w:rFonts w:hint="eastAsia" w:ascii="仿宋" w:hAnsi="仿宋" w:eastAsia="仿宋"/>
          <w:bCs/>
          <w:sz w:val="32"/>
          <w:szCs w:val="32"/>
        </w:rPr>
        <w:t>（类）事业单位医疗</w:t>
      </w:r>
      <w:r>
        <w:rPr>
          <w:rStyle w:val="18"/>
          <w:rFonts w:ascii="仿宋" w:hAnsi="仿宋" w:eastAsia="仿宋"/>
          <w:bCs/>
          <w:sz w:val="32"/>
          <w:szCs w:val="32"/>
        </w:rPr>
        <w:t>:</w:t>
      </w:r>
      <w:r>
        <w:rPr>
          <w:rStyle w:val="18"/>
          <w:rFonts w:hint="eastAsia" w:ascii="仿宋" w:hAnsi="仿宋" w:eastAsia="仿宋"/>
          <w:bCs/>
          <w:sz w:val="32"/>
          <w:szCs w:val="32"/>
        </w:rPr>
        <w:t>支出决算为</w:t>
      </w:r>
      <w:r>
        <w:rPr>
          <w:rStyle w:val="18"/>
          <w:rFonts w:ascii="仿宋" w:hAnsi="仿宋" w:eastAsia="仿宋"/>
          <w:bCs/>
          <w:sz w:val="32"/>
          <w:szCs w:val="32"/>
        </w:rPr>
        <w:t>2.61</w:t>
      </w:r>
      <w:r>
        <w:rPr>
          <w:rStyle w:val="18"/>
          <w:rFonts w:hint="eastAsia" w:ascii="仿宋" w:hAnsi="仿宋" w:eastAsia="仿宋"/>
          <w:bCs/>
          <w:sz w:val="32"/>
          <w:szCs w:val="32"/>
        </w:rPr>
        <w:t>万元，完成预算</w:t>
      </w:r>
      <w:r>
        <w:rPr>
          <w:rStyle w:val="18"/>
          <w:rFonts w:ascii="仿宋" w:hAnsi="仿宋" w:eastAsia="仿宋"/>
          <w:bCs/>
          <w:sz w:val="32"/>
          <w:szCs w:val="32"/>
        </w:rPr>
        <w:t>100%</w:t>
      </w:r>
      <w:r>
        <w:rPr>
          <w:rStyle w:val="18"/>
          <w:rFonts w:hint="eastAsia" w:ascii="仿宋" w:hAnsi="仿宋" w:eastAsia="仿宋"/>
          <w:bCs/>
          <w:sz w:val="32"/>
          <w:szCs w:val="32"/>
        </w:rPr>
        <w:t>，决算数与预算数持平。</w:t>
      </w:r>
    </w:p>
    <w:p>
      <w:pPr>
        <w:ind w:firstLine="643" w:firstLineChars="200"/>
        <w:rPr>
          <w:rStyle w:val="18"/>
          <w:rFonts w:ascii="仿宋" w:hAnsi="仿宋" w:eastAsia="仿宋"/>
          <w:b w:val="0"/>
          <w:bCs/>
          <w:sz w:val="32"/>
          <w:szCs w:val="32"/>
        </w:rPr>
      </w:pPr>
      <w:r>
        <w:rPr>
          <w:rStyle w:val="18"/>
          <w:rFonts w:ascii="仿宋" w:hAnsi="仿宋" w:eastAsia="仿宋"/>
          <w:bCs/>
          <w:sz w:val="32"/>
          <w:szCs w:val="32"/>
        </w:rPr>
        <w:t>3.</w:t>
      </w:r>
      <w:r>
        <w:rPr>
          <w:rFonts w:hint="eastAsia" w:ascii="仿宋" w:hAnsi="仿宋" w:eastAsia="仿宋"/>
          <w:b/>
          <w:bCs/>
          <w:sz w:val="32"/>
          <w:szCs w:val="32"/>
        </w:rPr>
        <w:t>卫生健康支出</w:t>
      </w:r>
      <w:r>
        <w:rPr>
          <w:rStyle w:val="18"/>
          <w:rFonts w:hint="eastAsia" w:ascii="仿宋" w:hAnsi="仿宋" w:eastAsia="仿宋"/>
          <w:bCs/>
          <w:sz w:val="32"/>
          <w:szCs w:val="32"/>
        </w:rPr>
        <w:t>（类）其他行政事业单位医疗支出</w:t>
      </w:r>
      <w:r>
        <w:rPr>
          <w:rStyle w:val="18"/>
          <w:rFonts w:ascii="仿宋" w:hAnsi="仿宋" w:eastAsia="仿宋"/>
          <w:bCs/>
          <w:sz w:val="32"/>
          <w:szCs w:val="32"/>
        </w:rPr>
        <w:t>:</w:t>
      </w:r>
      <w:r>
        <w:rPr>
          <w:rStyle w:val="18"/>
          <w:rFonts w:hint="eastAsia" w:ascii="仿宋" w:hAnsi="仿宋" w:eastAsia="仿宋"/>
          <w:bCs/>
          <w:sz w:val="32"/>
          <w:szCs w:val="32"/>
        </w:rPr>
        <w:t>支出决算为</w:t>
      </w:r>
      <w:r>
        <w:rPr>
          <w:rStyle w:val="18"/>
          <w:rFonts w:ascii="仿宋" w:hAnsi="仿宋" w:eastAsia="仿宋"/>
          <w:bCs/>
          <w:sz w:val="32"/>
          <w:szCs w:val="32"/>
        </w:rPr>
        <w:t>0.22</w:t>
      </w:r>
      <w:r>
        <w:rPr>
          <w:rStyle w:val="18"/>
          <w:rFonts w:hint="eastAsia" w:ascii="仿宋" w:hAnsi="仿宋" w:eastAsia="仿宋"/>
          <w:bCs/>
          <w:sz w:val="32"/>
          <w:szCs w:val="32"/>
        </w:rPr>
        <w:t>万元，完成预算</w:t>
      </w:r>
      <w:r>
        <w:rPr>
          <w:rStyle w:val="18"/>
          <w:rFonts w:ascii="仿宋" w:hAnsi="仿宋" w:eastAsia="仿宋"/>
          <w:bCs/>
          <w:sz w:val="32"/>
          <w:szCs w:val="32"/>
        </w:rPr>
        <w:t>100%</w:t>
      </w:r>
      <w:r>
        <w:rPr>
          <w:rStyle w:val="18"/>
          <w:rFonts w:hint="eastAsia" w:ascii="仿宋" w:hAnsi="仿宋" w:eastAsia="仿宋"/>
          <w:bCs/>
          <w:sz w:val="32"/>
          <w:szCs w:val="32"/>
        </w:rPr>
        <w:t>，决算数与预算数持平。</w:t>
      </w:r>
    </w:p>
    <w:p>
      <w:pPr>
        <w:ind w:firstLine="643" w:firstLineChars="200"/>
        <w:rPr>
          <w:rStyle w:val="18"/>
          <w:rFonts w:ascii="仿宋" w:hAnsi="仿宋" w:eastAsia="仿宋"/>
          <w:b w:val="0"/>
          <w:bCs/>
          <w:sz w:val="32"/>
          <w:szCs w:val="32"/>
        </w:rPr>
      </w:pPr>
      <w:r>
        <w:rPr>
          <w:rStyle w:val="18"/>
          <w:rFonts w:ascii="仿宋" w:hAnsi="仿宋" w:eastAsia="仿宋"/>
          <w:bCs/>
          <w:sz w:val="32"/>
          <w:szCs w:val="32"/>
        </w:rPr>
        <w:t>4.</w:t>
      </w:r>
      <w:r>
        <w:rPr>
          <w:rFonts w:hint="eastAsia" w:ascii="仿宋" w:hAnsi="仿宋" w:eastAsia="仿宋"/>
          <w:b/>
          <w:bCs/>
          <w:sz w:val="32"/>
          <w:szCs w:val="32"/>
        </w:rPr>
        <w:t>住房保障支出</w:t>
      </w:r>
      <w:r>
        <w:rPr>
          <w:rStyle w:val="18"/>
          <w:rFonts w:hint="eastAsia" w:ascii="仿宋" w:hAnsi="仿宋" w:eastAsia="仿宋"/>
          <w:bCs/>
          <w:sz w:val="32"/>
          <w:szCs w:val="32"/>
        </w:rPr>
        <w:t>（类）住房公积金</w:t>
      </w:r>
      <w:r>
        <w:rPr>
          <w:rStyle w:val="18"/>
          <w:rFonts w:ascii="仿宋" w:hAnsi="仿宋" w:eastAsia="仿宋"/>
          <w:bCs/>
          <w:sz w:val="32"/>
          <w:szCs w:val="32"/>
        </w:rPr>
        <w:t>:</w:t>
      </w:r>
      <w:r>
        <w:rPr>
          <w:rStyle w:val="18"/>
          <w:rFonts w:hint="eastAsia" w:ascii="仿宋" w:hAnsi="仿宋" w:eastAsia="仿宋"/>
          <w:bCs/>
          <w:sz w:val="32"/>
          <w:szCs w:val="32"/>
        </w:rPr>
        <w:t>支出决算为</w:t>
      </w:r>
      <w:r>
        <w:rPr>
          <w:rStyle w:val="18"/>
          <w:rFonts w:ascii="仿宋" w:hAnsi="仿宋" w:eastAsia="仿宋"/>
          <w:bCs/>
          <w:sz w:val="32"/>
          <w:szCs w:val="32"/>
        </w:rPr>
        <w:t>3.84</w:t>
      </w:r>
      <w:r>
        <w:rPr>
          <w:rStyle w:val="18"/>
          <w:rFonts w:hint="eastAsia" w:ascii="仿宋" w:hAnsi="仿宋" w:eastAsia="仿宋"/>
          <w:bCs/>
          <w:sz w:val="32"/>
          <w:szCs w:val="32"/>
        </w:rPr>
        <w:t>万元，完成预算</w:t>
      </w:r>
      <w:r>
        <w:rPr>
          <w:rStyle w:val="18"/>
          <w:rFonts w:ascii="仿宋" w:hAnsi="仿宋" w:eastAsia="仿宋"/>
          <w:bCs/>
          <w:sz w:val="32"/>
          <w:szCs w:val="32"/>
        </w:rPr>
        <w:t>100%</w:t>
      </w:r>
      <w:r>
        <w:rPr>
          <w:rStyle w:val="18"/>
          <w:rFonts w:hint="eastAsia" w:ascii="仿宋" w:hAnsi="仿宋" w:eastAsia="仿宋"/>
          <w:bCs/>
          <w:sz w:val="32"/>
          <w:szCs w:val="32"/>
        </w:rPr>
        <w:t>，决算数与预算数持平。</w:t>
      </w:r>
    </w:p>
    <w:p>
      <w:pPr>
        <w:pStyle w:val="2"/>
        <w:spacing w:before="93"/>
        <w:ind w:firstLine="643" w:firstLineChars="200"/>
        <w:rPr>
          <w:rStyle w:val="18"/>
          <w:rFonts w:ascii="仿宋" w:hAnsi="仿宋" w:eastAsia="仿宋"/>
          <w:b w:val="0"/>
          <w:bCs/>
          <w:sz w:val="32"/>
          <w:szCs w:val="32"/>
        </w:rPr>
      </w:pPr>
      <w:r>
        <w:rPr>
          <w:rStyle w:val="18"/>
          <w:rFonts w:ascii="仿宋" w:hAnsi="仿宋" w:eastAsia="仿宋"/>
          <w:bCs/>
          <w:sz w:val="32"/>
          <w:szCs w:val="32"/>
        </w:rPr>
        <w:t>5.</w:t>
      </w:r>
      <w:r>
        <w:rPr>
          <w:rStyle w:val="18"/>
          <w:rFonts w:hint="eastAsia" w:ascii="仿宋" w:hAnsi="仿宋" w:eastAsia="仿宋"/>
          <w:bCs/>
          <w:sz w:val="32"/>
          <w:szCs w:val="32"/>
        </w:rPr>
        <w:t>灾害防治及应急管理支出（类）事业运行</w:t>
      </w:r>
      <w:r>
        <w:rPr>
          <w:rStyle w:val="18"/>
          <w:rFonts w:ascii="仿宋" w:hAnsi="仿宋" w:eastAsia="仿宋"/>
          <w:bCs/>
          <w:sz w:val="32"/>
          <w:szCs w:val="32"/>
        </w:rPr>
        <w:t>:</w:t>
      </w:r>
      <w:r>
        <w:rPr>
          <w:rStyle w:val="18"/>
          <w:rFonts w:hint="eastAsia" w:ascii="仿宋" w:hAnsi="仿宋" w:eastAsia="仿宋"/>
          <w:bCs/>
          <w:sz w:val="32"/>
          <w:szCs w:val="32"/>
        </w:rPr>
        <w:t>支出决算为</w:t>
      </w:r>
      <w:r>
        <w:rPr>
          <w:rStyle w:val="18"/>
          <w:rFonts w:ascii="仿宋" w:hAnsi="仿宋" w:eastAsia="仿宋"/>
          <w:bCs/>
          <w:sz w:val="32"/>
          <w:szCs w:val="32"/>
        </w:rPr>
        <w:t>134.02</w:t>
      </w:r>
      <w:r>
        <w:rPr>
          <w:rStyle w:val="18"/>
          <w:rFonts w:hint="eastAsia" w:ascii="仿宋" w:hAnsi="仿宋" w:eastAsia="仿宋"/>
          <w:bCs/>
          <w:sz w:val="32"/>
          <w:szCs w:val="32"/>
        </w:rPr>
        <w:t>万元，完成预算</w:t>
      </w:r>
      <w:r>
        <w:rPr>
          <w:rStyle w:val="18"/>
          <w:rFonts w:ascii="仿宋" w:hAnsi="仿宋" w:eastAsia="仿宋"/>
          <w:bCs/>
          <w:sz w:val="32"/>
          <w:szCs w:val="32"/>
        </w:rPr>
        <w:t>100%</w:t>
      </w:r>
      <w:r>
        <w:rPr>
          <w:rStyle w:val="18"/>
          <w:rFonts w:hint="eastAsia" w:ascii="仿宋" w:hAnsi="仿宋" w:eastAsia="仿宋"/>
          <w:bCs/>
          <w:sz w:val="32"/>
          <w:szCs w:val="32"/>
        </w:rPr>
        <w:t>，决算数与预算数持平。</w:t>
      </w:r>
    </w:p>
    <w:p>
      <w:pPr>
        <w:ind w:firstLine="643" w:firstLineChars="200"/>
        <w:rPr>
          <w:rFonts w:ascii="仿宋" w:hAnsi="仿宋" w:eastAsia="仿宋"/>
          <w:b/>
          <w:sz w:val="32"/>
          <w:szCs w:val="32"/>
        </w:rPr>
      </w:pPr>
      <w:r>
        <w:rPr>
          <w:rStyle w:val="18"/>
          <w:rFonts w:ascii="仿宋" w:hAnsi="仿宋" w:eastAsia="仿宋"/>
          <w:bCs/>
          <w:sz w:val="32"/>
          <w:szCs w:val="32"/>
        </w:rPr>
        <w:t>6.</w:t>
      </w:r>
      <w:r>
        <w:rPr>
          <w:rStyle w:val="18"/>
          <w:rFonts w:hint="eastAsia" w:ascii="仿宋" w:hAnsi="仿宋" w:eastAsia="仿宋"/>
          <w:bCs/>
          <w:sz w:val="32"/>
          <w:szCs w:val="32"/>
        </w:rPr>
        <w:t>灾害防治及应急管理（类）其他矿山安全支出</w:t>
      </w:r>
      <w:r>
        <w:rPr>
          <w:rStyle w:val="18"/>
          <w:rFonts w:ascii="仿宋" w:hAnsi="仿宋" w:eastAsia="仿宋"/>
          <w:bCs/>
          <w:sz w:val="32"/>
          <w:szCs w:val="32"/>
        </w:rPr>
        <w:t>:</w:t>
      </w:r>
      <w:r>
        <w:rPr>
          <w:rStyle w:val="18"/>
          <w:rFonts w:hint="eastAsia" w:ascii="仿宋" w:hAnsi="仿宋" w:eastAsia="仿宋"/>
          <w:bCs/>
          <w:sz w:val="32"/>
          <w:szCs w:val="32"/>
        </w:rPr>
        <w:t>支出决算为</w:t>
      </w:r>
      <w:r>
        <w:rPr>
          <w:rStyle w:val="18"/>
          <w:rFonts w:ascii="仿宋" w:hAnsi="仿宋" w:eastAsia="仿宋"/>
          <w:bCs/>
          <w:sz w:val="32"/>
          <w:szCs w:val="32"/>
        </w:rPr>
        <w:t>9.11</w:t>
      </w:r>
      <w:r>
        <w:rPr>
          <w:rStyle w:val="18"/>
          <w:rFonts w:hint="eastAsia" w:ascii="仿宋" w:hAnsi="仿宋" w:eastAsia="仿宋"/>
          <w:bCs/>
          <w:sz w:val="32"/>
          <w:szCs w:val="32"/>
        </w:rPr>
        <w:t>万元，完成预算</w:t>
      </w:r>
      <w:r>
        <w:rPr>
          <w:rStyle w:val="18"/>
          <w:rFonts w:ascii="仿宋" w:hAnsi="仿宋" w:eastAsia="仿宋"/>
          <w:bCs/>
          <w:sz w:val="32"/>
          <w:szCs w:val="32"/>
        </w:rPr>
        <w:t>100%</w:t>
      </w:r>
      <w:r>
        <w:rPr>
          <w:rStyle w:val="18"/>
          <w:rFonts w:hint="eastAsia" w:ascii="仿宋" w:hAnsi="仿宋" w:eastAsia="仿宋"/>
          <w:bCs/>
          <w:sz w:val="32"/>
          <w:szCs w:val="32"/>
        </w:rPr>
        <w:t>，决算数与预算数持平。</w:t>
      </w:r>
    </w:p>
    <w:p>
      <w:pPr>
        <w:ind w:firstLine="640"/>
        <w:rPr>
          <w:rFonts w:ascii="仿宋" w:hAnsi="仿宋" w:eastAsia="仿宋"/>
          <w:b/>
          <w:sz w:val="32"/>
          <w:szCs w:val="32"/>
        </w:rPr>
      </w:pPr>
      <w:r>
        <w:rPr>
          <w:rStyle w:val="18"/>
          <w:rFonts w:hint="eastAsia" w:ascii="仿宋" w:hAnsi="仿宋" w:eastAsia="仿宋"/>
          <w:bCs/>
          <w:sz w:val="32"/>
          <w:szCs w:val="32"/>
        </w:rPr>
        <w:t>灾害防治及应急管理支出（类）矿山安全监察事务</w:t>
      </w:r>
      <w:r>
        <w:rPr>
          <w:rStyle w:val="18"/>
          <w:rFonts w:ascii="仿宋" w:hAnsi="仿宋" w:eastAsia="仿宋"/>
          <w:bCs/>
          <w:sz w:val="32"/>
          <w:szCs w:val="32"/>
        </w:rPr>
        <w:t>:</w:t>
      </w:r>
      <w:r>
        <w:rPr>
          <w:rStyle w:val="18"/>
          <w:rFonts w:hint="eastAsia" w:ascii="仿宋" w:hAnsi="仿宋" w:eastAsia="仿宋"/>
          <w:bCs/>
          <w:sz w:val="32"/>
          <w:szCs w:val="32"/>
        </w:rPr>
        <w:t>支出决算为</w:t>
      </w:r>
      <w:r>
        <w:rPr>
          <w:rStyle w:val="18"/>
          <w:rFonts w:ascii="仿宋" w:hAnsi="仿宋" w:eastAsia="仿宋"/>
          <w:bCs/>
          <w:sz w:val="32"/>
          <w:szCs w:val="32"/>
        </w:rPr>
        <w:t>29.39</w:t>
      </w:r>
      <w:r>
        <w:rPr>
          <w:rStyle w:val="18"/>
          <w:rFonts w:hint="eastAsia" w:ascii="仿宋" w:hAnsi="仿宋" w:eastAsia="仿宋"/>
          <w:bCs/>
          <w:sz w:val="32"/>
          <w:szCs w:val="32"/>
        </w:rPr>
        <w:t>万元，完成预算</w:t>
      </w:r>
      <w:r>
        <w:rPr>
          <w:rStyle w:val="18"/>
          <w:rFonts w:ascii="仿宋" w:hAnsi="仿宋" w:eastAsia="仿宋"/>
          <w:bCs/>
          <w:sz w:val="32"/>
          <w:szCs w:val="32"/>
        </w:rPr>
        <w:t>100%</w:t>
      </w:r>
      <w:r>
        <w:rPr>
          <w:rStyle w:val="18"/>
          <w:rFonts w:hint="eastAsia" w:ascii="仿宋" w:hAnsi="仿宋" w:eastAsia="仿宋"/>
          <w:bCs/>
          <w:sz w:val="32"/>
          <w:szCs w:val="32"/>
        </w:rPr>
        <w:t>，决算数与预算数持平。</w:t>
      </w:r>
    </w:p>
    <w:p>
      <w:pPr>
        <w:tabs>
          <w:tab w:val="right" w:pos="8306"/>
        </w:tabs>
        <w:ind w:firstLine="640"/>
        <w:outlineLvl w:val="1"/>
        <w:rPr>
          <w:rStyle w:val="31"/>
        </w:rPr>
      </w:pPr>
      <w:bookmarkStart w:id="51" w:name="_Toc15377214"/>
      <w:bookmarkStart w:id="52" w:name="_Toc15396608"/>
      <w:bookmarkStart w:id="53" w:name="_Toc149203613"/>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51"/>
      <w:bookmarkEnd w:id="52"/>
      <w:bookmarkEnd w:id="53"/>
      <w:r>
        <w:rPr>
          <w:rStyle w:val="31"/>
          <w:rFonts w:ascii="黑体" w:hAnsi="黑体" w:eastAsia="黑体"/>
          <w:b w:val="0"/>
        </w:rPr>
        <w:tab/>
      </w:r>
    </w:p>
    <w:p>
      <w:pPr>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ascii="仿宋" w:hAnsi="仿宋" w:eastAsia="仿宋"/>
          <w:sz w:val="32"/>
          <w:szCs w:val="32"/>
        </w:rPr>
        <w:t>143.92</w:t>
      </w:r>
      <w:r>
        <w:rPr>
          <w:rFonts w:hint="eastAsia" w:ascii="仿宋" w:hAnsi="仿宋" w:eastAsia="仿宋"/>
          <w:sz w:val="32"/>
          <w:szCs w:val="32"/>
        </w:rPr>
        <w:t>万元，其中：</w:t>
      </w:r>
    </w:p>
    <w:p>
      <w:pPr>
        <w:ind w:firstLine="645"/>
        <w:rPr>
          <w:rFonts w:ascii="仿宋" w:hAnsi="仿宋" w:eastAsia="仿宋"/>
          <w:sz w:val="32"/>
          <w:szCs w:val="32"/>
        </w:rPr>
      </w:pPr>
      <w:r>
        <w:rPr>
          <w:rFonts w:hint="eastAsia" w:ascii="仿宋" w:hAnsi="仿宋" w:eastAsia="仿宋"/>
          <w:sz w:val="32"/>
          <w:szCs w:val="32"/>
        </w:rPr>
        <w:t>人员经费1</w:t>
      </w:r>
      <w:r>
        <w:rPr>
          <w:rFonts w:ascii="仿宋" w:hAnsi="仿宋" w:eastAsia="仿宋"/>
          <w:sz w:val="32"/>
          <w:szCs w:val="32"/>
        </w:rPr>
        <w:t>30.48</w:t>
      </w:r>
      <w:r>
        <w:rPr>
          <w:rFonts w:hint="eastAsia" w:ascii="仿宋" w:hAnsi="仿宋" w:eastAsia="仿宋"/>
          <w:sz w:val="32"/>
          <w:szCs w:val="32"/>
        </w:rPr>
        <w:t>万元，主要包括：基本工资、津贴补贴、绩效工资、机关事业单位基本养老保险缴费、公务员医疗补助缴费、其他社会保障缴费、其他工资福利支出、住房公积金等。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sz w:val="32"/>
          <w:szCs w:val="32"/>
        </w:rPr>
        <w:t>13.44</w:t>
      </w:r>
      <w:r>
        <w:rPr>
          <w:rFonts w:hint="eastAsia" w:ascii="仿宋" w:hAnsi="仿宋" w:eastAsia="仿宋"/>
          <w:sz w:val="32"/>
          <w:szCs w:val="32"/>
        </w:rPr>
        <w:t>万元，主要包括：办公费、电费、工会经费、福利费、公务用车运行维护费、其他商品和服务支出等。</w:t>
      </w:r>
    </w:p>
    <w:p>
      <w:pPr>
        <w:ind w:firstLine="640"/>
        <w:rPr>
          <w:rFonts w:ascii="仿宋" w:hAnsi="仿宋" w:eastAsia="仿宋"/>
          <w:b/>
          <w:sz w:val="32"/>
          <w:szCs w:val="32"/>
        </w:rPr>
      </w:pPr>
    </w:p>
    <w:p>
      <w:pPr>
        <w:ind w:firstLine="640"/>
        <w:outlineLvl w:val="1"/>
        <w:rPr>
          <w:rStyle w:val="31"/>
          <w:rFonts w:ascii="黑体" w:hAnsi="黑体" w:eastAsia="黑体"/>
          <w:b w:val="0"/>
        </w:rPr>
      </w:pPr>
      <w:bookmarkStart w:id="54" w:name="_Toc15396609"/>
      <w:bookmarkStart w:id="55" w:name="_Toc149203614"/>
      <w:bookmarkStart w:id="56" w:name="_Toc15377215"/>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54"/>
      <w:bookmarkEnd w:id="55"/>
      <w:bookmarkEnd w:id="56"/>
    </w:p>
    <w:p>
      <w:pPr>
        <w:ind w:firstLine="640"/>
        <w:outlineLvl w:val="2"/>
        <w:rPr>
          <w:rFonts w:ascii="仿宋" w:hAnsi="仿宋" w:eastAsia="仿宋"/>
          <w:b/>
          <w:sz w:val="32"/>
          <w:szCs w:val="32"/>
        </w:rPr>
      </w:pPr>
      <w:bookmarkStart w:id="57" w:name="_Toc149203615"/>
      <w:bookmarkStart w:id="58" w:name="_Toc15377216"/>
      <w:r>
        <w:rPr>
          <w:rFonts w:hint="eastAsia" w:ascii="仿宋" w:hAnsi="仿宋" w:eastAsia="仿宋"/>
          <w:b/>
          <w:sz w:val="32"/>
          <w:szCs w:val="32"/>
        </w:rPr>
        <w:t>（一）“三公”经费财政拨款支出决算总体情况说明</w:t>
      </w:r>
      <w:bookmarkEnd w:id="57"/>
      <w:bookmarkEnd w:id="58"/>
    </w:p>
    <w:p>
      <w:pPr>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ascii="仿宋" w:hAnsi="仿宋" w:eastAsia="仿宋"/>
          <w:sz w:val="32"/>
          <w:szCs w:val="32"/>
        </w:rPr>
        <w:t>9.90</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，较上年减少</w:t>
      </w:r>
      <w:r>
        <w:rPr>
          <w:rFonts w:ascii="仿宋" w:hAnsi="仿宋" w:eastAsia="仿宋"/>
          <w:sz w:val="32"/>
          <w:szCs w:val="32"/>
        </w:rPr>
        <w:t>30.09</w:t>
      </w:r>
      <w:r>
        <w:rPr>
          <w:rFonts w:hint="eastAsia" w:ascii="仿宋" w:hAnsi="仿宋" w:eastAsia="仿宋"/>
          <w:sz w:val="32"/>
          <w:szCs w:val="32"/>
        </w:rPr>
        <w:t>万元，下降7</w:t>
      </w:r>
      <w:r>
        <w:rPr>
          <w:rFonts w:ascii="仿宋" w:hAnsi="仿宋" w:eastAsia="仿宋"/>
          <w:sz w:val="32"/>
          <w:szCs w:val="32"/>
        </w:rPr>
        <w:t>5.24</w:t>
      </w:r>
      <w:r>
        <w:rPr>
          <w:rFonts w:hint="eastAsia" w:ascii="仿宋" w:hAnsi="仿宋" w:eastAsia="仿宋"/>
          <w:sz w:val="32"/>
          <w:szCs w:val="32"/>
        </w:rPr>
        <w:t>%。决算数与预算数持平。</w:t>
      </w:r>
    </w:p>
    <w:p>
      <w:pPr>
        <w:ind w:firstLine="640"/>
        <w:outlineLvl w:val="2"/>
        <w:rPr>
          <w:rFonts w:ascii="仿宋" w:hAnsi="仿宋" w:eastAsia="仿宋"/>
          <w:b/>
          <w:sz w:val="32"/>
          <w:szCs w:val="32"/>
        </w:rPr>
      </w:pPr>
      <w:bookmarkStart w:id="59" w:name="_Toc15377217"/>
      <w:bookmarkStart w:id="60" w:name="_Toc149203616"/>
      <w:r>
        <w:rPr>
          <w:rFonts w:hint="eastAsia" w:ascii="仿宋" w:hAnsi="仿宋" w:eastAsia="仿宋"/>
          <w:b/>
          <w:sz w:val="32"/>
          <w:szCs w:val="32"/>
        </w:rPr>
        <w:t>（二）“三公”经费财政拨款支出决算具体情况说明</w:t>
      </w:r>
      <w:bookmarkEnd w:id="59"/>
      <w:bookmarkEnd w:id="60"/>
    </w:p>
    <w:p>
      <w:pPr>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；公务用车购置及运行维护费支出决算</w:t>
      </w:r>
      <w:r>
        <w:rPr>
          <w:rFonts w:ascii="仿宋" w:hAnsi="仿宋" w:eastAsia="仿宋"/>
          <w:sz w:val="32"/>
          <w:szCs w:val="32"/>
        </w:rPr>
        <w:t>9.90</w:t>
      </w:r>
      <w:r>
        <w:rPr>
          <w:rFonts w:hint="eastAsia" w:ascii="仿宋" w:hAnsi="仿宋" w:eastAsia="仿宋"/>
          <w:sz w:val="32"/>
          <w:szCs w:val="32"/>
        </w:rPr>
        <w:t>万元，占1</w:t>
      </w:r>
      <w:r>
        <w:rPr>
          <w:rFonts w:ascii="仿宋" w:hAnsi="仿宋" w:eastAsia="仿宋"/>
          <w:sz w:val="32"/>
          <w:szCs w:val="32"/>
        </w:rPr>
        <w:t>00%</w:t>
      </w:r>
      <w:r>
        <w:rPr>
          <w:rFonts w:hint="eastAsia" w:ascii="仿宋" w:hAnsi="仿宋" w:eastAsia="仿宋"/>
          <w:sz w:val="32"/>
          <w:szCs w:val="32"/>
        </w:rPr>
        <w:t>；公务接待费支出决算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。具体情况如下：</w:t>
      </w:r>
    </w:p>
    <w:p>
      <w:pPr>
        <w:ind w:firstLine="640"/>
        <w:rPr>
          <w:rFonts w:ascii="仿宋" w:hAnsi="仿宋" w:eastAsia="仿宋"/>
          <w:sz w:val="32"/>
          <w:szCs w:val="32"/>
        </w:rPr>
      </w:pPr>
      <w:r>
        <w:rPr>
          <w:rFonts w:hint="eastAsia" w:ascii="仿宋" w:hAnsi="仿宋" w:eastAsia="仿宋"/>
          <w:sz w:val="32"/>
          <w:szCs w:val="32"/>
        </w:rPr>
        <w:t>（图7：“三公”经费财政拨款支出结构）（饼状图）</w:t>
      </w:r>
    </w:p>
    <w:p/>
    <w:p>
      <w:pPr>
        <w:pStyle w:val="2"/>
        <w:spacing w:before="93"/>
      </w:pPr>
      <w:r>
        <w:drawing>
          <wp:inline distT="0" distB="0" distL="0" distR="0">
            <wp:extent cx="5274310" cy="2447925"/>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_GB2312" w:eastAsia="仿宋_GB2312"/>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0%</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sz w:val="32"/>
          <w:szCs w:val="32"/>
        </w:rPr>
        <w:t>0</w:t>
      </w:r>
      <w:r>
        <w:rPr>
          <w:rFonts w:hint="eastAsia" w:ascii="仿宋_GB2312" w:eastAsia="仿宋_GB2312"/>
          <w:sz w:val="32"/>
          <w:szCs w:val="32"/>
        </w:rPr>
        <w:t>次，出国（境）</w:t>
      </w:r>
      <w:r>
        <w:rPr>
          <w:rFonts w:ascii="仿宋_GB2312" w:eastAsia="仿宋_GB2312"/>
          <w:sz w:val="32"/>
          <w:szCs w:val="32"/>
        </w:rPr>
        <w:t>0</w:t>
      </w:r>
      <w:r>
        <w:rPr>
          <w:rFonts w:hint="eastAsia" w:ascii="仿宋_GB2312" w:eastAsia="仿宋_GB2312"/>
          <w:sz w:val="32"/>
          <w:szCs w:val="32"/>
        </w:rPr>
        <w:t>人。因公出国（境）支出决算与</w:t>
      </w:r>
      <w:r>
        <w:rPr>
          <w:rFonts w:ascii="仿宋_GB2312" w:eastAsia="仿宋_GB2312"/>
          <w:sz w:val="32"/>
          <w:szCs w:val="32"/>
        </w:rPr>
        <w:t>20</w:t>
      </w:r>
      <w:r>
        <w:rPr>
          <w:rFonts w:hint="eastAsia" w:ascii="仿宋_GB2312" w:eastAsia="仿宋_GB2312"/>
          <w:sz w:val="32"/>
          <w:szCs w:val="32"/>
        </w:rPr>
        <w:t>21年持平。</w:t>
      </w:r>
    </w:p>
    <w:p>
      <w:pPr>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022</w:t>
      </w:r>
      <w:r>
        <w:rPr>
          <w:rFonts w:hint="eastAsia" w:ascii="仿宋_GB2312" w:eastAsia="仿宋_GB2312"/>
          <w:sz w:val="32"/>
          <w:szCs w:val="32"/>
        </w:rPr>
        <w:t>年无相关开支产生。</w:t>
      </w:r>
    </w:p>
    <w:p>
      <w:pPr>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sz w:val="32"/>
          <w:szCs w:val="32"/>
        </w:rPr>
        <w:t>9.90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21年减少</w:t>
      </w:r>
      <w:r>
        <w:rPr>
          <w:rFonts w:ascii="仿宋_GB2312" w:eastAsia="仿宋_GB2312"/>
          <w:sz w:val="32"/>
          <w:szCs w:val="32"/>
        </w:rPr>
        <w:t>30.09</w:t>
      </w:r>
      <w:r>
        <w:rPr>
          <w:rFonts w:hint="eastAsia" w:ascii="仿宋_GB2312" w:eastAsia="仿宋_GB2312"/>
          <w:sz w:val="32"/>
          <w:szCs w:val="32"/>
        </w:rPr>
        <w:t>万元，下降7</w:t>
      </w:r>
      <w:r>
        <w:rPr>
          <w:rFonts w:ascii="仿宋_GB2312" w:eastAsia="仿宋_GB2312"/>
          <w:sz w:val="32"/>
          <w:szCs w:val="32"/>
        </w:rPr>
        <w:t>5.24%</w:t>
      </w:r>
      <w:r>
        <w:rPr>
          <w:rFonts w:hint="eastAsia" w:ascii="仿宋_GB2312" w:eastAsia="仿宋_GB2312"/>
          <w:sz w:val="32"/>
          <w:szCs w:val="32"/>
        </w:rPr>
        <w:t>。主要原因是本年未更新打非车辆。</w:t>
      </w:r>
    </w:p>
    <w:p>
      <w:pPr>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_GB2312" w:eastAsia="仿宋_GB2312"/>
          <w:sz w:val="32"/>
          <w:szCs w:val="32"/>
        </w:rPr>
        <w:t>0</w:t>
      </w:r>
      <w:r>
        <w:rPr>
          <w:rFonts w:hint="eastAsia" w:ascii="仿宋_GB2312" w:eastAsia="仿宋_GB2312"/>
          <w:sz w:val="32"/>
          <w:szCs w:val="32"/>
        </w:rPr>
        <w:t>万元。全年按规定更新购置公务用车</w:t>
      </w:r>
      <w:r>
        <w:rPr>
          <w:rFonts w:ascii="仿宋_GB2312" w:eastAsia="仿宋_GB2312"/>
          <w:sz w:val="32"/>
          <w:szCs w:val="32"/>
        </w:rPr>
        <w:t>0</w:t>
      </w:r>
      <w:r>
        <w:rPr>
          <w:rFonts w:hint="eastAsia" w:ascii="仿宋_GB2312" w:eastAsia="仿宋_GB2312"/>
          <w:sz w:val="32"/>
          <w:szCs w:val="32"/>
        </w:rPr>
        <w:t>辆，其中：轿车0辆、金额0万元，越野车0辆、金额</w:t>
      </w:r>
      <w:r>
        <w:rPr>
          <w:rFonts w:ascii="仿宋_GB2312" w:eastAsia="仿宋_GB2312"/>
          <w:sz w:val="32"/>
          <w:szCs w:val="32"/>
        </w:rPr>
        <w:t>0</w:t>
      </w:r>
      <w:r>
        <w:rPr>
          <w:rFonts w:hint="eastAsia" w:ascii="仿宋_GB2312" w:eastAsia="仿宋_GB2312"/>
          <w:sz w:val="32"/>
          <w:szCs w:val="32"/>
        </w:rPr>
        <w:t>万元，载客汽车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月底，单位共有公务用车5辆，其中：轿车</w:t>
      </w:r>
      <w:r>
        <w:rPr>
          <w:rFonts w:ascii="仿宋_GB2312" w:eastAsia="仿宋_GB2312"/>
          <w:sz w:val="32"/>
          <w:szCs w:val="32"/>
        </w:rPr>
        <w:t>1</w:t>
      </w:r>
      <w:r>
        <w:rPr>
          <w:rFonts w:hint="eastAsia" w:ascii="仿宋_GB2312" w:eastAsia="仿宋_GB2312"/>
          <w:sz w:val="32"/>
          <w:szCs w:val="32"/>
        </w:rPr>
        <w:t>辆、越野车</w:t>
      </w:r>
      <w:r>
        <w:rPr>
          <w:rFonts w:ascii="仿宋_GB2312" w:eastAsia="仿宋_GB2312"/>
          <w:sz w:val="32"/>
          <w:szCs w:val="32"/>
        </w:rPr>
        <w:t>0</w:t>
      </w:r>
      <w:r>
        <w:rPr>
          <w:rFonts w:hint="eastAsia" w:ascii="仿宋_GB2312" w:eastAsia="仿宋_GB2312"/>
          <w:sz w:val="32"/>
          <w:szCs w:val="32"/>
        </w:rPr>
        <w:t>辆、载客汽车4辆。</w:t>
      </w:r>
    </w:p>
    <w:p>
      <w:pPr>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_GB2312" w:eastAsia="仿宋_GB2312"/>
          <w:sz w:val="32"/>
          <w:szCs w:val="32"/>
        </w:rPr>
        <w:t>9.90</w:t>
      </w:r>
      <w:r>
        <w:rPr>
          <w:rFonts w:hint="eastAsia" w:ascii="仿宋_GB2312" w:eastAsia="仿宋_GB2312"/>
          <w:sz w:val="32"/>
          <w:szCs w:val="32"/>
        </w:rPr>
        <w:t>万元。</w:t>
      </w:r>
      <w:r>
        <w:rPr>
          <w:rFonts w:hint="eastAsia" w:ascii="仿宋" w:hAnsi="仿宋" w:eastAsia="仿宋"/>
          <w:sz w:val="32"/>
          <w:szCs w:val="32"/>
        </w:rPr>
        <w:t>主要用于辖区矿产资源安全巡查及打击非法采矿</w:t>
      </w:r>
      <w:r>
        <w:rPr>
          <w:rFonts w:hint="eastAsia" w:ascii="仿宋" w:hAnsi="仿宋" w:eastAsia="仿宋" w:cs="微软雅黑"/>
          <w:sz w:val="32"/>
          <w:szCs w:val="32"/>
        </w:rPr>
        <w:t>工作</w:t>
      </w:r>
      <w:r>
        <w:rPr>
          <w:rFonts w:hint="eastAsia" w:ascii="仿宋_GB2312" w:eastAsia="仿宋_GB2312"/>
          <w:sz w:val="32"/>
          <w:szCs w:val="32"/>
        </w:rPr>
        <w:t>等所需的公务用车燃料费、维修费、过路过桥费、保险费等支出。</w:t>
      </w:r>
    </w:p>
    <w:p>
      <w:pPr>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公务接待费支出决算与</w:t>
      </w:r>
      <w:r>
        <w:rPr>
          <w:rFonts w:ascii="仿宋_GB2312" w:eastAsia="仿宋_GB2312"/>
          <w:sz w:val="32"/>
          <w:szCs w:val="32"/>
        </w:rPr>
        <w:t>20</w:t>
      </w:r>
      <w:r>
        <w:rPr>
          <w:rFonts w:hint="eastAsia" w:ascii="仿宋_GB2312" w:eastAsia="仿宋_GB2312"/>
          <w:sz w:val="32"/>
          <w:szCs w:val="32"/>
        </w:rPr>
        <w:t>21年持平。其中：</w:t>
      </w:r>
    </w:p>
    <w:p>
      <w:pPr>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sz w:val="32"/>
          <w:szCs w:val="32"/>
        </w:rPr>
        <w:t>0</w:t>
      </w:r>
      <w:r>
        <w:rPr>
          <w:rFonts w:hint="eastAsia" w:ascii="仿宋_GB2312" w:eastAsia="仿宋_GB2312"/>
          <w:sz w:val="32"/>
          <w:szCs w:val="32"/>
        </w:rPr>
        <w:t>万元，主要用于执行公务、开展业务活动开支的交通费、住宿费、用餐费等。国内公务接待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人次（不包括陪同人员），共计支出</w:t>
      </w:r>
      <w:r>
        <w:rPr>
          <w:rFonts w:ascii="仿宋_GB2312" w:eastAsia="仿宋_GB2312"/>
          <w:sz w:val="32"/>
          <w:szCs w:val="32"/>
        </w:rPr>
        <w:t>0</w:t>
      </w:r>
      <w:r>
        <w:rPr>
          <w:rFonts w:hint="eastAsia" w:ascii="仿宋_GB2312" w:eastAsia="仿宋_GB2312"/>
          <w:sz w:val="32"/>
          <w:szCs w:val="32"/>
        </w:rPr>
        <w:t>万元。</w:t>
      </w:r>
    </w:p>
    <w:p>
      <w:pPr>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sz w:val="32"/>
          <w:szCs w:val="32"/>
        </w:rPr>
        <w:t>0</w:t>
      </w:r>
      <w:r>
        <w:rPr>
          <w:rFonts w:hint="eastAsia" w:ascii="仿宋_GB2312" w:eastAsia="仿宋_GB2312"/>
          <w:sz w:val="32"/>
          <w:szCs w:val="32"/>
        </w:rPr>
        <w:t>万元，主要用于接待</w:t>
      </w:r>
      <w:r>
        <w:rPr>
          <w:rFonts w:ascii="仿宋_GB2312" w:eastAsia="仿宋_GB2312"/>
          <w:sz w:val="32"/>
          <w:szCs w:val="32"/>
        </w:rPr>
        <w:t>0</w:t>
      </w:r>
      <w:r>
        <w:rPr>
          <w:rFonts w:hint="eastAsia" w:ascii="仿宋_GB2312" w:eastAsia="仿宋_GB2312"/>
          <w:sz w:val="32"/>
          <w:szCs w:val="32"/>
        </w:rPr>
        <w:t>。外事接待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人次（不包括陪同人员），共计支出</w:t>
      </w:r>
      <w:r>
        <w:rPr>
          <w:rFonts w:ascii="仿宋_GB2312" w:eastAsia="仿宋_GB2312"/>
          <w:sz w:val="32"/>
          <w:szCs w:val="32"/>
        </w:rPr>
        <w:t>0</w:t>
      </w:r>
      <w:r>
        <w:rPr>
          <w:rFonts w:hint="eastAsia" w:ascii="仿宋_GB2312" w:eastAsia="仿宋_GB2312"/>
          <w:sz w:val="32"/>
          <w:szCs w:val="32"/>
        </w:rPr>
        <w:t>万元。</w:t>
      </w:r>
    </w:p>
    <w:p>
      <w:pPr>
        <w:ind w:firstLine="640"/>
        <w:outlineLvl w:val="1"/>
        <w:rPr>
          <w:rStyle w:val="31"/>
          <w:rFonts w:ascii="黑体" w:hAnsi="黑体" w:eastAsia="黑体"/>
        </w:rPr>
      </w:pPr>
      <w:bookmarkStart w:id="61" w:name="_Toc15377218"/>
      <w:bookmarkStart w:id="62" w:name="_Toc149203617"/>
      <w:bookmarkStart w:id="63" w:name="_Toc15396610"/>
      <w:r>
        <w:rPr>
          <w:rFonts w:hint="eastAsia" w:ascii="黑体" w:eastAsia="黑体"/>
          <w:sz w:val="32"/>
          <w:szCs w:val="32"/>
        </w:rPr>
        <w:t>八、</w:t>
      </w:r>
      <w:r>
        <w:rPr>
          <w:rStyle w:val="31"/>
          <w:rFonts w:hint="eastAsia" w:ascii="黑体" w:hAnsi="黑体" w:eastAsia="黑体"/>
          <w:b w:val="0"/>
        </w:rPr>
        <w:t>政府性基金预算支出决算情况说明</w:t>
      </w:r>
      <w:bookmarkEnd w:id="61"/>
      <w:bookmarkEnd w:id="62"/>
      <w:bookmarkEnd w:id="63"/>
    </w:p>
    <w:p>
      <w:pPr>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ascii="仿宋_GB2312" w:eastAsia="仿宋_GB2312"/>
          <w:sz w:val="32"/>
          <w:szCs w:val="32"/>
        </w:rPr>
        <w:t>25.35</w:t>
      </w:r>
      <w:r>
        <w:rPr>
          <w:rFonts w:hint="eastAsia" w:ascii="仿宋_GB2312" w:eastAsia="仿宋_GB2312"/>
          <w:sz w:val="32"/>
          <w:szCs w:val="32"/>
        </w:rPr>
        <w:t>万元。</w:t>
      </w:r>
    </w:p>
    <w:p>
      <w:pPr>
        <w:numPr>
          <w:ilvl w:val="0"/>
          <w:numId w:val="3"/>
        </w:numPr>
        <w:ind w:firstLine="640"/>
        <w:outlineLvl w:val="1"/>
        <w:rPr>
          <w:rStyle w:val="31"/>
          <w:rFonts w:ascii="黑体" w:hAnsi="黑体" w:eastAsia="黑体"/>
          <w:b w:val="0"/>
        </w:rPr>
      </w:pPr>
      <w:bookmarkStart w:id="64" w:name="_Toc149203618"/>
      <w:bookmarkStart w:id="65" w:name="_Toc15377219"/>
      <w:bookmarkStart w:id="66" w:name="_Toc15396611"/>
      <w:r>
        <w:rPr>
          <w:rStyle w:val="31"/>
          <w:rFonts w:hint="eastAsia" w:ascii="黑体" w:hAnsi="黑体" w:eastAsia="黑体"/>
          <w:b w:val="0"/>
        </w:rPr>
        <w:t>国有资本经营预算支出决算情况说明</w:t>
      </w:r>
      <w:bookmarkEnd w:id="64"/>
      <w:bookmarkEnd w:id="65"/>
      <w:bookmarkEnd w:id="66"/>
    </w:p>
    <w:p>
      <w:pPr>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ascii="仿宋_GB2312" w:eastAsia="仿宋_GB2312"/>
          <w:sz w:val="32"/>
          <w:szCs w:val="32"/>
        </w:rPr>
        <w:t>0</w:t>
      </w:r>
      <w:r>
        <w:rPr>
          <w:rFonts w:hint="eastAsia" w:ascii="仿宋_GB2312" w:eastAsia="仿宋_GB2312"/>
          <w:sz w:val="32"/>
          <w:szCs w:val="32"/>
        </w:rPr>
        <w:t>万元。</w:t>
      </w:r>
    </w:p>
    <w:p>
      <w:pPr>
        <w:numPr>
          <w:ilvl w:val="0"/>
          <w:numId w:val="3"/>
        </w:numPr>
        <w:ind w:firstLine="640"/>
        <w:outlineLvl w:val="1"/>
        <w:rPr>
          <w:rStyle w:val="31"/>
          <w:rFonts w:ascii="黑体" w:hAnsi="黑体" w:eastAsia="黑体"/>
          <w:b w:val="0"/>
        </w:rPr>
      </w:pPr>
      <w:bookmarkStart w:id="67" w:name="_Toc149203619"/>
      <w:bookmarkStart w:id="68" w:name="_Toc15396612"/>
      <w:bookmarkStart w:id="69" w:name="_Toc15377221"/>
      <w:r>
        <w:rPr>
          <w:rStyle w:val="31"/>
          <w:rFonts w:hint="eastAsia" w:ascii="黑体" w:hAnsi="黑体" w:eastAsia="黑体"/>
          <w:b w:val="0"/>
        </w:rPr>
        <w:t>其他重要事项的情况说明</w:t>
      </w:r>
      <w:bookmarkEnd w:id="67"/>
      <w:bookmarkEnd w:id="68"/>
      <w:bookmarkEnd w:id="69"/>
    </w:p>
    <w:p>
      <w:pPr>
        <w:ind w:firstLine="643" w:firstLineChars="200"/>
        <w:outlineLvl w:val="2"/>
        <w:rPr>
          <w:rFonts w:ascii="仿宋" w:hAnsi="仿宋" w:eastAsia="仿宋"/>
          <w:sz w:val="32"/>
          <w:szCs w:val="32"/>
        </w:rPr>
      </w:pPr>
      <w:bookmarkStart w:id="70" w:name="_Toc149203620"/>
      <w:bookmarkStart w:id="71" w:name="_Toc15377222"/>
      <w:r>
        <w:rPr>
          <w:rFonts w:hint="eastAsia" w:ascii="仿宋" w:hAnsi="仿宋" w:eastAsia="仿宋"/>
          <w:b/>
          <w:sz w:val="32"/>
          <w:szCs w:val="32"/>
        </w:rPr>
        <w:t>（一）机关运行经费支出情况</w:t>
      </w:r>
      <w:bookmarkEnd w:id="70"/>
      <w:bookmarkEnd w:id="71"/>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22年，攀枝花市西区矿产资源保护中心机关运行经费支出</w:t>
      </w:r>
      <w:r>
        <w:rPr>
          <w:rFonts w:ascii="仿宋_GB2312" w:eastAsia="仿宋_GB2312"/>
          <w:sz w:val="32"/>
          <w:szCs w:val="32"/>
        </w:rPr>
        <w:t>0</w:t>
      </w:r>
      <w:r>
        <w:rPr>
          <w:rFonts w:hint="eastAsia" w:ascii="仿宋_GB2312" w:eastAsia="仿宋_GB2312"/>
          <w:sz w:val="32"/>
          <w:szCs w:val="32"/>
        </w:rPr>
        <w:t>万元，与</w:t>
      </w:r>
      <w:r>
        <w:rPr>
          <w:rFonts w:ascii="仿宋_GB2312" w:eastAsia="仿宋_GB2312"/>
          <w:sz w:val="32"/>
          <w:szCs w:val="32"/>
        </w:rPr>
        <w:t>20</w:t>
      </w:r>
      <w:r>
        <w:rPr>
          <w:rFonts w:hint="eastAsia" w:ascii="仿宋_GB2312" w:eastAsia="仿宋_GB2312"/>
          <w:sz w:val="32"/>
          <w:szCs w:val="32"/>
        </w:rPr>
        <w:t>21年决算数持平。</w:t>
      </w:r>
    </w:p>
    <w:p>
      <w:pPr>
        <w:autoSpaceDE w:val="0"/>
        <w:autoSpaceDN w:val="0"/>
        <w:adjustRightInd w:val="0"/>
        <w:ind w:firstLine="643" w:firstLineChars="200"/>
        <w:jc w:val="left"/>
        <w:outlineLvl w:val="2"/>
        <w:rPr>
          <w:rFonts w:ascii="仿宋" w:hAnsi="仿宋" w:eastAsia="仿宋"/>
          <w:b/>
          <w:sz w:val="32"/>
          <w:szCs w:val="32"/>
        </w:rPr>
      </w:pPr>
      <w:bookmarkStart w:id="72" w:name="_Toc149203621"/>
      <w:bookmarkStart w:id="73" w:name="_Toc15377223"/>
      <w:r>
        <w:rPr>
          <w:rFonts w:hint="eastAsia" w:ascii="仿宋" w:hAnsi="仿宋" w:eastAsia="仿宋"/>
          <w:b/>
          <w:sz w:val="32"/>
          <w:szCs w:val="32"/>
        </w:rPr>
        <w:t>（二）政府采购支出情况</w:t>
      </w:r>
      <w:bookmarkEnd w:id="72"/>
      <w:bookmarkEnd w:id="73"/>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22年，攀枝花市西区矿产资源保护中心政府采购支出总额</w:t>
      </w:r>
      <w:r>
        <w:rPr>
          <w:rFonts w:ascii="仿宋_GB2312" w:eastAsia="仿宋_GB2312"/>
          <w:sz w:val="32"/>
          <w:szCs w:val="32"/>
        </w:rPr>
        <w:t>17.90</w:t>
      </w:r>
      <w:r>
        <w:rPr>
          <w:rFonts w:hint="eastAsia" w:ascii="仿宋_GB2312" w:eastAsia="仿宋_GB2312"/>
          <w:sz w:val="32"/>
          <w:szCs w:val="32"/>
        </w:rPr>
        <w:t>万元，其中：政府采购货物支出</w:t>
      </w:r>
      <w:r>
        <w:rPr>
          <w:rFonts w:ascii="仿宋_GB2312" w:eastAsia="仿宋_GB2312"/>
          <w:sz w:val="32"/>
          <w:szCs w:val="32"/>
        </w:rPr>
        <w:t>17.90</w:t>
      </w:r>
      <w:r>
        <w:rPr>
          <w:rFonts w:hint="eastAsia" w:ascii="仿宋_GB2312" w:eastAsia="仿宋_GB2312"/>
          <w:sz w:val="32"/>
          <w:szCs w:val="32"/>
        </w:rPr>
        <w:t>万元、政府采购工程支出</w:t>
      </w:r>
      <w:r>
        <w:rPr>
          <w:rFonts w:ascii="仿宋_GB2312" w:eastAsia="仿宋_GB2312"/>
          <w:sz w:val="32"/>
          <w:szCs w:val="32"/>
        </w:rPr>
        <w:t>0</w:t>
      </w:r>
      <w:r>
        <w:rPr>
          <w:rFonts w:hint="eastAsia" w:ascii="仿宋_GB2312" w:eastAsia="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万元。授予中小企业合同金额</w:t>
      </w:r>
      <w:r>
        <w:rPr>
          <w:rFonts w:ascii="仿宋_GB2312" w:eastAsia="仿宋_GB2312"/>
          <w:sz w:val="32"/>
          <w:szCs w:val="32"/>
        </w:rPr>
        <w:t>17.90</w:t>
      </w:r>
      <w:r>
        <w:rPr>
          <w:rFonts w:hint="eastAsia" w:ascii="仿宋_GB2312" w:eastAsia="仿宋_GB2312"/>
          <w:sz w:val="32"/>
          <w:szCs w:val="32"/>
        </w:rPr>
        <w:t>万元，占政府采购支出总额的1</w:t>
      </w:r>
      <w:r>
        <w:rPr>
          <w:rFonts w:ascii="仿宋_GB2312" w:eastAsia="仿宋_GB2312"/>
          <w:sz w:val="32"/>
          <w:szCs w:val="32"/>
        </w:rPr>
        <w:t>00%</w:t>
      </w:r>
      <w:r>
        <w:rPr>
          <w:rFonts w:hint="eastAsia" w:ascii="仿宋_GB2312" w:eastAsia="仿宋_GB2312"/>
          <w:sz w:val="32"/>
          <w:szCs w:val="32"/>
        </w:rPr>
        <w:t>，其中：授予小微企业合同金额1</w:t>
      </w:r>
      <w:r>
        <w:rPr>
          <w:rFonts w:ascii="仿宋_GB2312" w:eastAsia="仿宋_GB2312"/>
          <w:sz w:val="32"/>
          <w:szCs w:val="32"/>
        </w:rPr>
        <w:t>7.90</w:t>
      </w:r>
      <w:r>
        <w:rPr>
          <w:rFonts w:hint="eastAsia" w:ascii="仿宋_GB2312" w:eastAsia="仿宋_GB2312"/>
          <w:sz w:val="32"/>
          <w:szCs w:val="32"/>
        </w:rPr>
        <w:t>万元，占政府采购支出总额的1</w:t>
      </w:r>
      <w:r>
        <w:rPr>
          <w:rFonts w:ascii="仿宋_GB2312" w:eastAsia="仿宋_GB2312"/>
          <w:sz w:val="32"/>
          <w:szCs w:val="32"/>
        </w:rPr>
        <w:t>00%</w:t>
      </w:r>
      <w:r>
        <w:rPr>
          <w:rFonts w:hint="eastAsia" w:ascii="仿宋_GB2312" w:eastAsia="仿宋_GB2312"/>
          <w:sz w:val="32"/>
          <w:szCs w:val="32"/>
        </w:rPr>
        <w:t>。</w:t>
      </w:r>
    </w:p>
    <w:p>
      <w:pPr>
        <w:autoSpaceDE w:val="0"/>
        <w:autoSpaceDN w:val="0"/>
        <w:adjustRightInd w:val="0"/>
        <w:ind w:firstLine="643" w:firstLineChars="200"/>
        <w:jc w:val="left"/>
        <w:outlineLvl w:val="2"/>
        <w:rPr>
          <w:rFonts w:ascii="仿宋" w:hAnsi="仿宋" w:eastAsia="仿宋"/>
          <w:b/>
          <w:sz w:val="32"/>
          <w:szCs w:val="32"/>
        </w:rPr>
      </w:pPr>
      <w:bookmarkStart w:id="74" w:name="_Toc149203622"/>
      <w:bookmarkStart w:id="75" w:name="_Toc15377224"/>
      <w:r>
        <w:rPr>
          <w:rFonts w:hint="eastAsia" w:ascii="仿宋" w:hAnsi="仿宋" w:eastAsia="仿宋"/>
          <w:b/>
          <w:sz w:val="32"/>
          <w:szCs w:val="32"/>
        </w:rPr>
        <w:t>（三）国有资产占有使用情况</w:t>
      </w:r>
      <w:bookmarkEnd w:id="74"/>
      <w:bookmarkEnd w:id="75"/>
    </w:p>
    <w:p>
      <w:pPr>
        <w:autoSpaceDE w:val="0"/>
        <w:autoSpaceDN w:val="0"/>
        <w:adjustRightInd w:val="0"/>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日，攀枝花市西区矿产资源保护中心共有车辆5辆，其中：主要领导干部用车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5</w:t>
      </w:r>
      <w:r>
        <w:rPr>
          <w:rFonts w:hint="eastAsia" w:ascii="仿宋_GB2312" w:eastAsia="仿宋_GB2312"/>
          <w:sz w:val="32"/>
          <w:szCs w:val="32"/>
        </w:rPr>
        <w:t>辆，其他用车主要是用于</w:t>
      </w:r>
      <w:r>
        <w:rPr>
          <w:rFonts w:hint="eastAsia" w:ascii="仿宋" w:hAnsi="仿宋" w:eastAsia="仿宋"/>
          <w:sz w:val="32"/>
          <w:szCs w:val="32"/>
        </w:rPr>
        <w:t>辖区矿产资源安全巡查及打击非法盗采矿产资源工作</w:t>
      </w:r>
      <w:r>
        <w:rPr>
          <w:rFonts w:hint="eastAsia" w:ascii="仿宋_GB2312" w:eastAsia="仿宋_GB2312"/>
          <w:sz w:val="32"/>
          <w:szCs w:val="32"/>
        </w:rPr>
        <w:t>。</w:t>
      </w:r>
      <w:r>
        <w:rPr>
          <w:rFonts w:hint="eastAsia" w:ascii="仿宋" w:hAnsi="仿宋" w:eastAsia="仿宋"/>
          <w:sz w:val="32"/>
          <w:szCs w:val="32"/>
        </w:rPr>
        <w:t>单价</w:t>
      </w:r>
      <w:r>
        <w:rPr>
          <w:rFonts w:ascii="仿宋" w:hAnsi="仿宋" w:eastAsia="仿宋"/>
          <w:sz w:val="32"/>
          <w:szCs w:val="32"/>
        </w:rPr>
        <w:t>50</w:t>
      </w:r>
      <w:r>
        <w:rPr>
          <w:rFonts w:hint="eastAsia" w:ascii="仿宋" w:hAnsi="仿宋" w:eastAsia="仿宋"/>
          <w:sz w:val="32"/>
          <w:szCs w:val="32"/>
        </w:rPr>
        <w:t>万元以上通用设备</w:t>
      </w:r>
      <w:r>
        <w:rPr>
          <w:rFonts w:ascii="仿宋" w:hAnsi="仿宋" w:eastAsia="仿宋"/>
          <w:sz w:val="32"/>
          <w:szCs w:val="32"/>
        </w:rPr>
        <w:t>0</w:t>
      </w:r>
      <w:r>
        <w:rPr>
          <w:rFonts w:hint="eastAsia" w:ascii="仿宋" w:hAnsi="仿宋" w:eastAsia="仿宋"/>
          <w:sz w:val="32"/>
          <w:szCs w:val="32"/>
        </w:rPr>
        <w:t>台（套）,</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pPr>
        <w:autoSpaceDE w:val="0"/>
        <w:autoSpaceDN w:val="0"/>
        <w:adjustRightInd w:val="0"/>
        <w:ind w:firstLine="643" w:firstLineChars="200"/>
        <w:jc w:val="left"/>
        <w:outlineLvl w:val="2"/>
        <w:rPr>
          <w:rFonts w:ascii="仿宋" w:hAnsi="仿宋" w:eastAsia="仿宋"/>
          <w:b/>
          <w:sz w:val="32"/>
          <w:szCs w:val="32"/>
        </w:rPr>
      </w:pPr>
      <w:bookmarkStart w:id="76" w:name="_Toc149203623"/>
      <w:r>
        <w:rPr>
          <w:rFonts w:hint="eastAsia" w:ascii="仿宋" w:hAnsi="仿宋" w:eastAsia="仿宋"/>
          <w:b/>
          <w:sz w:val="32"/>
          <w:szCs w:val="32"/>
        </w:rPr>
        <w:t>（四）预算绩效管理情况</w:t>
      </w:r>
      <w:bookmarkEnd w:id="76"/>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打私保障专项经费、打私巡查专项经费、打私整治专项经费、办公楼运维费、打非工作经费等5个项目开展了预算事前绩效评估，对5个项目编制了绩效目标，预算执行过程中，选取5个项目开展绩效监控。</w:t>
      </w:r>
    </w:p>
    <w:p>
      <w:pPr>
        <w:widowControl/>
        <w:ind w:firstLine="640" w:firstLineChars="200"/>
        <w:jc w:val="left"/>
        <w:rPr>
          <w:rFonts w:ascii="仿宋_GB2312" w:eastAsia="仿宋_GB2312"/>
          <w:b/>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攀枝花市西区矿产资源保护中心部门整体（含部门预算项目）绩效自评报告，其中，攀枝花市西区矿产资源保护中心部门整体（含部门预算项目）绩效自评得分为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0分，</w:t>
      </w:r>
      <w:r>
        <w:rPr>
          <w:rFonts w:hint="eastAsia" w:ascii="仿宋_GB2312" w:eastAsia="仿宋_GB2312"/>
          <w:sz w:val="32"/>
          <w:szCs w:val="32"/>
        </w:rPr>
        <w:t>通过对我中心收支情况、预决算编制、预算执行管理、支出绩效及财政管理等方面的综合评价，我中心支出绩效总体较好，对财政资金的使用能够严格执行政府会计制度及财政相关规定，立足打非工作职能职责，全年打非工作成效显著</w:t>
      </w:r>
      <w:r>
        <w:rPr>
          <w:rFonts w:hint="eastAsia" w:ascii="仿宋_GB2312" w:hAnsi="仿宋_GB2312" w:eastAsia="仿宋_GB2312" w:cs="仿宋_GB2312"/>
          <w:sz w:val="32"/>
          <w:szCs w:val="32"/>
        </w:rPr>
        <w:t>；绩效自评报告详见附件。</w:t>
      </w:r>
      <w:r>
        <w:rPr>
          <w:rFonts w:ascii="仿宋_GB2312" w:eastAsia="仿宋_GB2312"/>
          <w:b/>
          <w:sz w:val="32"/>
          <w:szCs w:val="32"/>
        </w:rPr>
        <w:br w:type="page"/>
      </w:r>
    </w:p>
    <w:p>
      <w:pPr>
        <w:numPr>
          <w:ilvl w:val="0"/>
          <w:numId w:val="4"/>
        </w:numPr>
        <w:ind w:firstLine="660" w:firstLineChars="150"/>
        <w:jc w:val="center"/>
        <w:outlineLvl w:val="0"/>
        <w:rPr>
          <w:rStyle w:val="30"/>
          <w:rFonts w:ascii="黑体" w:hAnsi="黑体" w:eastAsia="黑体"/>
          <w:b w:val="0"/>
        </w:rPr>
      </w:pPr>
      <w:bookmarkStart w:id="77" w:name="_Toc15377225"/>
      <w:bookmarkStart w:id="78" w:name="_Toc15396613"/>
      <w:bookmarkStart w:id="79" w:name="_Toc149203624"/>
      <w:r>
        <w:rPr>
          <w:rFonts w:hint="eastAsia" w:ascii="黑体" w:hAnsi="黑体" w:eastAsia="黑体"/>
          <w:sz w:val="44"/>
          <w:szCs w:val="44"/>
        </w:rPr>
        <w:t>名</w:t>
      </w:r>
      <w:r>
        <w:rPr>
          <w:rStyle w:val="30"/>
          <w:rFonts w:hint="eastAsia" w:ascii="黑体" w:hAnsi="黑体" w:eastAsia="黑体"/>
          <w:b w:val="0"/>
        </w:rPr>
        <w:t>词解释</w:t>
      </w:r>
      <w:bookmarkEnd w:id="77"/>
      <w:bookmarkEnd w:id="78"/>
      <w:bookmarkEnd w:id="79"/>
    </w:p>
    <w:p>
      <w:pPr>
        <w:jc w:val="left"/>
        <w:rPr>
          <w:rFonts w:ascii="宋体"/>
          <w:b/>
          <w:sz w:val="44"/>
          <w:szCs w:val="44"/>
        </w:rPr>
      </w:pPr>
    </w:p>
    <w:p>
      <w:pPr>
        <w:pStyle w:val="2"/>
        <w:spacing w:before="93"/>
      </w:pPr>
    </w:p>
    <w:p>
      <w:pPr>
        <w:ind w:firstLine="640" w:firstLineChars="200"/>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pPr>
        <w:ind w:firstLine="640" w:firstLineChars="200"/>
        <w:rPr>
          <w:rFonts w:ascii="仿宋_GB2312" w:eastAsia="仿宋_GB2312"/>
          <w:sz w:val="32"/>
          <w:szCs w:val="32"/>
        </w:rPr>
      </w:pPr>
      <w:r>
        <w:rPr>
          <w:rFonts w:hint="eastAsia" w:ascii="仿宋_GB2312" w:eastAsia="仿宋_GB2312"/>
          <w:sz w:val="32"/>
          <w:szCs w:val="32"/>
        </w:rPr>
        <w:t xml:space="preserve">2.年初结转和结余：指以前年度尚未完成、结转到本年按有关规定继续使用的资金。 </w:t>
      </w:r>
    </w:p>
    <w:p>
      <w:pPr>
        <w:ind w:firstLine="640" w:firstLineChars="200"/>
        <w:rPr>
          <w:rFonts w:ascii="仿宋_GB2312" w:eastAsia="仿宋_GB2312"/>
          <w:sz w:val="32"/>
          <w:szCs w:val="32"/>
        </w:rPr>
      </w:pPr>
      <w:r>
        <w:rPr>
          <w:rFonts w:hint="eastAsia" w:ascii="仿宋_GB2312" w:eastAsia="仿宋_GB2312"/>
          <w:sz w:val="32"/>
          <w:szCs w:val="32"/>
        </w:rPr>
        <w:t>3、年末结转和结余：指单位按有关规定结转到下年或以后年度继续使用的资金。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rPr>
        <w:t>4.卫生健康支出（类）行政事业单位医疗（款）事业单位医疗（项）指：指财政部门安排的事业单位基本医疗保险缴费经费，未参加医疗保险的事业单位的公费医疗经费，按国家规定享受离休人员待遇的医疗经费。</w:t>
      </w:r>
    </w:p>
    <w:p>
      <w:pPr>
        <w:ind w:firstLine="640" w:firstLineChars="200"/>
        <w:rPr>
          <w:rFonts w:ascii="仿宋_GB2312" w:eastAsia="仿宋_GB2312"/>
          <w:sz w:val="32"/>
          <w:szCs w:val="32"/>
        </w:rPr>
      </w:pPr>
      <w:r>
        <w:rPr>
          <w:rFonts w:hint="eastAsia" w:ascii="仿宋_GB2312" w:eastAsia="仿宋_GB2312"/>
          <w:sz w:val="32"/>
          <w:szCs w:val="32"/>
        </w:rPr>
        <w:t>5.卫生健康支出（类）行政事业单位（款）其他行政事业单位医疗支出（项）反映除上述项目以外的其他用于行政事业单位医疗方面的支出。</w:t>
      </w:r>
    </w:p>
    <w:p>
      <w:pPr>
        <w:ind w:firstLine="640" w:firstLineChars="200"/>
        <w:rPr>
          <w:rFonts w:ascii="仿宋_GB2312" w:eastAsia="仿宋_GB2312"/>
          <w:sz w:val="32"/>
          <w:szCs w:val="32"/>
        </w:rPr>
      </w:pPr>
      <w:r>
        <w:rPr>
          <w:rFonts w:hint="eastAsia" w:ascii="仿宋_GB2312" w:eastAsia="仿宋_GB2312"/>
          <w:sz w:val="32"/>
          <w:szCs w:val="32"/>
        </w:rPr>
        <w:t>6.卫生健康支出（类）行政事业单位医疗（款）公务员医疗补助（项）指：反映政府部门安排的公务员医疗补助经费。</w:t>
      </w:r>
    </w:p>
    <w:p>
      <w:pPr>
        <w:ind w:firstLine="640" w:firstLineChars="200"/>
        <w:rPr>
          <w:rFonts w:ascii="仿宋_GB2312" w:eastAsia="仿宋_GB2312"/>
          <w:sz w:val="32"/>
          <w:szCs w:val="32"/>
        </w:rPr>
      </w:pPr>
      <w:r>
        <w:rPr>
          <w:rFonts w:hint="eastAsia" w:ascii="仿宋_GB2312" w:eastAsia="仿宋_GB2312"/>
          <w:sz w:val="32"/>
          <w:szCs w:val="32"/>
        </w:rPr>
        <w:t>7.住房保障支出（类）住房改革支出（款）住房公积金（项）指: 反映行政事业单位按人力资源和社会保障部、财政部规定的基本工资和津贴补贴以及规定比例为职工缴纳的住房公积金。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8.灾害防治及应急管理支出（类）矿山安全（款）事业运行（项）指：反映事业单位的基本支出，不包括行政单位（包括实行公务员管理的事业单位）后勤服务中心、医务室等附属事业。</w:t>
      </w:r>
    </w:p>
    <w:p>
      <w:pPr>
        <w:ind w:firstLine="640" w:firstLineChars="200"/>
        <w:rPr>
          <w:rFonts w:ascii="仿宋_GB2312" w:eastAsia="仿宋_GB2312"/>
          <w:sz w:val="32"/>
          <w:szCs w:val="32"/>
        </w:rPr>
      </w:pPr>
      <w:r>
        <w:rPr>
          <w:rFonts w:hint="eastAsia" w:ascii="仿宋_GB2312" w:eastAsia="仿宋_GB2312"/>
          <w:sz w:val="32"/>
          <w:szCs w:val="32"/>
        </w:rPr>
        <w:t>9.灾害防治及应急管理支出（类）矿山安全（款）其他煤矿安全支出（项）指：反映除上述项目以外其他用于矿山安全监督管理方面的支出。</w:t>
      </w:r>
    </w:p>
    <w:p>
      <w:pPr>
        <w:rPr>
          <w:rFonts w:ascii="仿宋_GB2312" w:eastAsia="仿宋_GB2312"/>
          <w:sz w:val="32"/>
          <w:szCs w:val="32"/>
        </w:rPr>
      </w:pPr>
      <w:r>
        <w:rPr>
          <w:rFonts w:hint="eastAsia" w:ascii="仿宋_GB2312" w:eastAsia="仿宋_GB2312"/>
          <w:sz w:val="32"/>
          <w:szCs w:val="32"/>
        </w:rPr>
        <w:t xml:space="preserve">    10. 灾害防治及应急管理支出（类）矿山安全（款）矿山安全监察事务（项）指：反映矿山安全监察管理方面的项目支出。</w:t>
      </w:r>
    </w:p>
    <w:p>
      <w:pPr>
        <w:rPr>
          <w:rFonts w:ascii="仿宋_GB2312" w:eastAsia="仿宋_GB2312"/>
          <w:sz w:val="32"/>
          <w:szCs w:val="32"/>
        </w:rPr>
      </w:pPr>
      <w:r>
        <w:rPr>
          <w:rFonts w:hint="eastAsia" w:ascii="仿宋_GB2312" w:eastAsia="仿宋_GB2312"/>
          <w:sz w:val="32"/>
          <w:szCs w:val="32"/>
        </w:rPr>
        <w:t xml:space="preserve">    11.城乡社区支出（类）国有土地使用权出让收入安排的支出（款）土地开发支出（项）指：反映新疆生产建设兵团和地方政府用于前期土地开发性支出与前期土地开发相关的费用等支出。</w:t>
      </w:r>
    </w:p>
    <w:p>
      <w:pPr>
        <w:ind w:firstLine="640" w:firstLineChars="200"/>
        <w:rPr>
          <w:rFonts w:ascii="仿宋_GB2312" w:eastAsia="仿宋_GB2312"/>
          <w:sz w:val="32"/>
          <w:szCs w:val="32"/>
        </w:rPr>
      </w:pPr>
      <w:r>
        <w:rPr>
          <w:rFonts w:hint="eastAsia" w:ascii="仿宋_GB2312" w:eastAsia="仿宋_GB2312"/>
          <w:sz w:val="32"/>
          <w:szCs w:val="32"/>
        </w:rPr>
        <w:t>12.工资福利支出（类）：反映单位开支的在职职工和编制外长期聘用人员的各类劳动报酬，以及为上述人员缴纳的各项社会保险费等。</w:t>
      </w:r>
    </w:p>
    <w:p>
      <w:pPr>
        <w:ind w:firstLine="640" w:firstLineChars="200"/>
        <w:rPr>
          <w:rFonts w:ascii="仿宋_GB2312" w:eastAsia="仿宋_GB2312"/>
          <w:sz w:val="32"/>
          <w:szCs w:val="32"/>
        </w:rPr>
      </w:pPr>
      <w:r>
        <w:rPr>
          <w:rFonts w:hint="eastAsia" w:ascii="仿宋_GB2312" w:eastAsia="仿宋_GB2312"/>
          <w:sz w:val="32"/>
          <w:szCs w:val="32"/>
        </w:rPr>
        <w:t>（1）工资福利支出（类）基本工资（款）反映按规定发放的基本工资，包括公务员的职务工资、级别工资；机关工人的岗位工资、技术等级工资；事业单位工作人员的岗位工资、薪级工资；各类学生毕业生试用期（见习期）工资、新参加工作工人学徒、熟练期工资；军队（含武警）军官、文职干部的职务（专业技术等级）工资、军衔（级别）工资和军龄工资；军队士官的军衔等级工资和军龄工资等。</w:t>
      </w:r>
    </w:p>
    <w:p>
      <w:pPr>
        <w:ind w:firstLine="640" w:firstLineChars="200"/>
        <w:rPr>
          <w:rFonts w:ascii="仿宋_GB2312" w:eastAsia="仿宋_GB2312"/>
          <w:sz w:val="32"/>
          <w:szCs w:val="32"/>
        </w:rPr>
      </w:pPr>
      <w:r>
        <w:rPr>
          <w:rFonts w:hint="eastAsia" w:ascii="仿宋_GB2312" w:eastAsia="仿宋_GB2312"/>
          <w:sz w:val="32"/>
          <w:szCs w:val="32"/>
        </w:rPr>
        <w:t>（2）工资福利支出（类）津贴补贴（款）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pPr>
        <w:ind w:firstLine="640" w:firstLineChars="200"/>
        <w:rPr>
          <w:rFonts w:ascii="仿宋_GB2312" w:eastAsia="仿宋_GB2312"/>
          <w:sz w:val="32"/>
          <w:szCs w:val="32"/>
        </w:rPr>
      </w:pPr>
      <w:r>
        <w:rPr>
          <w:rFonts w:hint="eastAsia" w:ascii="仿宋_GB2312" w:eastAsia="仿宋_GB2312"/>
          <w:sz w:val="32"/>
          <w:szCs w:val="32"/>
        </w:rPr>
        <w:t>（3）工资福利支出（类）奖金（款）反映按规定发放的奖金，包括机关工作人员年终一次性资金、绩效资金（基础绩效奖、年度绩效奖）等。</w:t>
      </w:r>
    </w:p>
    <w:p>
      <w:pPr>
        <w:ind w:firstLine="640" w:firstLineChars="200"/>
        <w:rPr>
          <w:rFonts w:ascii="仿宋_GB2312" w:eastAsia="仿宋_GB2312"/>
          <w:sz w:val="32"/>
          <w:szCs w:val="32"/>
        </w:rPr>
      </w:pPr>
      <w:r>
        <w:rPr>
          <w:rFonts w:hint="eastAsia" w:ascii="仿宋_GB2312" w:eastAsia="仿宋_GB2312"/>
          <w:sz w:val="32"/>
          <w:szCs w:val="32"/>
        </w:rPr>
        <w:t>（4）工资福利支出（类）伙食补助费（款）反映单位发给职工的伙食补助费，因公负伤等住院治疗、住疗养院期间的伙食补助费，军队（含武警）人员的伙食费等。</w:t>
      </w:r>
    </w:p>
    <w:p>
      <w:pPr>
        <w:ind w:firstLine="640" w:firstLineChars="200"/>
        <w:rPr>
          <w:rFonts w:ascii="仿宋_GB2312" w:eastAsia="仿宋_GB2312"/>
          <w:sz w:val="32"/>
          <w:szCs w:val="32"/>
        </w:rPr>
      </w:pPr>
      <w:r>
        <w:rPr>
          <w:rFonts w:hint="eastAsia" w:ascii="仿宋_GB2312" w:eastAsia="仿宋_GB2312"/>
          <w:sz w:val="32"/>
          <w:szCs w:val="32"/>
        </w:rPr>
        <w:t>（5）工资福利支出（类）绩效工资（款）反映事业单位工作人员的绩效工资。</w:t>
      </w:r>
    </w:p>
    <w:p>
      <w:pPr>
        <w:ind w:firstLine="640" w:firstLineChars="200"/>
        <w:rPr>
          <w:rFonts w:ascii="仿宋_GB2312" w:eastAsia="仿宋_GB2312"/>
          <w:sz w:val="32"/>
          <w:szCs w:val="32"/>
        </w:rPr>
      </w:pPr>
      <w:r>
        <w:rPr>
          <w:rFonts w:hint="eastAsia" w:ascii="仿宋_GB2312" w:eastAsia="仿宋_GB2312"/>
          <w:sz w:val="32"/>
          <w:szCs w:val="32"/>
        </w:rPr>
        <w:t>（6）工资福利支出（类）机关事业单位养老保险缴费（款）反映单位为职工缴纳的基本养老保险费。由单位代扣的工作人员基本养老保险缴费，不在此科目反映。</w:t>
      </w:r>
    </w:p>
    <w:p>
      <w:pPr>
        <w:ind w:firstLine="640" w:firstLineChars="200"/>
        <w:rPr>
          <w:rFonts w:ascii="仿宋_GB2312" w:eastAsia="仿宋_GB2312"/>
          <w:sz w:val="32"/>
          <w:szCs w:val="32"/>
        </w:rPr>
      </w:pPr>
      <w:r>
        <w:rPr>
          <w:rFonts w:hint="eastAsia" w:ascii="仿宋_GB2312" w:eastAsia="仿宋_GB2312"/>
          <w:sz w:val="32"/>
          <w:szCs w:val="32"/>
        </w:rPr>
        <w:t>（7）工资福利支出（类）职业年金缴费（款）反映单位为职工实际缴纳的职业年金（含职业年金补记支出）。由单位代扣的工作人员职业年金缴费，不在此科目反映。</w:t>
      </w:r>
    </w:p>
    <w:p>
      <w:pPr>
        <w:ind w:firstLine="640" w:firstLineChars="200"/>
        <w:rPr>
          <w:rFonts w:ascii="仿宋_GB2312" w:eastAsia="仿宋_GB2312"/>
          <w:sz w:val="32"/>
          <w:szCs w:val="32"/>
        </w:rPr>
      </w:pPr>
      <w:r>
        <w:rPr>
          <w:rFonts w:hint="eastAsia" w:ascii="仿宋_GB2312" w:eastAsia="仿宋_GB2312"/>
          <w:sz w:val="32"/>
          <w:szCs w:val="32"/>
        </w:rPr>
        <w:t>（8）工资福利支出（类）职工基本医疗保险费（款）反映单位为职工缴纳的基本医疗保险费（含生育保险）费。</w:t>
      </w:r>
    </w:p>
    <w:p>
      <w:pPr>
        <w:ind w:firstLine="640" w:firstLineChars="200"/>
        <w:rPr>
          <w:rFonts w:ascii="仿宋_GB2312" w:eastAsia="仿宋_GB2312"/>
          <w:sz w:val="32"/>
          <w:szCs w:val="32"/>
        </w:rPr>
      </w:pPr>
      <w:r>
        <w:rPr>
          <w:rFonts w:hint="eastAsia" w:ascii="仿宋_GB2312" w:eastAsia="仿宋_GB2312"/>
          <w:sz w:val="32"/>
          <w:szCs w:val="32"/>
        </w:rPr>
        <w:t>（9）工资福利支出（类）公务员医疗补助缴费（款）反映按规定可享受公务员医疗补助单位为职工缴纳的公务员医疗补助费。</w:t>
      </w:r>
    </w:p>
    <w:p>
      <w:pPr>
        <w:ind w:firstLine="640" w:firstLineChars="200"/>
        <w:rPr>
          <w:rFonts w:ascii="仿宋_GB2312" w:eastAsia="仿宋_GB2312"/>
          <w:sz w:val="32"/>
          <w:szCs w:val="32"/>
        </w:rPr>
      </w:pPr>
      <w:r>
        <w:rPr>
          <w:rFonts w:hint="eastAsia" w:ascii="仿宋_GB2312" w:eastAsia="仿宋_GB2312"/>
          <w:sz w:val="32"/>
          <w:szCs w:val="32"/>
        </w:rPr>
        <w:t>（10）工资福利支出（类）其他社会保障缴费（款）反映单位为职工缴纳的失业、工伤等社会保险费，残疾人就业保障金，军队（含武警）为军人缴纳的退役养老、医疗等社会保险费。</w:t>
      </w:r>
    </w:p>
    <w:p>
      <w:pPr>
        <w:ind w:firstLine="640" w:firstLineChars="200"/>
        <w:rPr>
          <w:rFonts w:ascii="仿宋_GB2312" w:eastAsia="仿宋_GB2312"/>
          <w:sz w:val="32"/>
          <w:szCs w:val="32"/>
        </w:rPr>
      </w:pPr>
      <w:r>
        <w:rPr>
          <w:rFonts w:hint="eastAsia" w:ascii="仿宋_GB2312" w:eastAsia="仿宋_GB2312"/>
          <w:sz w:val="32"/>
          <w:szCs w:val="32"/>
        </w:rPr>
        <w:t>（11）工资福利支出（类）住房公积金（款）反映单位按规定为职工缴纳的住房公积金。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（12）工资福利支出（类）医疗费（款）反映未参加医疗保险单位的医疗经费和单位按规定为职工支出的其他医疗费用。</w:t>
      </w:r>
    </w:p>
    <w:p>
      <w:pPr>
        <w:ind w:firstLine="640" w:firstLineChars="200"/>
        <w:rPr>
          <w:rFonts w:ascii="仿宋_GB2312" w:eastAsia="仿宋_GB2312"/>
          <w:sz w:val="32"/>
          <w:szCs w:val="32"/>
        </w:rPr>
      </w:pPr>
      <w:r>
        <w:rPr>
          <w:rFonts w:hint="eastAsia" w:ascii="仿宋_GB2312" w:eastAsia="仿宋_GB2312"/>
          <w:sz w:val="32"/>
          <w:szCs w:val="32"/>
        </w:rPr>
        <w:t>13.其他工资福利支出（类）反映上述科目未包括的工资福利支出科目，如各种加班工资、病假两个月以上期间的人员工资，职工探亲旅费，困难职工生活补助，编制外长期聘用人员（不包括劳务派遣人员）劳务报酬及社保缴费，公务员及参照公务员法管理的事业单位工作人员转入企业工作并按规定参加企业职工基本养老保险后给予的一次性补贴等。</w:t>
      </w:r>
    </w:p>
    <w:p>
      <w:pPr>
        <w:ind w:firstLine="640" w:firstLineChars="200"/>
        <w:rPr>
          <w:rFonts w:ascii="仿宋_GB2312" w:eastAsia="仿宋_GB2312"/>
          <w:sz w:val="32"/>
          <w:szCs w:val="32"/>
        </w:rPr>
      </w:pPr>
      <w:r>
        <w:rPr>
          <w:rFonts w:hint="eastAsia" w:ascii="仿宋_GB2312" w:eastAsia="仿宋_GB2312"/>
          <w:sz w:val="32"/>
          <w:szCs w:val="32"/>
        </w:rPr>
        <w:t>14.商品和服务支出（类）办公费（款）指：反映单位购买日常办公用品、书报杂志等支出</w:t>
      </w:r>
    </w:p>
    <w:p>
      <w:pPr>
        <w:ind w:firstLine="640" w:firstLineChars="200"/>
        <w:rPr>
          <w:rFonts w:ascii="仿宋_GB2312" w:eastAsia="仿宋_GB2312"/>
          <w:sz w:val="32"/>
          <w:szCs w:val="32"/>
        </w:rPr>
      </w:pPr>
      <w:r>
        <w:rPr>
          <w:rFonts w:hint="eastAsia" w:ascii="仿宋_GB2312" w:eastAsia="仿宋_GB2312"/>
          <w:sz w:val="32"/>
          <w:szCs w:val="32"/>
        </w:rPr>
        <w:t>15.商品和服务支出（类）印刷费（款）反映单位的印刷费支出。</w:t>
      </w:r>
    </w:p>
    <w:p>
      <w:pPr>
        <w:ind w:firstLine="640" w:firstLineChars="200"/>
        <w:rPr>
          <w:rFonts w:ascii="仿宋_GB2312" w:eastAsia="仿宋_GB2312"/>
          <w:sz w:val="32"/>
          <w:szCs w:val="32"/>
        </w:rPr>
      </w:pPr>
      <w:r>
        <w:rPr>
          <w:rFonts w:hint="eastAsia" w:ascii="仿宋_GB2312" w:eastAsia="仿宋_GB2312"/>
          <w:sz w:val="32"/>
          <w:szCs w:val="32"/>
        </w:rPr>
        <w:t>16.商品和服务支出（类）咨询费（款）反映单位咨询方面的支出。</w:t>
      </w:r>
    </w:p>
    <w:p>
      <w:pPr>
        <w:ind w:firstLine="640" w:firstLineChars="200"/>
        <w:rPr>
          <w:rFonts w:ascii="仿宋_GB2312" w:eastAsia="仿宋_GB2312"/>
          <w:sz w:val="32"/>
          <w:szCs w:val="32"/>
        </w:rPr>
      </w:pPr>
      <w:r>
        <w:rPr>
          <w:rFonts w:hint="eastAsia" w:ascii="仿宋_GB2312" w:eastAsia="仿宋_GB2312"/>
          <w:sz w:val="32"/>
          <w:szCs w:val="32"/>
        </w:rPr>
        <w:t>17.商品和服务支出（类）手续费（款）反映单位的各类手续费支出。</w:t>
      </w:r>
    </w:p>
    <w:p>
      <w:pPr>
        <w:ind w:firstLine="640" w:firstLineChars="200"/>
        <w:rPr>
          <w:rFonts w:ascii="仿宋_GB2312" w:eastAsia="仿宋_GB2312"/>
          <w:sz w:val="32"/>
          <w:szCs w:val="32"/>
        </w:rPr>
      </w:pPr>
      <w:r>
        <w:rPr>
          <w:rFonts w:hint="eastAsia" w:ascii="仿宋_GB2312" w:eastAsia="仿宋_GB2312"/>
          <w:sz w:val="32"/>
          <w:szCs w:val="32"/>
        </w:rPr>
        <w:t>18.商品和服务支出（类）维修（护）费（（款）反映单位日常开支的固定资产（不包括车般等交通工具）修理和维护费用，网络信息系统运行与维护费用，以及按规定提取的修购基金。</w:t>
      </w:r>
    </w:p>
    <w:p>
      <w:pPr>
        <w:ind w:firstLine="640" w:firstLineChars="200"/>
        <w:rPr>
          <w:rFonts w:ascii="仿宋_GB2312" w:eastAsia="仿宋_GB2312"/>
          <w:sz w:val="32"/>
          <w:szCs w:val="32"/>
        </w:rPr>
      </w:pPr>
      <w:r>
        <w:rPr>
          <w:rFonts w:hint="eastAsia" w:ascii="仿宋_GB2312" w:eastAsia="仿宋_GB2312"/>
          <w:sz w:val="32"/>
          <w:szCs w:val="32"/>
        </w:rPr>
        <w:t>19.商品和服务支出（类）水费（款）指：反映单位的水费、污水处理费等支出。</w:t>
      </w:r>
    </w:p>
    <w:p>
      <w:pPr>
        <w:ind w:firstLine="640" w:firstLineChars="200"/>
        <w:rPr>
          <w:rFonts w:ascii="仿宋_GB2312" w:eastAsia="仿宋_GB2312"/>
          <w:sz w:val="32"/>
          <w:szCs w:val="32"/>
        </w:rPr>
      </w:pPr>
      <w:r>
        <w:rPr>
          <w:rFonts w:hint="eastAsia" w:ascii="仿宋_GB2312" w:eastAsia="仿宋_GB2312"/>
          <w:sz w:val="32"/>
          <w:szCs w:val="32"/>
        </w:rPr>
        <w:t>20.商品和服务支出（类）电费（款）指：反映单位的电费支出。</w:t>
      </w:r>
    </w:p>
    <w:p>
      <w:pPr>
        <w:ind w:firstLine="640" w:firstLineChars="200"/>
        <w:rPr>
          <w:rFonts w:ascii="仿宋_GB2312" w:eastAsia="仿宋_GB2312"/>
          <w:sz w:val="32"/>
          <w:szCs w:val="32"/>
        </w:rPr>
      </w:pPr>
      <w:r>
        <w:rPr>
          <w:rFonts w:hint="eastAsia" w:ascii="仿宋_GB2312" w:eastAsia="仿宋_GB2312"/>
          <w:sz w:val="32"/>
          <w:szCs w:val="32"/>
        </w:rPr>
        <w:t>21.商品和服务支出（类）差旅费（款）指：反映单位工作人员国（境）内出差发生的城市间交通费、住宿费、伙食补助费和市内交通费。</w:t>
      </w:r>
    </w:p>
    <w:p>
      <w:pPr>
        <w:ind w:firstLine="640" w:firstLineChars="200"/>
        <w:rPr>
          <w:rFonts w:ascii="仿宋_GB2312" w:eastAsia="仿宋_GB2312"/>
          <w:sz w:val="32"/>
          <w:szCs w:val="32"/>
        </w:rPr>
      </w:pPr>
      <w:r>
        <w:rPr>
          <w:rFonts w:hint="eastAsia" w:ascii="仿宋_GB2312" w:eastAsia="仿宋_GB2312"/>
          <w:sz w:val="32"/>
          <w:szCs w:val="32"/>
        </w:rPr>
        <w:t>22.商品和服务支出（类）培训费（款）指：反映除因公出国（境）培训费以外的，在培训期间发生的师资费、住宿费、伙食费、培训场地费、培训资料费、交通费等各类培训费用。</w:t>
      </w:r>
    </w:p>
    <w:p>
      <w:pPr>
        <w:ind w:firstLine="640" w:firstLineChars="200"/>
        <w:rPr>
          <w:rFonts w:ascii="仿宋_GB2312" w:eastAsia="仿宋_GB2312"/>
          <w:sz w:val="32"/>
          <w:szCs w:val="32"/>
        </w:rPr>
      </w:pPr>
      <w:r>
        <w:rPr>
          <w:rFonts w:hint="eastAsia" w:ascii="仿宋_GB2312" w:eastAsia="仿宋_GB2312"/>
          <w:sz w:val="32"/>
          <w:szCs w:val="32"/>
        </w:rPr>
        <w:t>23.商品和服务支出（类）劳务费（款）反映支付给外单位和个人的劳务费用，如临时聘用人员、钟点工工资，稿费、翻译费、评审费等。</w:t>
      </w:r>
    </w:p>
    <w:p>
      <w:pPr>
        <w:ind w:firstLine="640" w:firstLineChars="200"/>
        <w:rPr>
          <w:rFonts w:ascii="仿宋_GB2312" w:eastAsia="仿宋_GB2312"/>
          <w:sz w:val="32"/>
          <w:szCs w:val="32"/>
        </w:rPr>
      </w:pPr>
      <w:r>
        <w:rPr>
          <w:rFonts w:hint="eastAsia" w:ascii="仿宋_GB2312" w:eastAsia="仿宋_GB2312"/>
          <w:sz w:val="32"/>
          <w:szCs w:val="32"/>
        </w:rPr>
        <w:t>24.商品和服务支出（类）委托业务费（款）反映因委托外单位办理业务而支付的委托业务费。</w:t>
      </w:r>
    </w:p>
    <w:p>
      <w:pPr>
        <w:ind w:firstLine="640" w:firstLineChars="200"/>
        <w:rPr>
          <w:rFonts w:ascii="仿宋_GB2312" w:eastAsia="仿宋_GB2312"/>
          <w:sz w:val="32"/>
          <w:szCs w:val="32"/>
        </w:rPr>
      </w:pPr>
      <w:r>
        <w:rPr>
          <w:rFonts w:hint="eastAsia" w:ascii="仿宋_GB2312" w:eastAsia="仿宋_GB2312"/>
          <w:sz w:val="32"/>
          <w:szCs w:val="32"/>
        </w:rPr>
        <w:t>25.商品和服务支出（类）工会经费（款）反映单位按规定提取或工会经费。</w:t>
      </w:r>
    </w:p>
    <w:p>
      <w:pPr>
        <w:ind w:firstLine="640" w:firstLineChars="200"/>
        <w:rPr>
          <w:rFonts w:ascii="仿宋_GB2312" w:eastAsia="仿宋_GB2312"/>
          <w:sz w:val="32"/>
          <w:szCs w:val="32"/>
        </w:rPr>
      </w:pPr>
      <w:r>
        <w:rPr>
          <w:rFonts w:hint="eastAsia" w:ascii="仿宋_GB2312" w:eastAsia="仿宋_GB2312"/>
          <w:sz w:val="32"/>
          <w:szCs w:val="32"/>
        </w:rPr>
        <w:t>26.商品和服务支出（类）福利费（款）反映单位按规定提取的职工福利费。</w:t>
      </w:r>
    </w:p>
    <w:p>
      <w:pPr>
        <w:ind w:firstLine="640" w:firstLineChars="200"/>
        <w:rPr>
          <w:rFonts w:ascii="仿宋_GB2312" w:eastAsia="仿宋_GB2312"/>
          <w:sz w:val="32"/>
          <w:szCs w:val="32"/>
        </w:rPr>
      </w:pPr>
      <w:r>
        <w:rPr>
          <w:rFonts w:hint="eastAsia" w:ascii="仿宋_GB2312" w:eastAsia="仿宋_GB2312"/>
          <w:sz w:val="32"/>
          <w:szCs w:val="32"/>
        </w:rPr>
        <w:t>27.商品和服务支出（类）公务用车运行维护费（款）反映单位按规定保留的公务用车燃料费、维修费、过桥过路费、保险费、安全奖励费用等支出。</w:t>
      </w:r>
    </w:p>
    <w:p>
      <w:pPr>
        <w:ind w:firstLine="640" w:firstLineChars="200"/>
        <w:rPr>
          <w:rFonts w:ascii="仿宋_GB2312" w:eastAsia="仿宋_GB2312"/>
          <w:sz w:val="32"/>
          <w:szCs w:val="32"/>
        </w:rPr>
      </w:pPr>
      <w:r>
        <w:rPr>
          <w:rFonts w:hint="eastAsia" w:ascii="仿宋_GB2312" w:eastAsia="仿宋_GB2312"/>
          <w:sz w:val="32"/>
          <w:szCs w:val="32"/>
        </w:rPr>
        <w:t>28.商品和服务支出（类）税金及附加费用（款）反映单位提供劳务中销售产品应负担的税金及附加费用，包括消费税、城市维护建设税、资源税和教育费附加等。</w:t>
      </w:r>
    </w:p>
    <w:p>
      <w:pPr>
        <w:ind w:firstLine="640" w:firstLineChars="200"/>
        <w:rPr>
          <w:rFonts w:ascii="仿宋_GB2312" w:eastAsia="仿宋_GB2312"/>
          <w:sz w:val="32"/>
          <w:szCs w:val="32"/>
        </w:rPr>
      </w:pPr>
      <w:r>
        <w:rPr>
          <w:rFonts w:hint="eastAsia" w:ascii="仿宋_GB2312" w:eastAsia="仿宋_GB2312"/>
          <w:sz w:val="32"/>
          <w:szCs w:val="32"/>
        </w:rPr>
        <w:t>29.商品和服务支出（类）其他商品和服务支出（款）反映上述科目未包括的日常公用支出。如诉讼费、国内组织的会员费、来访费、广告宣传费以及离休人员特需费、离退休人员公用经费等。</w:t>
      </w:r>
    </w:p>
    <w:p>
      <w:pPr>
        <w:ind w:firstLine="640" w:firstLineChars="200"/>
        <w:rPr>
          <w:rFonts w:ascii="仿宋_GB2312" w:eastAsia="仿宋_GB2312"/>
          <w:sz w:val="32"/>
          <w:szCs w:val="32"/>
        </w:rPr>
      </w:pPr>
      <w:r>
        <w:rPr>
          <w:rFonts w:hint="eastAsia" w:ascii="仿宋_GB2312" w:eastAsia="仿宋_GB2312"/>
          <w:sz w:val="32"/>
          <w:szCs w:val="32"/>
        </w:rPr>
        <w:t>30.对个人和家庭的补助（类）生活补助（款）反映按规定开支的优抚对象定期定量生活补助费，退役军人生活补助费，退役军人及其他优抚对象慰问金、机关事业单位职工遗嘱生活补助，长期赡养人员补助费，由于国家实行退耕还林禁牧舍饲政策补偿给牧民的现金、粮食支出，对农村党员、复员军人以及村干部的补助支出，罪犯、戒毒人员的伙食费、补服费、医疗卫生费等。</w:t>
      </w:r>
    </w:p>
    <w:p>
      <w:pPr>
        <w:ind w:firstLine="640" w:firstLineChars="200"/>
        <w:rPr>
          <w:rFonts w:ascii="仿宋_GB2312" w:eastAsia="仿宋_GB2312"/>
          <w:sz w:val="32"/>
          <w:szCs w:val="32"/>
        </w:rPr>
      </w:pPr>
      <w:r>
        <w:rPr>
          <w:rFonts w:hint="eastAsia" w:ascii="仿宋_GB2312" w:eastAsia="仿宋_GB2312"/>
          <w:sz w:val="32"/>
          <w:szCs w:val="32"/>
        </w:rPr>
        <w:t>31.基本支出：指为保障机构正常运转、完成日常工作任务而发生的人员支出和公用支出。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 xml:space="preserve">32.项目支出：指在基本支出之外为完成特定行政任务和事业发展目标所发生的支出。 </w:t>
      </w:r>
    </w:p>
    <w:p>
      <w:pPr>
        <w:ind w:firstLine="640" w:firstLineChars="200"/>
        <w:rPr>
          <w:rFonts w:ascii="仿宋_GB2312" w:eastAsia="仿宋_GB2312"/>
          <w:sz w:val="32"/>
          <w:szCs w:val="32"/>
        </w:rPr>
      </w:pPr>
      <w:r>
        <w:rPr>
          <w:rFonts w:hint="eastAsia" w:ascii="仿宋_GB2312" w:eastAsia="仿宋_GB2312"/>
          <w:sz w:val="32"/>
          <w:szCs w:val="32"/>
        </w:rPr>
        <w:t>33.经营支出：指事业单位在专业业务活动及其辅助活动之外开展非独立核算经营活动发生的支出。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仿宋_GB2312" w:eastAsia="仿宋_GB2312"/>
          <w:sz w:val="32"/>
          <w:szCs w:val="32"/>
        </w:rPr>
        <w:t>34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eastAsia="仿宋_GB2312"/>
          <w:sz w:val="32"/>
          <w:szCs w:val="32"/>
        </w:rPr>
      </w:pPr>
      <w:r>
        <w:rPr>
          <w:rFonts w:hint="eastAsia" w:ascii="仿宋_GB2312" w:eastAsia="仿宋_GB2312"/>
          <w:sz w:val="32"/>
          <w:szCs w:val="32"/>
        </w:rPr>
        <w:t>35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eastAsia="仿宋_GB2312"/>
          <w:sz w:val="32"/>
          <w:szCs w:val="32"/>
        </w:rPr>
      </w:pPr>
      <w:r>
        <w:rPr>
          <w:rFonts w:hint="eastAsia" w:ascii="仿宋_GB2312" w:eastAsia="仿宋_GB2312"/>
          <w:sz w:val="32"/>
          <w:szCs w:val="32"/>
        </w:rPr>
        <w:t>36. 社会保障和就业支出（类）行政事业单位养老支出（款）机关事业单位基本养老保险缴费支出（项）反映机关事业单位实施养老保险制度由单位缴纳的基本养老保险费支出。</w:t>
      </w:r>
    </w:p>
    <w:p>
      <w:pPr>
        <w:rPr>
          <w:rFonts w:ascii="仿宋_GB2312" w:eastAsia="仿宋_GB2312"/>
          <w:sz w:val="32"/>
          <w:szCs w:val="32"/>
        </w:rPr>
      </w:pPr>
    </w:p>
    <w:p>
      <w:pPr>
        <w:jc w:val="center"/>
        <w:outlineLvl w:val="0"/>
        <w:rPr>
          <w:rStyle w:val="30"/>
          <w:rFonts w:ascii="黑体" w:hAnsi="黑体" w:eastAsia="黑体"/>
          <w:b w:val="0"/>
        </w:rPr>
      </w:pPr>
      <w:bookmarkStart w:id="80" w:name="_Toc15377226"/>
      <w:r>
        <w:rPr>
          <w:rFonts w:ascii="宋体"/>
          <w:b/>
          <w:sz w:val="44"/>
          <w:szCs w:val="44"/>
        </w:rPr>
        <w:br w:type="page"/>
      </w:r>
      <w:bookmarkStart w:id="81" w:name="_Toc15396614"/>
      <w:bookmarkStart w:id="82" w:name="_Toc149203625"/>
      <w:r>
        <w:rPr>
          <w:rFonts w:hint="eastAsia" w:ascii="黑体" w:hAnsi="黑体" w:eastAsia="黑体"/>
          <w:sz w:val="44"/>
          <w:szCs w:val="44"/>
        </w:rPr>
        <w:t>第</w:t>
      </w:r>
      <w:r>
        <w:rPr>
          <w:rStyle w:val="30"/>
          <w:rFonts w:hint="eastAsia" w:ascii="黑体" w:hAnsi="黑体" w:eastAsia="黑体"/>
          <w:b w:val="0"/>
        </w:rPr>
        <w:t>四部分 附件</w:t>
      </w:r>
      <w:bookmarkEnd w:id="81"/>
      <w:bookmarkEnd w:id="82"/>
    </w:p>
    <w:p>
      <w:pPr>
        <w:jc w:val="left"/>
        <w:outlineLvl w:val="0"/>
        <w:rPr>
          <w:rFonts w:ascii="方正小标宋简体" w:hAnsi="方正小标宋简体" w:eastAsia="方正小标宋简体" w:cs="方正小标宋简体"/>
          <w:sz w:val="44"/>
          <w:szCs w:val="44"/>
        </w:rPr>
      </w:pPr>
      <w:bookmarkStart w:id="83" w:name="_Toc149203626"/>
      <w:r>
        <w:rPr>
          <w:rFonts w:hint="eastAsia" w:ascii="黑体" w:hAnsi="黑体" w:eastAsia="黑体" w:cs="黑体"/>
          <w:sz w:val="32"/>
          <w:szCs w:val="32"/>
        </w:rPr>
        <w:t>附件</w:t>
      </w:r>
      <w:bookmarkEnd w:id="83"/>
    </w:p>
    <w:p>
      <w:pPr>
        <w:widowControl/>
        <w:contextualSpacing/>
        <w:jc w:val="center"/>
        <w:rPr>
          <w:rFonts w:ascii="方正小标宋_GBK" w:hAnsi="宋体" w:eastAsia="方正小标宋_GBK"/>
          <w:b/>
          <w:sz w:val="44"/>
          <w:szCs w:val="44"/>
          <w:shd w:val="clear" w:color="auto" w:fill="FFFFFF"/>
        </w:rPr>
      </w:pPr>
      <w:r>
        <w:rPr>
          <w:rFonts w:hint="eastAsia" w:ascii="方正小标宋_GBK" w:hAnsi="宋体" w:eastAsia="方正小标宋_GBK"/>
          <w:b/>
          <w:sz w:val="44"/>
          <w:szCs w:val="44"/>
          <w:shd w:val="clear" w:color="auto" w:fill="FFFFFF"/>
        </w:rPr>
        <w:t>攀枝花市西区矿产资源保护中心</w:t>
      </w:r>
    </w:p>
    <w:p>
      <w:pPr>
        <w:widowControl/>
        <w:contextualSpacing/>
        <w:jc w:val="center"/>
        <w:rPr>
          <w:rFonts w:ascii="方正小标宋_GBK" w:hAnsi="宋体" w:eastAsia="方正小标宋_GBK"/>
          <w:b/>
          <w:sz w:val="44"/>
          <w:szCs w:val="44"/>
          <w:shd w:val="clear" w:color="auto" w:fill="FFFFFF"/>
        </w:rPr>
      </w:pPr>
      <w:r>
        <w:rPr>
          <w:rFonts w:hint="eastAsia" w:ascii="方正小标宋_GBK" w:hAnsi="宋体" w:eastAsia="方正小标宋_GBK"/>
          <w:b/>
          <w:sz w:val="44"/>
          <w:szCs w:val="44"/>
          <w:shd w:val="clear" w:color="auto" w:fill="FFFFFF"/>
        </w:rPr>
        <w:t>202</w:t>
      </w:r>
      <w:r>
        <w:rPr>
          <w:rFonts w:hint="eastAsia" w:ascii="方正小标宋_GBK" w:hAnsi="宋体" w:eastAsia="方正小标宋_GBK"/>
          <w:b/>
          <w:sz w:val="44"/>
          <w:szCs w:val="44"/>
          <w:shd w:val="clear" w:color="auto" w:fill="FFFFFF"/>
          <w:lang w:val="en-US" w:eastAsia="zh-CN"/>
        </w:rPr>
        <w:t>2</w:t>
      </w:r>
      <w:r>
        <w:rPr>
          <w:rFonts w:hint="eastAsia" w:ascii="方正小标宋_GBK" w:hAnsi="宋体" w:eastAsia="方正小标宋_GBK"/>
          <w:b/>
          <w:sz w:val="44"/>
          <w:szCs w:val="44"/>
          <w:shd w:val="clear" w:color="auto" w:fill="FFFFFF"/>
        </w:rPr>
        <w:t>年部门整体绩效评价报告</w:t>
      </w:r>
    </w:p>
    <w:p>
      <w:pPr>
        <w:widowControl/>
        <w:adjustRightInd w:val="0"/>
        <w:snapToGrid w:val="0"/>
        <w:ind w:firstLine="640" w:firstLineChars="200"/>
        <w:contextualSpacing/>
        <w:jc w:val="left"/>
        <w:rPr>
          <w:rFonts w:ascii="黑体" w:hAnsi="宋体" w:eastAsia="黑体" w:cs="宋体"/>
          <w:kern w:val="0"/>
          <w:sz w:val="32"/>
          <w:szCs w:val="32"/>
          <w:shd w:val="clear" w:color="auto" w:fill="FFFFFF"/>
        </w:rPr>
      </w:pPr>
    </w:p>
    <w:p>
      <w:pPr>
        <w:widowControl/>
        <w:numPr>
          <w:ilvl w:val="0"/>
          <w:numId w:val="5"/>
        </w:numPr>
        <w:adjustRightInd w:val="0"/>
        <w:snapToGrid w:val="0"/>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pStyle w:val="29"/>
        <w:widowControl/>
        <w:numPr>
          <w:ilvl w:val="0"/>
          <w:numId w:val="6"/>
        </w:numPr>
        <w:adjustRightInd w:val="0"/>
        <w:snapToGrid w:val="0"/>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pPr>
        <w:ind w:firstLine="640" w:firstLineChars="200"/>
        <w:rPr>
          <w:rFonts w:ascii="仿宋_GB2312" w:eastAsia="仿宋_GB2312"/>
          <w:sz w:val="32"/>
          <w:szCs w:val="32"/>
        </w:rPr>
      </w:pPr>
      <w:r>
        <w:rPr>
          <w:rFonts w:hint="eastAsia" w:ascii="仿宋_GB2312" w:eastAsia="仿宋_GB2312"/>
          <w:sz w:val="32"/>
          <w:szCs w:val="32"/>
        </w:rPr>
        <w:t>攀枝花市西区矿产资源保护中心属区县级事业单位，内设2个科室，分别为办公室、外勤大队（内设四个中队）。</w:t>
      </w:r>
    </w:p>
    <w:p>
      <w:pPr>
        <w:pStyle w:val="29"/>
        <w:widowControl/>
        <w:numPr>
          <w:ilvl w:val="0"/>
          <w:numId w:val="6"/>
        </w:numPr>
        <w:adjustRightInd w:val="0"/>
        <w:snapToGrid w:val="0"/>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机构职能和人员概况。</w:t>
      </w:r>
    </w:p>
    <w:p>
      <w:pPr>
        <w:ind w:firstLine="640" w:firstLineChars="200"/>
        <w:rPr>
          <w:rFonts w:ascii="仿宋_GB2312" w:eastAsia="仿宋_GB2312"/>
          <w:sz w:val="32"/>
          <w:szCs w:val="32"/>
        </w:rPr>
      </w:pPr>
      <w:r>
        <w:rPr>
          <w:rFonts w:hint="eastAsia" w:ascii="仿宋_GB2312" w:eastAsia="仿宋_GB2312"/>
          <w:sz w:val="32"/>
          <w:szCs w:val="32"/>
        </w:rPr>
        <w:t>接受西区人民政府的委托，保护辖区矿产资源。在西区人民政府预防和打击非法采矿行为领导小组的领导下，统筹协调相关部门，组织相关人员履行对辖区范围内的打击私挖滥采矿产资源工作职能。联系市自然资源和规划局、市自然资源和规划局西区分局，在市、区自然资源和规划部门的指导下开展好辖区范围内的依法打击私挖滥采矿产资源工作。了解辖区内矿产资源开发情况，加强对矿产资源的监管和巡查，会同相关部门严厉打击私挖滥采矿产资源的行为。</w:t>
      </w:r>
      <w:r>
        <w:rPr>
          <w:rFonts w:hint="eastAsia" w:eastAsia="仿宋_GB2312"/>
          <w:sz w:val="32"/>
          <w:szCs w:val="32"/>
        </w:rPr>
        <w:t> </w:t>
      </w:r>
      <w:r>
        <w:rPr>
          <w:rFonts w:hint="eastAsia" w:ascii="仿宋_GB2312" w:eastAsia="仿宋_GB2312"/>
          <w:sz w:val="32"/>
          <w:szCs w:val="32"/>
        </w:rPr>
        <w:t>指导乡镇</w:t>
      </w:r>
      <w:r>
        <w:rPr>
          <w:rFonts w:hint="eastAsia" w:eastAsia="仿宋_GB2312"/>
          <w:sz w:val="32"/>
          <w:szCs w:val="32"/>
        </w:rPr>
        <w:t> </w:t>
      </w:r>
      <w:r>
        <w:rPr>
          <w:rFonts w:hint="eastAsia" w:ascii="仿宋_GB2312" w:eastAsia="仿宋_GB2312"/>
          <w:sz w:val="32"/>
          <w:szCs w:val="32"/>
        </w:rPr>
        <w:t>（街道）对辖区范围内的矿产资源开采活动进行监督和巡查工作。接受群众举报，组织依法封堵非法矿井。</w:t>
      </w:r>
    </w:p>
    <w:p>
      <w:pPr>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bookmarkStart w:id="112" w:name="_GoBack"/>
      <w:bookmarkEnd w:id="112"/>
      <w:r>
        <w:rPr>
          <w:rFonts w:hint="eastAsia" w:ascii="仿宋_GB2312" w:eastAsia="仿宋_GB2312"/>
          <w:sz w:val="32"/>
          <w:szCs w:val="32"/>
        </w:rPr>
        <w:t>年西区矿产资源保护中心核定事业人员编制4名，实际在岗3名；核定临聘编制人员23名,实际在岗21名。</w:t>
      </w:r>
    </w:p>
    <w:p>
      <w:pPr>
        <w:ind w:firstLine="640" w:firstLineChars="200"/>
        <w:rPr>
          <w:rFonts w:ascii="仿宋_GB2312" w:eastAsia="仿宋_GB2312"/>
          <w:sz w:val="32"/>
          <w:szCs w:val="32"/>
        </w:rPr>
      </w:pPr>
      <w:r>
        <w:rPr>
          <w:rFonts w:hint="eastAsia" w:ascii="仿宋_GB2312" w:eastAsia="仿宋_GB2312"/>
          <w:sz w:val="32"/>
          <w:szCs w:val="32"/>
        </w:rPr>
        <w:t>领导职数：主任1名（副科级）。</w:t>
      </w:r>
    </w:p>
    <w:p>
      <w:pPr>
        <w:pStyle w:val="29"/>
        <w:widowControl/>
        <w:numPr>
          <w:ilvl w:val="0"/>
          <w:numId w:val="6"/>
        </w:numPr>
        <w:adjustRightInd w:val="0"/>
        <w:snapToGrid w:val="0"/>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年度主要工作任务。</w:t>
      </w:r>
    </w:p>
    <w:p>
      <w:pPr>
        <w:ind w:firstLine="640" w:firstLineChars="200"/>
        <w:rPr>
          <w:rFonts w:ascii="仿宋_GB2312" w:eastAsia="仿宋_GB2312"/>
          <w:sz w:val="32"/>
          <w:szCs w:val="32"/>
        </w:rPr>
      </w:pPr>
      <w:r>
        <w:rPr>
          <w:rFonts w:hint="eastAsia" w:ascii="仿宋_GB2312" w:eastAsia="仿宋_GB2312"/>
          <w:sz w:val="32"/>
          <w:szCs w:val="32"/>
        </w:rPr>
        <w:t>2022年，区矿产资源保护中心对打非责任区域始终保持高压常态巡查监管，积极发挥联防联控机制作用，深入开展打非领域线索排查和事件处置，实现私挖盗采隐患点动态巡查覆盖率和违法行为现场制止率达100%，案件举报查处率100%，井口封堵率100%；组织开展全区打非专项整治行动3次；完成西区矿产资源展示区建设；指导、检查大宝鼎街道、格里坪镇打非工作61次，全年非法采矿人员零伤亡。</w:t>
      </w:r>
    </w:p>
    <w:p>
      <w:pPr>
        <w:ind w:firstLine="640" w:firstLineChars="200"/>
        <w:rPr>
          <w:rFonts w:ascii="仿宋_GB2312" w:eastAsia="仿宋_GB2312"/>
          <w:sz w:val="32"/>
          <w:szCs w:val="32"/>
        </w:rPr>
      </w:pPr>
      <w:r>
        <w:rPr>
          <w:rFonts w:hint="eastAsia" w:ascii="仿宋_GB2312" w:eastAsia="仿宋_GB2312"/>
          <w:sz w:val="32"/>
          <w:szCs w:val="32"/>
        </w:rPr>
        <w:t>区委区政府高度重视预防和打击非法采矿工作，截至10月底，市、区领导12次到打非一线督导检查打非工作；区级各责任部门领导共110余次带队巡查打非工作。召开全区打非工作联席会议2次，互通打非信息30余条，形成全区上下合力打非的良好氛围。</w:t>
      </w:r>
    </w:p>
    <w:p>
      <w:pPr>
        <w:ind w:firstLine="640" w:firstLineChars="200"/>
        <w:rPr>
          <w:rFonts w:ascii="仿宋_GB2312" w:eastAsia="仿宋_GB2312"/>
          <w:sz w:val="32"/>
          <w:szCs w:val="32"/>
        </w:rPr>
      </w:pPr>
      <w:r>
        <w:rPr>
          <w:rFonts w:hint="eastAsia" w:ascii="仿宋_GB2312" w:eastAsia="仿宋_GB2312"/>
          <w:sz w:val="32"/>
          <w:szCs w:val="32"/>
        </w:rPr>
        <w:t>在全省率先提出并开展全领域、全范围、全角度的打非联合执法检查工作，历时170天，共计在全区范围内开展了3次打非专项整治行动，严厉打击了无证开采、非法运输、非法收售、非法储存、非法加工矿产资源等行为。发现问题在建区级重点项目2个；涉矿企业4家；查获涉矿问题车辆34辆，罚款13台，共处罚金15000余元；劝返外来闲散人员7人；整改问题废品收购站点5家。</w:t>
      </w:r>
    </w:p>
    <w:p>
      <w:pPr>
        <w:pStyle w:val="29"/>
        <w:widowControl/>
        <w:numPr>
          <w:ilvl w:val="0"/>
          <w:numId w:val="6"/>
        </w:numPr>
        <w:adjustRightInd w:val="0"/>
        <w:snapToGrid w:val="0"/>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部门整体支出绩效目标。</w:t>
      </w:r>
    </w:p>
    <w:p>
      <w:pPr>
        <w:ind w:firstLine="640" w:firstLineChars="200"/>
        <w:rPr>
          <w:rFonts w:ascii="仿宋_GB2312" w:eastAsia="仿宋_GB2312"/>
          <w:sz w:val="32"/>
          <w:szCs w:val="32"/>
        </w:rPr>
      </w:pPr>
      <w:r>
        <w:rPr>
          <w:rFonts w:hint="eastAsia" w:ascii="仿宋_GB2312" w:eastAsia="仿宋_GB2312"/>
          <w:sz w:val="32"/>
          <w:szCs w:val="32"/>
        </w:rPr>
        <w:t>区矿产资源保护中心紧紧围绕区委、区政府决策部署，坚持高标准、严要求，创新理念、转变作风，主动担当、强化服务，进一步发挥巡查监督职能作用;进一步树立作风优、能力强、业绩靓的标杆，圆满完成了各项作任务，2022年度足额并及时发放职工政策性薪金与社保，为地方经济发展，工作有序开展提供强大保障；各个涉及矿产资源打非项目的开展，确保辖区全年无非法采矿事件发生，保障国有矿产资源安全及有序开采；办公楼安全维护为打非人员提供安全保障，提升打非工作效率；整体支出实际完成情况达到预期绩效目标。</w:t>
      </w:r>
    </w:p>
    <w:p>
      <w:pPr>
        <w:widowControl/>
        <w:adjustRightInd w:val="0"/>
        <w:snapToGrid w:val="0"/>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ind w:firstLine="640" w:firstLineChars="200"/>
        <w:rPr>
          <w:rFonts w:ascii="仿宋_GB2312" w:eastAsia="仿宋_GB2312"/>
          <w:sz w:val="32"/>
          <w:szCs w:val="32"/>
        </w:rPr>
      </w:pPr>
      <w:r>
        <w:rPr>
          <w:rFonts w:hint="eastAsia" w:ascii="仿宋_GB2312" w:eastAsia="仿宋_GB2312"/>
          <w:sz w:val="32"/>
          <w:szCs w:val="32"/>
        </w:rPr>
        <w:t>1.部门总体收入情况</w:t>
      </w:r>
    </w:p>
    <w:p>
      <w:pPr>
        <w:ind w:firstLine="640" w:firstLineChars="200"/>
        <w:rPr>
          <w:rFonts w:ascii="仿宋_GB2312" w:eastAsia="仿宋_GB2312"/>
          <w:sz w:val="32"/>
          <w:szCs w:val="32"/>
        </w:rPr>
      </w:pPr>
      <w:r>
        <w:rPr>
          <w:rFonts w:hint="eastAsia" w:ascii="仿宋_GB2312" w:eastAsia="仿宋_GB2312"/>
          <w:sz w:val="32"/>
          <w:szCs w:val="32"/>
        </w:rPr>
        <w:t>2022年度收、支总计207.77万元。与2021年相比，收、支总计各减少15.43万元，下降6.91%。主要变动原因是政府性基金预算财政拨款收支减少，项目经费减少。</w:t>
      </w:r>
    </w:p>
    <w:p>
      <w:pPr>
        <w:ind w:firstLine="640" w:firstLineChars="200"/>
        <w:rPr>
          <w:rFonts w:ascii="仿宋_GB2312" w:eastAsia="仿宋_GB2312"/>
          <w:sz w:val="32"/>
          <w:szCs w:val="32"/>
        </w:rPr>
      </w:pPr>
      <w:r>
        <w:rPr>
          <w:rFonts w:hint="eastAsia" w:ascii="仿宋_GB2312" w:eastAsia="仿宋_GB2312"/>
          <w:sz w:val="32"/>
          <w:szCs w:val="32"/>
        </w:rPr>
        <w:t>2.部门总体支出情况</w:t>
      </w:r>
    </w:p>
    <w:p>
      <w:pPr>
        <w:rPr>
          <w:rFonts w:ascii="仿宋_GB2312" w:eastAsia="仿宋_GB2312"/>
          <w:sz w:val="32"/>
          <w:szCs w:val="32"/>
        </w:rPr>
      </w:pPr>
      <w:r>
        <w:rPr>
          <w:rFonts w:hint="eastAsia" w:ascii="仿宋_GB2312" w:eastAsia="仿宋_GB2312"/>
          <w:sz w:val="32"/>
          <w:szCs w:val="32"/>
        </w:rPr>
        <w:t xml:space="preserve">   2022年本年支出合计207.77万元，其中：基本支出182.42万元，占87.80%；项目支出25.35万元，占12.20%；上缴上级支出0万元，占0%；经营支出0万元，占0%；对附属单位补助支出0万元，占0%。</w:t>
      </w:r>
    </w:p>
    <w:p>
      <w:pPr>
        <w:ind w:firstLine="640" w:firstLineChars="200"/>
        <w:rPr>
          <w:rFonts w:ascii="仿宋_GB2312" w:eastAsia="仿宋_GB2312"/>
          <w:sz w:val="32"/>
          <w:szCs w:val="32"/>
        </w:rPr>
      </w:pPr>
      <w:r>
        <w:rPr>
          <w:rFonts w:hint="eastAsia" w:ascii="仿宋_GB2312" w:eastAsia="仿宋_GB2312"/>
          <w:sz w:val="32"/>
          <w:szCs w:val="32"/>
        </w:rPr>
        <w:t>3.部门总体结转结余情况</w:t>
      </w:r>
    </w:p>
    <w:p>
      <w:pPr>
        <w:ind w:firstLine="640" w:firstLineChars="200"/>
        <w:rPr>
          <w:rFonts w:ascii="仿宋_GB2312" w:eastAsia="仿宋_GB2312"/>
          <w:sz w:val="32"/>
          <w:szCs w:val="32"/>
        </w:rPr>
      </w:pPr>
      <w:r>
        <w:rPr>
          <w:rFonts w:hint="eastAsia" w:ascii="仿宋_GB2312" w:eastAsia="仿宋_GB2312"/>
          <w:sz w:val="32"/>
          <w:szCs w:val="32"/>
        </w:rPr>
        <w:t>无</w:t>
      </w:r>
    </w:p>
    <w:p>
      <w:pPr>
        <w:widowControl/>
        <w:adjustRightInd w:val="0"/>
        <w:snapToGrid w:val="0"/>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ind w:firstLine="640" w:firstLineChars="200"/>
        <w:rPr>
          <w:rFonts w:ascii="仿宋_GB2312" w:eastAsia="仿宋_GB2312"/>
          <w:sz w:val="32"/>
          <w:szCs w:val="32"/>
        </w:rPr>
      </w:pPr>
      <w:r>
        <w:rPr>
          <w:rFonts w:hint="eastAsia" w:ascii="仿宋_GB2312" w:eastAsia="仿宋_GB2312"/>
          <w:sz w:val="32"/>
          <w:szCs w:val="32"/>
        </w:rPr>
        <w:t>1.部门财政拨款收入情况</w:t>
      </w:r>
    </w:p>
    <w:p>
      <w:pPr>
        <w:ind w:firstLine="640" w:firstLineChars="200"/>
        <w:rPr>
          <w:rFonts w:ascii="仿宋_GB2312" w:eastAsia="仿宋_GB2312"/>
          <w:sz w:val="32"/>
          <w:szCs w:val="32"/>
        </w:rPr>
      </w:pPr>
      <w:r>
        <w:rPr>
          <w:rFonts w:hint="eastAsia" w:ascii="仿宋_GB2312" w:eastAsia="仿宋_GB2312"/>
          <w:sz w:val="32"/>
          <w:szCs w:val="32"/>
        </w:rPr>
        <w:t>2022年度本单位收入179.22万元。其中：社会保障和就业经费3.23万元，卫生健康经费2.83万元，住房保障经费3.83万元，灾害防治及应急管理经费143.98万元，城乡社区25.35万元。</w:t>
      </w:r>
    </w:p>
    <w:p>
      <w:pPr>
        <w:ind w:firstLine="640" w:firstLineChars="200"/>
        <w:rPr>
          <w:rFonts w:ascii="仿宋_GB2312" w:eastAsia="仿宋_GB2312"/>
          <w:sz w:val="32"/>
          <w:szCs w:val="32"/>
        </w:rPr>
      </w:pPr>
      <w:r>
        <w:rPr>
          <w:rFonts w:hint="eastAsia" w:ascii="仿宋_GB2312" w:eastAsia="仿宋_GB2312"/>
          <w:sz w:val="32"/>
          <w:szCs w:val="32"/>
        </w:rPr>
        <w:t>2022年度部门预算基本支出经费支出143.92万元。其中：社会保障和就业支出3.23万元，卫生健康支出2.83万元，住房保障支出3.83万元，灾害防治及应急管理134.03万元。</w:t>
      </w:r>
    </w:p>
    <w:p>
      <w:pPr>
        <w:ind w:firstLine="640" w:firstLineChars="200"/>
        <w:rPr>
          <w:rFonts w:ascii="仿宋_GB2312" w:eastAsia="仿宋_GB2312"/>
          <w:sz w:val="32"/>
          <w:szCs w:val="32"/>
        </w:rPr>
      </w:pPr>
      <w:r>
        <w:rPr>
          <w:rFonts w:hint="eastAsia" w:ascii="仿宋_GB2312" w:eastAsia="仿宋_GB2312"/>
          <w:sz w:val="32"/>
          <w:szCs w:val="32"/>
        </w:rPr>
        <w:t>2.部门财政拨款支出情况</w:t>
      </w:r>
    </w:p>
    <w:p>
      <w:pPr>
        <w:ind w:firstLine="640" w:firstLineChars="200"/>
        <w:rPr>
          <w:rFonts w:ascii="仿宋_GB2312" w:eastAsia="仿宋_GB2312"/>
          <w:sz w:val="32"/>
          <w:szCs w:val="32"/>
        </w:rPr>
      </w:pPr>
      <w:r>
        <w:rPr>
          <w:rFonts w:hint="eastAsia" w:ascii="仿宋_GB2312" w:eastAsia="仿宋_GB2312"/>
          <w:sz w:val="32"/>
          <w:szCs w:val="32"/>
        </w:rPr>
        <w:t xml:space="preserve">2022年度项目经费预算安排为65.14万元，其中,打私专项整治经费10万元（年初预算收入10万元，追加预算收入0万元，上年结转收入0万元）；项目打私巡查专项经费15万元（年初预算收入15万元，追加预算收入0万元，上年结转收入0万元）；项目打私保障经费10万元（年初预算收入10万元，追加预算收入0万元，上年结转收入0万元）; 项目办公楼运维费1万元（年初预算收入1万元，追加预算收入0万元，上年结转收入0万元）项目打非工作经费29.14万元（存量资金）。 </w:t>
      </w:r>
    </w:p>
    <w:p>
      <w:pPr>
        <w:ind w:firstLine="640" w:firstLineChars="200"/>
        <w:rPr>
          <w:rFonts w:ascii="仿宋_GB2312" w:eastAsia="仿宋_GB2312"/>
          <w:sz w:val="32"/>
          <w:szCs w:val="32"/>
        </w:rPr>
      </w:pPr>
      <w:r>
        <w:rPr>
          <w:rFonts w:hint="eastAsia" w:ascii="仿宋_GB2312" w:eastAsia="仿宋_GB2312"/>
          <w:sz w:val="32"/>
          <w:szCs w:val="32"/>
        </w:rPr>
        <w:t>2022年度项目经费总支出为63.85万元。</w:t>
      </w:r>
    </w:p>
    <w:p>
      <w:pPr>
        <w:ind w:firstLine="640" w:firstLineChars="200"/>
        <w:rPr>
          <w:rFonts w:ascii="仿宋_GB2312" w:eastAsia="仿宋_GB2312"/>
          <w:sz w:val="32"/>
          <w:szCs w:val="32"/>
        </w:rPr>
      </w:pPr>
      <w:r>
        <w:rPr>
          <w:rFonts w:hint="eastAsia" w:ascii="仿宋_GB2312" w:eastAsia="仿宋_GB2312"/>
          <w:sz w:val="32"/>
          <w:szCs w:val="32"/>
        </w:rPr>
        <w:t>2022年度追加预算4.25万元。其中:其他工资福利支出追加2.29万元，主要用于新增聘用人员工资和社会保险支出；绩效工资追加0.94万元，主要用于在职人员工资支出；基本工资追加1.02万元，主要用于在职人员工资支出。</w:t>
      </w:r>
    </w:p>
    <w:p>
      <w:pPr>
        <w:ind w:firstLine="640" w:firstLineChars="200"/>
        <w:rPr>
          <w:rFonts w:ascii="仿宋_GB2312" w:eastAsia="仿宋_GB2312"/>
          <w:sz w:val="32"/>
          <w:szCs w:val="32"/>
        </w:rPr>
      </w:pPr>
      <w:r>
        <w:rPr>
          <w:rFonts w:hint="eastAsia" w:ascii="仿宋_GB2312" w:eastAsia="仿宋_GB2312"/>
          <w:sz w:val="32"/>
          <w:szCs w:val="32"/>
        </w:rPr>
        <w:t>3.部门财政拨款结转结余情况</w:t>
      </w:r>
    </w:p>
    <w:p>
      <w:pPr>
        <w:ind w:firstLine="640" w:firstLineChars="200"/>
        <w:rPr>
          <w:rFonts w:ascii="仿宋_GB2312" w:eastAsia="仿宋_GB2312"/>
          <w:sz w:val="32"/>
          <w:szCs w:val="32"/>
        </w:rPr>
      </w:pPr>
      <w:r>
        <w:rPr>
          <w:rFonts w:hint="eastAsia" w:ascii="仿宋_GB2312" w:eastAsia="仿宋_GB2312"/>
          <w:sz w:val="32"/>
          <w:szCs w:val="32"/>
        </w:rPr>
        <w:t>无。</w:t>
      </w:r>
    </w:p>
    <w:p>
      <w:pPr>
        <w:widowControl/>
        <w:adjustRightInd w:val="0"/>
        <w:snapToGrid w:val="0"/>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ind w:firstLine="640" w:firstLineChars="200"/>
        <w:rPr>
          <w:rFonts w:ascii="仿宋_GB2312" w:eastAsia="仿宋_GB2312"/>
          <w:sz w:val="32"/>
          <w:szCs w:val="32"/>
        </w:rPr>
      </w:pPr>
      <w:r>
        <w:rPr>
          <w:rFonts w:hint="eastAsia" w:ascii="仿宋_GB2312" w:eastAsia="仿宋_GB2312"/>
          <w:sz w:val="32"/>
          <w:szCs w:val="32"/>
        </w:rPr>
        <w:t>1.人员类项目绩效分析</w:t>
      </w:r>
    </w:p>
    <w:p>
      <w:pPr>
        <w:ind w:firstLine="640" w:firstLineChars="200"/>
        <w:rPr>
          <w:rFonts w:ascii="仿宋_GB2312" w:eastAsia="仿宋_GB2312"/>
          <w:sz w:val="32"/>
          <w:szCs w:val="32"/>
        </w:rPr>
      </w:pPr>
      <w:r>
        <w:rPr>
          <w:rFonts w:hint="eastAsia" w:ascii="仿宋_GB2312" w:eastAsia="仿宋_GB2312"/>
          <w:sz w:val="32"/>
          <w:szCs w:val="32"/>
        </w:rPr>
        <w:t>2022年预算安排人员类项目经费127.75万元，预算执行127.75万元，预算执行率100%，无资金结余。</w:t>
      </w:r>
    </w:p>
    <w:p>
      <w:pPr>
        <w:ind w:firstLine="640" w:firstLineChars="200"/>
        <w:rPr>
          <w:rFonts w:ascii="仿宋_GB2312" w:eastAsia="仿宋_GB2312"/>
          <w:sz w:val="32"/>
          <w:szCs w:val="32"/>
        </w:rPr>
      </w:pPr>
      <w:r>
        <w:rPr>
          <w:rFonts w:hint="eastAsia" w:ascii="仿宋_GB2312" w:eastAsia="仿宋_GB2312"/>
          <w:sz w:val="32"/>
          <w:szCs w:val="32"/>
        </w:rPr>
        <w:t>人员类项目经费支出严格执行财务管理制度，专款专用，保障工资、社保、公积金等工资福利支出及时足额发放、缴纳，账务处理及时，会计核算规范，未存在挪用或超标准开支的违规记录等情况；有效地维持了本单位工作的正常运转，实现了年初设定的绩效目标，项目资金使用率100%。</w:t>
      </w:r>
    </w:p>
    <w:p>
      <w:pPr>
        <w:ind w:firstLine="640" w:firstLineChars="200"/>
        <w:rPr>
          <w:rFonts w:ascii="仿宋_GB2312" w:eastAsia="仿宋_GB2312"/>
          <w:sz w:val="32"/>
          <w:szCs w:val="32"/>
        </w:rPr>
      </w:pPr>
      <w:r>
        <w:rPr>
          <w:rFonts w:hint="eastAsia" w:ascii="仿宋_GB2312" w:eastAsia="仿宋_GB2312"/>
          <w:sz w:val="32"/>
          <w:szCs w:val="32"/>
        </w:rPr>
        <w:t>2.运转类项目绩效分析</w:t>
      </w:r>
    </w:p>
    <w:p>
      <w:pPr>
        <w:ind w:firstLine="640" w:firstLineChars="200"/>
        <w:rPr>
          <w:rFonts w:ascii="仿宋_GB2312" w:eastAsia="仿宋_GB2312"/>
          <w:sz w:val="32"/>
          <w:szCs w:val="32"/>
        </w:rPr>
      </w:pPr>
      <w:r>
        <w:rPr>
          <w:rFonts w:hint="eastAsia" w:ascii="仿宋_GB2312" w:eastAsia="仿宋_GB2312"/>
          <w:sz w:val="32"/>
          <w:szCs w:val="32"/>
        </w:rPr>
        <w:t>2022年，运转类部门预算项目0.90万元，预算执行0.90万元，预算执行率100%，无资金结余。</w:t>
      </w:r>
    </w:p>
    <w:p>
      <w:pPr>
        <w:ind w:firstLine="640" w:firstLineChars="200"/>
        <w:rPr>
          <w:rFonts w:ascii="仿宋_GB2312" w:eastAsia="仿宋_GB2312"/>
          <w:sz w:val="32"/>
          <w:szCs w:val="32"/>
        </w:rPr>
      </w:pPr>
      <w:r>
        <w:rPr>
          <w:rFonts w:hint="eastAsia" w:ascii="仿宋_GB2312" w:eastAsia="仿宋_GB2312"/>
          <w:sz w:val="32"/>
          <w:szCs w:val="32"/>
        </w:rPr>
        <w:t>运转类项目经费在资金使用上，严格按照资金使用用途进行审核审批，及时足额划拨资金，未存在挪用或超标准开支的违规记录等情况。为打非人员提供了安全保障，实现了年初设定的绩效目标，项目资金使用率100%。</w:t>
      </w:r>
    </w:p>
    <w:p>
      <w:pPr>
        <w:ind w:firstLine="640" w:firstLineChars="200"/>
        <w:rPr>
          <w:rFonts w:ascii="仿宋_GB2312" w:eastAsia="仿宋_GB2312"/>
          <w:sz w:val="32"/>
          <w:szCs w:val="32"/>
        </w:rPr>
      </w:pPr>
      <w:r>
        <w:rPr>
          <w:rFonts w:hint="eastAsia" w:ascii="仿宋_GB2312" w:eastAsia="仿宋_GB2312"/>
          <w:sz w:val="32"/>
          <w:szCs w:val="32"/>
        </w:rPr>
        <w:t>3.特定目标类项目绩效分析</w:t>
      </w:r>
    </w:p>
    <w:p>
      <w:pPr>
        <w:ind w:firstLine="640" w:firstLineChars="200"/>
        <w:rPr>
          <w:rFonts w:ascii="仿宋_GB2312" w:eastAsia="仿宋_GB2312"/>
          <w:sz w:val="32"/>
          <w:szCs w:val="32"/>
        </w:rPr>
      </w:pPr>
      <w:r>
        <w:rPr>
          <w:rFonts w:hint="eastAsia" w:ascii="仿宋_GB2312" w:eastAsia="仿宋_GB2312"/>
          <w:sz w:val="32"/>
          <w:szCs w:val="32"/>
        </w:rPr>
        <w:t>2022年预算安排特定类项目经费34.40万元，预算执行34.40万元，预算执行率100%，无资金结余。其中，特定类项目中28.55万元为安排的存量资金。</w:t>
      </w:r>
    </w:p>
    <w:p>
      <w:pPr>
        <w:ind w:firstLine="640" w:firstLineChars="200"/>
        <w:rPr>
          <w:rFonts w:ascii="仿宋_GB2312" w:eastAsia="仿宋_GB2312"/>
          <w:sz w:val="32"/>
          <w:szCs w:val="32"/>
        </w:rPr>
      </w:pPr>
      <w:r>
        <w:rPr>
          <w:rFonts w:hint="eastAsia" w:ascii="仿宋_GB2312" w:eastAsia="仿宋_GB2312"/>
          <w:sz w:val="32"/>
          <w:szCs w:val="32"/>
        </w:rPr>
        <w:t>特定目标类项目经费在资金使用上，严格按照资金使用用途进行审核审批，及时足额划拨资金，圆满完成了各项工作任务，为涉矿打非工作做出显著贡献。未存在挪用或超标准开支的违规记录等情况。实现了年初设定的绩效目标，项目资金使用率100%。</w:t>
      </w:r>
    </w:p>
    <w:p>
      <w:pPr>
        <w:widowControl/>
        <w:adjustRightInd w:val="0"/>
        <w:snapToGrid w:val="0"/>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ind w:firstLine="640" w:firstLineChars="200"/>
        <w:rPr>
          <w:rFonts w:ascii="仿宋_GB2312" w:eastAsia="仿宋_GB2312"/>
          <w:sz w:val="32"/>
          <w:szCs w:val="32"/>
        </w:rPr>
      </w:pPr>
      <w:r>
        <w:rPr>
          <w:rFonts w:hint="eastAsia" w:ascii="仿宋_GB2312" w:eastAsia="仿宋_GB2312"/>
          <w:sz w:val="32"/>
          <w:szCs w:val="32"/>
        </w:rPr>
        <w:t>1.部门预算项目绩效管理。</w:t>
      </w:r>
    </w:p>
    <w:p>
      <w:pPr>
        <w:ind w:firstLine="640" w:firstLineChars="200"/>
        <w:rPr>
          <w:rFonts w:ascii="仿宋_GB2312" w:eastAsia="仿宋_GB2312"/>
          <w:sz w:val="32"/>
          <w:szCs w:val="32"/>
        </w:rPr>
      </w:pPr>
      <w:r>
        <w:rPr>
          <w:rFonts w:hint="eastAsia" w:ascii="仿宋_GB2312" w:eastAsia="仿宋_GB2312"/>
          <w:sz w:val="32"/>
          <w:szCs w:val="32"/>
        </w:rPr>
        <w:t xml:space="preserve">(1)2022年收入179.22万元，支出完成 207.77万元，其中存量资金支出28.55万元。项目严格按照绩效目标申报 ，做到事前有审批，事中有监控，事后形成整体绩效报告。结合评价内容，做到有计划、有安排，扎实开展本次自评工作。        </w:t>
      </w:r>
    </w:p>
    <w:p>
      <w:pPr>
        <w:rPr>
          <w:rFonts w:ascii="仿宋_GB2312" w:eastAsia="仿宋_GB2312"/>
          <w:sz w:val="32"/>
          <w:szCs w:val="32"/>
        </w:rPr>
      </w:pPr>
      <w:r>
        <w:rPr>
          <w:rFonts w:hint="eastAsia" w:ascii="仿宋_GB2312" w:eastAsia="仿宋_GB2312"/>
          <w:sz w:val="32"/>
          <w:szCs w:val="32"/>
        </w:rPr>
        <w:t xml:space="preserve">   (2) 2022年年初部门预算产出指标完成情况：数量指标、成本指标、时效指标和质量指标均按计划完成，保障了打非工作有序开展，打私巡查专项经费、打私整治专项经费、打私保障专项经费、打非工作经费、办公楼运维费5个项目按年初计划部分完成任务；2022年基本支出完成143.92万元，其中人员支出130.48万元；项目支出完成63.85万元。</w:t>
      </w:r>
    </w:p>
    <w:p>
      <w:pPr>
        <w:ind w:firstLine="640" w:firstLineChars="200"/>
        <w:rPr>
          <w:rFonts w:ascii="仿宋_GB2312" w:eastAsia="仿宋_GB2312"/>
          <w:sz w:val="32"/>
          <w:szCs w:val="32"/>
        </w:rPr>
      </w:pPr>
      <w:r>
        <w:rPr>
          <w:rFonts w:hint="eastAsia" w:ascii="仿宋_GB2312" w:eastAsia="仿宋_GB2312"/>
          <w:sz w:val="32"/>
          <w:szCs w:val="32"/>
        </w:rPr>
        <w:t>通过项目打私整治专项经费、打非工作经费的实施，完成率分别为</w:t>
      </w:r>
      <w:r>
        <w:rPr>
          <w:rFonts w:ascii="仿宋_GB2312" w:eastAsia="仿宋_GB2312"/>
          <w:sz w:val="32"/>
          <w:szCs w:val="32"/>
        </w:rPr>
        <w:t>100</w:t>
      </w:r>
      <w:r>
        <w:rPr>
          <w:rFonts w:hint="eastAsia" w:ascii="仿宋_GB2312" w:eastAsia="仿宋_GB2312"/>
          <w:sz w:val="32"/>
          <w:szCs w:val="32"/>
        </w:rPr>
        <w:t>%和</w:t>
      </w:r>
      <w:r>
        <w:rPr>
          <w:rFonts w:ascii="仿宋_GB2312" w:eastAsia="仿宋_GB2312"/>
          <w:sz w:val="32"/>
          <w:szCs w:val="32"/>
        </w:rPr>
        <w:t>100</w:t>
      </w:r>
      <w:r>
        <w:rPr>
          <w:rFonts w:hint="eastAsia" w:ascii="仿宋_GB2312" w:eastAsia="仿宋_GB2312"/>
          <w:sz w:val="32"/>
          <w:szCs w:val="32"/>
        </w:rPr>
        <w:t>%，2022年度完成3次联合专项整治行动，井口封堵44口；宣传成绩显著，全区覆盖率100%，普法25000人次；制止非法采矿行为100%，组织专班严查矿产品运输车辆，共出动执法人员500余人（次），检查运输车辆5600余辆（次），涉矿运输车辆1000余辆（次），查获问题车辆34辆。罚款13台，共处罚金15000余元。</w:t>
      </w:r>
    </w:p>
    <w:p>
      <w:pPr>
        <w:ind w:firstLine="640" w:firstLineChars="200"/>
        <w:rPr>
          <w:rFonts w:ascii="仿宋_GB2312" w:eastAsia="仿宋_GB2312"/>
          <w:sz w:val="32"/>
          <w:szCs w:val="32"/>
        </w:rPr>
      </w:pPr>
      <w:r>
        <w:rPr>
          <w:rFonts w:hint="eastAsia" w:ascii="仿宋_GB2312" w:eastAsia="仿宋_GB2312"/>
          <w:sz w:val="32"/>
          <w:szCs w:val="32"/>
        </w:rPr>
        <w:t>项目打私巡查专项经费完成率</w:t>
      </w:r>
      <w:r>
        <w:rPr>
          <w:rFonts w:ascii="仿宋_GB2312" w:eastAsia="仿宋_GB2312"/>
          <w:sz w:val="32"/>
          <w:szCs w:val="32"/>
        </w:rPr>
        <w:t>100</w:t>
      </w:r>
      <w:r>
        <w:rPr>
          <w:rFonts w:hint="eastAsia" w:ascii="仿宋_GB2312" w:eastAsia="仿宋_GB2312"/>
          <w:sz w:val="32"/>
          <w:szCs w:val="32"/>
        </w:rPr>
        <w:t>%，2022年度每月及时足额发放打非人员高温及误餐经费，一定程度上提升了人员工作的积极性及主动性，一定程度上消除了安全隐患，为打非工作提供了有力保障，工作成效得到巩固，国有矿产资源安全进一步提升。</w:t>
      </w:r>
    </w:p>
    <w:p>
      <w:pPr>
        <w:ind w:firstLine="640" w:firstLineChars="200"/>
        <w:rPr>
          <w:rFonts w:ascii="仿宋_GB2312" w:eastAsia="仿宋_GB2312"/>
          <w:sz w:val="32"/>
          <w:szCs w:val="32"/>
        </w:rPr>
      </w:pPr>
      <w:r>
        <w:rPr>
          <w:rFonts w:hint="eastAsia" w:ascii="仿宋_GB2312" w:eastAsia="仿宋_GB2312"/>
          <w:sz w:val="32"/>
          <w:szCs w:val="32"/>
        </w:rPr>
        <w:t>项目打私保障专项经费完成率为</w:t>
      </w:r>
      <w:r>
        <w:rPr>
          <w:rFonts w:ascii="仿宋_GB2312" w:eastAsia="仿宋_GB2312"/>
          <w:sz w:val="32"/>
          <w:szCs w:val="32"/>
        </w:rPr>
        <w:t>100</w:t>
      </w:r>
      <w:r>
        <w:rPr>
          <w:rFonts w:hint="eastAsia" w:ascii="仿宋_GB2312" w:eastAsia="仿宋_GB2312"/>
          <w:sz w:val="32"/>
          <w:szCs w:val="32"/>
        </w:rPr>
        <w:t>%，2022年度为打非工作人员配备了工作必需的安全防护设备24套，购买了24名打非人员人身意外保险；提升了打非工作人员的安全系数与归属感，促进了打非工作的有序开展，为部门降低了安全风险，推进了矿产资源监管责任的落实与巩固。</w:t>
      </w:r>
    </w:p>
    <w:p>
      <w:pPr>
        <w:ind w:firstLine="640" w:firstLineChars="200"/>
        <w:rPr>
          <w:rFonts w:ascii="仿宋_GB2312" w:eastAsia="仿宋_GB2312"/>
          <w:sz w:val="32"/>
          <w:szCs w:val="32"/>
        </w:rPr>
      </w:pPr>
      <w:r>
        <w:rPr>
          <w:rFonts w:hint="eastAsia" w:ascii="仿宋_GB2312" w:eastAsia="仿宋_GB2312"/>
          <w:sz w:val="32"/>
          <w:szCs w:val="32"/>
        </w:rPr>
        <w:t>项目办公楼运维费完成率为</w:t>
      </w:r>
      <w:r>
        <w:rPr>
          <w:rFonts w:ascii="仿宋_GB2312" w:eastAsia="仿宋_GB2312"/>
          <w:sz w:val="32"/>
          <w:szCs w:val="32"/>
        </w:rPr>
        <w:t>100</w:t>
      </w:r>
      <w:r>
        <w:rPr>
          <w:rFonts w:hint="eastAsia" w:ascii="仿宋_GB2312" w:eastAsia="仿宋_GB2312"/>
          <w:sz w:val="32"/>
          <w:szCs w:val="32"/>
        </w:rPr>
        <w:t>%。确保了办公楼安全，为打非人员建立安全屏障，预防风险，确保打非人员安全，确保打非工作正常。</w:t>
      </w:r>
    </w:p>
    <w:p>
      <w:pPr>
        <w:ind w:firstLine="640" w:firstLineChars="200"/>
        <w:rPr>
          <w:rFonts w:ascii="仿宋_GB2312" w:eastAsia="仿宋_GB2312"/>
          <w:sz w:val="32"/>
          <w:szCs w:val="32"/>
        </w:rPr>
      </w:pPr>
      <w:r>
        <w:rPr>
          <w:rFonts w:hint="eastAsia" w:ascii="仿宋_GB2312" w:eastAsia="仿宋_GB2312"/>
          <w:sz w:val="32"/>
          <w:szCs w:val="32"/>
        </w:rPr>
        <w:t>效益指标完成情况：项目打私专项整治经费、打私巡查专项经费、打私保障专项经费、打非工作经费和办公楼运维费五个项目全部或基本达到预期社会效益，可持续性影响显著。2022年度本部门为每名打非队员购买了人身意外保险，使每名队员人身安全得到了保障，为稳定打私队伍发挥了积极作用；对每名队员身体健康进行定期体检，提前预警每名打私队员的身体状况，使每名打私队员身体状况满足了打私巡查监管工作的需要，确保了打私巡查监管工作有序有效开展；2022年西区打私区域巡查守护做到了100%覆盖。</w:t>
      </w:r>
    </w:p>
    <w:p>
      <w:pPr>
        <w:ind w:firstLine="640" w:firstLineChars="200"/>
        <w:rPr>
          <w:rFonts w:ascii="仿宋_GB2312" w:eastAsia="仿宋_GB2312"/>
          <w:sz w:val="32"/>
          <w:szCs w:val="32"/>
        </w:rPr>
      </w:pPr>
      <w:r>
        <w:rPr>
          <w:rFonts w:hint="eastAsia" w:ascii="仿宋_GB2312" w:eastAsia="仿宋_GB2312"/>
          <w:sz w:val="32"/>
          <w:szCs w:val="32"/>
        </w:rPr>
        <w:t>满意度指标完成情况：服务对象及职工抽样满意度达到基本满意以上。</w:t>
      </w:r>
    </w:p>
    <w:p>
      <w:pPr>
        <w:ind w:firstLine="640" w:firstLineChars="200"/>
        <w:rPr>
          <w:rFonts w:ascii="仿宋_GB2312" w:eastAsia="仿宋_GB2312"/>
          <w:sz w:val="32"/>
          <w:szCs w:val="32"/>
        </w:rPr>
      </w:pPr>
      <w:r>
        <w:rPr>
          <w:rFonts w:hint="eastAsia" w:ascii="仿宋_GB2312" w:eastAsia="仿宋_GB2312"/>
          <w:sz w:val="32"/>
          <w:szCs w:val="32"/>
        </w:rPr>
        <w:t>（3）严格控制公用经费及非定额公用支出。</w:t>
      </w:r>
    </w:p>
    <w:p>
      <w:pPr>
        <w:ind w:firstLine="640" w:firstLineChars="200"/>
        <w:rPr>
          <w:rFonts w:ascii="仿宋_GB2312" w:eastAsia="仿宋_GB2312"/>
          <w:sz w:val="32"/>
          <w:szCs w:val="32"/>
        </w:rPr>
      </w:pPr>
      <w:r>
        <w:rPr>
          <w:rFonts w:hint="eastAsia" w:ascii="仿宋_GB2312" w:eastAsia="仿宋_GB2312"/>
          <w:sz w:val="32"/>
          <w:szCs w:val="32"/>
        </w:rPr>
        <w:t>公用经费按定额和定员标准进行编制，预算真实、准确无误。</w:t>
      </w:r>
    </w:p>
    <w:p>
      <w:pPr>
        <w:ind w:firstLine="640" w:firstLineChars="200"/>
        <w:rPr>
          <w:rFonts w:ascii="仿宋_GB2312" w:eastAsia="仿宋_GB2312"/>
          <w:sz w:val="32"/>
          <w:szCs w:val="32"/>
        </w:rPr>
      </w:pPr>
      <w:r>
        <w:rPr>
          <w:rFonts w:hint="eastAsia" w:ascii="仿宋_GB2312" w:eastAsia="仿宋_GB2312"/>
          <w:sz w:val="32"/>
          <w:szCs w:val="32"/>
        </w:rPr>
        <w:t xml:space="preserve">（4）根据绩效监控情况及时调整预算项目。                                          </w:t>
      </w:r>
    </w:p>
    <w:p>
      <w:pPr>
        <w:ind w:firstLine="960" w:firstLineChars="300"/>
        <w:rPr>
          <w:rFonts w:ascii="仿宋_GB2312" w:eastAsia="仿宋_GB2312"/>
          <w:sz w:val="32"/>
          <w:szCs w:val="32"/>
        </w:rPr>
      </w:pPr>
      <w:r>
        <w:rPr>
          <w:rFonts w:hint="eastAsia" w:ascii="仿宋_GB2312" w:eastAsia="仿宋_GB2312"/>
          <w:sz w:val="32"/>
          <w:szCs w:val="32"/>
        </w:rPr>
        <w:t>无。</w:t>
      </w:r>
    </w:p>
    <w:p>
      <w:pPr>
        <w:ind w:firstLine="640" w:firstLineChars="200"/>
        <w:rPr>
          <w:rFonts w:ascii="仿宋_GB2312" w:eastAsia="仿宋_GB2312"/>
          <w:sz w:val="32"/>
          <w:szCs w:val="32"/>
        </w:rPr>
      </w:pPr>
      <w:r>
        <w:rPr>
          <w:rFonts w:hint="eastAsia" w:ascii="仿宋_GB2312" w:eastAsia="仿宋_GB2312"/>
          <w:sz w:val="32"/>
          <w:szCs w:val="32"/>
        </w:rPr>
        <w:t>（5） 预算执行进度情况 。</w:t>
      </w:r>
    </w:p>
    <w:p>
      <w:pPr>
        <w:ind w:firstLine="640" w:firstLineChars="200"/>
        <w:rPr>
          <w:rFonts w:ascii="仿宋_GB2312" w:eastAsia="仿宋_GB2312"/>
          <w:sz w:val="32"/>
          <w:szCs w:val="32"/>
        </w:rPr>
      </w:pPr>
      <w:r>
        <w:rPr>
          <w:rFonts w:hint="eastAsia" w:ascii="仿宋_GB2312" w:eastAsia="仿宋_GB2312"/>
          <w:sz w:val="32"/>
          <w:szCs w:val="32"/>
        </w:rPr>
        <w:t>截止2022年6月执行预算支出92.25万元，预算执行进度为51.77%；截止2022年9月执行预算支出148.95万元，预算执行进度为83.60%；截止2022年11月执行预算支出182.29万元，预算执行进度102.31%，预算执行进度达到目标进度。</w:t>
      </w:r>
    </w:p>
    <w:p>
      <w:pPr>
        <w:ind w:firstLine="640" w:firstLineChars="200"/>
        <w:rPr>
          <w:rFonts w:ascii="仿宋_GB2312" w:eastAsia="仿宋_GB2312"/>
          <w:sz w:val="32"/>
          <w:szCs w:val="32"/>
        </w:rPr>
      </w:pPr>
      <w:r>
        <w:rPr>
          <w:rFonts w:hint="eastAsia" w:ascii="仿宋_GB2312" w:eastAsia="仿宋_GB2312"/>
          <w:sz w:val="32"/>
          <w:szCs w:val="32"/>
        </w:rPr>
        <w:t>（6） 预算完成情况。</w:t>
      </w:r>
    </w:p>
    <w:p>
      <w:pPr>
        <w:ind w:firstLine="640" w:firstLineChars="200"/>
        <w:rPr>
          <w:rFonts w:ascii="仿宋_GB2312" w:eastAsia="仿宋_GB2312"/>
          <w:sz w:val="32"/>
          <w:szCs w:val="32"/>
        </w:rPr>
      </w:pPr>
      <w:r>
        <w:rPr>
          <w:rFonts w:hint="eastAsia" w:ascii="仿宋_GB2312" w:eastAsia="仿宋_GB2312"/>
          <w:sz w:val="32"/>
          <w:szCs w:val="32"/>
        </w:rPr>
        <w:t>2022年财政拨款收入为179.22万元（包含调整追加数）， 2022年财政拨款支出为207.77万元（包含存量资金），年终预算执行进度达到116.61%。</w:t>
      </w:r>
    </w:p>
    <w:p>
      <w:pPr>
        <w:ind w:firstLine="640" w:firstLineChars="200"/>
        <w:rPr>
          <w:rFonts w:ascii="仿宋_GB2312" w:eastAsia="仿宋_GB2312"/>
          <w:sz w:val="32"/>
          <w:szCs w:val="32"/>
        </w:rPr>
      </w:pPr>
      <w:r>
        <w:rPr>
          <w:rFonts w:hint="eastAsia" w:ascii="仿宋_GB2312" w:eastAsia="仿宋_GB2312"/>
          <w:sz w:val="32"/>
          <w:szCs w:val="32"/>
        </w:rPr>
        <w:t>（7）资金结余率。</w:t>
      </w:r>
    </w:p>
    <w:p>
      <w:pPr>
        <w:ind w:firstLine="640" w:firstLineChars="200"/>
        <w:rPr>
          <w:rFonts w:ascii="仿宋_GB2312" w:eastAsia="仿宋_GB2312"/>
          <w:sz w:val="32"/>
          <w:szCs w:val="32"/>
        </w:rPr>
      </w:pPr>
      <w:r>
        <w:rPr>
          <w:rFonts w:hint="eastAsia" w:ascii="仿宋_GB2312" w:eastAsia="仿宋_GB2312"/>
          <w:sz w:val="32"/>
          <w:szCs w:val="32"/>
        </w:rPr>
        <w:t>年末结转和结余资金均为零，各预算项目资金结余率均为零。</w:t>
      </w:r>
      <w:r>
        <w:rPr>
          <w:rFonts w:hint="eastAsia" w:ascii="仿宋_GB2312" w:eastAsia="仿宋_GB2312"/>
          <w:sz w:val="32"/>
          <w:szCs w:val="32"/>
        </w:rPr>
        <w:tab/>
      </w:r>
    </w:p>
    <w:p>
      <w:pPr>
        <w:rPr>
          <w:rFonts w:ascii="仿宋_GB2312" w:eastAsia="仿宋_GB2312"/>
          <w:sz w:val="32"/>
          <w:szCs w:val="32"/>
        </w:rPr>
      </w:pPr>
      <w:r>
        <w:rPr>
          <w:rFonts w:hint="eastAsia" w:ascii="仿宋_GB2312" w:eastAsia="仿宋_GB2312"/>
          <w:sz w:val="32"/>
          <w:szCs w:val="32"/>
        </w:rPr>
        <w:t xml:space="preserve">   （8）违规记录。</w:t>
      </w:r>
    </w:p>
    <w:p>
      <w:pPr>
        <w:ind w:firstLine="640" w:firstLineChars="200"/>
        <w:rPr>
          <w:kern w:val="0"/>
          <w:shd w:val="clear" w:color="auto" w:fill="FFFFFF"/>
          <w:lang w:val="zh-CN"/>
        </w:rPr>
      </w:pPr>
      <w:r>
        <w:rPr>
          <w:rFonts w:hint="eastAsia" w:ascii="仿宋_GB2312" w:eastAsia="仿宋_GB2312"/>
          <w:sz w:val="32"/>
          <w:szCs w:val="32"/>
        </w:rPr>
        <w:t>审计监督、财政检查中未发现部门违纪违规问题。</w:t>
      </w:r>
    </w:p>
    <w:p>
      <w:pPr>
        <w:widowControl/>
        <w:adjustRightInd w:val="0"/>
        <w:snapToGrid w:val="0"/>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2、结果应用情况。</w:t>
      </w:r>
    </w:p>
    <w:p>
      <w:pPr>
        <w:ind w:firstLine="640" w:firstLineChars="200"/>
        <w:rPr>
          <w:rFonts w:ascii="仿宋_GB2312" w:eastAsia="仿宋_GB2312"/>
          <w:sz w:val="32"/>
          <w:szCs w:val="32"/>
        </w:rPr>
      </w:pPr>
      <w:r>
        <w:rPr>
          <w:rFonts w:hint="eastAsia" w:ascii="仿宋_GB2312" w:eastAsia="仿宋_GB2312"/>
          <w:sz w:val="32"/>
          <w:szCs w:val="32"/>
        </w:rPr>
        <w:t>根据攀枝花市西区财政局《关于开展2022年度预算绩效自评工作的通知》（攀西财〔2023〕40号）文件要求，对我中心的整体支出认真开展了绩效自评工作。</w:t>
      </w:r>
    </w:p>
    <w:p>
      <w:pPr>
        <w:ind w:firstLine="640" w:firstLineChars="200"/>
        <w:rPr>
          <w:rFonts w:ascii="仿宋_GB2312" w:eastAsia="仿宋_GB2312"/>
          <w:sz w:val="32"/>
          <w:szCs w:val="32"/>
        </w:rPr>
      </w:pPr>
      <w:r>
        <w:rPr>
          <w:rFonts w:hint="eastAsia" w:ascii="仿宋_GB2312" w:eastAsia="仿宋_GB2312"/>
          <w:sz w:val="32"/>
          <w:szCs w:val="32"/>
        </w:rPr>
        <w:t>（1）年初，我中心根据2022年度预算情况基本职能职责，设置了预算整体支出绩效目标表和各项目绩效目标表，并随同部门预算一并申报并在攀枝花市西区人民政府网站公示。在预算执行过程中，严格按预算绩效目标执行，将自评结果融入到业务工作中，保障我中心2022年全面履行辖区矿产资源巡查与保护、打击私挖滥采矿产资源、指导乡镇</w:t>
      </w:r>
      <w:r>
        <w:rPr>
          <w:rFonts w:hint="eastAsia" w:eastAsia="仿宋_GB2312"/>
          <w:sz w:val="32"/>
          <w:szCs w:val="32"/>
        </w:rPr>
        <w:t> </w:t>
      </w:r>
      <w:r>
        <w:rPr>
          <w:rFonts w:hint="eastAsia" w:ascii="仿宋_GB2312" w:eastAsia="仿宋_GB2312"/>
          <w:sz w:val="32"/>
          <w:szCs w:val="32"/>
        </w:rPr>
        <w:t>（街道）对辖区范围内的矿产资源开采活动进行监督和巡查等职能职责，其预决算数据与财政数据保持总额一致。</w:t>
      </w:r>
    </w:p>
    <w:p>
      <w:pPr>
        <w:ind w:firstLine="640" w:firstLineChars="200"/>
        <w:rPr>
          <w:rFonts w:ascii="仿宋_GB2312" w:eastAsia="仿宋_GB2312"/>
          <w:sz w:val="32"/>
          <w:szCs w:val="32"/>
        </w:rPr>
      </w:pPr>
      <w:r>
        <w:rPr>
          <w:rFonts w:hint="eastAsia" w:ascii="仿宋_GB2312" w:eastAsia="仿宋_GB2312"/>
          <w:sz w:val="32"/>
          <w:szCs w:val="32"/>
        </w:rPr>
        <w:t>（2）绩效管理开展情况，根据财政部门的要求开展了整体支出绩效自评工作，认真撰写整体、项目支出绩效自评报告， 填写部门整体支出绩效评价指标体系表，真实呈现财政预算资金管理、使用绩效，形成完整自评资料。</w:t>
      </w:r>
    </w:p>
    <w:p>
      <w:pPr>
        <w:ind w:firstLine="640" w:firstLineChars="200"/>
        <w:rPr>
          <w:rFonts w:ascii="仿宋_GB2312" w:eastAsia="仿宋_GB2312"/>
          <w:sz w:val="32"/>
          <w:szCs w:val="32"/>
        </w:rPr>
      </w:pPr>
      <w:r>
        <w:rPr>
          <w:rFonts w:hint="eastAsia" w:ascii="仿宋_GB2312" w:eastAsia="仿宋_GB2312"/>
          <w:sz w:val="32"/>
          <w:szCs w:val="32"/>
        </w:rPr>
        <w:t>（3）按照财政预算绩效管理要求，高质量完成自评工作并及时反馈预算执行中的问题和建议和整改情况，按要求适时在攀枝花市西区人民政府网站公开自评情况。</w:t>
      </w:r>
    </w:p>
    <w:p>
      <w:pPr>
        <w:pStyle w:val="2"/>
        <w:spacing w:before="93"/>
      </w:pPr>
      <w:r>
        <w:rPr>
          <w:rFonts w:hint="eastAsia"/>
        </w:rPr>
        <w:t xml:space="preserve"> </w:t>
      </w:r>
      <w:r>
        <w:t xml:space="preserve">  3</w:t>
      </w:r>
      <w:r>
        <w:rPr>
          <w:rFonts w:hint="eastAsia"/>
        </w:rPr>
        <w:t>、自评情况</w:t>
      </w:r>
    </w:p>
    <w:p>
      <w:pPr>
        <w:ind w:firstLine="640" w:firstLineChars="200"/>
        <w:rPr>
          <w:rFonts w:ascii="仿宋_GB2312" w:eastAsia="仿宋_GB2312"/>
          <w:sz w:val="32"/>
          <w:szCs w:val="32"/>
        </w:rPr>
      </w:pPr>
      <w:r>
        <w:rPr>
          <w:rFonts w:hint="eastAsia" w:ascii="仿宋_GB2312" w:eastAsia="仿宋_GB2312"/>
          <w:sz w:val="32"/>
          <w:szCs w:val="32"/>
        </w:rPr>
        <w:t>通过自评，财政部门能够清晰完整地了解我中心在预决算执行过程的问题，自评结果准确反映了我中心在执行预算支出绩效总体较好。对财政资金的使用能够严格执行事业单位会计制度及财政相关规定。全面提升打非工作质量保障，自评工作结合业务工作，高质量撰写自评报告，全面反映了资金支出整体绩效。</w:t>
      </w:r>
    </w:p>
    <w:p>
      <w:pPr>
        <w:widowControl/>
        <w:adjustRightInd w:val="0"/>
        <w:snapToGrid w:val="0"/>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ind w:firstLine="640" w:firstLineChars="200"/>
        <w:rPr>
          <w:rFonts w:ascii="仿宋_GB2312" w:eastAsia="仿宋_GB2312"/>
          <w:sz w:val="32"/>
          <w:szCs w:val="32"/>
        </w:rPr>
      </w:pPr>
      <w:r>
        <w:rPr>
          <w:rFonts w:hint="eastAsia" w:ascii="仿宋_GB2312" w:eastAsia="仿宋_GB2312"/>
          <w:sz w:val="32"/>
          <w:szCs w:val="32"/>
        </w:rPr>
        <w:t>通过对我中心收支情况、预决算编制、预算执行管理、支出绩效及财政管理等方面的综合评价，我中心支出绩效总体较好，对财政资金的使用能够严格执行政府会计制度及财政相关规定，立足打非工作职能职责，全年打非工作成效显著：</w:t>
      </w:r>
    </w:p>
    <w:p>
      <w:pPr>
        <w:ind w:firstLine="640" w:firstLineChars="200"/>
        <w:rPr>
          <w:rFonts w:ascii="仿宋_GB2312" w:eastAsia="仿宋_GB2312"/>
          <w:sz w:val="32"/>
          <w:szCs w:val="32"/>
        </w:rPr>
      </w:pPr>
      <w:r>
        <w:rPr>
          <w:rFonts w:hint="eastAsia" w:ascii="仿宋_GB2312" w:eastAsia="仿宋_GB2312"/>
          <w:sz w:val="32"/>
          <w:szCs w:val="32"/>
        </w:rPr>
        <w:t>2022年，区矿产资源保护中心对打非责任区域始终保持高压常态巡查监管，积极发挥联防联控机制作用，深入开展打非领域线索排查和事件处置，实现私挖盗采隐患点动态巡查覆盖率和违法行为现场制止率达100%，案件举报查处率100%，井口封堵率100%；组织开展全区打非专项整治行动3次；完成西区矿产资源展示区建设；指导、检查大宝鼎街道、格里坪镇打非工作61次，全年非法采矿人员零伤亡。</w:t>
      </w:r>
    </w:p>
    <w:p>
      <w:pPr>
        <w:ind w:firstLine="640" w:firstLineChars="200"/>
        <w:rPr>
          <w:rFonts w:ascii="仿宋_GB2312" w:eastAsia="仿宋_GB2312"/>
          <w:sz w:val="32"/>
          <w:szCs w:val="32"/>
        </w:rPr>
      </w:pPr>
      <w:r>
        <w:rPr>
          <w:rFonts w:hint="eastAsia" w:ascii="仿宋_GB2312" w:eastAsia="仿宋_GB2312"/>
          <w:sz w:val="32"/>
          <w:szCs w:val="32"/>
        </w:rPr>
        <w:t>区委区政府高度重视预防和打击非法采矿工作，截至10月底，市、区领导12次到打非一线督导检查打非工作；区级各责任部门领导共110余次带队巡查打非工作。召开全区打非工作联席会议2次，互通打非信息30余条，形成全区上下合力打非的良好氛围。</w:t>
      </w:r>
    </w:p>
    <w:p>
      <w:pPr>
        <w:ind w:firstLine="640" w:firstLineChars="200"/>
        <w:rPr>
          <w:rFonts w:ascii="仿宋_GB2312" w:eastAsia="仿宋_GB2312"/>
          <w:sz w:val="32"/>
          <w:szCs w:val="32"/>
          <w:lang w:val="zh-CN"/>
        </w:rPr>
      </w:pPr>
      <w:r>
        <w:rPr>
          <w:rFonts w:hint="eastAsia" w:ascii="仿宋_GB2312" w:eastAsia="仿宋_GB2312"/>
          <w:sz w:val="32"/>
          <w:szCs w:val="32"/>
        </w:rPr>
        <w:t>在全省率先提出并开展全领域、全范围、全角度的打非联合执法检查工作，历时170天，共计在全区范围内开展了3次打非专项整治行动，严厉打击了无证开采、非法运输、非法收售、非法储存、非法加工矿产资源等行为。发现问题在建区级重点项目2个；涉矿企业4家；查获涉矿问题车辆34辆，罚款13台，共处罚金15000余元；劝返外来闲散人员7人；整改问题废品收购站点5家。</w:t>
      </w:r>
    </w:p>
    <w:p>
      <w:pPr>
        <w:widowControl/>
        <w:adjustRightInd w:val="0"/>
        <w:snapToGrid w:val="0"/>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p>
    <w:p>
      <w:pPr>
        <w:ind w:firstLine="640" w:firstLineChars="200"/>
        <w:rPr>
          <w:rFonts w:ascii="仿宋_GB2312" w:eastAsia="仿宋_GB2312"/>
          <w:sz w:val="32"/>
          <w:szCs w:val="32"/>
        </w:rPr>
      </w:pPr>
      <w:r>
        <w:rPr>
          <w:rFonts w:hint="eastAsia" w:ascii="仿宋_GB2312" w:eastAsia="仿宋_GB2312"/>
          <w:sz w:val="32"/>
          <w:szCs w:val="32"/>
        </w:rPr>
        <w:t>项目整体完成较好，具体实施中，部分项目因不可控的自然因素未按项目整体细化申报计划执行，导致此项目资金因工作紧急程度调整后部分细化小目标无法执行。</w:t>
      </w:r>
    </w:p>
    <w:p>
      <w:pPr>
        <w:widowControl/>
        <w:adjustRightInd w:val="0"/>
        <w:snapToGrid w:val="0"/>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p>
    <w:p>
      <w:pPr>
        <w:ind w:firstLine="640" w:firstLineChars="200"/>
        <w:rPr>
          <w:rFonts w:ascii="仿宋_GB2312" w:eastAsia="仿宋_GB2312"/>
          <w:sz w:val="32"/>
          <w:szCs w:val="32"/>
        </w:rPr>
      </w:pPr>
      <w:r>
        <w:rPr>
          <w:rFonts w:hint="eastAsia" w:ascii="仿宋_GB2312" w:eastAsia="仿宋_GB2312"/>
          <w:sz w:val="32"/>
          <w:szCs w:val="32"/>
        </w:rPr>
        <w:t>1.高度重视目标绩效的重要性，加强重点工作的质量管理及结果考核，提高部门整体效能。</w:t>
      </w:r>
    </w:p>
    <w:p>
      <w:pPr>
        <w:ind w:firstLine="640" w:firstLineChars="200"/>
        <w:rPr>
          <w:rFonts w:ascii="仿宋_GB2312" w:eastAsia="仿宋_GB2312"/>
          <w:sz w:val="32"/>
          <w:szCs w:val="32"/>
        </w:rPr>
      </w:pPr>
      <w:r>
        <w:rPr>
          <w:rFonts w:hint="eastAsia" w:ascii="仿宋_GB2312" w:eastAsia="仿宋_GB2312"/>
          <w:sz w:val="32"/>
          <w:szCs w:val="32"/>
        </w:rPr>
        <w:t>2.强化目标绩效管理，责任落实到人。　　</w:t>
      </w:r>
    </w:p>
    <w:p>
      <w:pPr>
        <w:ind w:firstLine="640" w:firstLineChars="200"/>
        <w:rPr>
          <w:rFonts w:ascii="仿宋_GB2312" w:eastAsia="仿宋_GB2312"/>
          <w:sz w:val="32"/>
          <w:szCs w:val="32"/>
        </w:rPr>
      </w:pPr>
      <w:r>
        <w:rPr>
          <w:rFonts w:hint="eastAsia" w:ascii="仿宋_GB2312" w:eastAsia="仿宋_GB2312"/>
          <w:sz w:val="32"/>
          <w:szCs w:val="32"/>
        </w:rPr>
        <w:t>3.确保资金的绩效性，经费开支按用途合理使用，确保资金使用成效，保证各项工作正常高效运行。</w:t>
      </w:r>
    </w:p>
    <w:p>
      <w:pPr>
        <w:pStyle w:val="15"/>
        <w:ind w:left="0" w:leftChars="0" w:firstLine="640"/>
        <w:rPr>
          <w:rFonts w:hAnsi="仿宋_GB2312" w:eastAsia="仿宋_GB2312" w:cs="仿宋_GB2312"/>
          <w:sz w:val="32"/>
          <w:lang w:val="zh-CN"/>
        </w:rPr>
      </w:pPr>
      <w:r>
        <w:rPr>
          <w:rFonts w:hint="eastAsia" w:hAnsi="仿宋_GB2312" w:eastAsia="仿宋_GB2312" w:cs="仿宋_GB2312"/>
          <w:sz w:val="32"/>
          <w:lang w:val="zh-CN"/>
        </w:rPr>
        <w:t>附表：攀枝花市西区矿产资源保护中心</w:t>
      </w:r>
      <w:r>
        <w:rPr>
          <w:rFonts w:hint="eastAsia" w:hAnsi="仿宋_GB2312" w:eastAsia="仿宋_GB2312" w:cs="仿宋_GB2312"/>
          <w:sz w:val="32"/>
        </w:rPr>
        <w:t>部门预算项目支出绩效自评表见附件3</w:t>
      </w:r>
    </w:p>
    <w:p>
      <w:pPr>
        <w:rPr>
          <w:rFonts w:ascii="仿宋_GB2312" w:eastAsia="仿宋_GB2312"/>
          <w:sz w:val="32"/>
          <w:szCs w:val="32"/>
        </w:rPr>
      </w:pPr>
      <w:r>
        <w:rPr>
          <w:rFonts w:hint="eastAsia"/>
        </w:rPr>
        <w:t xml:space="preserve"> </w:t>
      </w:r>
      <w:r>
        <w:t xml:space="preserve">                 </w:t>
      </w:r>
      <w:r>
        <w:rPr>
          <w:rFonts w:hint="eastAsia"/>
        </w:rPr>
        <w:t xml:space="preserve">         </w:t>
      </w:r>
      <w:r>
        <w:rPr>
          <w:rFonts w:hint="eastAsia" w:ascii="仿宋_GB2312" w:eastAsia="仿宋_GB2312"/>
          <w:sz w:val="32"/>
          <w:szCs w:val="32"/>
        </w:rPr>
        <w:t xml:space="preserve">   </w:t>
      </w:r>
    </w:p>
    <w:p>
      <w:pPr>
        <w:jc w:val="center"/>
        <w:outlineLvl w:val="0"/>
        <w:rPr>
          <w:rFonts w:ascii="仿宋" w:hAnsi="仿宋" w:eastAsia="仿宋"/>
        </w:rPr>
      </w:pPr>
      <w:bookmarkStart w:id="84" w:name="_Toc149203627"/>
      <w:bookmarkStart w:id="85" w:name="_Toc15396618"/>
      <w:r>
        <w:rPr>
          <w:rFonts w:hint="eastAsia" w:ascii="黑体" w:hAnsi="黑体" w:eastAsia="黑体"/>
          <w:sz w:val="44"/>
          <w:szCs w:val="44"/>
        </w:rPr>
        <w:t>第</w:t>
      </w:r>
      <w:r>
        <w:rPr>
          <w:rStyle w:val="30"/>
          <w:rFonts w:hint="eastAsia" w:ascii="黑体" w:hAnsi="黑体" w:eastAsia="黑体"/>
          <w:b w:val="0"/>
        </w:rPr>
        <w:t>五部分 附表</w:t>
      </w:r>
      <w:bookmarkEnd w:id="80"/>
      <w:bookmarkEnd w:id="84"/>
      <w:bookmarkEnd w:id="85"/>
      <w:bookmarkStart w:id="86" w:name="_Toc15396619"/>
    </w:p>
    <w:p>
      <w:pPr>
        <w:pStyle w:val="4"/>
        <w:spacing w:line="240" w:lineRule="auto"/>
        <w:rPr>
          <w:rFonts w:ascii="仿宋" w:hAnsi="仿宋" w:eastAsia="仿宋"/>
        </w:rPr>
      </w:pPr>
      <w:bookmarkStart w:id="87" w:name="_Toc149203628"/>
      <w:r>
        <w:rPr>
          <w:rFonts w:hint="eastAsia" w:ascii="仿宋" w:hAnsi="仿宋" w:eastAsia="仿宋"/>
          <w:b w:val="0"/>
        </w:rPr>
        <w:t>一、收</w:t>
      </w:r>
      <w:r>
        <w:rPr>
          <w:rStyle w:val="31"/>
          <w:rFonts w:hint="eastAsia" w:ascii="仿宋" w:hAnsi="仿宋" w:eastAsia="仿宋"/>
          <w:b w:val="0"/>
          <w:bCs w:val="0"/>
        </w:rPr>
        <w:t>入支出决算总表</w:t>
      </w:r>
      <w:bookmarkEnd w:id="86"/>
      <w:bookmarkEnd w:id="87"/>
    </w:p>
    <w:p>
      <w:pPr>
        <w:pStyle w:val="4"/>
        <w:spacing w:line="240" w:lineRule="auto"/>
        <w:rPr>
          <w:rFonts w:ascii="仿宋" w:hAnsi="仿宋" w:eastAsia="仿宋"/>
        </w:rPr>
      </w:pPr>
      <w:bookmarkStart w:id="88" w:name="_Toc15396620"/>
      <w:bookmarkStart w:id="89" w:name="_Toc149203629"/>
      <w:r>
        <w:rPr>
          <w:rFonts w:hint="eastAsia" w:ascii="仿宋" w:hAnsi="仿宋" w:eastAsia="仿宋"/>
          <w:b w:val="0"/>
        </w:rPr>
        <w:t>二、收</w:t>
      </w:r>
      <w:r>
        <w:rPr>
          <w:rStyle w:val="31"/>
          <w:rFonts w:hint="eastAsia" w:ascii="仿宋" w:hAnsi="仿宋" w:eastAsia="仿宋"/>
          <w:b w:val="0"/>
          <w:bCs w:val="0"/>
        </w:rPr>
        <w:t>入决算表</w:t>
      </w:r>
      <w:bookmarkEnd w:id="88"/>
      <w:bookmarkEnd w:id="89"/>
    </w:p>
    <w:p>
      <w:pPr>
        <w:pStyle w:val="4"/>
        <w:spacing w:line="240" w:lineRule="auto"/>
        <w:rPr>
          <w:rFonts w:ascii="仿宋" w:hAnsi="仿宋" w:eastAsia="仿宋"/>
        </w:rPr>
      </w:pPr>
      <w:bookmarkStart w:id="90" w:name="_Toc149203630"/>
      <w:bookmarkStart w:id="91"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90"/>
      <w:bookmarkEnd w:id="91"/>
    </w:p>
    <w:p>
      <w:pPr>
        <w:pStyle w:val="4"/>
        <w:spacing w:line="240" w:lineRule="auto"/>
        <w:rPr>
          <w:rFonts w:ascii="仿宋" w:hAnsi="仿宋" w:eastAsia="仿宋"/>
          <w:b w:val="0"/>
        </w:rPr>
      </w:pPr>
      <w:bookmarkStart w:id="92" w:name="_Toc15396622"/>
      <w:bookmarkStart w:id="93" w:name="_Toc149203631"/>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92"/>
      <w:bookmarkEnd w:id="93"/>
    </w:p>
    <w:p>
      <w:pPr>
        <w:pStyle w:val="4"/>
        <w:spacing w:line="240" w:lineRule="auto"/>
        <w:rPr>
          <w:rStyle w:val="31"/>
          <w:rFonts w:ascii="仿宋" w:hAnsi="仿宋" w:eastAsia="仿宋"/>
          <w:b w:val="0"/>
          <w:bCs w:val="0"/>
        </w:rPr>
      </w:pPr>
      <w:bookmarkStart w:id="94" w:name="_Toc149203632"/>
      <w:bookmarkStart w:id="95"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94"/>
      <w:bookmarkEnd w:id="95"/>
      <w:bookmarkStart w:id="96" w:name="_Toc15396624"/>
    </w:p>
    <w:p>
      <w:pPr>
        <w:pStyle w:val="4"/>
        <w:spacing w:line="240" w:lineRule="auto"/>
        <w:rPr>
          <w:rFonts w:ascii="仿宋" w:hAnsi="仿宋" w:eastAsia="仿宋"/>
        </w:rPr>
      </w:pPr>
      <w:bookmarkStart w:id="97" w:name="_Toc149203633"/>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96"/>
      <w:bookmarkEnd w:id="97"/>
    </w:p>
    <w:p>
      <w:pPr>
        <w:pStyle w:val="4"/>
        <w:spacing w:line="240" w:lineRule="auto"/>
        <w:rPr>
          <w:rFonts w:ascii="仿宋" w:hAnsi="仿宋" w:eastAsia="仿宋"/>
        </w:rPr>
      </w:pPr>
      <w:bookmarkStart w:id="98" w:name="_Toc15396625"/>
      <w:bookmarkStart w:id="99" w:name="_Toc149203634"/>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98"/>
      <w:bookmarkEnd w:id="99"/>
    </w:p>
    <w:p>
      <w:pPr>
        <w:pStyle w:val="4"/>
        <w:spacing w:line="240" w:lineRule="auto"/>
        <w:rPr>
          <w:rFonts w:ascii="仿宋" w:hAnsi="仿宋" w:eastAsia="仿宋"/>
        </w:rPr>
      </w:pPr>
      <w:bookmarkStart w:id="100" w:name="_Toc15396626"/>
      <w:bookmarkStart w:id="101" w:name="_Toc149203635"/>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100"/>
      <w:bookmarkEnd w:id="101"/>
    </w:p>
    <w:p>
      <w:pPr>
        <w:pStyle w:val="4"/>
        <w:spacing w:line="240" w:lineRule="auto"/>
        <w:rPr>
          <w:rFonts w:ascii="仿宋" w:hAnsi="仿宋" w:eastAsia="仿宋"/>
        </w:rPr>
      </w:pPr>
      <w:bookmarkStart w:id="102" w:name="_Toc15396627"/>
      <w:bookmarkStart w:id="103" w:name="_Toc149203636"/>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102"/>
      <w:bookmarkEnd w:id="103"/>
    </w:p>
    <w:p>
      <w:pPr>
        <w:pStyle w:val="4"/>
        <w:spacing w:line="240" w:lineRule="auto"/>
        <w:rPr>
          <w:rFonts w:ascii="仿宋" w:hAnsi="仿宋" w:eastAsia="仿宋"/>
        </w:rPr>
      </w:pPr>
      <w:bookmarkStart w:id="104" w:name="_Toc15396628"/>
      <w:bookmarkStart w:id="105" w:name="_Toc149203637"/>
      <w:r>
        <w:rPr>
          <w:rStyle w:val="31"/>
          <w:rFonts w:hint="eastAsia" w:ascii="仿宋" w:hAnsi="仿宋" w:eastAsia="仿宋"/>
          <w:b w:val="0"/>
          <w:bCs w:val="0"/>
        </w:rPr>
        <w:t>十、</w:t>
      </w:r>
      <w:bookmarkEnd w:id="104"/>
      <w:r>
        <w:rPr>
          <w:rFonts w:hint="eastAsia" w:ascii="仿宋" w:hAnsi="仿宋" w:eastAsia="仿宋"/>
          <w:b w:val="0"/>
        </w:rPr>
        <w:t>政</w:t>
      </w:r>
      <w:r>
        <w:rPr>
          <w:rStyle w:val="31"/>
          <w:rFonts w:hint="eastAsia" w:ascii="仿宋" w:hAnsi="仿宋" w:eastAsia="仿宋"/>
          <w:b w:val="0"/>
          <w:bCs w:val="0"/>
        </w:rPr>
        <w:t>府性基金预算财政拨款收入支出决算表</w:t>
      </w:r>
      <w:bookmarkEnd w:id="105"/>
    </w:p>
    <w:p>
      <w:pPr>
        <w:pStyle w:val="4"/>
        <w:spacing w:line="240" w:lineRule="auto"/>
        <w:rPr>
          <w:rFonts w:ascii="仿宋" w:hAnsi="仿宋" w:eastAsia="仿宋"/>
        </w:rPr>
      </w:pPr>
      <w:bookmarkStart w:id="106" w:name="_Toc15396629"/>
      <w:bookmarkStart w:id="107" w:name="_Toc149203638"/>
      <w:r>
        <w:rPr>
          <w:rStyle w:val="31"/>
          <w:rFonts w:hint="eastAsia" w:ascii="仿宋" w:hAnsi="仿宋" w:eastAsia="仿宋"/>
          <w:b w:val="0"/>
          <w:bCs w:val="0"/>
        </w:rPr>
        <w:t>十一、</w:t>
      </w:r>
      <w:bookmarkEnd w:id="106"/>
      <w:r>
        <w:rPr>
          <w:rFonts w:hint="eastAsia" w:ascii="仿宋" w:hAnsi="仿宋" w:eastAsia="仿宋"/>
          <w:b w:val="0"/>
        </w:rPr>
        <w:t>国</w:t>
      </w:r>
      <w:r>
        <w:rPr>
          <w:rStyle w:val="31"/>
          <w:rFonts w:hint="eastAsia" w:ascii="仿宋" w:hAnsi="仿宋" w:eastAsia="仿宋"/>
          <w:b w:val="0"/>
          <w:bCs w:val="0"/>
        </w:rPr>
        <w:t>有资本经营预算财政拨款收入支出决算表</w:t>
      </w:r>
      <w:bookmarkEnd w:id="107"/>
    </w:p>
    <w:p>
      <w:pPr>
        <w:pStyle w:val="4"/>
        <w:spacing w:line="240" w:lineRule="auto"/>
        <w:rPr>
          <w:rFonts w:ascii="仿宋" w:hAnsi="仿宋" w:eastAsia="仿宋"/>
        </w:rPr>
      </w:pPr>
      <w:bookmarkStart w:id="108" w:name="_Toc15396630"/>
      <w:bookmarkStart w:id="109" w:name="_Toc149203639"/>
      <w:r>
        <w:rPr>
          <w:rStyle w:val="31"/>
          <w:rFonts w:hint="eastAsia" w:ascii="仿宋" w:hAnsi="仿宋" w:eastAsia="仿宋"/>
          <w:b w:val="0"/>
          <w:bCs w:val="0"/>
        </w:rPr>
        <w:t>十二、</w:t>
      </w:r>
      <w:bookmarkEnd w:id="108"/>
      <w:r>
        <w:rPr>
          <w:rStyle w:val="31"/>
          <w:rFonts w:hint="eastAsia" w:ascii="仿宋" w:hAnsi="仿宋" w:eastAsia="仿宋"/>
          <w:b w:val="0"/>
          <w:bCs w:val="0"/>
        </w:rPr>
        <w:t>国有资本经营预算财政拨款支出决算表</w:t>
      </w:r>
      <w:bookmarkEnd w:id="109"/>
    </w:p>
    <w:p>
      <w:pPr>
        <w:pStyle w:val="4"/>
        <w:spacing w:line="240" w:lineRule="auto"/>
        <w:rPr>
          <w:rFonts w:eastAsia="仿宋"/>
        </w:rPr>
      </w:pPr>
      <w:bookmarkStart w:id="110" w:name="_Toc15396631"/>
      <w:bookmarkStart w:id="111" w:name="_Toc149203640"/>
      <w:r>
        <w:rPr>
          <w:rStyle w:val="31"/>
          <w:rFonts w:hint="eastAsia" w:ascii="仿宋" w:hAnsi="仿宋" w:eastAsia="仿宋"/>
          <w:b w:val="0"/>
          <w:bCs w:val="0"/>
        </w:rPr>
        <w:t>十三、</w:t>
      </w:r>
      <w:bookmarkEnd w:id="110"/>
      <w:r>
        <w:rPr>
          <w:rStyle w:val="31"/>
          <w:rFonts w:hint="eastAsia" w:ascii="仿宋" w:hAnsi="仿宋" w:eastAsia="仿宋"/>
          <w:b w:val="0"/>
          <w:bCs w:val="0"/>
        </w:rPr>
        <w:t>财政拨款“三公”经费支出决算表</w:t>
      </w:r>
      <w:bookmarkEnd w:id="11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FF674BC"/>
    <w:multiLevelType w:val="singleLevel"/>
    <w:tmpl w:val="FFF674BC"/>
    <w:lvl w:ilvl="0" w:tentative="0">
      <w:start w:val="1"/>
      <w:numFmt w:val="chineseCounting"/>
      <w:suff w:val="nothing"/>
      <w:lvlText w:val="%1、"/>
      <w:lvlJc w:val="left"/>
      <w:rPr>
        <w:rFonts w:hint="eastAsia"/>
      </w:rPr>
    </w:lvl>
  </w:abstractNum>
  <w:abstractNum w:abstractNumId="3">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66634C6"/>
    <w:multiLevelType w:val="multilevel"/>
    <w:tmpl w:val="666634C6"/>
    <w:lvl w:ilvl="0" w:tentative="0">
      <w:start w:val="1"/>
      <w:numFmt w:val="japaneseCounting"/>
      <w:lvlText w:val="（%1）"/>
      <w:lvlJc w:val="left"/>
      <w:pPr>
        <w:ind w:left="1633" w:hanging="990"/>
      </w:pPr>
      <w:rPr>
        <w:rFonts w:hint="default"/>
        <w:lang w:val="en-US"/>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2ZWExMDIwMTAyNTlkY2I3MDQ0MGE2NzkwYzQ5NGQifQ=="/>
  </w:docVars>
  <w:rsids>
    <w:rsidRoot w:val="00F1361C"/>
    <w:rsid w:val="00002F38"/>
    <w:rsid w:val="00012679"/>
    <w:rsid w:val="000222C6"/>
    <w:rsid w:val="00023FDF"/>
    <w:rsid w:val="0002549F"/>
    <w:rsid w:val="000276FF"/>
    <w:rsid w:val="000468DB"/>
    <w:rsid w:val="0006487A"/>
    <w:rsid w:val="00065F8F"/>
    <w:rsid w:val="00070A43"/>
    <w:rsid w:val="000725A6"/>
    <w:rsid w:val="00072F0B"/>
    <w:rsid w:val="000768F2"/>
    <w:rsid w:val="0009051C"/>
    <w:rsid w:val="0009184B"/>
    <w:rsid w:val="000934B4"/>
    <w:rsid w:val="00094236"/>
    <w:rsid w:val="00095690"/>
    <w:rsid w:val="0009593C"/>
    <w:rsid w:val="00097322"/>
    <w:rsid w:val="000A388E"/>
    <w:rsid w:val="000A5D00"/>
    <w:rsid w:val="000A6303"/>
    <w:rsid w:val="000A6A92"/>
    <w:rsid w:val="000B047F"/>
    <w:rsid w:val="000B5923"/>
    <w:rsid w:val="000B5A48"/>
    <w:rsid w:val="000B6044"/>
    <w:rsid w:val="000B6F3D"/>
    <w:rsid w:val="000B6FF3"/>
    <w:rsid w:val="000C3467"/>
    <w:rsid w:val="000C3CA6"/>
    <w:rsid w:val="000C7B08"/>
    <w:rsid w:val="000D1267"/>
    <w:rsid w:val="000D1D50"/>
    <w:rsid w:val="000D53FC"/>
    <w:rsid w:val="000D5782"/>
    <w:rsid w:val="000E5282"/>
    <w:rsid w:val="000E6613"/>
    <w:rsid w:val="000E7119"/>
    <w:rsid w:val="000E7C27"/>
    <w:rsid w:val="00100496"/>
    <w:rsid w:val="0011074B"/>
    <w:rsid w:val="00114E9B"/>
    <w:rsid w:val="0013669E"/>
    <w:rsid w:val="00136D0C"/>
    <w:rsid w:val="00142216"/>
    <w:rsid w:val="00144D6A"/>
    <w:rsid w:val="0014729F"/>
    <w:rsid w:val="00157BAB"/>
    <w:rsid w:val="00163D51"/>
    <w:rsid w:val="001654D1"/>
    <w:rsid w:val="00166BB8"/>
    <w:rsid w:val="00171F28"/>
    <w:rsid w:val="00174427"/>
    <w:rsid w:val="00174518"/>
    <w:rsid w:val="0018106D"/>
    <w:rsid w:val="001877A7"/>
    <w:rsid w:val="00191536"/>
    <w:rsid w:val="00193384"/>
    <w:rsid w:val="00196687"/>
    <w:rsid w:val="001B1E7C"/>
    <w:rsid w:val="001C0962"/>
    <w:rsid w:val="001C5D36"/>
    <w:rsid w:val="001D6380"/>
    <w:rsid w:val="001D7531"/>
    <w:rsid w:val="001E0BC3"/>
    <w:rsid w:val="001E2FF1"/>
    <w:rsid w:val="001E737D"/>
    <w:rsid w:val="001F0592"/>
    <w:rsid w:val="001F1C6D"/>
    <w:rsid w:val="001F7506"/>
    <w:rsid w:val="002006CD"/>
    <w:rsid w:val="00202B36"/>
    <w:rsid w:val="00204B7A"/>
    <w:rsid w:val="00204CDE"/>
    <w:rsid w:val="0021101A"/>
    <w:rsid w:val="00217081"/>
    <w:rsid w:val="00220536"/>
    <w:rsid w:val="00226225"/>
    <w:rsid w:val="0023504C"/>
    <w:rsid w:val="00235629"/>
    <w:rsid w:val="00247B82"/>
    <w:rsid w:val="002568EC"/>
    <w:rsid w:val="00260C38"/>
    <w:rsid w:val="002610D1"/>
    <w:rsid w:val="002616C0"/>
    <w:rsid w:val="00265372"/>
    <w:rsid w:val="002653A1"/>
    <w:rsid w:val="002662AA"/>
    <w:rsid w:val="00280496"/>
    <w:rsid w:val="00294DC9"/>
    <w:rsid w:val="00295495"/>
    <w:rsid w:val="002A31DE"/>
    <w:rsid w:val="002B2613"/>
    <w:rsid w:val="002D2952"/>
    <w:rsid w:val="002D3E79"/>
    <w:rsid w:val="002D6D05"/>
    <w:rsid w:val="002F1818"/>
    <w:rsid w:val="002F567B"/>
    <w:rsid w:val="002F7E22"/>
    <w:rsid w:val="00303DCB"/>
    <w:rsid w:val="0030622B"/>
    <w:rsid w:val="00306DAA"/>
    <w:rsid w:val="00307EC7"/>
    <w:rsid w:val="003114B8"/>
    <w:rsid w:val="003216A9"/>
    <w:rsid w:val="00323051"/>
    <w:rsid w:val="00323896"/>
    <w:rsid w:val="00335A74"/>
    <w:rsid w:val="00341A6E"/>
    <w:rsid w:val="00360852"/>
    <w:rsid w:val="00362EF7"/>
    <w:rsid w:val="0036561B"/>
    <w:rsid w:val="0037013F"/>
    <w:rsid w:val="00380C92"/>
    <w:rsid w:val="00380CA9"/>
    <w:rsid w:val="00384E53"/>
    <w:rsid w:val="00396D86"/>
    <w:rsid w:val="003A484F"/>
    <w:rsid w:val="003A4883"/>
    <w:rsid w:val="003A4CBB"/>
    <w:rsid w:val="003A7189"/>
    <w:rsid w:val="003B0BE0"/>
    <w:rsid w:val="003B0C1B"/>
    <w:rsid w:val="003B688C"/>
    <w:rsid w:val="003C0291"/>
    <w:rsid w:val="003C0884"/>
    <w:rsid w:val="003C1E61"/>
    <w:rsid w:val="003C39AE"/>
    <w:rsid w:val="003C6A79"/>
    <w:rsid w:val="003C7B60"/>
    <w:rsid w:val="003D0C0F"/>
    <w:rsid w:val="003D172E"/>
    <w:rsid w:val="003D1FB2"/>
    <w:rsid w:val="003D66DA"/>
    <w:rsid w:val="003E1310"/>
    <w:rsid w:val="003E237E"/>
    <w:rsid w:val="003E6F55"/>
    <w:rsid w:val="00401D5A"/>
    <w:rsid w:val="00406254"/>
    <w:rsid w:val="00414629"/>
    <w:rsid w:val="004223DE"/>
    <w:rsid w:val="00426002"/>
    <w:rsid w:val="00434489"/>
    <w:rsid w:val="004361BD"/>
    <w:rsid w:val="00437085"/>
    <w:rsid w:val="004420EC"/>
    <w:rsid w:val="00442AEF"/>
    <w:rsid w:val="00442E3F"/>
    <w:rsid w:val="00443880"/>
    <w:rsid w:val="004464F4"/>
    <w:rsid w:val="00446E63"/>
    <w:rsid w:val="004654E9"/>
    <w:rsid w:val="00467094"/>
    <w:rsid w:val="00470456"/>
    <w:rsid w:val="00471401"/>
    <w:rsid w:val="004715C9"/>
    <w:rsid w:val="0047299E"/>
    <w:rsid w:val="00473F31"/>
    <w:rsid w:val="0048263A"/>
    <w:rsid w:val="00487E5D"/>
    <w:rsid w:val="004A3B9A"/>
    <w:rsid w:val="004A711F"/>
    <w:rsid w:val="004B141E"/>
    <w:rsid w:val="004B199D"/>
    <w:rsid w:val="004B4690"/>
    <w:rsid w:val="004D793C"/>
    <w:rsid w:val="004E0A2D"/>
    <w:rsid w:val="004E206B"/>
    <w:rsid w:val="004E6DF7"/>
    <w:rsid w:val="004F0FBD"/>
    <w:rsid w:val="004F64A1"/>
    <w:rsid w:val="005036B5"/>
    <w:rsid w:val="00505A47"/>
    <w:rsid w:val="005074FE"/>
    <w:rsid w:val="00512FDA"/>
    <w:rsid w:val="00520DA0"/>
    <w:rsid w:val="00525E15"/>
    <w:rsid w:val="005352F3"/>
    <w:rsid w:val="005404D4"/>
    <w:rsid w:val="00546EBD"/>
    <w:rsid w:val="00550C2F"/>
    <w:rsid w:val="00554B48"/>
    <w:rsid w:val="00555271"/>
    <w:rsid w:val="00555FE1"/>
    <w:rsid w:val="005572BE"/>
    <w:rsid w:val="005664BB"/>
    <w:rsid w:val="00566FFA"/>
    <w:rsid w:val="0057481D"/>
    <w:rsid w:val="00575811"/>
    <w:rsid w:val="00576586"/>
    <w:rsid w:val="0058486E"/>
    <w:rsid w:val="00585185"/>
    <w:rsid w:val="00585B33"/>
    <w:rsid w:val="0059014D"/>
    <w:rsid w:val="005B09B3"/>
    <w:rsid w:val="005B4554"/>
    <w:rsid w:val="005B5C64"/>
    <w:rsid w:val="005B67C6"/>
    <w:rsid w:val="005B707E"/>
    <w:rsid w:val="005C5337"/>
    <w:rsid w:val="005C6BD0"/>
    <w:rsid w:val="005D1C8B"/>
    <w:rsid w:val="005D468D"/>
    <w:rsid w:val="005D5CED"/>
    <w:rsid w:val="005D7D8C"/>
    <w:rsid w:val="005F15C4"/>
    <w:rsid w:val="005F1A4C"/>
    <w:rsid w:val="005F1B1B"/>
    <w:rsid w:val="00601347"/>
    <w:rsid w:val="00601F3A"/>
    <w:rsid w:val="00603BA3"/>
    <w:rsid w:val="00605688"/>
    <w:rsid w:val="006070AF"/>
    <w:rsid w:val="00607E6C"/>
    <w:rsid w:val="006101B1"/>
    <w:rsid w:val="00613130"/>
    <w:rsid w:val="0061422B"/>
    <w:rsid w:val="00614E44"/>
    <w:rsid w:val="006154A1"/>
    <w:rsid w:val="0062270A"/>
    <w:rsid w:val="00622830"/>
    <w:rsid w:val="00623DA0"/>
    <w:rsid w:val="00630AEF"/>
    <w:rsid w:val="006325F8"/>
    <w:rsid w:val="00633005"/>
    <w:rsid w:val="00633463"/>
    <w:rsid w:val="0063444D"/>
    <w:rsid w:val="00634C9A"/>
    <w:rsid w:val="006440E4"/>
    <w:rsid w:val="006512F6"/>
    <w:rsid w:val="006610A2"/>
    <w:rsid w:val="0066343B"/>
    <w:rsid w:val="006637C2"/>
    <w:rsid w:val="006644CD"/>
    <w:rsid w:val="00664777"/>
    <w:rsid w:val="0066491C"/>
    <w:rsid w:val="00667632"/>
    <w:rsid w:val="00670B9C"/>
    <w:rsid w:val="0067280B"/>
    <w:rsid w:val="006748A4"/>
    <w:rsid w:val="00681A31"/>
    <w:rsid w:val="00683E73"/>
    <w:rsid w:val="006A3141"/>
    <w:rsid w:val="006A574B"/>
    <w:rsid w:val="006A5E34"/>
    <w:rsid w:val="006A78D6"/>
    <w:rsid w:val="006A7942"/>
    <w:rsid w:val="006B2422"/>
    <w:rsid w:val="006B2B9A"/>
    <w:rsid w:val="006B73A2"/>
    <w:rsid w:val="006C13A1"/>
    <w:rsid w:val="006C1937"/>
    <w:rsid w:val="006C2888"/>
    <w:rsid w:val="006D3BA1"/>
    <w:rsid w:val="006E4139"/>
    <w:rsid w:val="006F020C"/>
    <w:rsid w:val="006F153A"/>
    <w:rsid w:val="007127B7"/>
    <w:rsid w:val="0071798E"/>
    <w:rsid w:val="00735492"/>
    <w:rsid w:val="007416B6"/>
    <w:rsid w:val="0074674B"/>
    <w:rsid w:val="00746F48"/>
    <w:rsid w:val="0075404D"/>
    <w:rsid w:val="0076182A"/>
    <w:rsid w:val="00762ECB"/>
    <w:rsid w:val="00767B7E"/>
    <w:rsid w:val="00767FA2"/>
    <w:rsid w:val="00770BAA"/>
    <w:rsid w:val="00775580"/>
    <w:rsid w:val="007770C3"/>
    <w:rsid w:val="007817DF"/>
    <w:rsid w:val="00784D24"/>
    <w:rsid w:val="00785FBA"/>
    <w:rsid w:val="00786E4A"/>
    <w:rsid w:val="007875EB"/>
    <w:rsid w:val="00787CEE"/>
    <w:rsid w:val="0079426B"/>
    <w:rsid w:val="007946DD"/>
    <w:rsid w:val="007975A2"/>
    <w:rsid w:val="00797CB9"/>
    <w:rsid w:val="007A39BE"/>
    <w:rsid w:val="007C10A0"/>
    <w:rsid w:val="007D1682"/>
    <w:rsid w:val="007D312A"/>
    <w:rsid w:val="007D3F19"/>
    <w:rsid w:val="007E23B0"/>
    <w:rsid w:val="007E23E5"/>
    <w:rsid w:val="007E5937"/>
    <w:rsid w:val="007F17C9"/>
    <w:rsid w:val="007F1991"/>
    <w:rsid w:val="007F2C2F"/>
    <w:rsid w:val="007F4B76"/>
    <w:rsid w:val="007F55FC"/>
    <w:rsid w:val="007F5665"/>
    <w:rsid w:val="00800112"/>
    <w:rsid w:val="008026F9"/>
    <w:rsid w:val="00812B59"/>
    <w:rsid w:val="00813348"/>
    <w:rsid w:val="008217F2"/>
    <w:rsid w:val="00823808"/>
    <w:rsid w:val="008253BB"/>
    <w:rsid w:val="0083706E"/>
    <w:rsid w:val="008408F6"/>
    <w:rsid w:val="008423A5"/>
    <w:rsid w:val="00850625"/>
    <w:rsid w:val="00853718"/>
    <w:rsid w:val="00855221"/>
    <w:rsid w:val="00860645"/>
    <w:rsid w:val="00864941"/>
    <w:rsid w:val="00871F71"/>
    <w:rsid w:val="00872FD8"/>
    <w:rsid w:val="00874F7C"/>
    <w:rsid w:val="00877F15"/>
    <w:rsid w:val="00881C22"/>
    <w:rsid w:val="00885AF4"/>
    <w:rsid w:val="00891717"/>
    <w:rsid w:val="008939CD"/>
    <w:rsid w:val="008A4331"/>
    <w:rsid w:val="008B1C22"/>
    <w:rsid w:val="008B4382"/>
    <w:rsid w:val="008B768C"/>
    <w:rsid w:val="008C4DB1"/>
    <w:rsid w:val="008C4EAF"/>
    <w:rsid w:val="008C5176"/>
    <w:rsid w:val="008C7FD0"/>
    <w:rsid w:val="008E1DE7"/>
    <w:rsid w:val="008E707C"/>
    <w:rsid w:val="008F6A21"/>
    <w:rsid w:val="00900B08"/>
    <w:rsid w:val="00902155"/>
    <w:rsid w:val="00902FA3"/>
    <w:rsid w:val="00906568"/>
    <w:rsid w:val="00910B5D"/>
    <w:rsid w:val="00917507"/>
    <w:rsid w:val="009212A6"/>
    <w:rsid w:val="00923564"/>
    <w:rsid w:val="0092392E"/>
    <w:rsid w:val="0092511B"/>
    <w:rsid w:val="009251AD"/>
    <w:rsid w:val="00925BE7"/>
    <w:rsid w:val="009315F9"/>
    <w:rsid w:val="00933499"/>
    <w:rsid w:val="00935C98"/>
    <w:rsid w:val="00943DCE"/>
    <w:rsid w:val="00946945"/>
    <w:rsid w:val="00951248"/>
    <w:rsid w:val="0095152F"/>
    <w:rsid w:val="00953D87"/>
    <w:rsid w:val="00954C49"/>
    <w:rsid w:val="00955E37"/>
    <w:rsid w:val="00967581"/>
    <w:rsid w:val="0097099F"/>
    <w:rsid w:val="00971997"/>
    <w:rsid w:val="00971FFC"/>
    <w:rsid w:val="0098660A"/>
    <w:rsid w:val="009931C3"/>
    <w:rsid w:val="00993ABB"/>
    <w:rsid w:val="009A41F0"/>
    <w:rsid w:val="009A6931"/>
    <w:rsid w:val="009B166C"/>
    <w:rsid w:val="009B2C43"/>
    <w:rsid w:val="009B2DC9"/>
    <w:rsid w:val="009B4EAE"/>
    <w:rsid w:val="009B7573"/>
    <w:rsid w:val="009C017E"/>
    <w:rsid w:val="009C22F4"/>
    <w:rsid w:val="009C2A4B"/>
    <w:rsid w:val="009C2E98"/>
    <w:rsid w:val="009C5683"/>
    <w:rsid w:val="009D3447"/>
    <w:rsid w:val="009D4711"/>
    <w:rsid w:val="009D5801"/>
    <w:rsid w:val="009E4DB6"/>
    <w:rsid w:val="009F1185"/>
    <w:rsid w:val="009F18CD"/>
    <w:rsid w:val="009F2A13"/>
    <w:rsid w:val="009F4FEC"/>
    <w:rsid w:val="009F5540"/>
    <w:rsid w:val="009F57C2"/>
    <w:rsid w:val="009F7527"/>
    <w:rsid w:val="00A04EB0"/>
    <w:rsid w:val="00A06239"/>
    <w:rsid w:val="00A11E89"/>
    <w:rsid w:val="00A13CC1"/>
    <w:rsid w:val="00A16847"/>
    <w:rsid w:val="00A237D8"/>
    <w:rsid w:val="00A268C4"/>
    <w:rsid w:val="00A269BB"/>
    <w:rsid w:val="00A307CD"/>
    <w:rsid w:val="00A331C8"/>
    <w:rsid w:val="00A40A00"/>
    <w:rsid w:val="00A4142F"/>
    <w:rsid w:val="00A422EB"/>
    <w:rsid w:val="00A45BB7"/>
    <w:rsid w:val="00A56DF2"/>
    <w:rsid w:val="00A56E6E"/>
    <w:rsid w:val="00A67AB5"/>
    <w:rsid w:val="00A720FE"/>
    <w:rsid w:val="00A733B2"/>
    <w:rsid w:val="00A741C2"/>
    <w:rsid w:val="00A765BD"/>
    <w:rsid w:val="00A768E8"/>
    <w:rsid w:val="00A7707C"/>
    <w:rsid w:val="00A83333"/>
    <w:rsid w:val="00A87AF1"/>
    <w:rsid w:val="00A91760"/>
    <w:rsid w:val="00A93B00"/>
    <w:rsid w:val="00A93C21"/>
    <w:rsid w:val="00A96456"/>
    <w:rsid w:val="00AB64C9"/>
    <w:rsid w:val="00AC3C6A"/>
    <w:rsid w:val="00AD4E5A"/>
    <w:rsid w:val="00AD5620"/>
    <w:rsid w:val="00AD656B"/>
    <w:rsid w:val="00AD7C1B"/>
    <w:rsid w:val="00AE0B7E"/>
    <w:rsid w:val="00AE16BA"/>
    <w:rsid w:val="00AE1EBE"/>
    <w:rsid w:val="00AE3FEC"/>
    <w:rsid w:val="00AE5226"/>
    <w:rsid w:val="00AF0A50"/>
    <w:rsid w:val="00AF1EE1"/>
    <w:rsid w:val="00AF4A4B"/>
    <w:rsid w:val="00B03C9D"/>
    <w:rsid w:val="00B060AE"/>
    <w:rsid w:val="00B10517"/>
    <w:rsid w:val="00B139CC"/>
    <w:rsid w:val="00B14E76"/>
    <w:rsid w:val="00B161B8"/>
    <w:rsid w:val="00B2048C"/>
    <w:rsid w:val="00B2129D"/>
    <w:rsid w:val="00B2335E"/>
    <w:rsid w:val="00B310B9"/>
    <w:rsid w:val="00B35F3F"/>
    <w:rsid w:val="00B36CBB"/>
    <w:rsid w:val="00B425E0"/>
    <w:rsid w:val="00B440AA"/>
    <w:rsid w:val="00B44B70"/>
    <w:rsid w:val="00B53C56"/>
    <w:rsid w:val="00B57DAF"/>
    <w:rsid w:val="00B60C0B"/>
    <w:rsid w:val="00B76A31"/>
    <w:rsid w:val="00B77EA6"/>
    <w:rsid w:val="00B81598"/>
    <w:rsid w:val="00B841F1"/>
    <w:rsid w:val="00B866B3"/>
    <w:rsid w:val="00B87E38"/>
    <w:rsid w:val="00B944D6"/>
    <w:rsid w:val="00B94971"/>
    <w:rsid w:val="00BB4DF0"/>
    <w:rsid w:val="00BC289F"/>
    <w:rsid w:val="00BC2D50"/>
    <w:rsid w:val="00BC41E6"/>
    <w:rsid w:val="00BC5361"/>
    <w:rsid w:val="00BC5460"/>
    <w:rsid w:val="00BC6807"/>
    <w:rsid w:val="00BC6B50"/>
    <w:rsid w:val="00BC6C4E"/>
    <w:rsid w:val="00BD0E25"/>
    <w:rsid w:val="00BD2557"/>
    <w:rsid w:val="00BD4052"/>
    <w:rsid w:val="00BE22D1"/>
    <w:rsid w:val="00BE704F"/>
    <w:rsid w:val="00BF22DE"/>
    <w:rsid w:val="00BF5BD6"/>
    <w:rsid w:val="00C03E31"/>
    <w:rsid w:val="00C0461D"/>
    <w:rsid w:val="00C21139"/>
    <w:rsid w:val="00C22D4D"/>
    <w:rsid w:val="00C33E72"/>
    <w:rsid w:val="00C354B2"/>
    <w:rsid w:val="00C35554"/>
    <w:rsid w:val="00C40DB9"/>
    <w:rsid w:val="00C42709"/>
    <w:rsid w:val="00C51072"/>
    <w:rsid w:val="00C52575"/>
    <w:rsid w:val="00C533CC"/>
    <w:rsid w:val="00C54081"/>
    <w:rsid w:val="00C5751C"/>
    <w:rsid w:val="00C61BFC"/>
    <w:rsid w:val="00C62B85"/>
    <w:rsid w:val="00C65438"/>
    <w:rsid w:val="00C74943"/>
    <w:rsid w:val="00C8070B"/>
    <w:rsid w:val="00C87062"/>
    <w:rsid w:val="00C87FD8"/>
    <w:rsid w:val="00C9127E"/>
    <w:rsid w:val="00C91381"/>
    <w:rsid w:val="00C91CBB"/>
    <w:rsid w:val="00C944E8"/>
    <w:rsid w:val="00CA7164"/>
    <w:rsid w:val="00CA7EF0"/>
    <w:rsid w:val="00CB05B1"/>
    <w:rsid w:val="00CB06F9"/>
    <w:rsid w:val="00CB2AFA"/>
    <w:rsid w:val="00CB4E70"/>
    <w:rsid w:val="00CC09B6"/>
    <w:rsid w:val="00CC2C0D"/>
    <w:rsid w:val="00CC666F"/>
    <w:rsid w:val="00CC6BAC"/>
    <w:rsid w:val="00CD1E3F"/>
    <w:rsid w:val="00CD2AAE"/>
    <w:rsid w:val="00CE44F6"/>
    <w:rsid w:val="00CE49DA"/>
    <w:rsid w:val="00CE7B61"/>
    <w:rsid w:val="00CF3E12"/>
    <w:rsid w:val="00D00095"/>
    <w:rsid w:val="00D0257A"/>
    <w:rsid w:val="00D07C68"/>
    <w:rsid w:val="00D114F0"/>
    <w:rsid w:val="00D15007"/>
    <w:rsid w:val="00D20620"/>
    <w:rsid w:val="00D254F7"/>
    <w:rsid w:val="00D26091"/>
    <w:rsid w:val="00D2685C"/>
    <w:rsid w:val="00D34E7C"/>
    <w:rsid w:val="00D34F17"/>
    <w:rsid w:val="00D35489"/>
    <w:rsid w:val="00D36AFE"/>
    <w:rsid w:val="00D36CD8"/>
    <w:rsid w:val="00D431D5"/>
    <w:rsid w:val="00D47E04"/>
    <w:rsid w:val="00D51276"/>
    <w:rsid w:val="00D567D0"/>
    <w:rsid w:val="00D640BC"/>
    <w:rsid w:val="00D7035F"/>
    <w:rsid w:val="00D73905"/>
    <w:rsid w:val="00D765BE"/>
    <w:rsid w:val="00D92B31"/>
    <w:rsid w:val="00D94914"/>
    <w:rsid w:val="00DA34E1"/>
    <w:rsid w:val="00DA634F"/>
    <w:rsid w:val="00DA65AC"/>
    <w:rsid w:val="00DB1913"/>
    <w:rsid w:val="00DB2EC0"/>
    <w:rsid w:val="00DB6E82"/>
    <w:rsid w:val="00DC410D"/>
    <w:rsid w:val="00DC4B63"/>
    <w:rsid w:val="00DC5A81"/>
    <w:rsid w:val="00DC68CA"/>
    <w:rsid w:val="00DC7779"/>
    <w:rsid w:val="00DC7CBA"/>
    <w:rsid w:val="00DD13A5"/>
    <w:rsid w:val="00DD73B7"/>
    <w:rsid w:val="00DE2F47"/>
    <w:rsid w:val="00DF0152"/>
    <w:rsid w:val="00DF06E2"/>
    <w:rsid w:val="00DF28BC"/>
    <w:rsid w:val="00DF34B9"/>
    <w:rsid w:val="00DF6A22"/>
    <w:rsid w:val="00E01053"/>
    <w:rsid w:val="00E07ACF"/>
    <w:rsid w:val="00E22135"/>
    <w:rsid w:val="00E3107E"/>
    <w:rsid w:val="00E31DC4"/>
    <w:rsid w:val="00E331A1"/>
    <w:rsid w:val="00E33202"/>
    <w:rsid w:val="00E336A9"/>
    <w:rsid w:val="00E472B1"/>
    <w:rsid w:val="00E475C3"/>
    <w:rsid w:val="00E50624"/>
    <w:rsid w:val="00E5285B"/>
    <w:rsid w:val="00E568DF"/>
    <w:rsid w:val="00E64269"/>
    <w:rsid w:val="00E700BF"/>
    <w:rsid w:val="00E82267"/>
    <w:rsid w:val="00E844F2"/>
    <w:rsid w:val="00E853CE"/>
    <w:rsid w:val="00E867B6"/>
    <w:rsid w:val="00EA010F"/>
    <w:rsid w:val="00EA6BC1"/>
    <w:rsid w:val="00EB2D62"/>
    <w:rsid w:val="00EC300D"/>
    <w:rsid w:val="00EC4C85"/>
    <w:rsid w:val="00ED1B63"/>
    <w:rsid w:val="00ED3C1F"/>
    <w:rsid w:val="00ED4085"/>
    <w:rsid w:val="00ED420E"/>
    <w:rsid w:val="00ED6FBE"/>
    <w:rsid w:val="00EE0D06"/>
    <w:rsid w:val="00EE2F57"/>
    <w:rsid w:val="00EE42B0"/>
    <w:rsid w:val="00EF39C0"/>
    <w:rsid w:val="00EF4C34"/>
    <w:rsid w:val="00EF77C6"/>
    <w:rsid w:val="00F0331D"/>
    <w:rsid w:val="00F05438"/>
    <w:rsid w:val="00F05969"/>
    <w:rsid w:val="00F1361C"/>
    <w:rsid w:val="00F139C6"/>
    <w:rsid w:val="00F156F0"/>
    <w:rsid w:val="00F160C7"/>
    <w:rsid w:val="00F2408F"/>
    <w:rsid w:val="00F240E9"/>
    <w:rsid w:val="00F339AD"/>
    <w:rsid w:val="00F36D8F"/>
    <w:rsid w:val="00F417B1"/>
    <w:rsid w:val="00F45853"/>
    <w:rsid w:val="00F602DF"/>
    <w:rsid w:val="00F66A3B"/>
    <w:rsid w:val="00F7182A"/>
    <w:rsid w:val="00F7352C"/>
    <w:rsid w:val="00F74EC0"/>
    <w:rsid w:val="00F75245"/>
    <w:rsid w:val="00F754A1"/>
    <w:rsid w:val="00F767AC"/>
    <w:rsid w:val="00F81FD9"/>
    <w:rsid w:val="00F841AA"/>
    <w:rsid w:val="00F8430F"/>
    <w:rsid w:val="00F84A94"/>
    <w:rsid w:val="00F85654"/>
    <w:rsid w:val="00F87E96"/>
    <w:rsid w:val="00F96DC2"/>
    <w:rsid w:val="00FA00CA"/>
    <w:rsid w:val="00FA2155"/>
    <w:rsid w:val="00FA23E8"/>
    <w:rsid w:val="00FA7C0C"/>
    <w:rsid w:val="00FC0436"/>
    <w:rsid w:val="00FD1152"/>
    <w:rsid w:val="00FD3CC1"/>
    <w:rsid w:val="00FD6092"/>
    <w:rsid w:val="00FE3653"/>
    <w:rsid w:val="00FF1E02"/>
    <w:rsid w:val="00FF30B4"/>
    <w:rsid w:val="00FF56EF"/>
    <w:rsid w:val="015975B8"/>
    <w:rsid w:val="02143E91"/>
    <w:rsid w:val="066E0107"/>
    <w:rsid w:val="07996F6E"/>
    <w:rsid w:val="0A2032A3"/>
    <w:rsid w:val="0F98263C"/>
    <w:rsid w:val="101860EC"/>
    <w:rsid w:val="10C055FF"/>
    <w:rsid w:val="118107EC"/>
    <w:rsid w:val="13D50BC4"/>
    <w:rsid w:val="16BB723D"/>
    <w:rsid w:val="1BE8440E"/>
    <w:rsid w:val="1D155CEE"/>
    <w:rsid w:val="1EC7098C"/>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40DE4430"/>
    <w:rsid w:val="44E268DA"/>
    <w:rsid w:val="4A627F82"/>
    <w:rsid w:val="4B0E749A"/>
    <w:rsid w:val="4B4F25DA"/>
    <w:rsid w:val="4BE068DB"/>
    <w:rsid w:val="4D577224"/>
    <w:rsid w:val="4EAB630A"/>
    <w:rsid w:val="4EAD4EE5"/>
    <w:rsid w:val="4ECE2238"/>
    <w:rsid w:val="537E6D0A"/>
    <w:rsid w:val="5AF92295"/>
    <w:rsid w:val="5CD71FC4"/>
    <w:rsid w:val="6C4A05C8"/>
    <w:rsid w:val="6D8276B5"/>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Document Map"/>
    <w:basedOn w:val="1"/>
    <w:link w:val="54"/>
    <w:qFormat/>
    <w:uiPriority w:val="0"/>
    <w:rPr>
      <w:rFonts w:ascii="宋体"/>
      <w:sz w:val="18"/>
      <w:szCs w:val="18"/>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link w:val="53"/>
    <w:qFormat/>
    <w:uiPriority w:val="0"/>
    <w:rPr>
      <w:rFonts w:ascii="宋体" w:hAnsi="Courier New"/>
    </w:r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FollowedHyperlink"/>
    <w:basedOn w:val="17"/>
    <w:semiHidden/>
    <w:unhideWhenUsed/>
    <w:uiPriority w:val="99"/>
    <w:rPr>
      <w:color w:val="954F72"/>
      <w:u w:val="single"/>
    </w:rPr>
  </w:style>
  <w:style w:type="character" w:styleId="20">
    <w:name w:val="Hyperlink"/>
    <w:basedOn w:val="17"/>
    <w:unhideWhenUsed/>
    <w:qFormat/>
    <w:uiPriority w:val="99"/>
    <w:rPr>
      <w:color w:val="0000FF" w:themeColor="hyperlink"/>
      <w:u w:val="single"/>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字符"/>
    <w:link w:val="12"/>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字符"/>
    <w:link w:val="11"/>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字符"/>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7"/>
    <w:link w:val="3"/>
    <w:qFormat/>
    <w:uiPriority w:val="9"/>
    <w:rPr>
      <w:rFonts w:ascii="Times New Roman" w:hAnsi="Times New Roman"/>
      <w:b/>
      <w:bCs/>
      <w:kern w:val="44"/>
      <w:sz w:val="44"/>
      <w:szCs w:val="44"/>
    </w:rPr>
  </w:style>
  <w:style w:type="character" w:customStyle="1" w:styleId="31">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字符"/>
    <w:basedOn w:val="17"/>
    <w:link w:val="10"/>
    <w:semiHidden/>
    <w:qFormat/>
    <w:uiPriority w:val="99"/>
    <w:rPr>
      <w:rFonts w:ascii="Times New Roman" w:hAnsi="Times New Roman"/>
      <w:kern w:val="2"/>
      <w:sz w:val="18"/>
      <w:szCs w:val="18"/>
    </w:rPr>
  </w:style>
  <w:style w:type="character" w:customStyle="1" w:styleId="34">
    <w:name w:val="标题 3 字符"/>
    <w:basedOn w:val="17"/>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8">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2">
    <w:name w:val="纯文本 字符"/>
    <w:basedOn w:val="17"/>
    <w:semiHidden/>
    <w:qFormat/>
    <w:uiPriority w:val="99"/>
    <w:rPr>
      <w:rFonts w:hAnsi="Courier New" w:cs="Courier New" w:asciiTheme="minorEastAsia"/>
      <w:kern w:val="2"/>
      <w:sz w:val="21"/>
      <w:szCs w:val="24"/>
    </w:rPr>
  </w:style>
  <w:style w:type="character" w:customStyle="1" w:styleId="53">
    <w:name w:val="纯文本 字符1"/>
    <w:link w:val="9"/>
    <w:qFormat/>
    <w:uiPriority w:val="0"/>
    <w:rPr>
      <w:rFonts w:ascii="宋体" w:hAnsi="Courier New" w:eastAsia="宋体" w:cs="Times New Roman"/>
      <w:kern w:val="2"/>
      <w:sz w:val="21"/>
      <w:szCs w:val="24"/>
    </w:rPr>
  </w:style>
  <w:style w:type="character" w:customStyle="1" w:styleId="54">
    <w:name w:val="文档结构图 字符"/>
    <w:basedOn w:val="17"/>
    <w:link w:val="6"/>
    <w:qFormat/>
    <w:uiPriority w:val="0"/>
    <w:rPr>
      <w:rFonts w:ascii="宋体" w:hAnsi="Times New Roman" w:eastAsia="宋体" w:cs="Times New Roman"/>
      <w:kern w:val="2"/>
      <w:sz w:val="18"/>
      <w:szCs w:val="18"/>
    </w:rPr>
  </w:style>
  <w:style w:type="paragraph" w:customStyle="1" w:styleId="55">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收支</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Sheet1!$A$2:$A$5</c:f>
              <c:numCache>
                <c:formatCode>General</c:formatCode>
                <c:ptCount val="4"/>
                <c:pt idx="0">
                  <c:v>2021</c:v>
                </c:pt>
                <c:pt idx="1">
                  <c:v>2022</c:v>
                </c:pt>
              </c:numCache>
            </c:numRef>
          </c:cat>
          <c:val>
            <c:numRef>
              <c:f>Sheet1!$B$2:$B$5</c:f>
              <c:numCache>
                <c:formatCode>General</c:formatCode>
                <c:ptCount val="4"/>
                <c:pt idx="0">
                  <c:v>223.2</c:v>
                </c:pt>
              </c:numCache>
            </c:numRef>
          </c:val>
        </c:ser>
        <c:ser>
          <c:idx val="1"/>
          <c:order val="1"/>
          <c:tx>
            <c:strRef>
              <c:f>Sheet1!$C$1</c:f>
              <c:strCache>
                <c:ptCount val="1"/>
                <c:pt idx="0">
                  <c:v>收支2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Sheet1!$A$2:$A$5</c:f>
              <c:numCache>
                <c:formatCode>General</c:formatCode>
                <c:ptCount val="4"/>
                <c:pt idx="0">
                  <c:v>2021</c:v>
                </c:pt>
                <c:pt idx="1">
                  <c:v>2022</c:v>
                </c:pt>
              </c:numCache>
            </c:numRef>
          </c:cat>
          <c:val>
            <c:numRef>
              <c:f>Sheet1!$C$2:$C$5</c:f>
              <c:numCache>
                <c:formatCode>General</c:formatCode>
                <c:ptCount val="4"/>
                <c:pt idx="1">
                  <c:v>207.77</c:v>
                </c:pt>
              </c:numCache>
            </c:numRef>
          </c:val>
        </c:ser>
        <c:ser>
          <c:idx val="2"/>
          <c:order val="2"/>
          <c:tx>
            <c:strRef>
              <c:f>Sheet1!$D$1</c:f>
              <c:strCache>
                <c:ptCount val="1"/>
                <c:pt idx="0">
                  <c:v>列1</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Sheet1!$A$2:$A$5</c:f>
              <c:numCache>
                <c:formatCode>General</c:formatCode>
                <c:ptCount val="4"/>
                <c:pt idx="0">
                  <c:v>2021</c:v>
                </c:pt>
                <c:pt idx="1">
                  <c:v>2022</c:v>
                </c:pt>
              </c:numCache>
            </c:num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80795904"/>
        <c:axId val="242883200"/>
      </c:barChart>
      <c:catAx>
        <c:axId val="8079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2883200"/>
        <c:crosses val="autoZero"/>
        <c:auto val="1"/>
        <c:lblAlgn val="ctr"/>
        <c:lblOffset val="100"/>
        <c:noMultiLvlLbl val="0"/>
      </c:catAx>
      <c:valAx>
        <c:axId val="2428832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959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销售额</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2"/>
                <c:pt idx="0">
                  <c:v>一般公共预算财政拨款收入</c:v>
                </c:pt>
                <c:pt idx="1">
                  <c:v>政府性基金预算财政拨款收入</c:v>
                </c:pt>
              </c:strCache>
            </c:strRef>
          </c:cat>
          <c:val>
            <c:numRef>
              <c:f>Sheet1!$B$2:$B$5</c:f>
              <c:numCache>
                <c:formatCode>General</c:formatCode>
                <c:ptCount val="4"/>
                <c:pt idx="0">
                  <c:v>153.87</c:v>
                </c:pt>
                <c:pt idx="1">
                  <c:v>25.35</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支出决算结构图</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2"/>
                <c:pt idx="0">
                  <c:v>基本支出</c:v>
                </c:pt>
                <c:pt idx="1">
                  <c:v>项目支出</c:v>
                </c:pt>
              </c:strCache>
            </c:strRef>
          </c:cat>
          <c:val>
            <c:numRef>
              <c:f>Sheet1!$B$2:$B$5</c:f>
              <c:numCache>
                <c:formatCode>General</c:formatCode>
                <c:ptCount val="4"/>
                <c:pt idx="0">
                  <c:v>182.42</c:v>
                </c:pt>
                <c:pt idx="1">
                  <c:v>25.35</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800" b="1" i="0" u="none" strike="noStrike" kern="1200" cap="all" spc="150" baseline="0">
                <a:solidFill>
                  <a:schemeClr val="tx1">
                    <a:lumMod val="50000"/>
                    <a:lumOff val="50000"/>
                  </a:schemeClr>
                </a:solidFill>
                <a:latin typeface="+mn-lt"/>
                <a:ea typeface="+mn-ea"/>
                <a:cs typeface="+mn-cs"/>
              </a:defRPr>
            </a:pPr>
            <a:r>
              <a:rPr lang="zh-CN"/>
              <a:t>财政拨款收、支决算总计变动情况</a:t>
            </a:r>
            <a:endParaRPr 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Sheet1!$A$2:$A$4</c:f>
              <c:numCache>
                <c:formatCode>General</c:formatCode>
                <c:ptCount val="3"/>
                <c:pt idx="0">
                  <c:v>2021</c:v>
                </c:pt>
                <c:pt idx="1">
                  <c:v>2022</c:v>
                </c:pt>
              </c:numCache>
            </c:numRef>
          </c:cat>
          <c:val>
            <c:numRef>
              <c:f>Sheet1!$B$2:$B$4</c:f>
              <c:numCache>
                <c:formatCode>General</c:formatCode>
                <c:ptCount val="3"/>
                <c:pt idx="0">
                  <c:v>223.2</c:v>
                </c:pt>
              </c:numCache>
            </c:numRef>
          </c:val>
        </c:ser>
        <c:ser>
          <c:idx val="1"/>
          <c:order val="1"/>
          <c:tx>
            <c:strRef>
              <c:f>Sheet1!$C$1</c:f>
              <c:strCache>
                <c:ptCount val="1"/>
                <c:pt idx="0">
                  <c:v>收入2</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Sheet1!$A$2:$A$4</c:f>
              <c:numCache>
                <c:formatCode>General</c:formatCode>
                <c:ptCount val="3"/>
                <c:pt idx="0">
                  <c:v>2021</c:v>
                </c:pt>
                <c:pt idx="1">
                  <c:v>2022</c:v>
                </c:pt>
              </c:numCache>
            </c:numRef>
          </c:cat>
          <c:val>
            <c:numRef>
              <c:f>Sheet1!$C$2:$C$4</c:f>
              <c:numCache>
                <c:formatCode>General</c:formatCode>
                <c:ptCount val="3"/>
                <c:pt idx="1">
                  <c:v>207.77</c:v>
                </c:pt>
              </c:numCache>
            </c:numRef>
          </c:val>
        </c:ser>
        <c:ser>
          <c:idx val="2"/>
          <c:order val="2"/>
          <c:tx>
            <c:strRef>
              <c:f>Sheet1!$D$1</c:f>
              <c:strCache>
                <c:ptCount val="1"/>
                <c:pt idx="0">
                  <c:v>列1</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Sheet1!$A$2:$A$4</c:f>
              <c:numCache>
                <c:formatCode>General</c:formatCode>
                <c:ptCount val="3"/>
                <c:pt idx="0">
                  <c:v>2021</c:v>
                </c:pt>
                <c:pt idx="1">
                  <c:v>2022</c:v>
                </c:pt>
              </c:numCache>
            </c:numRef>
          </c:cat>
          <c:val>
            <c:numRef>
              <c:f>Sheet1!$D$2:$D$4</c:f>
              <c:numCache>
                <c:formatCode>General</c:formatCode>
                <c:ptCount val="3"/>
              </c:numCache>
            </c:numRef>
          </c:val>
        </c:ser>
        <c:dLbls>
          <c:showLegendKey val="0"/>
          <c:showVal val="1"/>
          <c:showCatName val="0"/>
          <c:showSerName val="0"/>
          <c:showPercent val="0"/>
          <c:showBubbleSize val="0"/>
        </c:dLbls>
        <c:gapWidth val="164"/>
        <c:overlap val="-22"/>
        <c:axId val="38446208"/>
        <c:axId val="38447744"/>
      </c:barChart>
      <c:catAx>
        <c:axId val="3844620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47744"/>
        <c:crosses val="autoZero"/>
        <c:auto val="1"/>
        <c:lblAlgn val="ctr"/>
        <c:lblOffset val="100"/>
        <c:noMultiLvlLbl val="0"/>
      </c:catAx>
      <c:valAx>
        <c:axId val="38447744"/>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4620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Sheet1!$A$2:$A$5</c:f>
              <c:numCache>
                <c:formatCode>General</c:formatCode>
                <c:ptCount val="4"/>
                <c:pt idx="0">
                  <c:v>2021</c:v>
                </c:pt>
                <c:pt idx="1">
                  <c:v>2022</c:v>
                </c:pt>
              </c:numCache>
            </c:numRef>
          </c:cat>
          <c:val>
            <c:numRef>
              <c:f>Sheet1!$B$2:$B$5</c:f>
              <c:numCache>
                <c:formatCode>General</c:formatCode>
                <c:ptCount val="4"/>
                <c:pt idx="0">
                  <c:v>160.99</c:v>
                </c:pt>
              </c:numCache>
            </c:numRef>
          </c:val>
        </c:ser>
        <c:ser>
          <c:idx val="1"/>
          <c:order val="1"/>
          <c:tx>
            <c:strRef>
              <c:f>Sheet1!$C$1</c:f>
              <c:strCache>
                <c:ptCount val="1"/>
                <c:pt idx="0">
                  <c:v>系列 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Sheet1!$A$2:$A$5</c:f>
              <c:numCache>
                <c:formatCode>General</c:formatCode>
                <c:ptCount val="4"/>
                <c:pt idx="0">
                  <c:v>2021</c:v>
                </c:pt>
                <c:pt idx="1">
                  <c:v>2022</c:v>
                </c:pt>
              </c:numCache>
            </c:numRef>
          </c:cat>
          <c:val>
            <c:numRef>
              <c:f>Sheet1!$C$2:$C$5</c:f>
              <c:numCache>
                <c:formatCode>General</c:formatCode>
                <c:ptCount val="4"/>
                <c:pt idx="1">
                  <c:v>182.42</c:v>
                </c:pt>
              </c:numCache>
            </c:numRef>
          </c:val>
        </c:ser>
        <c:ser>
          <c:idx val="2"/>
          <c:order val="2"/>
          <c:tx>
            <c:strRef>
              <c:f>Sheet1!$D$1</c:f>
              <c:strCache>
                <c:ptCount val="1"/>
                <c:pt idx="0">
                  <c:v>列1</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Sheet1!$A$2:$A$5</c:f>
              <c:numCache>
                <c:formatCode>General</c:formatCode>
                <c:ptCount val="4"/>
                <c:pt idx="0">
                  <c:v>2021</c:v>
                </c:pt>
                <c:pt idx="1">
                  <c:v>2022</c:v>
                </c:pt>
              </c:numCache>
            </c:num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38060032"/>
        <c:axId val="38061568"/>
      </c:barChart>
      <c:catAx>
        <c:axId val="3806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061568"/>
        <c:crosses val="autoZero"/>
        <c:auto val="1"/>
        <c:lblAlgn val="ctr"/>
        <c:lblOffset val="100"/>
        <c:noMultiLvlLbl val="0"/>
      </c:catAx>
      <c:valAx>
        <c:axId val="380615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0600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一般公共预算财政拨款支出</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社会保障和就业支出</c:v>
                </c:pt>
                <c:pt idx="1">
                  <c:v>卫生健康支出</c:v>
                </c:pt>
                <c:pt idx="2">
                  <c:v>住房保障支出</c:v>
                </c:pt>
                <c:pt idx="3">
                  <c:v>城乡社区支出</c:v>
                </c:pt>
                <c:pt idx="4">
                  <c:v>灾害防治及应急管理支出</c:v>
                </c:pt>
              </c:strCache>
            </c:strRef>
          </c:cat>
          <c:val>
            <c:numRef>
              <c:f>Sheet1!$B$2:$B$6</c:f>
              <c:numCache>
                <c:formatCode>General</c:formatCode>
                <c:ptCount val="5"/>
                <c:pt idx="0">
                  <c:v>3.23</c:v>
                </c:pt>
                <c:pt idx="1">
                  <c:v>2.83</c:v>
                </c:pt>
                <c:pt idx="2">
                  <c:v>3.83</c:v>
                </c:pt>
                <c:pt idx="3">
                  <c:v>25.35</c:v>
                </c:pt>
              </c:numCache>
            </c:numRef>
          </c:val>
        </c:ser>
        <c:dLbls>
          <c:showLegendKey val="0"/>
          <c:showVal val="1"/>
          <c:showCatName val="0"/>
          <c:showSerName val="0"/>
          <c:showPercent val="0"/>
          <c:showBubbleSize val="0"/>
        </c:dLbls>
      </c:pie3DChart>
      <c:spPr>
        <a:noFill/>
        <a:ln>
          <a:noFill/>
        </a:ln>
        <a:effectLst/>
      </c:spPr>
    </c:plotArea>
    <c:legend>
      <c:legendPos val="b"/>
      <c:legendEntry>
        <c:idx val="3"/>
        <c:delete val="1"/>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“三公”经费财政拨款支出</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3"/>
                <c:pt idx="0">
                  <c:v>因公出国（境）费支出</c:v>
                </c:pt>
                <c:pt idx="1">
                  <c:v>公务用车购置及运行维护费支出</c:v>
                </c:pt>
                <c:pt idx="2">
                  <c:v>公务接待费支出</c:v>
                </c:pt>
              </c:strCache>
            </c:strRef>
          </c:cat>
          <c:val>
            <c:numRef>
              <c:f>Sheet1!$B$2:$B$5</c:f>
              <c:numCache>
                <c:formatCode>General</c:formatCode>
                <c:ptCount val="4"/>
                <c:pt idx="0">
                  <c:v>0</c:v>
                </c:pt>
                <c:pt idx="1">
                  <c:v>9.9</c:v>
                </c:pt>
                <c:pt idx="2">
                  <c:v>0</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A772A-BBE5-4454-9D36-BF160D4BFF1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33</Pages>
  <Words>2438</Words>
  <Characters>13898</Characters>
  <Lines>115</Lines>
  <Paragraphs>32</Paragraphs>
  <TotalTime>55</TotalTime>
  <ScaleCrop>false</ScaleCrop>
  <LinksUpToDate>false</LinksUpToDate>
  <CharactersWithSpaces>16304</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2023-10-26T01:18:00Z</dcterms:created>
  <dc:creator>曹颖</dc:creator>
  <cp:lastModifiedBy>computer6</cp:lastModifiedBy>
  <cp:lastPrinted>2023-10-30T00:42:00Z</cp:lastPrinted>
  <dcterms:modified xsi:type="dcterms:W3CDTF">2024-05-21T03:17:58Z</dcterms:modified>
  <dc:title>四川省***</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423AE45F2EA74D15BDF760A36EB3D5FE_12</vt:lpwstr>
  </property>
</Properties>
</file>