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193"/>
      <w:bookmarkStart w:id="2" w:name="_Toc15396475"/>
      <w:bookmarkStart w:id="3" w:name="_Toc1537742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194"/>
      <w:bookmarkStart w:id="9" w:name="_Toc15378442"/>
      <w:bookmarkStart w:id="10" w:name="_Toc15377426"/>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审计局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27</w:t>
      </w:r>
      <w:r>
        <w:rPr>
          <w:rFonts w:hint="eastAsia"/>
        </w:rPr>
        <w:t>日（注：以实际公开当天时间为准）</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第一部分部门概况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cstheme="minorBidi"/>
          <w:sz w:val="24"/>
        </w:rPr>
        <w:tab/>
      </w:r>
      <w:r>
        <w:rPr>
          <w:rFonts w:hint="eastAsia" w:cstheme="minorBidi"/>
          <w:sz w:val="24"/>
          <w:lang w:val="en-US" w:eastAsia="zh-CN"/>
        </w:rPr>
        <w:t>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cstheme="minorBidi"/>
          <w:sz w:val="24"/>
        </w:rPr>
        <w:tab/>
      </w:r>
      <w:r>
        <w:rPr>
          <w:rFonts w:hint="eastAsia" w:cstheme="minorBidi"/>
          <w:sz w:val="24"/>
          <w:lang w:val="en-US" w:eastAsia="zh-CN"/>
        </w:rPr>
        <w:t>6</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2022年度部门决算情况说明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15</w:t>
      </w:r>
    </w:p>
    <w:p>
      <w:pPr>
        <w:pStyle w:val="13"/>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15</w:t>
      </w:r>
    </w:p>
    <w:p>
      <w:pPr>
        <w:pStyle w:val="12"/>
        <w:adjustRightInd w:val="0"/>
        <w:snapToGrid w:val="0"/>
        <w:spacing w:before="0" w:line="440" w:lineRule="exact"/>
        <w:ind w:firstLine="480" w:firstLineChars="200"/>
        <w:jc w:val="left"/>
        <w:rPr>
          <w:rFonts w:hint="default"/>
          <w:sz w:val="24"/>
          <w:lang w:val="en-US"/>
        </w:rPr>
      </w:pPr>
      <w:r>
        <w:rPr>
          <w:rStyle w:val="20"/>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cstheme="minorBidi"/>
          <w:sz w:val="24"/>
        </w:rPr>
        <w:tab/>
      </w:r>
      <w:r>
        <w:rPr>
          <w:rFonts w:hint="eastAsia" w:cstheme="minorBidi"/>
          <w:sz w:val="24"/>
          <w:lang w:val="en-US" w:eastAsia="zh-CN"/>
        </w:rPr>
        <w:t>15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第三部分名词解释</w:t>
      </w:r>
      <w:r>
        <w:rPr>
          <w:rFonts w:cstheme="minorBidi"/>
          <w:sz w:val="24"/>
        </w:rPr>
        <w:tab/>
      </w:r>
      <w:r>
        <w:rPr>
          <w:rFonts w:hint="eastAsia" w:cstheme="minorBidi"/>
          <w:sz w:val="24"/>
          <w:lang w:val="en-US" w:eastAsia="zh-CN"/>
        </w:rPr>
        <w:t>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第四部分附件</w:t>
      </w:r>
      <w:r>
        <w:rPr>
          <w:rFonts w:cstheme="minorBidi"/>
          <w:sz w:val="24"/>
        </w:rPr>
        <w:tab/>
      </w:r>
      <w:r>
        <w:rPr>
          <w:rFonts w:hint="eastAsia" w:cstheme="minorBidi"/>
          <w:sz w:val="24"/>
          <w:lang w:val="en-US" w:eastAsia="zh-CN"/>
        </w:rPr>
        <w:t>20</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第五部分附表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pStyle w:val="8"/>
        <w:spacing w:line="352" w:lineRule="auto"/>
        <w:ind w:firstLine="624"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2.贯彻执行国家、省、市有关审计工作的方针政策和法律法规。起草地方性审计规章草案、规范性文件。制定并组织实施全区专业领域审计工作规划。参与起草地方性财政经济及相关规章草案、规范性文件。组织对全区性重大投资项目、重大突发性公共事项、重要专项资金的审计和专项审计调查。对直接审计、调查和核查的事项依法进行审计评价，作出审计决定或提出审计建议。</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3.向区委审计委员会提出年度区级预算执行和其他财政支出情况审计报告。向区政府和市审计局提出年度区级预算执行及其他财政收支情况的审计结果报告。受区政府委托向区人大常委会提出区级预算执行及其他财政收支情况的审计工作报告、审计查出问题整改情况报告。向区委、区政府报告对其他事项的审计和专项审计调查情况及结果。依法向社会公布审计结果。向区级有关部门、街道（镇）通报审计情况和审计结果。</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4.直接审计下列事项，出具审计报告，在法定职权范围内作出审计决定，包括国家和省市区有关重大政策措施贯彻落实情况；区级预算执行情况和其它财政收支，区级各部门、各街道办事处预算执行情况、决算草案和其他财政收支，区级各部门、各街道办事处预算执行情况、决算草案和其他财政收支；镇级政府预算执行情况、决算草案和其他财政收支，区级财政转移支付资金；使用区级财政资金的事业单位（含直属单位）和社会团体的财务收支；区政府投资和以区政府投资为主的建设项目的预算执行情况和决算，区级重大公共工程项目的资金管理使用和建设运营情况；自然资源管理、污染防治和生态保护与修复情况；区属国有企业和地方金融机构、区属国有资本占控股或主导地位的企业和金融机构境内外资产、负债和损益，区政府及有关部门、街道（镇）驻外非经营性机构的财务收支；有关社会保障基金、社会捐赠资金、安全生产和职业健康财政资金以及其他基金、资金的财务收支；国际组织和外国政府援助、贷款项目；法律法规规定的其他事项。</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5.按规定对区管党政主要领导干部及其他单位主要负责人实施经济责任审计和自然资源资产离任审计。</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6.组织实施对国家财经法律法规、规章、政策和宏观调控措施执行情况、财政预算管理及国有资产管理使用等与区级财政收支有关的特定事项进行专项审计调查。</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8.指导和监督内部审计工作，核查社会审计机构对依法属于审计监督对象的单位出具的相关审计报告。</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9.组织开展审计领域内的交流与合作，指导和组织开展信息技术在审计领域的应用。</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10.负责职责范围内的安全生产和职业健康、生态环境保护等工作。</w:t>
      </w:r>
    </w:p>
    <w:p>
      <w:pPr>
        <w:ind w:firstLine="624" w:firstLineChars="200"/>
        <w:rPr>
          <w:rFonts w:hint="eastAsia"/>
          <w:szCs w:val="21"/>
        </w:rPr>
      </w:pPr>
      <w:r>
        <w:rPr>
          <w:rFonts w:hint="eastAsia" w:ascii="仿宋_GB2312" w:eastAsia="仿宋_GB2312"/>
          <w:spacing w:val="-4"/>
          <w:sz w:val="32"/>
          <w:szCs w:val="32"/>
        </w:rPr>
        <w:t>11.完成区委和区政府交办的其他任务</w:t>
      </w:r>
      <w:r>
        <w:rPr>
          <w:rFonts w:hint="eastAsia" w:ascii="宋体" w:hAnsi="宋体"/>
          <w:spacing w:val="-4"/>
          <w:sz w:val="32"/>
          <w:szCs w:val="32"/>
        </w:rPr>
        <w:t>。</w:t>
      </w:r>
    </w:p>
    <w:p>
      <w:pPr>
        <w:pStyle w:val="4"/>
        <w:rPr>
          <w:rStyle w:val="31"/>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pPr>
        <w:ind w:firstLine="640" w:firstLineChars="200"/>
        <w:rPr>
          <w:rFonts w:ascii="仿宋" w:hAnsi="仿宋" w:eastAsia="仿宋"/>
          <w:sz w:val="32"/>
          <w:szCs w:val="32"/>
        </w:rPr>
      </w:pPr>
      <w:r>
        <w:rPr>
          <w:rFonts w:hint="eastAsia" w:ascii="仿宋" w:hAnsi="仿宋" w:eastAsia="仿宋"/>
          <w:sz w:val="32"/>
          <w:szCs w:val="32"/>
        </w:rPr>
        <w:t>西区审计局下属二级预算单位1个，其中行政单位0个，参照公务员法管理的事业单位1个，其他事业单位0个。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纳入西区审计局2022年度部门决算编制范围的二级预算单位包括：</w:t>
      </w:r>
    </w:p>
    <w:p>
      <w:pPr>
        <w:pStyle w:val="2"/>
        <w:numPr>
          <w:ilvl w:val="0"/>
          <w:numId w:val="0"/>
        </w:numPr>
        <w:adjustRightInd w:val="0"/>
        <w:snapToGrid w:val="0"/>
        <w:spacing w:before="93" w:line="600" w:lineRule="exact"/>
        <w:ind w:left="672" w:leftChars="0"/>
        <w:outlineLvl w:val="2"/>
        <w:rPr>
          <w:rFonts w:ascii="仿宋" w:hAnsi="仿宋" w:eastAsia="仿宋"/>
          <w:kern w:val="0"/>
          <w:sz w:val="32"/>
          <w:szCs w:val="32"/>
        </w:rPr>
      </w:pPr>
      <w:bookmarkStart w:id="16" w:name="_Toc15377433"/>
      <w:bookmarkStart w:id="17" w:name="_Toc15378449"/>
      <w:bookmarkStart w:id="18" w:name="_Toc15306276"/>
      <w:bookmarkStart w:id="19" w:name="_Toc15377202"/>
      <w:r>
        <w:rPr>
          <w:rFonts w:hint="eastAsia" w:ascii="仿宋" w:hAnsi="仿宋" w:eastAsia="仿宋"/>
          <w:sz w:val="32"/>
          <w:szCs w:val="32"/>
        </w:rPr>
        <w:t>区经责审计事务中心</w:t>
      </w:r>
      <w:bookmarkEnd w:id="16"/>
      <w:bookmarkEnd w:id="17"/>
      <w:bookmarkEnd w:id="18"/>
      <w:bookmarkEnd w:id="19"/>
      <w:r>
        <w:rPr>
          <w:rFonts w:ascii="仿宋" w:hAnsi="仿宋" w:eastAsia="仿宋"/>
          <w:sz w:val="32"/>
          <w:szCs w:val="32"/>
        </w:rPr>
        <w:br w:type="page"/>
      </w:r>
    </w:p>
    <w:p>
      <w:pPr>
        <w:pStyle w:val="3"/>
        <w:ind w:right="440"/>
        <w:jc w:val="center"/>
        <w:rPr>
          <w:rStyle w:val="30"/>
          <w:rFonts w:ascii="黑体" w:hAnsi="黑体" w:eastAsia="黑体"/>
          <w:b w:val="0"/>
          <w:bCs/>
        </w:rPr>
      </w:pPr>
      <w:bookmarkStart w:id="20" w:name="_Toc15396602"/>
      <w:bookmarkStart w:id="21"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20"/>
      <w:bookmarkEnd w:id="21"/>
    </w:p>
    <w:p/>
    <w:p>
      <w:pPr>
        <w:pStyle w:val="29"/>
        <w:numPr>
          <w:ilvl w:val="0"/>
          <w:numId w:val="2"/>
        </w:numPr>
        <w:spacing w:line="600" w:lineRule="exact"/>
        <w:ind w:firstLineChars="0"/>
        <w:outlineLvl w:val="1"/>
        <w:rPr>
          <w:rStyle w:val="31"/>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218.79</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8.42</w:t>
      </w:r>
      <w:r>
        <w:rPr>
          <w:rFonts w:hint="eastAsia" w:ascii="仿宋" w:hAnsi="仿宋" w:eastAsia="仿宋"/>
          <w:sz w:val="32"/>
          <w:szCs w:val="32"/>
        </w:rPr>
        <w:t>万元，增长</w:t>
      </w:r>
      <w:r>
        <w:rPr>
          <w:rFonts w:hint="eastAsia" w:ascii="仿宋" w:hAnsi="仿宋" w:eastAsia="仿宋"/>
          <w:sz w:val="32"/>
          <w:szCs w:val="32"/>
          <w:lang w:val="en-US" w:eastAsia="zh-CN"/>
        </w:rPr>
        <w:t>4.00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人员增加</w:t>
      </w:r>
      <w:r>
        <w:rPr>
          <w:rFonts w:hint="eastAsia" w:ascii="仿宋" w:hAnsi="仿宋" w:eastAsia="仿宋"/>
          <w:sz w:val="32"/>
          <w:szCs w:val="32"/>
        </w:rPr>
        <w:t>。</w:t>
      </w:r>
    </w:p>
    <w:p>
      <w:pPr>
        <w:pStyle w:val="2"/>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689600" cy="2698750"/>
            <wp:effectExtent l="4445" t="4445" r="20955" b="209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31"/>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218.79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204.03</w:t>
      </w:r>
      <w:r>
        <w:rPr>
          <w:rFonts w:hint="eastAsia" w:ascii="仿宋" w:hAnsi="仿宋" w:eastAsia="仿宋"/>
          <w:sz w:val="32"/>
          <w:szCs w:val="32"/>
        </w:rPr>
        <w:t>万元，占</w:t>
      </w:r>
      <w:r>
        <w:rPr>
          <w:rFonts w:hint="eastAsia" w:ascii="仿宋" w:hAnsi="仿宋" w:eastAsia="仿宋"/>
          <w:sz w:val="32"/>
          <w:szCs w:val="32"/>
          <w:lang w:val="en-US" w:eastAsia="zh-CN"/>
        </w:rPr>
        <w:t>93.25</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14.76</w:t>
      </w:r>
      <w:r>
        <w:rPr>
          <w:rFonts w:hint="eastAsia" w:ascii="仿宋" w:hAnsi="仿宋" w:eastAsia="仿宋"/>
          <w:sz w:val="32"/>
          <w:szCs w:val="32"/>
        </w:rPr>
        <w:t>万元，占</w:t>
      </w:r>
      <w:r>
        <w:rPr>
          <w:rFonts w:hint="eastAsia" w:ascii="仿宋" w:hAnsi="仿宋" w:eastAsia="仿宋"/>
          <w:sz w:val="32"/>
          <w:szCs w:val="32"/>
          <w:lang w:val="en-US" w:eastAsia="zh-CN"/>
        </w:rPr>
        <w:t>6.75</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hint="eastAsia" w:ascii="仿宋" w:hAnsi="仿宋" w:eastAsia="仿宋"/>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575310</wp:posOffset>
            </wp:positionH>
            <wp:positionV relativeFrom="paragraph">
              <wp:posOffset>435610</wp:posOffset>
            </wp:positionV>
            <wp:extent cx="4357370" cy="2957830"/>
            <wp:effectExtent l="4445" t="5080" r="19685" b="88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r>
        <w:rPr>
          <w:rFonts w:hint="eastAsia" w:ascii="仿宋" w:hAnsi="仿宋" w:eastAsia="仿宋"/>
          <w:sz w:val="32"/>
          <w:szCs w:val="32"/>
          <w:lang w:eastAsia="zh-CN"/>
        </w:rPr>
        <w:t>）</w:t>
      </w: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ind w:firstLine="640" w:firstLineChars="200"/>
        <w:outlineLvl w:val="1"/>
        <w:rPr>
          <w:rFonts w:ascii="仿宋" w:hAnsi="仿宋" w:eastAsia="仿宋"/>
          <w:sz w:val="32"/>
          <w:szCs w:val="32"/>
        </w:rPr>
      </w:pPr>
    </w:p>
    <w:p>
      <w:pPr>
        <w:pStyle w:val="2"/>
      </w:pPr>
    </w:p>
    <w:p>
      <w:pPr>
        <w:pStyle w:val="29"/>
        <w:numPr>
          <w:ilvl w:val="0"/>
          <w:numId w:val="2"/>
        </w:numPr>
        <w:spacing w:line="600" w:lineRule="exact"/>
        <w:ind w:firstLineChars="0"/>
        <w:outlineLvl w:val="1"/>
        <w:rPr>
          <w:rStyle w:val="31"/>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31"/>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218.79</w:t>
      </w:r>
      <w:r>
        <w:rPr>
          <w:rFonts w:hint="eastAsia" w:ascii="仿宋" w:hAnsi="仿宋" w:eastAsia="仿宋"/>
          <w:sz w:val="32"/>
          <w:szCs w:val="32"/>
        </w:rPr>
        <w:t>万元，其中：基本支出</w:t>
      </w:r>
      <w:r>
        <w:rPr>
          <w:rFonts w:hint="eastAsia" w:ascii="仿宋" w:hAnsi="仿宋" w:eastAsia="仿宋"/>
          <w:sz w:val="32"/>
          <w:szCs w:val="32"/>
          <w:lang w:val="en-US" w:eastAsia="zh-CN"/>
        </w:rPr>
        <w:t>202.03</w:t>
      </w:r>
      <w:r>
        <w:rPr>
          <w:rFonts w:hint="eastAsia" w:ascii="仿宋" w:hAnsi="仿宋" w:eastAsia="仿宋"/>
          <w:sz w:val="32"/>
          <w:szCs w:val="32"/>
        </w:rPr>
        <w:t>万元，占</w:t>
      </w:r>
      <w:r>
        <w:rPr>
          <w:rFonts w:hint="eastAsia" w:ascii="仿宋" w:hAnsi="仿宋" w:eastAsia="仿宋"/>
          <w:sz w:val="32"/>
          <w:szCs w:val="32"/>
          <w:lang w:val="en-US" w:eastAsia="zh-CN"/>
        </w:rPr>
        <w:t>92.34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16.76</w:t>
      </w:r>
      <w:r>
        <w:rPr>
          <w:rFonts w:hint="eastAsia" w:ascii="仿宋" w:hAnsi="仿宋" w:eastAsia="仿宋"/>
          <w:sz w:val="32"/>
          <w:szCs w:val="32"/>
        </w:rPr>
        <w:t>万元，占</w:t>
      </w:r>
      <w:r>
        <w:rPr>
          <w:rFonts w:hint="eastAsia" w:ascii="仿宋" w:hAnsi="仿宋" w:eastAsia="仿宋"/>
          <w:sz w:val="32"/>
          <w:szCs w:val="32"/>
          <w:lang w:val="en-US" w:eastAsia="zh-CN"/>
        </w:rPr>
        <w:t>7.66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pStyle w:val="2"/>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721360</wp:posOffset>
            </wp:positionH>
            <wp:positionV relativeFrom="paragraph">
              <wp:posOffset>17145</wp:posOffset>
            </wp:positionV>
            <wp:extent cx="4102735" cy="2997200"/>
            <wp:effectExtent l="5080" t="4445" r="6985"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p>
    <w:p>
      <w:pPr>
        <w:pStyle w:val="2"/>
        <w:ind w:firstLine="640" w:firstLineChars="200"/>
        <w:rPr>
          <w:rFonts w:hint="eastAsia" w:ascii="仿宋" w:hAnsi="仿宋" w:eastAsia="仿宋"/>
          <w:sz w:val="32"/>
          <w:szCs w:val="32"/>
        </w:rPr>
      </w:pPr>
    </w:p>
    <w:p>
      <w:pPr>
        <w:pStyle w:val="2"/>
        <w:ind w:firstLine="640" w:firstLineChars="200"/>
        <w:rPr>
          <w:rStyle w:val="31"/>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218.79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hint="eastAsia" w:ascii="仿宋" w:hAnsi="仿宋" w:eastAsia="仿宋"/>
          <w:sz w:val="32"/>
          <w:szCs w:val="32"/>
          <w:lang w:val="en-US" w:eastAsia="zh-CN"/>
        </w:rPr>
        <w:t>8.42</w:t>
      </w:r>
      <w:r>
        <w:rPr>
          <w:rFonts w:hint="eastAsia" w:ascii="仿宋" w:hAnsi="仿宋" w:eastAsia="仿宋"/>
          <w:sz w:val="32"/>
          <w:szCs w:val="32"/>
        </w:rPr>
        <w:t>万元，增长</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人员增加。</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2"/>
      </w:pPr>
      <w:r>
        <w:rPr>
          <w:rFonts w:hint="eastAsia" w:ascii="黑体" w:hAnsi="黑体" w:eastAsia="黑体"/>
          <w:sz w:val="32"/>
          <w:szCs w:val="32"/>
        </w:rPr>
        <w:drawing>
          <wp:anchor distT="0" distB="0" distL="114300" distR="114300" simplePos="0" relativeHeight="251661312" behindDoc="0" locked="0" layoutInCell="1" allowOverlap="1">
            <wp:simplePos x="0" y="0"/>
            <wp:positionH relativeFrom="column">
              <wp:posOffset>607695</wp:posOffset>
            </wp:positionH>
            <wp:positionV relativeFrom="paragraph">
              <wp:posOffset>544195</wp:posOffset>
            </wp:positionV>
            <wp:extent cx="3992245" cy="3041650"/>
            <wp:effectExtent l="4445" t="4445" r="22860" b="209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960" w:firstLineChars="300"/>
        <w:outlineLvl w:val="1"/>
        <w:rPr>
          <w:rFonts w:hint="eastAsia" w:ascii="黑体" w:hAnsi="黑体" w:eastAsia="黑体"/>
          <w:sz w:val="32"/>
          <w:szCs w:val="32"/>
        </w:rPr>
      </w:pPr>
      <w:bookmarkStart w:id="30" w:name="_Toc15396607"/>
      <w:bookmarkStart w:id="31" w:name="_Toc15377209"/>
    </w:p>
    <w:p>
      <w:pPr>
        <w:spacing w:line="600" w:lineRule="exact"/>
        <w:ind w:firstLine="960" w:firstLineChars="300"/>
        <w:outlineLvl w:val="1"/>
        <w:rPr>
          <w:rStyle w:val="31"/>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204.03</w:t>
      </w:r>
      <w:r>
        <w:rPr>
          <w:rFonts w:hint="eastAsia" w:ascii="仿宋" w:hAnsi="仿宋" w:eastAsia="仿宋"/>
          <w:sz w:val="32"/>
          <w:szCs w:val="32"/>
        </w:rPr>
        <w:t>万元，占本年支出合计的</w:t>
      </w:r>
      <w:r>
        <w:rPr>
          <w:rFonts w:hint="eastAsia" w:ascii="仿宋" w:hAnsi="仿宋" w:eastAsia="仿宋"/>
          <w:sz w:val="32"/>
          <w:szCs w:val="32"/>
          <w:lang w:val="en-US" w:eastAsia="zh-CN"/>
        </w:rPr>
        <w:t>93.25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10.6</w:t>
      </w:r>
      <w:r>
        <w:rPr>
          <w:rFonts w:hint="eastAsia" w:ascii="仿宋" w:hAnsi="仿宋" w:eastAsia="仿宋"/>
          <w:sz w:val="32"/>
          <w:szCs w:val="32"/>
        </w:rPr>
        <w:t>万元，增长</w:t>
      </w:r>
      <w:r>
        <w:rPr>
          <w:rFonts w:hint="eastAsia" w:ascii="仿宋" w:hAnsi="仿宋" w:eastAsia="仿宋"/>
          <w:sz w:val="32"/>
          <w:szCs w:val="32"/>
          <w:lang w:val="en-US" w:eastAsia="zh-CN"/>
        </w:rPr>
        <w:t>5.48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639445</wp:posOffset>
            </wp:positionH>
            <wp:positionV relativeFrom="paragraph">
              <wp:posOffset>89535</wp:posOffset>
            </wp:positionV>
            <wp:extent cx="4291965" cy="3308350"/>
            <wp:effectExtent l="4445" t="4445" r="8890" b="209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1606" w:firstLineChars="500"/>
        <w:outlineLvl w:val="2"/>
        <w:rPr>
          <w:rFonts w:hint="eastAsia" w:ascii="仿宋" w:hAnsi="仿宋" w:eastAsia="仿宋"/>
          <w:b/>
          <w:sz w:val="32"/>
          <w:szCs w:val="32"/>
          <w:lang w:eastAsia="zh-CN"/>
        </w:rPr>
      </w:pPr>
      <w:bookmarkStart w:id="33" w:name="_Toc15377211"/>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lang w:eastAsia="zh-CN"/>
        </w:rPr>
        <w:t>）</w:t>
      </w:r>
      <w:r>
        <w:rPr>
          <w:rFonts w:hint="eastAsia" w:ascii="仿宋" w:hAnsi="仿宋" w:eastAsia="仿宋"/>
          <w:b/>
          <w:sz w:val="32"/>
          <w:szCs w:val="32"/>
        </w:rPr>
        <w:t>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204.03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157.44</w:t>
      </w:r>
      <w:r>
        <w:rPr>
          <w:rFonts w:hint="eastAsia" w:ascii="仿宋" w:hAnsi="仿宋" w:eastAsia="仿宋"/>
          <w:sz w:val="32"/>
          <w:szCs w:val="32"/>
        </w:rPr>
        <w:t>万元，占</w:t>
      </w:r>
      <w:r>
        <w:rPr>
          <w:rFonts w:hint="eastAsia" w:ascii="仿宋" w:hAnsi="仿宋" w:eastAsia="仿宋"/>
          <w:sz w:val="32"/>
          <w:szCs w:val="32"/>
          <w:lang w:val="en-US" w:eastAsia="zh-CN"/>
        </w:rPr>
        <w:t>77.17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20.69</w:t>
      </w:r>
      <w:r>
        <w:rPr>
          <w:rFonts w:hint="eastAsia" w:ascii="仿宋" w:hAnsi="仿宋" w:eastAsia="仿宋"/>
          <w:sz w:val="32"/>
          <w:szCs w:val="32"/>
        </w:rPr>
        <w:t>万元，占</w:t>
      </w:r>
      <w:r>
        <w:rPr>
          <w:rFonts w:hint="eastAsia" w:ascii="仿宋" w:hAnsi="仿宋" w:eastAsia="仿宋"/>
          <w:sz w:val="32"/>
          <w:szCs w:val="32"/>
          <w:lang w:val="en-US" w:eastAsia="zh-CN"/>
        </w:rPr>
        <w:t>10.14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10.04</w:t>
      </w:r>
      <w:r>
        <w:rPr>
          <w:rFonts w:hint="eastAsia" w:ascii="仿宋" w:hAnsi="仿宋" w:eastAsia="仿宋"/>
          <w:sz w:val="32"/>
          <w:szCs w:val="32"/>
        </w:rPr>
        <w:t>万元，占</w:t>
      </w:r>
      <w:r>
        <w:rPr>
          <w:rFonts w:hint="eastAsia" w:ascii="仿宋" w:hAnsi="仿宋" w:eastAsia="仿宋"/>
          <w:sz w:val="32"/>
          <w:szCs w:val="32"/>
          <w:lang w:val="en-US" w:eastAsia="zh-CN"/>
        </w:rPr>
        <w:t>4.92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15.86</w:t>
      </w:r>
      <w:r>
        <w:rPr>
          <w:rFonts w:hint="eastAsia" w:ascii="仿宋" w:hAnsi="仿宋" w:eastAsia="仿宋"/>
          <w:sz w:val="32"/>
          <w:szCs w:val="32"/>
        </w:rPr>
        <w:t>万元，占</w:t>
      </w:r>
      <w:r>
        <w:rPr>
          <w:rFonts w:hint="eastAsia" w:ascii="仿宋" w:hAnsi="仿宋" w:eastAsia="仿宋"/>
          <w:sz w:val="32"/>
          <w:szCs w:val="32"/>
          <w:lang w:val="en-US" w:eastAsia="zh-CN"/>
        </w:rPr>
        <w:t>7.77</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pPr>
        <w:spacing w:line="600" w:lineRule="exact"/>
        <w:ind w:firstLine="640"/>
        <w:rPr>
          <w:rFonts w:ascii="仿宋" w:hAnsi="仿宋" w:eastAsia="仿宋"/>
          <w:sz w:val="32"/>
          <w:szCs w:val="32"/>
        </w:rPr>
      </w:pPr>
      <w:r>
        <w:rPr>
          <w:rFonts w:hint="eastAsia" w:ascii="仿宋" w:hAnsi="仿宋" w:eastAsia="仿宋"/>
          <w:b/>
          <w:sz w:val="32"/>
          <w:szCs w:val="32"/>
          <w:lang w:eastAsia="zh-CN"/>
        </w:rPr>
        <w:drawing>
          <wp:anchor distT="0" distB="0" distL="114300" distR="114300" simplePos="0" relativeHeight="251663360" behindDoc="0" locked="0" layoutInCell="1" allowOverlap="1">
            <wp:simplePos x="0" y="0"/>
            <wp:positionH relativeFrom="column">
              <wp:posOffset>506095</wp:posOffset>
            </wp:positionH>
            <wp:positionV relativeFrom="paragraph">
              <wp:posOffset>810895</wp:posOffset>
            </wp:positionV>
            <wp:extent cx="4260850" cy="3156585"/>
            <wp:effectExtent l="4445" t="4445" r="20955" b="2032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7444"/>
      <w:bookmarkStart w:id="36" w:name="_Toc15378460"/>
      <w:bookmarkStart w:id="37"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204.03</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5"/>
      <w:bookmarkEnd w:id="36"/>
      <w:bookmarkEnd w:id="37"/>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cstheme="minorBidi"/>
          <w:bCs/>
          <w:sz w:val="32"/>
          <w:szCs w:val="32"/>
          <w:lang w:val="en-US" w:eastAsia="zh-CN"/>
        </w:rPr>
        <w:t>1.一般公共服务（类）</w:t>
      </w:r>
      <w:r>
        <w:rPr>
          <w:rStyle w:val="18"/>
          <w:rFonts w:hint="eastAsia" w:ascii="仿宋" w:hAnsi="仿宋" w:eastAsia="仿宋"/>
          <w:bCs/>
          <w:sz w:val="32"/>
          <w:szCs w:val="32"/>
          <w:lang w:val="en-US" w:eastAsia="zh-CN"/>
        </w:rPr>
        <w:t>审计事务</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行政运行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132.93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一般公共服务（类）</w:t>
      </w:r>
      <w:r>
        <w:rPr>
          <w:rStyle w:val="18"/>
          <w:rFonts w:hint="eastAsia" w:ascii="仿宋" w:hAnsi="仿宋" w:eastAsia="仿宋"/>
          <w:bCs/>
          <w:sz w:val="32"/>
          <w:szCs w:val="32"/>
          <w:lang w:val="en-US" w:eastAsia="zh-CN"/>
        </w:rPr>
        <w:t>审计事务</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事业运行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22.51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一般公共服务（类）</w:t>
      </w:r>
      <w:r>
        <w:rPr>
          <w:rStyle w:val="18"/>
          <w:rFonts w:hint="eastAsia" w:ascii="仿宋" w:hAnsi="仿宋" w:eastAsia="仿宋"/>
          <w:bCs/>
          <w:sz w:val="32"/>
          <w:szCs w:val="32"/>
          <w:lang w:val="en-US" w:eastAsia="zh-CN"/>
        </w:rPr>
        <w:t>审计事务</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一般行政管理事务</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cstheme="minorBidi"/>
          <w:bCs/>
          <w:sz w:val="32"/>
          <w:szCs w:val="32"/>
          <w:lang w:val="en-US" w:eastAsia="zh-CN"/>
        </w:rPr>
        <w:t>4.社会保障和就业支出（类）行政事业单位养老支出（款）   行政单位离退休（项）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6.17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cstheme="minorBidi"/>
          <w:bCs/>
          <w:sz w:val="32"/>
          <w:szCs w:val="32"/>
          <w:lang w:val="en-US" w:eastAsia="zh-CN"/>
        </w:rPr>
        <w:t>5.社会保障和就业支出（类）行政事业单位养老支出（款）  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12.22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pStyle w:val="2"/>
      </w:pPr>
      <w:r>
        <w:rPr>
          <w:rFonts w:hint="eastAsia"/>
        </w:rPr>
        <w:t xml:space="preserve"> </w:t>
      </w:r>
      <w:r>
        <w:rPr>
          <w:rFonts w:hint="eastAsia"/>
          <w:lang w:val="en-US" w:eastAsia="zh-CN"/>
        </w:rPr>
        <w:t xml:space="preserve">  </w:t>
      </w:r>
      <w:r>
        <w:rPr>
          <w:rFonts w:hint="eastAsia"/>
        </w:rPr>
        <w:t xml:space="preserve"> </w:t>
      </w:r>
      <w:r>
        <w:rPr>
          <w:rStyle w:val="18"/>
          <w:rFonts w:hint="eastAsia" w:ascii="仿宋" w:hAnsi="仿宋" w:eastAsia="仿宋" w:cstheme="minorBidi"/>
          <w:bCs/>
          <w:kern w:val="2"/>
          <w:sz w:val="32"/>
          <w:szCs w:val="32"/>
          <w:lang w:val="en-US" w:eastAsia="zh-CN" w:bidi="ar-SA"/>
        </w:rPr>
        <w:t>6.社会保障和就业</w:t>
      </w:r>
      <w:r>
        <w:rPr>
          <w:rStyle w:val="18"/>
          <w:rFonts w:hint="eastAsia" w:ascii="仿宋" w:hAnsi="仿宋" w:eastAsia="仿宋" w:cstheme="minorBidi"/>
          <w:bCs/>
          <w:sz w:val="32"/>
          <w:szCs w:val="32"/>
          <w:lang w:val="en-US" w:eastAsia="zh-CN"/>
        </w:rPr>
        <w:t>支出</w:t>
      </w:r>
      <w:r>
        <w:rPr>
          <w:rStyle w:val="18"/>
          <w:rFonts w:hint="eastAsia" w:ascii="仿宋" w:hAnsi="仿宋" w:eastAsia="仿宋" w:cstheme="minorBidi"/>
          <w:bCs/>
          <w:kern w:val="2"/>
          <w:sz w:val="32"/>
          <w:szCs w:val="32"/>
          <w:lang w:val="en-US" w:eastAsia="zh-CN" w:bidi="ar-SA"/>
        </w:rPr>
        <w:t xml:space="preserve">（类）行政事业单位养老支出（款）机关事业单位职业年金缴费支出（项）: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7</w:t>
      </w:r>
      <w:r>
        <w:rPr>
          <w:rStyle w:val="18"/>
          <w:rFonts w:ascii="仿宋" w:hAnsi="仿宋" w:eastAsia="仿宋"/>
          <w:bCs/>
          <w:sz w:val="32"/>
          <w:szCs w:val="32"/>
        </w:rPr>
        <w:t>.</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（类）行政事业单位医疗（款）行政单位医疗（项）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7.54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8</w:t>
      </w:r>
      <w:r>
        <w:rPr>
          <w:rStyle w:val="18"/>
          <w:rFonts w:ascii="仿宋" w:hAnsi="仿宋" w:eastAsia="仿宋"/>
          <w:bCs/>
          <w:sz w:val="32"/>
          <w:szCs w:val="32"/>
        </w:rPr>
        <w:t>.</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w:t>
      </w:r>
      <w:r>
        <w:rPr>
          <w:rStyle w:val="18"/>
          <w:rFonts w:hint="eastAsia" w:ascii="仿宋" w:hAnsi="仿宋" w:eastAsia="仿宋"/>
          <w:bCs/>
          <w:sz w:val="32"/>
          <w:szCs w:val="32"/>
          <w:lang w:val="en-US" w:eastAsia="zh-CN"/>
        </w:rPr>
        <w:t>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1.46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9</w:t>
      </w:r>
      <w:r>
        <w:rPr>
          <w:rStyle w:val="18"/>
          <w:rFonts w:ascii="仿宋" w:hAnsi="仿宋" w:eastAsia="仿宋"/>
          <w:bCs/>
          <w:sz w:val="32"/>
          <w:szCs w:val="32"/>
        </w:rPr>
        <w:t>.</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（类）行政事业单位医疗（款）</w:t>
      </w:r>
      <w:r>
        <w:rPr>
          <w:rStyle w:val="18"/>
          <w:rFonts w:hint="eastAsia" w:ascii="仿宋" w:hAnsi="仿宋" w:eastAsia="仿宋"/>
          <w:bCs/>
          <w:sz w:val="32"/>
          <w:szCs w:val="32"/>
          <w:lang w:val="en-US" w:eastAsia="zh-CN"/>
        </w:rPr>
        <w:t>公务员医疗补助</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0.88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cstheme="minorBidi"/>
          <w:bCs/>
          <w:sz w:val="32"/>
          <w:szCs w:val="32"/>
          <w:lang w:val="en-US" w:eastAsia="zh-CN"/>
        </w:rPr>
        <w:t>10.卫生健康支出（类）行政事业单位医疗（款）其他行政事业单位医疗支出（项）: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0.16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11</w:t>
      </w:r>
      <w:r>
        <w:rPr>
          <w:rStyle w:val="18"/>
          <w:rFonts w:ascii="仿宋" w:hAnsi="仿宋" w:eastAsia="仿宋"/>
          <w:bCs/>
          <w:sz w:val="32"/>
          <w:szCs w:val="32"/>
        </w:rPr>
        <w:t>.</w:t>
      </w:r>
      <w:r>
        <w:rPr>
          <w:rFonts w:hint="eastAsia" w:ascii="仿宋" w:hAnsi="仿宋" w:eastAsia="仿宋" w:cs="Times New Roman"/>
          <w:b/>
          <w:bCs/>
          <w:kern w:val="0"/>
          <w:sz w:val="32"/>
          <w:szCs w:val="32"/>
          <w:lang w:val="en-US" w:eastAsia="zh-CN" w:bidi="ar-SA"/>
        </w:rPr>
        <w:t>住房保障支出（类</w:t>
      </w:r>
      <w:r>
        <w:rPr>
          <w:rStyle w:val="18"/>
          <w:rFonts w:hint="eastAsia" w:ascii="仿宋" w:hAnsi="仿宋" w:eastAsia="仿宋"/>
          <w:bCs/>
          <w:sz w:val="32"/>
          <w:szCs w:val="32"/>
        </w:rPr>
        <w:t>）住房改革支出（款）</w:t>
      </w:r>
      <w:r>
        <w:rPr>
          <w:rStyle w:val="18"/>
          <w:rFonts w:hint="eastAsia" w:ascii="仿宋" w:hAnsi="仿宋" w:eastAsia="仿宋"/>
          <w:bCs/>
          <w:sz w:val="32"/>
          <w:szCs w:val="32"/>
          <w:lang w:val="en-US" w:eastAsia="zh-CN"/>
        </w:rPr>
        <w:t xml:space="preserve"> 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15.86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tabs>
          <w:tab w:val="right" w:pos="8306"/>
        </w:tabs>
        <w:spacing w:line="600" w:lineRule="exact"/>
        <w:ind w:firstLine="640"/>
        <w:outlineLvl w:val="1"/>
        <w:rPr>
          <w:rStyle w:val="31"/>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8"/>
      <w:bookmarkEnd w:id="3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202.03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188.49</w:t>
      </w:r>
      <w:r>
        <w:rPr>
          <w:rFonts w:hint="eastAsia" w:ascii="仿宋" w:hAnsi="仿宋" w:eastAsia="仿宋"/>
          <w:sz w:val="32"/>
          <w:szCs w:val="32"/>
        </w:rPr>
        <w:t>万元，主要包括：基本工资、津贴补贴、奖金、绩效工资、机关事业单位基本养老保险缴费、职业年金缴费、</w:t>
      </w:r>
      <w:r>
        <w:rPr>
          <w:rFonts w:hint="eastAsia" w:ascii="仿宋" w:hAnsi="仿宋" w:eastAsia="仿宋"/>
          <w:sz w:val="32"/>
          <w:szCs w:val="32"/>
          <w:lang w:val="en-US" w:eastAsia="zh-CN"/>
        </w:rPr>
        <w:t>职工基本医疗保险缴费、公务员医疗补助缴费、</w:t>
      </w:r>
      <w:r>
        <w:rPr>
          <w:rFonts w:hint="eastAsia" w:ascii="仿宋" w:hAnsi="仿宋" w:eastAsia="仿宋"/>
          <w:sz w:val="32"/>
          <w:szCs w:val="32"/>
        </w:rPr>
        <w:t>其他社会保障缴费、住房公积金、医疗费</w:t>
      </w:r>
      <w:r>
        <w:rPr>
          <w:rFonts w:hint="eastAsia" w:ascii="仿宋" w:hAnsi="仿宋" w:eastAsia="仿宋"/>
          <w:sz w:val="32"/>
          <w:szCs w:val="32"/>
          <w:lang w:eastAsia="zh-CN"/>
        </w:rPr>
        <w:t>、</w:t>
      </w:r>
      <w:r>
        <w:rPr>
          <w:rFonts w:hint="eastAsia" w:ascii="仿宋" w:hAnsi="仿宋" w:eastAsia="仿宋"/>
          <w:sz w:val="32"/>
          <w:szCs w:val="32"/>
        </w:rPr>
        <w:t>其他工资福利支出、生活补助。</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13.54</w:t>
      </w:r>
      <w:r>
        <w:rPr>
          <w:rFonts w:hint="eastAsia" w:ascii="仿宋" w:hAnsi="仿宋" w:eastAsia="仿宋"/>
          <w:sz w:val="32"/>
          <w:szCs w:val="32"/>
        </w:rPr>
        <w:t>万元，主要包括：办公费、差旅费、培训费、公务接待费、劳务费、工会经费、其他交通费</w:t>
      </w:r>
      <w:r>
        <w:rPr>
          <w:rFonts w:hint="eastAsia" w:ascii="仿宋" w:hAnsi="仿宋" w:eastAsia="仿宋"/>
          <w:sz w:val="32"/>
          <w:szCs w:val="32"/>
          <w:lang w:val="en-US" w:eastAsia="zh-CN"/>
        </w:rPr>
        <w:t>用</w:t>
      </w:r>
      <w:r>
        <w:rPr>
          <w:rFonts w:hint="eastAsia" w:ascii="仿宋" w:hAnsi="仿宋" w:eastAsia="仿宋"/>
          <w:sz w:val="32"/>
          <w:szCs w:val="32"/>
        </w:rPr>
        <w:t>。</w:t>
      </w:r>
    </w:p>
    <w:p>
      <w:pPr>
        <w:spacing w:line="600" w:lineRule="exact"/>
        <w:ind w:firstLine="640"/>
        <w:outlineLvl w:val="1"/>
        <w:rPr>
          <w:rStyle w:val="31"/>
          <w:rFonts w:ascii="黑体" w:hAnsi="黑体" w:eastAsia="黑体"/>
          <w:b w:val="0"/>
        </w:rPr>
      </w:pPr>
      <w:bookmarkStart w:id="40" w:name="_Toc15396609"/>
      <w:bookmarkStart w:id="41"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0.05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0.05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"C:\\Users\\w\\AppData\\Roaming\\Tencent\\Users\\248301485\\QQ\\WinTemp\\RichOle\\FJC8B(%ELMKEP$5YOHZ9H$B.png"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860290" cy="2619375"/>
            <wp:effectExtent l="0" t="0" r="16510"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2"/>
                    <a:stretch>
                      <a:fillRect/>
                    </a:stretch>
                  </pic:blipFill>
                  <pic:spPr>
                    <a:xfrm>
                      <a:off x="0" y="0"/>
                      <a:ext cx="4860290" cy="2619375"/>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pPr>
        <w:numPr>
          <w:ilvl w:val="0"/>
          <w:numId w:val="3"/>
        </w:numPr>
        <w:spacing w:line="600" w:lineRule="exact"/>
        <w:ind w:firstLine="640"/>
        <w:rPr>
          <w:rFonts w:hint="eastAsia" w:ascii="仿宋_GB2312" w:eastAsia="仿宋_GB2312"/>
          <w:sz w:val="32"/>
          <w:szCs w:val="32"/>
        </w:rPr>
      </w:pP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开支内容包括：</w:t>
      </w:r>
      <w:r>
        <w:rPr>
          <w:rFonts w:hint="eastAsia" w:ascii="仿宋_GB2312" w:eastAsia="仿宋_GB2312"/>
          <w:sz w:val="32"/>
          <w:szCs w:val="32"/>
          <w:lang w:val="en-US" w:eastAsia="zh-CN"/>
        </w:rPr>
        <w:t>无</w:t>
      </w:r>
    </w:p>
    <w:p>
      <w:pPr>
        <w:spacing w:line="600" w:lineRule="exact"/>
        <w:ind w:firstLine="640"/>
        <w:rPr>
          <w:rFonts w:hint="eastAsia" w:ascii="仿宋_GB2312" w:eastAsia="仿宋_GB2312"/>
          <w:b/>
          <w:sz w:val="32"/>
          <w:szCs w:val="32"/>
          <w:lang w:val="en-US"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0.05</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。主要原因是厉行节俭，节约开支。其中：</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0.05</w:t>
      </w:r>
      <w:r>
        <w:rPr>
          <w:rFonts w:hint="eastAsia" w:ascii="仿宋_GB2312" w:eastAsia="仿宋_GB2312"/>
          <w:sz w:val="32"/>
          <w:szCs w:val="32"/>
        </w:rPr>
        <w:t>万元，主要用于</w:t>
      </w:r>
      <w:r>
        <w:rPr>
          <w:rFonts w:hint="eastAsia" w:ascii="仿宋_GB2312" w:eastAsia="仿宋_GB2312"/>
          <w:sz w:val="32"/>
          <w:szCs w:val="32"/>
          <w:lang w:val="en-US" w:eastAsia="zh-CN"/>
        </w:rPr>
        <w:t>接待仁和区审计局业务交流</w:t>
      </w:r>
      <w:r>
        <w:rPr>
          <w:rFonts w:hint="eastAsia" w:ascii="仿宋_GB2312" w:eastAsia="仿宋_GB2312"/>
          <w:sz w:val="32"/>
          <w:szCs w:val="32"/>
        </w:rPr>
        <w:t>。国内公务接待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6</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0.05</w:t>
      </w:r>
      <w:r>
        <w:rPr>
          <w:rFonts w:hint="eastAsia" w:ascii="仿宋_GB2312" w:eastAsia="仿宋_GB2312"/>
          <w:sz w:val="32"/>
          <w:szCs w:val="32"/>
        </w:rPr>
        <w:t>万元，具体内容包括：</w:t>
      </w:r>
      <w:r>
        <w:rPr>
          <w:rFonts w:hint="eastAsia" w:ascii="仿宋_GB2312" w:eastAsia="仿宋_GB2312"/>
          <w:sz w:val="32"/>
          <w:szCs w:val="32"/>
          <w:lang w:val="en-US" w:eastAsia="zh-CN"/>
        </w:rPr>
        <w:t>接待仁和区审计局业务交流，支出0.05万元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31"/>
          <w:rFonts w:ascii="黑体" w:hAnsi="黑体" w:eastAsia="黑体"/>
        </w:rPr>
      </w:pPr>
      <w:bookmarkStart w:id="44" w:name="_Toc15396610"/>
      <w:bookmarkStart w:id="45" w:name="_Toc15377218"/>
      <w:r>
        <w:rPr>
          <w:rFonts w:hint="eastAsia" w:ascii="黑体" w:eastAsia="黑体"/>
          <w:sz w:val="32"/>
          <w:szCs w:val="32"/>
        </w:rPr>
        <w:t>八、</w:t>
      </w:r>
      <w:r>
        <w:rPr>
          <w:rStyle w:val="31"/>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14.76</w:t>
      </w:r>
      <w:r>
        <w:rPr>
          <w:rFonts w:hint="eastAsia" w:ascii="仿宋_GB2312" w:eastAsia="仿宋_GB2312"/>
          <w:sz w:val="32"/>
          <w:szCs w:val="32"/>
        </w:rPr>
        <w:t>万元。</w:t>
      </w:r>
    </w:p>
    <w:p>
      <w:pPr>
        <w:numPr>
          <w:ilvl w:val="0"/>
          <w:numId w:val="4"/>
        </w:numPr>
        <w:spacing w:line="600" w:lineRule="exact"/>
        <w:ind w:firstLine="640"/>
        <w:outlineLvl w:val="1"/>
        <w:rPr>
          <w:rStyle w:val="31"/>
          <w:rFonts w:ascii="黑体" w:hAnsi="黑体" w:eastAsia="黑体"/>
          <w:b w:val="0"/>
        </w:rPr>
      </w:pPr>
      <w:bookmarkStart w:id="46" w:name="_Toc15396611"/>
      <w:bookmarkStart w:id="47" w:name="_Toc15377219"/>
      <w:r>
        <w:rPr>
          <w:rStyle w:val="31"/>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31"/>
          <w:rFonts w:ascii="黑体" w:hAnsi="黑体" w:eastAsia="黑体"/>
          <w:b w:val="0"/>
        </w:rPr>
      </w:pPr>
      <w:bookmarkStart w:id="48" w:name="_Toc15396612"/>
      <w:bookmarkStart w:id="49" w:name="_Toc15377221"/>
      <w:r>
        <w:rPr>
          <w:rStyle w:val="31"/>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西区审计局</w:t>
      </w:r>
      <w:r>
        <w:rPr>
          <w:rFonts w:hint="eastAsia" w:ascii="仿宋_GB2312" w:eastAsia="仿宋_GB2312"/>
          <w:sz w:val="32"/>
          <w:szCs w:val="32"/>
        </w:rPr>
        <w:t>机关运行经费支出</w:t>
      </w:r>
      <w:r>
        <w:rPr>
          <w:rFonts w:hint="eastAsia" w:ascii="仿宋_GB2312" w:eastAsia="仿宋_GB2312"/>
          <w:sz w:val="32"/>
          <w:szCs w:val="32"/>
          <w:lang w:val="en-US" w:eastAsia="zh-CN"/>
        </w:rPr>
        <w:t>13.54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0.84</w:t>
      </w:r>
      <w:r>
        <w:rPr>
          <w:rFonts w:hint="eastAsia" w:ascii="仿宋_GB2312" w:eastAsia="仿宋_GB2312"/>
          <w:sz w:val="32"/>
          <w:szCs w:val="32"/>
        </w:rPr>
        <w:t>万元，下降</w:t>
      </w:r>
      <w:r>
        <w:rPr>
          <w:rFonts w:hint="eastAsia" w:ascii="仿宋_GB2312" w:eastAsia="仿宋_GB2312"/>
          <w:sz w:val="32"/>
          <w:szCs w:val="32"/>
          <w:lang w:val="en-US" w:eastAsia="zh-CN"/>
        </w:rPr>
        <w:t>5.84</w:t>
      </w:r>
      <w:r>
        <w:rPr>
          <w:rFonts w:ascii="仿宋_GB2312" w:eastAsia="仿宋_GB2312"/>
          <w:sz w:val="32"/>
          <w:szCs w:val="32"/>
        </w:rPr>
        <w:t>%</w:t>
      </w:r>
      <w:r>
        <w:rPr>
          <w:rFonts w:hint="eastAsia" w:ascii="仿宋_GB2312" w:eastAsia="仿宋_GB2312"/>
          <w:sz w:val="32"/>
          <w:szCs w:val="32"/>
        </w:rPr>
        <w:t>。主要原因是厉行节俭，节约开支。</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西区审计局</w:t>
      </w:r>
      <w:r>
        <w:rPr>
          <w:rFonts w:hint="eastAsia" w:ascii="仿宋_GB2312" w:eastAsia="仿宋_GB2312"/>
          <w:sz w:val="32"/>
          <w:szCs w:val="32"/>
        </w:rPr>
        <w:t>政府采购支出总额</w:t>
      </w:r>
      <w:r>
        <w:rPr>
          <w:rFonts w:hint="eastAsia" w:ascii="仿宋_GB2312" w:eastAsia="仿宋_GB2312"/>
          <w:sz w:val="32"/>
          <w:szCs w:val="32"/>
          <w:lang w:val="en-US" w:eastAsia="zh-CN"/>
        </w:rPr>
        <w:t>2.98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2.98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购买复印机等办公设备</w:t>
      </w:r>
      <w:r>
        <w:rPr>
          <w:rFonts w:hint="eastAsia" w:ascii="仿宋_GB2312" w:eastAsia="仿宋_GB2312"/>
          <w:sz w:val="32"/>
          <w:szCs w:val="32"/>
        </w:rPr>
        <w:t>。授予中小企业合同金额</w:t>
      </w:r>
      <w:r>
        <w:rPr>
          <w:rFonts w:hint="eastAsia" w:ascii="仿宋_GB2312" w:eastAsia="仿宋_GB2312"/>
          <w:sz w:val="32"/>
          <w:szCs w:val="32"/>
          <w:lang w:val="en-US" w:eastAsia="zh-CN"/>
        </w:rPr>
        <w:t>2.98</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2.98</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西区审计局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0</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根据预算绩效管理要求，本部门在2022年度预算编制阶段，组织对审计专项</w:t>
      </w:r>
      <w:r>
        <w:rPr>
          <w:rFonts w:hint="eastAsia" w:ascii="仿宋_GB2312" w:hAnsi="仿宋_GB2312" w:eastAsia="仿宋_GB2312" w:cs="仿宋_GB2312"/>
          <w:sz w:val="32"/>
          <w:szCs w:val="32"/>
          <w:lang w:eastAsia="zh-CN"/>
        </w:rPr>
        <w:t>、平台开发建设及维护、政府投资项目审计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val="en-US" w:eastAsia="zh-CN"/>
        </w:rPr>
        <w:t>西区审计局</w:t>
      </w:r>
      <w:r>
        <w:rPr>
          <w:rFonts w:hint="eastAsia" w:ascii="仿宋_GB2312" w:hAnsi="仿宋_GB2312" w:eastAsia="仿宋_GB2312" w:cs="仿宋_GB2312"/>
          <w:sz w:val="32"/>
          <w:szCs w:val="32"/>
        </w:rPr>
        <w:t>部门整体（含部门预算项目）绩效自评报告、审计专项</w:t>
      </w:r>
      <w:r>
        <w:rPr>
          <w:rFonts w:hint="eastAsia" w:ascii="仿宋_GB2312" w:hAnsi="仿宋_GB2312" w:eastAsia="仿宋_GB2312" w:cs="仿宋_GB2312"/>
          <w:sz w:val="32"/>
          <w:szCs w:val="32"/>
          <w:lang w:eastAsia="zh-CN"/>
        </w:rPr>
        <w:t>、平台开发建设及维护、政府投资项目审计</w:t>
      </w:r>
      <w:r>
        <w:rPr>
          <w:rFonts w:hint="eastAsia" w:ascii="仿宋_GB2312" w:hAnsi="仿宋_GB2312" w:eastAsia="仿宋_GB2312" w:cs="仿宋_GB2312"/>
          <w:sz w:val="32"/>
          <w:szCs w:val="32"/>
        </w:rPr>
        <w:t>等专项预算项目绩效自评报告，绩效自评报告详见附件。</w:t>
      </w:r>
    </w:p>
    <w:p>
      <w:pPr>
        <w:widowControl/>
        <w:ind w:firstLine="643" w:firstLineChars="200"/>
        <w:jc w:val="left"/>
        <w:rPr>
          <w:rFonts w:ascii="仿宋_GB2312" w:eastAsia="仿宋_GB2312"/>
          <w:b/>
          <w:sz w:val="32"/>
          <w:szCs w:val="32"/>
        </w:rPr>
      </w:pPr>
      <w:r>
        <w:rPr>
          <w:rFonts w:ascii="仿宋_GB2312" w:eastAsia="仿宋_GB2312"/>
          <w:b/>
          <w:color w:val="FF0000"/>
          <w:sz w:val="32"/>
          <w:szCs w:val="32"/>
        </w:rPr>
        <w:br w:type="page"/>
      </w:r>
    </w:p>
    <w:p>
      <w:pPr>
        <w:numPr>
          <w:ilvl w:val="0"/>
          <w:numId w:val="5"/>
        </w:numPr>
        <w:spacing w:line="600" w:lineRule="exact"/>
        <w:ind w:firstLine="660" w:firstLineChars="150"/>
        <w:jc w:val="center"/>
        <w:outlineLvl w:val="0"/>
        <w:rPr>
          <w:rStyle w:val="30"/>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30"/>
          <w:rFonts w:hint="eastAsia" w:ascii="黑体" w:hAnsi="黑体" w:eastAsia="黑体"/>
          <w:b w:val="0"/>
        </w:rPr>
        <w:t>词解释</w:t>
      </w:r>
      <w:bookmarkEnd w:id="53"/>
      <w:bookmarkEnd w:id="54"/>
    </w:p>
    <w:p>
      <w:pPr>
        <w:spacing w:line="600" w:lineRule="exact"/>
        <w:jc w:val="left"/>
        <w:rPr>
          <w:rFonts w:ascii="宋体"/>
          <w:b/>
          <w:sz w:val="44"/>
          <w:szCs w:val="44"/>
        </w:rPr>
      </w:pPr>
    </w:p>
    <w:p>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审计事务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审计事务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未归口管理的行政单位离退休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未实行归口管理的行政单位（包括实行公务员管理的事业单位）开支的离退休支出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（款）机关事业单位职业年金缴费支出（项）：指</w:t>
      </w:r>
      <w:r>
        <w:rPr>
          <w:rFonts w:hint="eastAsia" w:ascii="仿宋_GB2312" w:eastAsia="仿宋_GB2312"/>
          <w:color w:val="000000"/>
          <w:sz w:val="32"/>
          <w:szCs w:val="32"/>
          <w:lang w:eastAsia="zh-CN"/>
        </w:rPr>
        <w:t>机关事业单位实施养老保险制度由单位缴纳的职业年金支出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卫生健康支出（类）行政事业单位医疗（款）行政单位医疗（项）：指</w:t>
      </w:r>
      <w:r>
        <w:rPr>
          <w:rFonts w:hint="eastAsia" w:ascii="仿宋_GB2312" w:eastAsia="仿宋_GB2312"/>
          <w:color w:val="000000"/>
          <w:sz w:val="32"/>
          <w:szCs w:val="32"/>
          <w:lang w:eastAsia="zh-CN"/>
        </w:rPr>
        <w:t>财政部门集中安排的行政单位基本医疗保险缴费经费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单位医疗（项）：指</w:t>
      </w:r>
      <w:r>
        <w:rPr>
          <w:rFonts w:hint="eastAsia" w:ascii="仿宋_GB2312" w:eastAsia="仿宋_GB2312"/>
          <w:color w:val="000000"/>
          <w:sz w:val="32"/>
          <w:szCs w:val="32"/>
          <w:lang w:eastAsia="zh-CN"/>
        </w:rPr>
        <w:t>财政部门集中安排的事业单位基本医疗保险缴费经费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卫生健康支出（类）行政事业单位医疗（款）公务员医疗补助（项）：指</w:t>
      </w:r>
      <w:r>
        <w:rPr>
          <w:rFonts w:hint="eastAsia" w:ascii="仿宋_GB2312" w:eastAsia="仿宋_GB2312"/>
          <w:color w:val="000000"/>
          <w:sz w:val="32"/>
          <w:szCs w:val="32"/>
          <w:lang w:eastAsia="zh-CN"/>
        </w:rPr>
        <w:t>财政部门集中安排的公务员医疗补助经费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住房保障支出（类）住房改革支出（款）住房公积金（项）：指</w:t>
      </w:r>
      <w:r>
        <w:rPr>
          <w:rFonts w:hint="eastAsia" w:ascii="仿宋_GB2312" w:eastAsia="仿宋_GB2312"/>
          <w:color w:val="000000"/>
          <w:sz w:val="32"/>
          <w:szCs w:val="32"/>
          <w:lang w:eastAsia="zh-CN"/>
        </w:rPr>
        <w:t>反映行政事业单位按人事、财政部门规定的基本工资和津贴补贴以及规定比例为职工缴纳的住房公积金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城乡社区支出（类）国有土地使用权出让收入安排的支出（款）土地开发支出（项）：</w:t>
      </w:r>
      <w:r>
        <w:rPr>
          <w:rFonts w:hint="eastAsia" w:ascii="仿宋_GB2312" w:eastAsia="仿宋_GB2312"/>
          <w:color w:val="000000"/>
          <w:sz w:val="32"/>
          <w:szCs w:val="32"/>
          <w:lang w:eastAsia="zh-CN"/>
        </w:rPr>
        <w:t>指新疆生产建设兵团和地方政府用于前期土地开发性支出以及与前期土地开发相关的费用等支出。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lang w:eastAsia="zh-CN"/>
        </w:rPr>
        <w:t>。</w:t>
      </w:r>
      <w:bookmarkStart w:id="55" w:name="_Toc15396614"/>
      <w:bookmarkStart w:id="56" w:name="_Toc15377226"/>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ind w:firstLine="880" w:firstLineChars="200"/>
        <w:jc w:val="center"/>
        <w:rPr>
          <w:rStyle w:val="30"/>
          <w:rFonts w:ascii="黑体" w:hAnsi="黑体" w:eastAsia="黑体"/>
          <w:b w:val="0"/>
        </w:rPr>
      </w:pPr>
      <w:r>
        <w:rPr>
          <w:rFonts w:hint="eastAsia" w:ascii="黑体" w:hAnsi="黑体" w:eastAsia="黑体"/>
          <w:sz w:val="44"/>
          <w:szCs w:val="44"/>
        </w:rPr>
        <w:t>第</w:t>
      </w:r>
      <w:r>
        <w:rPr>
          <w:rStyle w:val="30"/>
          <w:rFonts w:hint="eastAsia" w:ascii="黑体" w:hAnsi="黑体" w:eastAsia="黑体"/>
          <w:b w:val="0"/>
        </w:rPr>
        <w:t>四部分 附件</w:t>
      </w:r>
      <w:bookmarkEnd w:id="55"/>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年省级部门整体绩效评价报告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w:t>
      </w:r>
      <w:bookmarkStart w:id="71" w:name="_GoBack"/>
      <w:bookmarkEnd w:id="71"/>
      <w:r>
        <w:rPr>
          <w:rFonts w:hint="eastAsia" w:ascii="黑体" w:hAnsi="宋体" w:eastAsia="黑体" w:cs="宋体"/>
          <w:kern w:val="0"/>
          <w:sz w:val="32"/>
          <w:szCs w:val="32"/>
          <w:shd w:val="clear" w:color="auto" w:fill="FFFFFF"/>
          <w:lang w:val="zh-CN"/>
        </w:rPr>
        <w:t>基本情况</w:t>
      </w:r>
    </w:p>
    <w:p>
      <w:pPr>
        <w:widowControl/>
        <w:numPr>
          <w:ilvl w:val="0"/>
          <w:numId w:val="7"/>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numPr>
          <w:ilvl w:val="0"/>
          <w:numId w:val="0"/>
        </w:numPr>
        <w:ind w:firstLine="640" w:firstLineChars="200"/>
        <w:rPr>
          <w:lang w:val="zh-CN"/>
        </w:rPr>
      </w:pPr>
      <w:r>
        <w:rPr>
          <w:rFonts w:hint="eastAsia" w:ascii="仿宋_GB2312" w:hAnsi="Calibri" w:eastAsia="仿宋_GB2312" w:cs="仿宋"/>
          <w:color w:val="000000"/>
          <w:kern w:val="0"/>
          <w:sz w:val="32"/>
          <w:szCs w:val="32"/>
        </w:rPr>
        <w:t>根据《中共攀枝花市西区区委办公室攀枝花市西区人民政府办公室关于印发&lt;攀枝花市西区审计局职能配置、内设机构和人员编制规定&gt;的通知》（攀西委办〔2019〕23号），“三定方案”的内设机构为：</w:t>
      </w:r>
      <w:r>
        <w:rPr>
          <w:rFonts w:ascii="仿宋_GB2312" w:hAnsi="Calibri" w:eastAsia="仿宋_GB2312" w:cs="仿宋"/>
          <w:color w:val="000000"/>
          <w:kern w:val="0"/>
          <w:sz w:val="32"/>
          <w:szCs w:val="32"/>
        </w:rPr>
        <w:t>西区</w:t>
      </w:r>
      <w:r>
        <w:rPr>
          <w:rFonts w:hint="eastAsia" w:ascii="仿宋_GB2312" w:hAnsi="Calibri" w:eastAsia="仿宋_GB2312" w:cs="仿宋"/>
          <w:color w:val="000000"/>
          <w:kern w:val="0"/>
          <w:sz w:val="32"/>
          <w:szCs w:val="32"/>
        </w:rPr>
        <w:t>审计</w:t>
      </w:r>
      <w:r>
        <w:rPr>
          <w:rFonts w:ascii="仿宋_GB2312" w:hAnsi="Calibri" w:eastAsia="仿宋_GB2312" w:cs="仿宋"/>
          <w:color w:val="000000"/>
          <w:kern w:val="0"/>
          <w:sz w:val="32"/>
          <w:szCs w:val="32"/>
        </w:rPr>
        <w:t>局</w:t>
      </w:r>
      <w:r>
        <w:rPr>
          <w:rFonts w:hint="eastAsia" w:ascii="仿宋_GB2312" w:hAnsi="Calibri" w:eastAsia="仿宋_GB2312" w:cs="仿宋"/>
          <w:color w:val="000000"/>
          <w:kern w:val="0"/>
          <w:sz w:val="32"/>
          <w:szCs w:val="32"/>
        </w:rPr>
        <w:t>下设办公室、财政和重大政策跟踪审计股、投资和社会保障审计股、自然资源和经济责任审计股、下设参公事业单位西区经济责任审计事务中心</w:t>
      </w:r>
      <w:r>
        <w:rPr>
          <w:rFonts w:hint="eastAsia" w:hAnsi="Calibri" w:cs="仿宋"/>
          <w:color w:val="000000"/>
          <w:kern w:val="0"/>
          <w:sz w:val="32"/>
          <w:szCs w:val="32"/>
          <w:lang w:eastAsia="zh-CN"/>
        </w:rPr>
        <w:t>。</w:t>
      </w:r>
    </w:p>
    <w:p>
      <w:pPr>
        <w:widowControl/>
        <w:numPr>
          <w:ilvl w:val="0"/>
          <w:numId w:val="7"/>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8"/>
        <w:spacing w:line="352" w:lineRule="auto"/>
        <w:ind w:firstLine="624"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2.贯彻执行国家、省、市有关审计工作的方针政策和法律法规。起草地方性审计规章草案、规范性文件。制定并组织实施全区专业领域审计工作规划。参与起草地方性财政经济及相关规章草案、规范性文件。组织对全区性重大投资项目、重大突发性公共事项、重要专项资金的审计和专项审计调查。对直接审计、调查和核查的事项依法进行审计评价，作出审计决定或提出审计建议。</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3.向区委审计委员会提出年度区级预算执行和其他财政支出情况审计报告。向区政府和市审计局提出年度区级预算执行及其他财政收支情况的审计结果报告。受区政府委托向区人大常委会提出区级预算执行及其他财政收支情况的审计工作报告、审计查出问题整改情况报告。向区委、区政府报告对其他事项的审计和专项审计调查情况及结果。依法向社会公布审计结果。向区级有关部门、街道（镇）通报审计情况和审计结果。</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4.直接审计下列事项，出具审计报告，在法定职权范围内作出审计决定，包括国家和省市区有关重大政策措施贯彻落实情况；区级预算执行情况和其它财政收支，区级各部门、各街道办事处预算执行情况、决算草案和其他财政收支，区级各部门、各街道办事处预算执行情况、决算草案和其他财政收支；镇级政府预算执行情况、决算草案和其他财政收支，区级财政转移支付资金；使用区级财政资金的事业单位（含直属单位）和社会团体的财务收支；区政府投资和以区政府投资为主的建设项目的预算执行情况和决算，区级重大公共工程项目的资金管理使用和建设运营情况；自然资源管理、污染防治和生态保护与修复情况；区属国有企业和地方金融机构、区属国有资本占控股或主导地位的企业和金融机构境内外资产、负债和损益，区政府及有关部门、街道（镇）驻外非经营性机构的财务收支；有关社会保障基金、社会捐赠资金、安全生产和职业健康财政资金以及其他基金、资金的财务收支；国际组织和外国政府援助、贷款项目；法律法规规定的其他事项。</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5.按规定对区管党政主要领导干部及其他单位主要负责人实施经济责任审计和自然资源资产离任审计。</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6.组织实施对国家财经法律法规、规章、政策和宏观调控措施执行情况、财政预算管理及国有资产管理使用等与区级财政收支有关的特定事项进行专项审计调查。</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8.指导和监督内部审计工作，核查社会审计机构对依法属于审计监督对象的单位出具的相关审计报告。</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9.组织开展审计领域内的交流与合作，指导和组织开展信息技术在审计领域的应用。</w:t>
      </w:r>
    </w:p>
    <w:p>
      <w:pPr>
        <w:pStyle w:val="8"/>
        <w:spacing w:line="352"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10.负责职责范围内的安全生产和职业健康、生态环境保护等工作。</w:t>
      </w:r>
    </w:p>
    <w:p>
      <w:pPr>
        <w:ind w:firstLine="624" w:firstLineChars="200"/>
        <w:rPr>
          <w:rFonts w:hint="eastAsia"/>
          <w:szCs w:val="21"/>
        </w:rPr>
      </w:pPr>
      <w:r>
        <w:rPr>
          <w:rFonts w:hint="eastAsia" w:ascii="仿宋_GB2312" w:eastAsia="仿宋_GB2312"/>
          <w:spacing w:val="-4"/>
          <w:sz w:val="32"/>
          <w:szCs w:val="32"/>
        </w:rPr>
        <w:t>11.完成区委和区政府交办的其他任务</w:t>
      </w:r>
      <w:r>
        <w:rPr>
          <w:rFonts w:hint="eastAsia" w:ascii="宋体" w:hAnsi="宋体"/>
          <w:spacing w:val="-4"/>
          <w:sz w:val="32"/>
          <w:szCs w:val="32"/>
        </w:rPr>
        <w:t>。</w:t>
      </w:r>
    </w:p>
    <w:p>
      <w:pPr>
        <w:pStyle w:val="14"/>
        <w:numPr>
          <w:ilvl w:val="0"/>
          <w:numId w:val="0"/>
        </w:numPr>
        <w:ind w:firstLine="640" w:firstLineChars="200"/>
        <w:rPr>
          <w:rFonts w:hint="eastAsia" w:eastAsia="仿宋"/>
          <w:lang w:val="zh-CN" w:eastAsia="zh-CN"/>
        </w:rPr>
      </w:pPr>
      <w:r>
        <w:rPr>
          <w:rFonts w:hint="eastAsia" w:ascii="仿宋" w:hAnsi="仿宋" w:eastAsia="仿宋" w:cs="宋体"/>
          <w:color w:val="000000"/>
          <w:kern w:val="0"/>
          <w:sz w:val="32"/>
          <w:szCs w:val="32"/>
        </w:rPr>
        <w:t>截至20</w:t>
      </w:r>
      <w:r>
        <w:rPr>
          <w:rFonts w:hint="eastAsia" w:ascii="仿宋" w:hAnsi="仿宋" w:eastAsia="仿宋" w:cs="宋体"/>
          <w:color w:val="000000"/>
          <w:kern w:val="0"/>
          <w:sz w:val="32"/>
          <w:szCs w:val="32"/>
          <w:lang w:val="en-US" w:eastAsia="zh-CN"/>
        </w:rPr>
        <w:t>22</w:t>
      </w:r>
      <w:r>
        <w:rPr>
          <w:rFonts w:hint="eastAsia" w:ascii="仿宋" w:hAnsi="仿宋" w:eastAsia="仿宋" w:cs="宋体"/>
          <w:color w:val="000000"/>
          <w:kern w:val="0"/>
          <w:sz w:val="32"/>
          <w:szCs w:val="32"/>
        </w:rPr>
        <w:t>年末有在职职工1</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人（行政编制</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人，事业参公编制</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人）</w:t>
      </w:r>
      <w:r>
        <w:rPr>
          <w:rFonts w:hint="eastAsia" w:ascii="仿宋" w:hAnsi="仿宋" w:eastAsia="仿宋" w:cs="宋体"/>
          <w:color w:val="000000"/>
          <w:kern w:val="0"/>
          <w:sz w:val="32"/>
          <w:szCs w:val="32"/>
          <w:lang w:eastAsia="zh-CN"/>
        </w:rPr>
        <w:t>。</w:t>
      </w:r>
    </w:p>
    <w:p>
      <w:pPr>
        <w:widowControl/>
        <w:numPr>
          <w:ilvl w:val="0"/>
          <w:numId w:val="7"/>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widowControl/>
        <w:adjustRightInd w:val="0"/>
        <w:snapToGrid w:val="0"/>
        <w:spacing w:line="560" w:lineRule="exact"/>
        <w:ind w:firstLine="640" w:firstLineChars="200"/>
        <w:contextualSpacing/>
        <w:jc w:val="left"/>
        <w:rPr>
          <w:rFonts w:eastAsia="仿宋_GB2312"/>
          <w:sz w:val="32"/>
          <w:szCs w:val="32"/>
        </w:rPr>
      </w:pPr>
      <w:r>
        <w:rPr>
          <w:rFonts w:hint="eastAsia" w:eastAsia="仿宋_GB2312"/>
          <w:sz w:val="32"/>
          <w:szCs w:val="32"/>
        </w:rPr>
        <w:t>履行审计监督职能，加强财政审计推动经济健康运行，</w:t>
      </w:r>
      <w:r>
        <w:rPr>
          <w:rFonts w:eastAsia="仿宋_GB2312"/>
          <w:sz w:val="32"/>
          <w:szCs w:val="32"/>
        </w:rPr>
        <w:t>强化投资审计规范政府投资建设</w:t>
      </w:r>
      <w:r>
        <w:rPr>
          <w:rFonts w:hint="eastAsia" w:eastAsia="仿宋_GB2312"/>
          <w:sz w:val="32"/>
          <w:szCs w:val="32"/>
        </w:rPr>
        <w:t>，</w:t>
      </w:r>
      <w:r>
        <w:rPr>
          <w:rFonts w:eastAsia="仿宋_GB2312"/>
          <w:sz w:val="32"/>
          <w:szCs w:val="32"/>
        </w:rPr>
        <w:t>开展经济责任审计规范权力运行</w:t>
      </w:r>
      <w:r>
        <w:rPr>
          <w:rFonts w:hint="eastAsia" w:eastAsia="仿宋_GB2312"/>
          <w:sz w:val="32"/>
          <w:szCs w:val="32"/>
        </w:rPr>
        <w:t>，</w:t>
      </w:r>
      <w:r>
        <w:rPr>
          <w:rFonts w:eastAsia="仿宋_GB2312"/>
          <w:sz w:val="32"/>
          <w:szCs w:val="32"/>
        </w:rPr>
        <w:t>开展民生审计维护保障群众利益。</w:t>
      </w:r>
    </w:p>
    <w:p>
      <w:pPr>
        <w:widowControl/>
        <w:numPr>
          <w:ilvl w:val="0"/>
          <w:numId w:val="7"/>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pStyle w:val="21"/>
        <w:numPr>
          <w:ilvl w:val="0"/>
          <w:numId w:val="0"/>
        </w:numPr>
        <w:ind w:firstLine="640" w:firstLineChars="200"/>
        <w:rPr>
          <w:lang w:val="zh-CN"/>
        </w:rPr>
      </w:pPr>
      <w:r>
        <w:rPr>
          <w:rFonts w:hint="eastAsia" w:hAnsi="仿宋_GB2312" w:cs="仿宋_GB2312"/>
          <w:kern w:val="2"/>
          <w:sz w:val="32"/>
          <w:szCs w:val="32"/>
          <w:lang w:val="en"/>
        </w:rPr>
        <w:t>按照全国、全省</w:t>
      </w:r>
      <w:r>
        <w:rPr>
          <w:rFonts w:hint="eastAsia" w:hAnsi="仿宋_GB2312" w:cs="仿宋_GB2312"/>
          <w:kern w:val="2"/>
          <w:sz w:val="32"/>
          <w:szCs w:val="32"/>
          <w:lang w:val="en" w:eastAsia="zh-CN"/>
        </w:rPr>
        <w:t>、</w:t>
      </w:r>
      <w:r>
        <w:rPr>
          <w:rFonts w:hint="eastAsia" w:hAnsi="仿宋_GB2312" w:cs="仿宋_GB2312"/>
          <w:kern w:val="2"/>
          <w:sz w:val="32"/>
          <w:szCs w:val="32"/>
          <w:lang w:val="en-US" w:eastAsia="zh-CN"/>
        </w:rPr>
        <w:t>全市</w:t>
      </w:r>
      <w:r>
        <w:rPr>
          <w:rFonts w:hint="eastAsia" w:hAnsi="仿宋_GB2312" w:cs="仿宋_GB2312"/>
          <w:kern w:val="2"/>
          <w:sz w:val="32"/>
          <w:szCs w:val="32"/>
          <w:lang w:val="en"/>
        </w:rPr>
        <w:t>审计工作会议精神，结合</w:t>
      </w:r>
      <w:r>
        <w:rPr>
          <w:rFonts w:hint="eastAsia" w:hAnsi="仿宋_GB2312" w:cs="仿宋_GB2312"/>
          <w:kern w:val="2"/>
          <w:sz w:val="32"/>
          <w:szCs w:val="32"/>
          <w:lang w:val="en-US" w:eastAsia="zh-CN"/>
        </w:rPr>
        <w:t>区</w:t>
      </w:r>
      <w:r>
        <w:rPr>
          <w:rFonts w:hint="eastAsia" w:hAnsi="仿宋_GB2312" w:cs="仿宋_GB2312"/>
          <w:kern w:val="2"/>
          <w:sz w:val="32"/>
          <w:szCs w:val="32"/>
          <w:lang w:val="en"/>
        </w:rPr>
        <w:t>委、</w:t>
      </w:r>
      <w:r>
        <w:rPr>
          <w:rFonts w:hint="eastAsia" w:hAnsi="仿宋_GB2312" w:cs="仿宋_GB2312"/>
          <w:kern w:val="2"/>
          <w:sz w:val="32"/>
          <w:szCs w:val="32"/>
          <w:lang w:val="en-US" w:eastAsia="zh-CN"/>
        </w:rPr>
        <w:t>区</w:t>
      </w:r>
      <w:r>
        <w:rPr>
          <w:rFonts w:hint="eastAsia" w:hAnsi="仿宋_GB2312" w:cs="仿宋_GB2312"/>
          <w:kern w:val="2"/>
          <w:sz w:val="32"/>
          <w:szCs w:val="32"/>
          <w:lang w:val="en"/>
        </w:rPr>
        <w:t>政府的总体部署及要求，履行审计监督职责，确保审计工作开展。</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pacing w:line="600" w:lineRule="exact"/>
        <w:ind w:firstLine="640" w:firstLineChars="200"/>
        <w:outlineLvl w:val="1"/>
        <w:rPr>
          <w:rFonts w:hint="eastAsia" w:eastAsia="仿宋"/>
          <w:lang w:eastAsia="zh-CN"/>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218.79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204.03</w:t>
      </w:r>
      <w:r>
        <w:rPr>
          <w:rFonts w:hint="eastAsia" w:ascii="仿宋" w:hAnsi="仿宋" w:eastAsia="仿宋"/>
          <w:sz w:val="32"/>
          <w:szCs w:val="32"/>
        </w:rPr>
        <w:t>万元，占</w:t>
      </w:r>
      <w:r>
        <w:rPr>
          <w:rFonts w:hint="eastAsia" w:ascii="仿宋" w:hAnsi="仿宋" w:eastAsia="仿宋"/>
          <w:sz w:val="32"/>
          <w:szCs w:val="32"/>
          <w:lang w:val="en-US" w:eastAsia="zh-CN"/>
        </w:rPr>
        <w:t>93.25</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14.76</w:t>
      </w:r>
      <w:r>
        <w:rPr>
          <w:rFonts w:hint="eastAsia" w:ascii="仿宋" w:hAnsi="仿宋" w:eastAsia="仿宋"/>
          <w:sz w:val="32"/>
          <w:szCs w:val="32"/>
        </w:rPr>
        <w:t>万元，占</w:t>
      </w:r>
      <w:r>
        <w:rPr>
          <w:rFonts w:hint="eastAsia" w:ascii="仿宋" w:hAnsi="仿宋" w:eastAsia="仿宋"/>
          <w:sz w:val="32"/>
          <w:szCs w:val="32"/>
          <w:lang w:val="en-US" w:eastAsia="zh-CN"/>
        </w:rPr>
        <w:t>6.75</w:t>
      </w:r>
      <w:r>
        <w:rPr>
          <w:rFonts w:ascii="仿宋" w:hAnsi="仿宋" w:eastAsia="仿宋"/>
          <w:sz w:val="32"/>
          <w:szCs w:val="32"/>
        </w:rPr>
        <w:t>%</w:t>
      </w:r>
      <w:r>
        <w:rPr>
          <w:rFonts w:hint="eastAsia" w:ascii="仿宋" w:hAnsi="仿宋" w:eastAsia="仿宋"/>
          <w:sz w:val="32"/>
          <w:szCs w:val="32"/>
          <w:lang w:eastAsia="zh-CN"/>
        </w:rPr>
        <w:t>。</w:t>
      </w:r>
    </w:p>
    <w:p>
      <w:pPr>
        <w:widowControl/>
        <w:numPr>
          <w:ilvl w:val="0"/>
          <w:numId w:val="0"/>
        </w:numPr>
        <w:adjustRightInd w:val="0"/>
        <w:snapToGrid w:val="0"/>
        <w:spacing w:line="560" w:lineRule="exact"/>
        <w:ind w:left="640" w:leftChars="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pStyle w:val="2"/>
        <w:spacing w:before="93"/>
        <w:rPr>
          <w:rFonts w:hint="eastAsia" w:eastAsia="仿宋"/>
          <w:lang w:val="en-US" w:eastAsia="zh-CN"/>
        </w:rPr>
      </w:pP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218.79</w:t>
      </w:r>
      <w:r>
        <w:rPr>
          <w:rFonts w:hint="eastAsia" w:ascii="仿宋" w:hAnsi="仿宋" w:eastAsia="仿宋"/>
          <w:sz w:val="32"/>
          <w:szCs w:val="32"/>
        </w:rPr>
        <w:t>万元，其中：基本支出</w:t>
      </w:r>
      <w:r>
        <w:rPr>
          <w:rFonts w:hint="eastAsia" w:ascii="仿宋" w:hAnsi="仿宋" w:eastAsia="仿宋"/>
          <w:sz w:val="32"/>
          <w:szCs w:val="32"/>
          <w:lang w:val="en-US" w:eastAsia="zh-CN"/>
        </w:rPr>
        <w:t>202.03</w:t>
      </w:r>
      <w:r>
        <w:rPr>
          <w:rFonts w:hint="eastAsia" w:ascii="仿宋" w:hAnsi="仿宋" w:eastAsia="仿宋"/>
          <w:sz w:val="32"/>
          <w:szCs w:val="32"/>
        </w:rPr>
        <w:t>万元，占</w:t>
      </w:r>
      <w:r>
        <w:rPr>
          <w:rFonts w:hint="eastAsia" w:ascii="仿宋" w:hAnsi="仿宋" w:eastAsia="仿宋"/>
          <w:sz w:val="32"/>
          <w:szCs w:val="32"/>
          <w:lang w:val="en-US" w:eastAsia="zh-CN"/>
        </w:rPr>
        <w:t>92.34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16.76</w:t>
      </w:r>
      <w:r>
        <w:rPr>
          <w:rFonts w:hint="eastAsia" w:ascii="仿宋" w:hAnsi="仿宋" w:eastAsia="仿宋"/>
          <w:sz w:val="32"/>
          <w:szCs w:val="32"/>
        </w:rPr>
        <w:t>万元，占</w:t>
      </w:r>
      <w:r>
        <w:rPr>
          <w:rFonts w:hint="eastAsia" w:ascii="仿宋" w:hAnsi="仿宋" w:eastAsia="仿宋"/>
          <w:sz w:val="32"/>
          <w:szCs w:val="32"/>
          <w:lang w:val="en-US" w:eastAsia="zh-CN"/>
        </w:rPr>
        <w:t>7.66</w:t>
      </w:r>
      <w:r>
        <w:rPr>
          <w:rFonts w:ascii="仿宋" w:hAnsi="仿宋" w:eastAsia="仿宋"/>
          <w:sz w:val="32"/>
          <w:szCs w:val="32"/>
        </w:rPr>
        <w:t>%</w:t>
      </w:r>
      <w:r>
        <w:rPr>
          <w:rFonts w:hint="eastAsia" w:ascii="仿宋" w:hAnsi="仿宋" w:eastAsia="仿宋"/>
          <w:sz w:val="32"/>
          <w:szCs w:val="32"/>
          <w:lang w:eastAsia="zh-CN"/>
        </w:rPr>
        <w:t>。</w:t>
      </w:r>
    </w:p>
    <w:p>
      <w:pPr>
        <w:widowControl/>
        <w:numPr>
          <w:ilvl w:val="0"/>
          <w:numId w:val="0"/>
        </w:numPr>
        <w:adjustRightInd w:val="0"/>
        <w:snapToGrid w:val="0"/>
        <w:spacing w:line="560" w:lineRule="exact"/>
        <w:ind w:left="640" w:leftChars="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pStyle w:val="21"/>
        <w:numPr>
          <w:ilvl w:val="0"/>
          <w:numId w:val="0"/>
        </w:numPr>
        <w:ind w:left="640" w:leftChars="0"/>
      </w:pPr>
      <w:r>
        <w:rPr>
          <w:rFonts w:hint="eastAsia" w:hAnsi="仿宋_GB2312" w:cs="仿宋_GB2312"/>
          <w:sz w:val="32"/>
          <w:szCs w:val="32"/>
          <w:shd w:val="clear" w:color="auto" w:fill="FFFFFF"/>
        </w:rPr>
        <w:t>2022年，部门结转结余</w:t>
      </w:r>
      <w:r>
        <w:rPr>
          <w:rFonts w:hint="eastAsia" w:hAnsi="仿宋_GB2312" w:cs="仿宋_GB2312"/>
          <w:sz w:val="32"/>
          <w:szCs w:val="32"/>
          <w:shd w:val="clear" w:color="auto" w:fill="FFFFFF"/>
          <w:lang w:val="en-US" w:eastAsia="zh-CN"/>
        </w:rPr>
        <w:t>0</w:t>
      </w:r>
      <w:r>
        <w:rPr>
          <w:rFonts w:hint="eastAsia" w:hAnsi="仿宋_GB2312" w:cs="仿宋_GB2312"/>
          <w:sz w:val="32"/>
          <w:szCs w:val="32"/>
          <w:shd w:val="clear" w:color="auto" w:fill="FFFFFF"/>
        </w:rPr>
        <w:t>万元。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 w:hAnsi="仿宋" w:eastAsia="仿宋"/>
          <w:sz w:val="32"/>
          <w:szCs w:val="32"/>
        </w:rPr>
        <w:t xml:space="preserve"> </w:t>
      </w:r>
      <w:r>
        <w:rPr>
          <w:rFonts w:hint="eastAsia" w:ascii="仿宋_GB2312" w:hAnsi="仿宋_GB2312" w:eastAsia="仿宋_GB2312" w:cs="仿宋_GB2312"/>
          <w:kern w:val="0"/>
          <w:sz w:val="32"/>
          <w:szCs w:val="32"/>
          <w:shd w:val="clear" w:color="auto" w:fill="FFFFFF"/>
        </w:rPr>
        <w:t>2022年财政拨款收入总计</w:t>
      </w:r>
      <w:r>
        <w:rPr>
          <w:rFonts w:hint="eastAsia" w:ascii="仿宋_GB2312" w:hAnsi="仿宋_GB2312" w:eastAsia="仿宋_GB2312" w:cs="仿宋_GB2312"/>
          <w:kern w:val="0"/>
          <w:sz w:val="32"/>
          <w:szCs w:val="32"/>
          <w:shd w:val="clear" w:color="auto" w:fill="FFFFFF"/>
          <w:lang w:val="en-US" w:eastAsia="zh-CN"/>
        </w:rPr>
        <w:t>218.79</w:t>
      </w:r>
      <w:r>
        <w:rPr>
          <w:rFonts w:hint="eastAsia" w:ascii="仿宋_GB2312" w:hAnsi="仿宋_GB2312" w:eastAsia="仿宋_GB2312" w:cs="仿宋_GB2312"/>
          <w:kern w:val="0"/>
          <w:sz w:val="32"/>
          <w:szCs w:val="32"/>
          <w:shd w:val="clear" w:color="auto" w:fill="FFFFFF"/>
        </w:rPr>
        <w:t>万元，其中：一般公共预算财政拨款收入</w:t>
      </w:r>
      <w:r>
        <w:rPr>
          <w:rFonts w:hint="eastAsia" w:ascii="仿宋_GB2312" w:hAnsi="仿宋_GB2312" w:eastAsia="仿宋_GB2312" w:cs="仿宋_GB2312"/>
          <w:kern w:val="0"/>
          <w:sz w:val="32"/>
          <w:szCs w:val="32"/>
          <w:shd w:val="clear" w:color="auto" w:fill="FFFFFF"/>
          <w:lang w:val="en-US" w:eastAsia="zh-CN"/>
        </w:rPr>
        <w:t>204.03</w:t>
      </w:r>
      <w:r>
        <w:rPr>
          <w:rFonts w:hint="eastAsia" w:ascii="仿宋_GB2312" w:hAnsi="仿宋_GB2312" w:eastAsia="仿宋_GB2312" w:cs="仿宋_GB2312"/>
          <w:kern w:val="0"/>
          <w:sz w:val="32"/>
          <w:szCs w:val="32"/>
          <w:shd w:val="clear" w:color="auto" w:fill="FFFFFF"/>
        </w:rPr>
        <w:t>万元，占</w:t>
      </w:r>
      <w:r>
        <w:rPr>
          <w:rFonts w:hint="eastAsia" w:ascii="仿宋_GB2312" w:hAnsi="仿宋_GB2312" w:eastAsia="仿宋_GB2312" w:cs="仿宋_GB2312"/>
          <w:kern w:val="0"/>
          <w:sz w:val="32"/>
          <w:szCs w:val="32"/>
          <w:shd w:val="clear" w:color="auto" w:fill="FFFFFF"/>
          <w:lang w:val="en-US" w:eastAsia="zh-CN"/>
        </w:rPr>
        <w:t>93.25</w:t>
      </w:r>
      <w:r>
        <w:rPr>
          <w:rFonts w:hint="eastAsia" w:ascii="仿宋_GB2312" w:hAnsi="仿宋_GB2312" w:eastAsia="仿宋_GB2312" w:cs="仿宋_GB2312"/>
          <w:kern w:val="0"/>
          <w:sz w:val="32"/>
          <w:szCs w:val="32"/>
          <w:shd w:val="clear" w:color="auto" w:fill="FFFFFF"/>
        </w:rPr>
        <w:t>%；政府性基金预算财政拨款收入</w:t>
      </w:r>
      <w:r>
        <w:rPr>
          <w:rFonts w:hint="eastAsia" w:ascii="仿宋_GB2312" w:hAnsi="仿宋_GB2312" w:eastAsia="仿宋_GB2312" w:cs="仿宋_GB2312"/>
          <w:kern w:val="0"/>
          <w:sz w:val="32"/>
          <w:szCs w:val="32"/>
          <w:shd w:val="clear" w:color="auto" w:fill="FFFFFF"/>
          <w:lang w:val="en-US" w:eastAsia="zh-CN"/>
        </w:rPr>
        <w:t>14.76</w:t>
      </w:r>
      <w:r>
        <w:rPr>
          <w:rFonts w:hint="eastAsia" w:ascii="仿宋_GB2312" w:hAnsi="仿宋_GB2312" w:eastAsia="仿宋_GB2312" w:cs="仿宋_GB2312"/>
          <w:kern w:val="0"/>
          <w:sz w:val="32"/>
          <w:szCs w:val="32"/>
          <w:shd w:val="clear" w:color="auto" w:fill="FFFFFF"/>
        </w:rPr>
        <w:t>万元，占</w:t>
      </w:r>
      <w:r>
        <w:rPr>
          <w:rFonts w:hint="eastAsia" w:ascii="仿宋_GB2312" w:hAnsi="仿宋_GB2312" w:eastAsia="仿宋_GB2312" w:cs="仿宋_GB2312"/>
          <w:kern w:val="0"/>
          <w:sz w:val="32"/>
          <w:szCs w:val="32"/>
          <w:shd w:val="clear" w:color="auto" w:fill="FFFFFF"/>
          <w:lang w:val="en-US" w:eastAsia="zh-CN"/>
        </w:rPr>
        <w:t>6.75</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部门财政拨款支出情况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2022年部门财政支出总计218.79</w:t>
      </w:r>
      <w:r>
        <w:rPr>
          <w:rFonts w:hint="eastAsia" w:ascii="仿宋_GB2312" w:hAnsi="仿宋_GB2312" w:eastAsia="仿宋_GB2312" w:cs="仿宋_GB2312"/>
          <w:kern w:val="0"/>
          <w:sz w:val="32"/>
          <w:szCs w:val="32"/>
          <w:shd w:val="clear" w:color="auto" w:fill="FFFFFF"/>
        </w:rPr>
        <w:t>万元，其中：基本支出</w:t>
      </w:r>
      <w:r>
        <w:rPr>
          <w:rFonts w:hint="eastAsia" w:ascii="仿宋_GB2312" w:hAnsi="仿宋_GB2312" w:eastAsia="仿宋_GB2312" w:cs="仿宋_GB2312"/>
          <w:kern w:val="0"/>
          <w:sz w:val="32"/>
          <w:szCs w:val="32"/>
          <w:shd w:val="clear" w:color="auto" w:fill="FFFFFF"/>
          <w:lang w:val="en-US" w:eastAsia="zh-CN"/>
        </w:rPr>
        <w:t>202.03</w:t>
      </w:r>
      <w:r>
        <w:rPr>
          <w:rFonts w:hint="eastAsia" w:ascii="仿宋_GB2312" w:hAnsi="仿宋_GB2312" w:eastAsia="仿宋_GB2312" w:cs="仿宋_GB2312"/>
          <w:kern w:val="0"/>
          <w:sz w:val="32"/>
          <w:szCs w:val="32"/>
          <w:shd w:val="clear" w:color="auto" w:fill="FFFFFF"/>
        </w:rPr>
        <w:t>万元，占</w:t>
      </w:r>
      <w:r>
        <w:rPr>
          <w:rFonts w:hint="eastAsia" w:ascii="仿宋_GB2312" w:hAnsi="仿宋_GB2312" w:eastAsia="仿宋_GB2312" w:cs="仿宋_GB2312"/>
          <w:kern w:val="0"/>
          <w:sz w:val="32"/>
          <w:szCs w:val="32"/>
          <w:shd w:val="clear" w:color="auto" w:fill="FFFFFF"/>
          <w:lang w:val="en-US" w:eastAsia="zh-CN"/>
        </w:rPr>
        <w:t>92.34</w:t>
      </w:r>
      <w:r>
        <w:rPr>
          <w:rFonts w:hint="eastAsia" w:ascii="仿宋_GB2312" w:hAnsi="仿宋_GB2312" w:eastAsia="仿宋_GB2312" w:cs="仿宋_GB2312"/>
          <w:kern w:val="0"/>
          <w:sz w:val="32"/>
          <w:szCs w:val="32"/>
          <w:shd w:val="clear" w:color="auto" w:fill="FFFFFF"/>
        </w:rPr>
        <w:t>%；项目支出</w:t>
      </w:r>
      <w:r>
        <w:rPr>
          <w:rFonts w:hint="eastAsia" w:ascii="仿宋_GB2312" w:hAnsi="仿宋_GB2312" w:eastAsia="仿宋_GB2312" w:cs="仿宋_GB2312"/>
          <w:kern w:val="0"/>
          <w:sz w:val="32"/>
          <w:szCs w:val="32"/>
          <w:shd w:val="clear" w:color="auto" w:fill="FFFFFF"/>
          <w:lang w:val="en-US" w:eastAsia="zh-CN"/>
        </w:rPr>
        <w:t>16.76</w:t>
      </w:r>
      <w:r>
        <w:rPr>
          <w:rFonts w:hint="eastAsia" w:ascii="仿宋_GB2312" w:hAnsi="仿宋_GB2312" w:eastAsia="仿宋_GB2312" w:cs="仿宋_GB2312"/>
          <w:kern w:val="0"/>
          <w:sz w:val="32"/>
          <w:szCs w:val="32"/>
          <w:shd w:val="clear" w:color="auto" w:fill="FFFFFF"/>
        </w:rPr>
        <w:t>万元，占</w:t>
      </w:r>
      <w:r>
        <w:rPr>
          <w:rFonts w:hint="eastAsia" w:ascii="仿宋_GB2312" w:hAnsi="仿宋_GB2312" w:eastAsia="仿宋_GB2312" w:cs="仿宋_GB2312"/>
          <w:kern w:val="0"/>
          <w:sz w:val="32"/>
          <w:szCs w:val="32"/>
          <w:shd w:val="clear" w:color="auto" w:fill="FFFFFF"/>
          <w:lang w:val="en-US" w:eastAsia="zh-CN"/>
        </w:rPr>
        <w:t>7.66</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部门财政拨款结转结余情况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2022年无财政拨款结转结余</w:t>
      </w:r>
      <w:r>
        <w:rPr>
          <w:rFonts w:hint="eastAsia" w:ascii="仿宋_GB2312" w:hAnsi="仿宋_GB2312" w:eastAsia="仿宋_GB2312" w:cs="仿宋_GB2312"/>
          <w:kern w:val="0"/>
          <w:sz w:val="32"/>
          <w:szCs w:val="32"/>
          <w:shd w:val="clear" w:color="auto" w:fill="FFFFFF"/>
          <w:lang w:eastAsia="zh-CN"/>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三、部门整体绩效分析（根据适用指标体系进行调整，涉及到有专项资金预算项目的部门，专项资金预算项目自评报告作为本报告附件一并公开）</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spacing w:line="600" w:lineRule="exact"/>
        <w:ind w:firstLine="643" w:firstLineChars="200"/>
        <w:rPr>
          <w:rFonts w:ascii="仿宋_GB2312" w:hAnsi="仿宋_GB2312" w:eastAsia="仿宋_GB2312" w:cs="仿宋_GB2312"/>
          <w:sz w:val="32"/>
          <w:szCs w:val="32"/>
          <w:lang w:val="en"/>
        </w:rPr>
      </w:pPr>
      <w:r>
        <w:rPr>
          <w:rFonts w:hint="eastAsia" w:ascii="仿宋_GB2312" w:hAnsi="仿宋_GB2312" w:eastAsia="仿宋_GB2312" w:cs="仿宋_GB2312"/>
          <w:b/>
          <w:bCs/>
          <w:sz w:val="32"/>
          <w:szCs w:val="32"/>
        </w:rPr>
        <w:t>目标制定方面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按照全国、全省</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val="en"/>
        </w:rPr>
        <w:t>审计工作会议精神，结合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
        </w:rPr>
        <w:t>政府的总体部署及要求，履行审计监督职责，严格按照绩效目标制定的相关规定，完整合理制定各项绩效目标，绩效指标基本做到细化量化。</w:t>
      </w:r>
    </w:p>
    <w:p>
      <w:pPr>
        <w:pStyle w:val="2"/>
        <w:spacing w:before="93"/>
        <w:ind w:firstLine="600"/>
      </w:pPr>
      <w:r>
        <w:rPr>
          <w:rFonts w:hint="eastAsia"/>
          <w:b/>
          <w:bCs/>
        </w:rPr>
        <w:t>目标实现方面。</w:t>
      </w:r>
      <w:r>
        <w:rPr>
          <w:rFonts w:hint="eastAsia"/>
        </w:rPr>
        <w:t>严格执行相关政策，保障工资及时发放、足额发放，预算编制科学合理，减少结余资金</w:t>
      </w:r>
    </w:p>
    <w:p>
      <w:pPr>
        <w:pStyle w:val="2"/>
        <w:spacing w:before="93"/>
        <w:ind w:firstLine="600"/>
      </w:pPr>
      <w:r>
        <w:rPr>
          <w:rFonts w:hint="eastAsia"/>
          <w:b/>
          <w:bCs/>
        </w:rPr>
        <w:t>支出控制方面。</w:t>
      </w:r>
      <w:r>
        <w:rPr>
          <w:rFonts w:hint="eastAsia"/>
        </w:rPr>
        <w:t>2022年我局各项经费支出均按照调整预算数执行，支出预算决算偏差度为0%。</w:t>
      </w:r>
    </w:p>
    <w:p>
      <w:pPr>
        <w:pStyle w:val="2"/>
        <w:spacing w:before="93"/>
        <w:ind w:firstLine="600"/>
      </w:pPr>
      <w:r>
        <w:rPr>
          <w:rFonts w:hint="eastAsia"/>
          <w:b/>
          <w:bCs/>
        </w:rPr>
        <w:t>及时处置方面。</w:t>
      </w:r>
      <w:r>
        <w:rPr>
          <w:rFonts w:hint="eastAsia"/>
        </w:rPr>
        <w:t>根据</w:t>
      </w:r>
      <w:r>
        <w:rPr>
          <w:rFonts w:hint="eastAsia"/>
          <w:lang w:val="en-US" w:eastAsia="zh-CN"/>
        </w:rPr>
        <w:t>区</w:t>
      </w:r>
      <w:r>
        <w:rPr>
          <w:rFonts w:hint="eastAsia"/>
        </w:rPr>
        <w:t>财政局相关工作要求，2022年我局及时清理处置。</w:t>
      </w:r>
    </w:p>
    <w:p>
      <w:pPr>
        <w:pStyle w:val="2"/>
        <w:spacing w:before="93"/>
        <w:ind w:firstLine="600"/>
      </w:pPr>
      <w:r>
        <w:rPr>
          <w:rFonts w:hint="eastAsia"/>
          <w:b/>
          <w:bCs/>
        </w:rPr>
        <w:t>执行进度方面。</w:t>
      </w:r>
      <w:r>
        <w:rPr>
          <w:rFonts w:hint="eastAsia"/>
        </w:rPr>
        <w:t>2022年，我局按照绩效指标全部执行完毕。</w:t>
      </w:r>
    </w:p>
    <w:p>
      <w:pPr>
        <w:pStyle w:val="2"/>
        <w:spacing w:before="93"/>
        <w:ind w:firstLine="600"/>
      </w:pPr>
      <w:r>
        <w:rPr>
          <w:rFonts w:hint="eastAsia"/>
          <w:b/>
          <w:bCs/>
        </w:rPr>
        <w:t>预算完成方面。</w:t>
      </w:r>
      <w:r>
        <w:rPr>
          <w:rFonts w:hint="eastAsia"/>
        </w:rPr>
        <w:t>2022年，我局预算执行进度为100%。</w:t>
      </w:r>
    </w:p>
    <w:p>
      <w:pPr>
        <w:pStyle w:val="2"/>
        <w:spacing w:before="93"/>
        <w:ind w:firstLine="600"/>
      </w:pPr>
      <w:r>
        <w:rPr>
          <w:rFonts w:hint="eastAsia"/>
          <w:b/>
          <w:bCs/>
        </w:rPr>
        <w:t>资金结余率方面。</w:t>
      </w:r>
      <w:r>
        <w:rPr>
          <w:rFonts w:hint="eastAsia"/>
        </w:rPr>
        <w:t>2022年我</w:t>
      </w:r>
      <w:r>
        <w:rPr>
          <w:rFonts w:hint="eastAsia"/>
          <w:lang w:val="en-US" w:eastAsia="zh-CN"/>
        </w:rPr>
        <w:t>局</w:t>
      </w:r>
      <w:r>
        <w:rPr>
          <w:rFonts w:hint="eastAsia"/>
        </w:rPr>
        <w:t>预算项目均无结余，资金结余率0%。</w:t>
      </w:r>
    </w:p>
    <w:p>
      <w:pPr>
        <w:pStyle w:val="2"/>
        <w:spacing w:before="93"/>
        <w:ind w:firstLine="600"/>
      </w:pPr>
      <w:r>
        <w:rPr>
          <w:rFonts w:hint="eastAsia"/>
          <w:b/>
          <w:bCs/>
        </w:rPr>
        <w:t>违规记录方面。</w:t>
      </w:r>
      <w:r>
        <w:rPr>
          <w:rFonts w:hint="eastAsia"/>
        </w:rPr>
        <w:t>通过自查，2022年我局无预算管理方面违纪违规问题。</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spacing w:line="600" w:lineRule="exact"/>
        <w:ind w:firstLine="643" w:firstLineChars="200"/>
        <w:rPr>
          <w:rFonts w:ascii="仿宋_GB2312" w:hAnsi="仿宋_GB2312" w:eastAsia="仿宋_GB2312" w:cs="仿宋_GB2312"/>
          <w:sz w:val="32"/>
          <w:szCs w:val="32"/>
          <w:lang w:val="en"/>
        </w:rPr>
      </w:pPr>
      <w:r>
        <w:rPr>
          <w:rFonts w:hint="eastAsia" w:ascii="仿宋_GB2312" w:hAnsi="仿宋_GB2312" w:eastAsia="仿宋_GB2312" w:cs="仿宋_GB2312"/>
          <w:b/>
          <w:bCs/>
          <w:sz w:val="32"/>
          <w:szCs w:val="32"/>
        </w:rPr>
        <w:t>目标制定方面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年，我局共安排审计项目计划</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000000" w:themeColor="text1"/>
          <w:sz w:val="32"/>
          <w:szCs w:val="32"/>
          <w:lang w:val="en"/>
        </w:rPr>
        <w:t>个，参考对上年预算执行情况，结合部门预算项目安排的</w:t>
      </w:r>
      <w:r>
        <w:rPr>
          <w:rFonts w:hint="eastAsia" w:ascii="仿宋_GB2312" w:hAnsi="仿宋_GB2312" w:eastAsia="仿宋_GB2312" w:cs="仿宋_GB2312"/>
          <w:sz w:val="32"/>
          <w:szCs w:val="32"/>
          <w:lang w:val="en"/>
        </w:rPr>
        <w:t>实际情况，严格按照绩效目标制定的相关规定，完整合理制定各项绩效目标，绩效指标基本做到细化量化。</w:t>
      </w:r>
    </w:p>
    <w:p>
      <w:pPr>
        <w:pStyle w:val="2"/>
        <w:spacing w:before="93"/>
        <w:ind w:firstLine="600"/>
        <w:rPr>
          <w:rFonts w:hint="eastAsia" w:ascii="仿宋_GB2312" w:hAnsi="仿宋_GB2312" w:eastAsia="仿宋_GB2312" w:cs="仿宋_GB2312"/>
          <w:kern w:val="2"/>
          <w:sz w:val="32"/>
          <w:szCs w:val="32"/>
          <w:lang w:val="en" w:eastAsia="zh-CN" w:bidi="ar-SA"/>
        </w:rPr>
      </w:pPr>
      <w:r>
        <w:rPr>
          <w:rFonts w:hint="eastAsia"/>
          <w:b/>
          <w:bCs/>
        </w:rPr>
        <w:t>目标实现方面。</w:t>
      </w:r>
      <w:r>
        <w:rPr>
          <w:rFonts w:hint="eastAsia" w:ascii="仿宋_GB2312" w:hAnsi="仿宋_GB2312" w:eastAsia="仿宋_GB2312" w:cs="仿宋_GB2312"/>
          <w:kern w:val="2"/>
          <w:sz w:val="32"/>
          <w:szCs w:val="32"/>
          <w:lang w:val="en" w:eastAsia="zh-CN" w:bidi="ar-SA"/>
        </w:rPr>
        <w:t>我局2022年共</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 w:eastAsia="zh-CN" w:bidi="ar-SA"/>
        </w:rPr>
        <w:t>个部门预算项目纳入绩效目标管理，分别为审计专项、平台开发建设及维护、政府投资项目审计项目，各项指标均圆满完成。</w:t>
      </w:r>
    </w:p>
    <w:p>
      <w:pPr>
        <w:pStyle w:val="2"/>
        <w:spacing w:before="93"/>
        <w:ind w:firstLine="600"/>
      </w:pPr>
      <w:r>
        <w:rPr>
          <w:rFonts w:hint="eastAsia"/>
          <w:b/>
          <w:bCs/>
        </w:rPr>
        <w:t>支出控制方面。</w:t>
      </w:r>
      <w:r>
        <w:rPr>
          <w:rFonts w:hint="eastAsia"/>
        </w:rPr>
        <w:t>2022年我局项目支出均按照调整预算数执行，支出预算决算偏差度为0%。</w:t>
      </w:r>
    </w:p>
    <w:p>
      <w:pPr>
        <w:pStyle w:val="2"/>
        <w:spacing w:before="93"/>
        <w:ind w:firstLine="600"/>
      </w:pPr>
      <w:r>
        <w:rPr>
          <w:rFonts w:hint="eastAsia"/>
          <w:b/>
          <w:bCs/>
        </w:rPr>
        <w:t>及时处置方面。</w:t>
      </w:r>
      <w:r>
        <w:rPr>
          <w:rFonts w:hint="eastAsia"/>
        </w:rPr>
        <w:t>根据</w:t>
      </w:r>
      <w:r>
        <w:rPr>
          <w:rFonts w:hint="eastAsia"/>
          <w:lang w:val="en-US" w:eastAsia="zh-CN"/>
        </w:rPr>
        <w:t>区</w:t>
      </w:r>
      <w:r>
        <w:rPr>
          <w:rFonts w:hint="eastAsia"/>
        </w:rPr>
        <w:t>财政局相关工作要求，2022年我局及时清理处置。</w:t>
      </w:r>
    </w:p>
    <w:p>
      <w:pPr>
        <w:pStyle w:val="2"/>
        <w:spacing w:before="93"/>
        <w:ind w:firstLine="600"/>
      </w:pPr>
      <w:r>
        <w:rPr>
          <w:rFonts w:hint="eastAsia"/>
          <w:b/>
          <w:bCs/>
        </w:rPr>
        <w:t>执行进度方面。</w:t>
      </w:r>
      <w:r>
        <w:rPr>
          <w:rFonts w:hint="eastAsia"/>
        </w:rPr>
        <w:t>2022年，我局按照绩效指标全部执行完毕。</w:t>
      </w:r>
    </w:p>
    <w:p>
      <w:pPr>
        <w:pStyle w:val="2"/>
        <w:spacing w:before="93"/>
        <w:ind w:firstLine="600"/>
      </w:pPr>
      <w:r>
        <w:rPr>
          <w:rFonts w:hint="eastAsia"/>
          <w:b/>
          <w:bCs/>
        </w:rPr>
        <w:t>预算完成方面。</w:t>
      </w:r>
      <w:r>
        <w:rPr>
          <w:rFonts w:hint="eastAsia"/>
        </w:rPr>
        <w:t>2022年，我局预算执行进度为100%。</w:t>
      </w:r>
    </w:p>
    <w:p>
      <w:pPr>
        <w:pStyle w:val="2"/>
        <w:spacing w:before="93"/>
        <w:ind w:firstLine="600"/>
      </w:pPr>
      <w:r>
        <w:rPr>
          <w:rFonts w:hint="eastAsia"/>
          <w:b/>
          <w:bCs/>
        </w:rPr>
        <w:t>资金结余率方面。</w:t>
      </w:r>
      <w:r>
        <w:rPr>
          <w:rFonts w:hint="eastAsia"/>
        </w:rPr>
        <w:t>2022年我</w:t>
      </w:r>
      <w:r>
        <w:rPr>
          <w:rFonts w:hint="eastAsia"/>
          <w:lang w:val="en-US" w:eastAsia="zh-CN"/>
        </w:rPr>
        <w:t>局</w:t>
      </w:r>
      <w:r>
        <w:rPr>
          <w:rFonts w:hint="eastAsia"/>
        </w:rPr>
        <w:t>预算项目均无结余，资金结余率0%。</w:t>
      </w:r>
    </w:p>
    <w:p>
      <w:pPr>
        <w:pStyle w:val="2"/>
        <w:spacing w:before="93"/>
        <w:ind w:firstLine="600"/>
      </w:pPr>
      <w:r>
        <w:rPr>
          <w:rFonts w:hint="eastAsia"/>
          <w:b/>
          <w:bCs/>
        </w:rPr>
        <w:t>违规记录方面。</w:t>
      </w:r>
      <w:r>
        <w:rPr>
          <w:rFonts w:hint="eastAsia"/>
        </w:rPr>
        <w:t>通过自查，2022年我局无预算管理方面违纪违规问题。</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无</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00" w:firstLineChars="200"/>
        <w:contextualSpacing/>
        <w:jc w:val="left"/>
        <w:rPr>
          <w:rFonts w:hint="eastAsia" w:ascii="仿宋_GB2312" w:hAnsi="Times New Roman" w:eastAsia="仿宋_GB2312" w:cs="Times New Roman"/>
          <w:kern w:val="0"/>
          <w:sz w:val="30"/>
          <w:szCs w:val="24"/>
          <w:lang w:val="en-US" w:eastAsia="zh-CN" w:bidi="ar-SA"/>
        </w:rPr>
      </w:pPr>
      <w:r>
        <w:rPr>
          <w:rFonts w:hint="eastAsia" w:ascii="仿宋_GB2312" w:hAnsi="Times New Roman" w:eastAsia="仿宋_GB2312" w:cs="Times New Roman"/>
          <w:kern w:val="0"/>
          <w:sz w:val="30"/>
          <w:szCs w:val="24"/>
          <w:lang w:val="en-US" w:eastAsia="zh-CN" w:bidi="ar-SA"/>
        </w:rPr>
        <w:t>2022年度经区委审计委员会审定共制定审计项目计划16个，向区委审计委员会报告调减项目3个，2022年实际组织实施项目13个，审计查出问题43个，涉及管理不规范金额5890.13万元，提出审计意见建议34条。通过审计跟踪督促，已整改问题25个，整改金额2851.84万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pStyle w:val="8"/>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我局将绩效自评结果运用到下一年工作的统筹安排、项目资金合理使用上，以提高工作效率，保质保量完成</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政府交办的各项工作。</w:t>
      </w:r>
    </w:p>
    <w:p>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绩效质量较好。</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2"/>
        <w:ind w:firstLine="640" w:firstLineChars="200"/>
        <w:rPr>
          <w:lang w:val="zh-CN"/>
        </w:rPr>
      </w:pPr>
      <w:r>
        <w:rPr>
          <w:rFonts w:hint="eastAsia" w:hAnsi="宋体" w:cs="宋体"/>
          <w:sz w:val="32"/>
          <w:szCs w:val="32"/>
          <w:shd w:val="clear" w:color="auto" w:fill="FFFFFF"/>
        </w:rPr>
        <w:t>按照</w:t>
      </w:r>
      <w:r>
        <w:rPr>
          <w:rFonts w:hint="eastAsia" w:hAnsi="宋体" w:cs="宋体"/>
          <w:sz w:val="32"/>
          <w:szCs w:val="32"/>
          <w:shd w:val="clear" w:color="auto" w:fill="FFFFFF"/>
          <w:lang w:val="en-US" w:eastAsia="zh-CN"/>
        </w:rPr>
        <w:t>区</w:t>
      </w:r>
      <w:r>
        <w:rPr>
          <w:rFonts w:hint="eastAsia" w:hAnsi="宋体" w:cs="宋体"/>
          <w:sz w:val="32"/>
          <w:szCs w:val="32"/>
          <w:shd w:val="clear" w:color="auto" w:fill="FFFFFF"/>
        </w:rPr>
        <w:t>级部门整体支出绩效评价指标体系，我局基本完成年度绩效管理目标。</w:t>
      </w:r>
    </w:p>
    <w:p>
      <w:pPr>
        <w:widowControl/>
        <w:numPr>
          <w:ilvl w:val="0"/>
          <w:numId w:val="9"/>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pStyle w:val="2"/>
        <w:spacing w:before="93"/>
        <w:ind w:firstLine="640" w:firstLineChars="200"/>
        <w:rPr>
          <w:lang w:val="zh-CN"/>
        </w:rPr>
      </w:pPr>
      <w:r>
        <w:rPr>
          <w:rFonts w:hint="eastAsia" w:hAnsi="宋体" w:cs="宋体"/>
          <w:sz w:val="32"/>
          <w:szCs w:val="32"/>
          <w:shd w:val="clear" w:color="auto" w:fill="FFFFFF"/>
          <w:lang w:val="zh-CN"/>
        </w:rPr>
        <w:t>绩效管理目标细化较为单一，管理措施不够细致，项目执行进度较为滞后。</w:t>
      </w:r>
    </w:p>
    <w:p>
      <w:pPr>
        <w:widowControl/>
        <w:numPr>
          <w:ilvl w:val="0"/>
          <w:numId w:val="9"/>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pStyle w:val="2"/>
        <w:spacing w:before="93"/>
        <w:ind w:firstLine="640"/>
        <w:rPr>
          <w:rFonts w:hAnsi="宋体" w:cs="宋体"/>
          <w:sz w:val="32"/>
          <w:szCs w:val="32"/>
          <w:shd w:val="clear" w:color="auto" w:fill="FFFFFF"/>
        </w:rPr>
      </w:pPr>
      <w:r>
        <w:rPr>
          <w:rFonts w:hint="eastAsia" w:hAnsi="宋体" w:cs="宋体"/>
          <w:sz w:val="32"/>
          <w:szCs w:val="32"/>
          <w:shd w:val="clear" w:color="auto" w:fill="FFFFFF"/>
        </w:rPr>
        <w:t>1.提高预算管理意识，明确责任分工，强化各</w:t>
      </w:r>
      <w:r>
        <w:rPr>
          <w:rFonts w:hint="eastAsia" w:hAnsi="宋体" w:cs="宋体"/>
          <w:sz w:val="32"/>
          <w:szCs w:val="32"/>
          <w:shd w:val="clear" w:color="auto" w:fill="FFFFFF"/>
          <w:lang w:val="en-US" w:eastAsia="zh-CN"/>
        </w:rPr>
        <w:t>股</w:t>
      </w:r>
      <w:r>
        <w:rPr>
          <w:rFonts w:hint="eastAsia" w:hAnsi="宋体" w:cs="宋体"/>
          <w:sz w:val="32"/>
          <w:szCs w:val="32"/>
          <w:shd w:val="clear" w:color="auto" w:fill="FFFFFF"/>
        </w:rPr>
        <w:t>（室）绩效管理意识。</w:t>
      </w:r>
    </w:p>
    <w:p>
      <w:pPr>
        <w:pStyle w:val="2"/>
        <w:numPr>
          <w:ilvl w:val="0"/>
          <w:numId w:val="0"/>
        </w:numPr>
        <w:ind w:firstLine="640" w:firstLineChars="200"/>
        <w:rPr>
          <w:lang w:val="zh-CN"/>
        </w:rPr>
      </w:pPr>
      <w:r>
        <w:rPr>
          <w:rFonts w:hint="eastAsia" w:hAnsi="宋体" w:cs="宋体"/>
          <w:sz w:val="32"/>
          <w:szCs w:val="32"/>
          <w:shd w:val="clear" w:color="auto" w:fill="FFFFFF"/>
        </w:rPr>
        <w:t>2.加强预算执行调控，加快预算执行进度，增强预算执行约束力。</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p>
    <w:p>
      <w:pPr>
        <w:pStyle w:val="15"/>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7" w:name="_Toc15396618"/>
      <w:r>
        <w:rPr>
          <w:rFonts w:hint="eastAsia" w:ascii="黑体" w:hAnsi="黑体" w:eastAsia="黑体"/>
          <w:sz w:val="44"/>
          <w:szCs w:val="44"/>
        </w:rPr>
        <w:t>第</w:t>
      </w:r>
      <w:r>
        <w:rPr>
          <w:rStyle w:val="30"/>
          <w:rFonts w:hint="eastAsia" w:ascii="黑体" w:hAnsi="黑体" w:eastAsia="黑体"/>
          <w:b w:val="0"/>
        </w:rPr>
        <w:t>五部分 附表</w:t>
      </w:r>
      <w:bookmarkEnd w:id="56"/>
      <w:bookmarkEnd w:id="57"/>
      <w:bookmarkStart w:id="58"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31"/>
          <w:rFonts w:hint="eastAsia" w:ascii="仿宋" w:hAnsi="仿宋" w:eastAsia="仿宋"/>
          <w:b w:val="0"/>
          <w:bCs w:val="0"/>
        </w:rPr>
        <w:t>入决算表</w:t>
      </w:r>
      <w:bookmarkEnd w:id="59"/>
    </w:p>
    <w:p>
      <w:pPr>
        <w:pStyle w:val="4"/>
        <w:rPr>
          <w:rFonts w:ascii="仿宋" w:hAnsi="仿宋" w:eastAsia="仿宋"/>
        </w:rPr>
      </w:pPr>
      <w:bookmarkStart w:id="60"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61"/>
    </w:p>
    <w:p>
      <w:pPr>
        <w:pStyle w:val="4"/>
        <w:rPr>
          <w:rStyle w:val="31"/>
          <w:rFonts w:ascii="仿宋" w:hAnsi="仿宋" w:eastAsia="仿宋"/>
          <w:b w:val="0"/>
          <w:bCs w:val="0"/>
        </w:rPr>
      </w:pPr>
      <w:bookmarkStart w:id="62"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31"/>
          <w:rFonts w:hint="eastAsia" w:ascii="仿宋" w:hAnsi="仿宋" w:eastAsia="仿宋"/>
          <w:b w:val="0"/>
          <w:bCs w:val="0"/>
        </w:rPr>
        <w:t>十、</w:t>
      </w:r>
      <w:bookmarkEnd w:id="67"/>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8" w:name="_Toc15396629"/>
      <w:r>
        <w:rPr>
          <w:rStyle w:val="31"/>
          <w:rFonts w:hint="eastAsia" w:ascii="仿宋" w:hAnsi="仿宋" w:eastAsia="仿宋"/>
          <w:b w:val="0"/>
          <w:bCs w:val="0"/>
        </w:rPr>
        <w:t>十一、</w:t>
      </w:r>
      <w:bookmarkEnd w:id="68"/>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9" w:name="_Toc15396630"/>
      <w:r>
        <w:rPr>
          <w:rStyle w:val="31"/>
          <w:rFonts w:hint="eastAsia" w:ascii="仿宋" w:hAnsi="仿宋" w:eastAsia="仿宋"/>
          <w:b w:val="0"/>
          <w:bCs w:val="0"/>
        </w:rPr>
        <w:t>十二、</w:t>
      </w:r>
      <w:bookmarkEnd w:id="69"/>
      <w:r>
        <w:rPr>
          <w:rStyle w:val="31"/>
          <w:rFonts w:hint="eastAsia" w:ascii="仿宋" w:hAnsi="仿宋" w:eastAsia="仿宋"/>
          <w:b w:val="0"/>
          <w:bCs w:val="0"/>
        </w:rPr>
        <w:t>国有资本经营预算财政拨款支出决算表</w:t>
      </w:r>
    </w:p>
    <w:p>
      <w:pPr>
        <w:pStyle w:val="4"/>
        <w:rPr>
          <w:rFonts w:eastAsia="仿宋"/>
        </w:rPr>
      </w:pPr>
      <w:bookmarkStart w:id="70" w:name="_Toc15396631"/>
      <w:r>
        <w:rPr>
          <w:rStyle w:val="31"/>
          <w:rFonts w:hint="eastAsia" w:ascii="仿宋" w:hAnsi="仿宋" w:eastAsia="仿宋"/>
          <w:b w:val="0"/>
          <w:bCs w:val="0"/>
        </w:rPr>
        <w:t>十三、</w:t>
      </w:r>
      <w:bookmarkEnd w:id="70"/>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6</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35C555E"/>
    <w:multiLevelType w:val="singleLevel"/>
    <w:tmpl w:val="235C555E"/>
    <w:lvl w:ilvl="0" w:tentative="0">
      <w:start w:val="1"/>
      <w:numFmt w:val="decimal"/>
      <w:lvlText w:val="%1."/>
      <w:lvlJc w:val="left"/>
      <w:pPr>
        <w:tabs>
          <w:tab w:val="left" w:pos="312"/>
        </w:tabs>
      </w:pPr>
    </w:lvl>
  </w:abstractNum>
  <w:abstractNum w:abstractNumId="7">
    <w:nsid w:val="351782C8"/>
    <w:multiLevelType w:val="singleLevel"/>
    <w:tmpl w:val="351782C8"/>
    <w:lvl w:ilvl="0" w:tentative="0">
      <w:start w:val="2"/>
      <w:numFmt w:val="chineseCounting"/>
      <w:suff w:val="nothing"/>
      <w:lvlText w:val="（%1）"/>
      <w:lvlJc w:val="left"/>
      <w:rPr>
        <w:rFonts w:hint="eastAsia"/>
      </w:rPr>
    </w:lvl>
  </w:abstractNum>
  <w:abstractNum w:abstractNumId="8">
    <w:nsid w:val="371036C8"/>
    <w:multiLevelType w:val="singleLevel"/>
    <w:tmpl w:val="371036C8"/>
    <w:lvl w:ilvl="0" w:tentative="0">
      <w:start w:val="1"/>
      <w:numFmt w:val="chineseCounting"/>
      <w:suff w:val="nothing"/>
      <w:lvlText w:val="（%1）"/>
      <w:lvlJc w:val="left"/>
      <w:rPr>
        <w:rFonts w:hint="eastAsia"/>
      </w:r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xZDY1YmFlMjQ5MGI3MjVmZjczZGE1ZmViYjBhZ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C7675"/>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96E29"/>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4BE3"/>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0D61"/>
    <w:rsid w:val="00FF1E02"/>
    <w:rsid w:val="00FF30B4"/>
    <w:rsid w:val="015975B8"/>
    <w:rsid w:val="02143E91"/>
    <w:rsid w:val="03C9309C"/>
    <w:rsid w:val="0472523A"/>
    <w:rsid w:val="04D32E62"/>
    <w:rsid w:val="05ED4016"/>
    <w:rsid w:val="06051746"/>
    <w:rsid w:val="066E0107"/>
    <w:rsid w:val="06C613CE"/>
    <w:rsid w:val="07996F6E"/>
    <w:rsid w:val="0A2032A3"/>
    <w:rsid w:val="0E694DDA"/>
    <w:rsid w:val="0F98263C"/>
    <w:rsid w:val="101860EC"/>
    <w:rsid w:val="10C055FF"/>
    <w:rsid w:val="118107EC"/>
    <w:rsid w:val="118D09D1"/>
    <w:rsid w:val="13D50BC4"/>
    <w:rsid w:val="145D4400"/>
    <w:rsid w:val="16BB723D"/>
    <w:rsid w:val="188D40CD"/>
    <w:rsid w:val="18A63BD6"/>
    <w:rsid w:val="18AB401F"/>
    <w:rsid w:val="1BE62177"/>
    <w:rsid w:val="1BE8440E"/>
    <w:rsid w:val="1D155CEE"/>
    <w:rsid w:val="1EC7098C"/>
    <w:rsid w:val="1FF35744"/>
    <w:rsid w:val="23860B96"/>
    <w:rsid w:val="240371BF"/>
    <w:rsid w:val="26C91161"/>
    <w:rsid w:val="29FD04D3"/>
    <w:rsid w:val="2C8A61B5"/>
    <w:rsid w:val="2D0E002E"/>
    <w:rsid w:val="2DF04E50"/>
    <w:rsid w:val="2EC22B14"/>
    <w:rsid w:val="2F040D46"/>
    <w:rsid w:val="319F7F4E"/>
    <w:rsid w:val="31E945EB"/>
    <w:rsid w:val="3304709D"/>
    <w:rsid w:val="345612E0"/>
    <w:rsid w:val="36AA5135"/>
    <w:rsid w:val="36F91FF0"/>
    <w:rsid w:val="376D39B2"/>
    <w:rsid w:val="37E16F03"/>
    <w:rsid w:val="38D469F0"/>
    <w:rsid w:val="393835E5"/>
    <w:rsid w:val="3D98207C"/>
    <w:rsid w:val="3E506FF5"/>
    <w:rsid w:val="3E78745D"/>
    <w:rsid w:val="3FAD24CA"/>
    <w:rsid w:val="414B090C"/>
    <w:rsid w:val="44E268DA"/>
    <w:rsid w:val="47FE42C9"/>
    <w:rsid w:val="4A101BD3"/>
    <w:rsid w:val="4A627F82"/>
    <w:rsid w:val="4A992E6A"/>
    <w:rsid w:val="4AAD6345"/>
    <w:rsid w:val="4B0E749A"/>
    <w:rsid w:val="4B4F25DA"/>
    <w:rsid w:val="4BE068DB"/>
    <w:rsid w:val="4CDF310B"/>
    <w:rsid w:val="4D281F18"/>
    <w:rsid w:val="4D577224"/>
    <w:rsid w:val="4DAF4590"/>
    <w:rsid w:val="4EAB630A"/>
    <w:rsid w:val="4ECE2238"/>
    <w:rsid w:val="4EF06480"/>
    <w:rsid w:val="52150956"/>
    <w:rsid w:val="527C29BD"/>
    <w:rsid w:val="537E6D0A"/>
    <w:rsid w:val="53D076A0"/>
    <w:rsid w:val="55911EF9"/>
    <w:rsid w:val="5653216C"/>
    <w:rsid w:val="56FD1B3F"/>
    <w:rsid w:val="58605EAA"/>
    <w:rsid w:val="5A4A544C"/>
    <w:rsid w:val="5AF92295"/>
    <w:rsid w:val="5C992E1B"/>
    <w:rsid w:val="5CD71FC4"/>
    <w:rsid w:val="5EFE475F"/>
    <w:rsid w:val="60EC57D6"/>
    <w:rsid w:val="60FD52D7"/>
    <w:rsid w:val="626B78BE"/>
    <w:rsid w:val="642004EB"/>
    <w:rsid w:val="68DC5590"/>
    <w:rsid w:val="6C4A05C8"/>
    <w:rsid w:val="6D2A48AA"/>
    <w:rsid w:val="6D2E358B"/>
    <w:rsid w:val="6D8276B5"/>
    <w:rsid w:val="6E7E3605"/>
    <w:rsid w:val="6FEB2040"/>
    <w:rsid w:val="6FF5CC65"/>
    <w:rsid w:val="704B5944"/>
    <w:rsid w:val="70E463F4"/>
    <w:rsid w:val="715C0E4B"/>
    <w:rsid w:val="72734D90"/>
    <w:rsid w:val="732A6BB8"/>
    <w:rsid w:val="73AD73D5"/>
    <w:rsid w:val="73B6EB34"/>
    <w:rsid w:val="744731E5"/>
    <w:rsid w:val="7468765B"/>
    <w:rsid w:val="76E3355F"/>
    <w:rsid w:val="778769C8"/>
    <w:rsid w:val="79C14479"/>
    <w:rsid w:val="79EE5BA4"/>
    <w:rsid w:val="7A894339"/>
    <w:rsid w:val="7BAF0C17"/>
    <w:rsid w:val="7CDF04C2"/>
    <w:rsid w:val="7D780FEA"/>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2"/>
    <w:semiHidden/>
    <w:unhideWhenUsed/>
    <w:qFormat/>
    <w:uiPriority w:val="99"/>
    <w:rPr>
      <w:rFonts w:ascii="宋体" w:hAnsi="Courier New"/>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w:basedOn w:val="2"/>
    <w:next w:val="15"/>
    <w:unhideWhenUsed/>
    <w:qFormat/>
    <w:uiPriority w:val="99"/>
    <w:pPr>
      <w:ind w:firstLine="420" w:firstLineChars="100"/>
    </w:pPr>
    <w:rPr>
      <w:rFonts w:eastAsia="仿宋_GB2312"/>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7"/>
    <w:link w:val="8"/>
    <w:semiHidden/>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202</a:t>
            </a:r>
            <a:r>
              <a:rPr lang="en-US" altLang="zh-CN"/>
              <a:t>1</a:t>
            </a:r>
            <a:r>
              <a:t>-202</a:t>
            </a:r>
            <a:r>
              <a:rPr lang="en-US" altLang="zh-CN"/>
              <a:t>2</a:t>
            </a:r>
            <a:r>
              <a:t>收支决算总计变动图</a:t>
            </a:r>
          </a:p>
        </c:rich>
      </c:tx>
      <c:layout>
        <c:manualLayout>
          <c:xMode val="edge"/>
          <c:yMode val="edge"/>
          <c:x val="0.230133928571429"/>
          <c:y val="0.0258823529411765"/>
        </c:manualLayout>
      </c:layout>
      <c:overlay val="0"/>
      <c:spPr>
        <a:noFill/>
        <a:ln>
          <a:noFill/>
        </a:ln>
        <a:effectLst/>
      </c:spPr>
    </c:title>
    <c:autoTitleDeleted val="0"/>
    <c:plotArea>
      <c:layout>
        <c:manualLayout>
          <c:layoutTarget val="inner"/>
          <c:xMode val="edge"/>
          <c:yMode val="edge"/>
          <c:x val="0.0256696428571429"/>
          <c:y val="0.191529411764706"/>
          <c:w val="0.950892857142857"/>
          <c:h val="0.704658823529412"/>
        </c:manualLayout>
      </c:layout>
      <c:barChart>
        <c:barDir val="col"/>
        <c:grouping val="stacked"/>
        <c:varyColors val="0"/>
        <c:ser>
          <c:idx val="0"/>
          <c:order val="0"/>
          <c:tx>
            <c:strRef>
              <c:f>Sheet1!$B$1</c:f>
              <c:strCache>
                <c:ptCount val="1"/>
                <c:pt idx="0">
                  <c:v>收入、支出总计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2022年</c:v>
                </c:pt>
                <c:pt idx="1">
                  <c:v>2021年</c:v>
                </c:pt>
              </c:strCache>
            </c:strRef>
          </c:cat>
          <c:val>
            <c:numRef>
              <c:f>Sheet1!$B$2:$B$3</c:f>
              <c:numCache>
                <c:formatCode>General</c:formatCode>
                <c:ptCount val="2"/>
                <c:pt idx="0">
                  <c:v>218.79</c:v>
                </c:pt>
                <c:pt idx="1">
                  <c:v>210.37</c:v>
                </c:pt>
              </c:numCache>
            </c:numRef>
          </c:val>
        </c:ser>
        <c:dLbls>
          <c:showLegendKey val="0"/>
          <c:showVal val="1"/>
          <c:showCatName val="0"/>
          <c:showSerName val="0"/>
          <c:showPercent val="0"/>
          <c:showBubbleSize val="0"/>
        </c:dLbls>
        <c:gapWidth val="79"/>
        <c:overlap val="100"/>
        <c:axId val="224287356"/>
        <c:axId val="95699804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242873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956998041"/>
        <c:crosses val="autoZero"/>
        <c:auto val="1"/>
        <c:lblAlgn val="ctr"/>
        <c:lblOffset val="100"/>
        <c:noMultiLvlLbl val="0"/>
      </c:catAx>
      <c:valAx>
        <c:axId val="95699804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2873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收入决算饼状图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204.02</c:v>
                </c:pt>
                <c:pt idx="1">
                  <c:v>14.76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支出决算饼状图</a:t>
            </a:r>
          </a:p>
        </c:rich>
      </c:tx>
      <c:layout/>
      <c:overlay val="0"/>
      <c:spPr>
        <a:noFill/>
        <a:ln>
          <a:noFill/>
        </a:ln>
        <a:effectLst/>
      </c:spPr>
    </c:title>
    <c:autoTitleDeleted val="0"/>
    <c:plotArea>
      <c:layout/>
      <c:pieChart>
        <c:varyColors val="1"/>
        <c:ser>
          <c:idx val="0"/>
          <c:order val="0"/>
          <c:tx>
            <c:strRef>
              <c:f>Sheet1!$B$1</c:f>
              <c:strCache>
                <c:ptCount val="1"/>
                <c:pt idx="0">
                  <c:v>支出决算饼状图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16.76</c:v>
                </c:pt>
                <c:pt idx="1">
                  <c:v>202.03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209.82</c:v>
                </c:pt>
                <c:pt idx="1">
                  <c:v>218.79</c:v>
                </c:pt>
              </c:numCache>
            </c:numRef>
          </c:val>
        </c:ser>
        <c:dLbls>
          <c:showLegendKey val="0"/>
          <c:showVal val="1"/>
          <c:showCatName val="0"/>
          <c:showSerName val="0"/>
          <c:showPercent val="0"/>
          <c:showBubbleSize val="0"/>
        </c:dLbls>
        <c:gapWidth val="219"/>
        <c:overlap val="-27"/>
        <c:axId val="78079572"/>
        <c:axId val="69440262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80795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02621"/>
        <c:crosses val="autoZero"/>
        <c:auto val="1"/>
        <c:lblAlgn val="ctr"/>
        <c:lblOffset val="100"/>
        <c:noMultiLvlLbl val="0"/>
      </c:catAx>
      <c:valAx>
        <c:axId val="6944026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795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c:rich>
      </c:tx>
      <c:layout/>
      <c:overlay val="0"/>
      <c:spPr>
        <a:noFill/>
        <a:ln>
          <a:noFill/>
        </a:ln>
        <a:effectLst/>
      </c:spPr>
    </c:title>
    <c:autoTitleDeleted val="0"/>
    <c:plotArea>
      <c:layout>
        <c:manualLayout>
          <c:layoutTarget val="inner"/>
          <c:xMode val="edge"/>
          <c:yMode val="edge"/>
          <c:x val="0.0613273001508296"/>
          <c:y val="0.156147540983607"/>
          <c:w val="0.913031674208145"/>
          <c:h val="0.651516393442623"/>
        </c:manualLayout>
      </c:layout>
      <c:barChart>
        <c:barDir val="col"/>
        <c:grouping val="clustered"/>
        <c:varyColors val="0"/>
        <c:ser>
          <c:idx val="0"/>
          <c:order val="0"/>
          <c:tx>
            <c:strRef>
              <c:f>Sheet1!$B$1</c:f>
              <c:strCache>
                <c:ptCount val="1"/>
                <c:pt idx="0">
                  <c:v>一般公共预算财政拨款支出变动图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c:v>
                </c:pt>
                <c:pt idx="1">
                  <c:v>2021年一般公共预算财政拨款支出</c:v>
                </c:pt>
              </c:strCache>
            </c:strRef>
          </c:cat>
          <c:val>
            <c:numRef>
              <c:f>Sheet1!$B$2:$B$3</c:f>
              <c:numCache>
                <c:formatCode>General</c:formatCode>
                <c:ptCount val="2"/>
                <c:pt idx="0">
                  <c:v>204.03</c:v>
                </c:pt>
                <c:pt idx="1">
                  <c:v>193.43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2022年一般公共预算财政拨款支出</c:v>
                </c:pt>
                <c:pt idx="1">
                  <c:v>2021年一般公共预算财政拨款支出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2022年一般公共预算财政拨款支出</c:v>
                </c:pt>
                <c:pt idx="1">
                  <c:v>2021年一般公共预算财政拨款支出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45449873"/>
        <c:axId val="756771581"/>
      </c:barChart>
      <c:catAx>
        <c:axId val="6454498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771581"/>
        <c:crosses val="autoZero"/>
        <c:auto val="1"/>
        <c:lblAlgn val="ctr"/>
        <c:lblOffset val="100"/>
        <c:noMultiLvlLbl val="0"/>
      </c:catAx>
      <c:valAx>
        <c:axId val="7567715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4498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157.44</c:v>
                </c:pt>
                <c:pt idx="1">
                  <c:v>20.69</c:v>
                </c:pt>
                <c:pt idx="2">
                  <c:v>10.04</c:v>
                </c:pt>
                <c:pt idx="3">
                  <c:v>15.86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1428</Words>
  <Characters>8140</Characters>
  <Lines>67</Lines>
  <Paragraphs>19</Paragraphs>
  <TotalTime>11</TotalTime>
  <ScaleCrop>false</ScaleCrop>
  <LinksUpToDate>false</LinksUpToDate>
  <CharactersWithSpaces>9549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2024-05-21T03:18:17Z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