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Times New Roman" w:hAnsi="Times New Roman" w:eastAsia="方正小标宋简体" w:cs="Times New Roman"/>
          <w:sz w:val="72"/>
          <w:szCs w:val="72"/>
        </w:rPr>
      </w:pPr>
      <w:bookmarkStart w:id="0" w:name="_Toc15396475"/>
      <w:bookmarkStart w:id="1" w:name="_Toc15396597"/>
      <w:bookmarkStart w:id="2" w:name="_Toc15377193"/>
      <w:bookmarkStart w:id="3" w:name="_Toc15378441"/>
      <w:bookmarkStart w:id="4" w:name="_Toc15377425"/>
      <w:bookmarkStart w:id="5" w:name="_Toc15306267"/>
    </w:p>
    <w:p>
      <w:pPr>
        <w:spacing w:line="600" w:lineRule="exact"/>
        <w:jc w:val="center"/>
        <w:outlineLvl w:val="9"/>
        <w:rPr>
          <w:rFonts w:hint="default" w:ascii="Times New Roman" w:hAnsi="Times New Roman" w:eastAsia="方正小标宋简体" w:cs="Times New Roman"/>
          <w:sz w:val="72"/>
          <w:szCs w:val="72"/>
        </w:rPr>
      </w:pPr>
    </w:p>
    <w:p>
      <w:pPr>
        <w:spacing w:line="600" w:lineRule="exact"/>
        <w:jc w:val="center"/>
        <w:outlineLvl w:val="9"/>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7529"/>
      <w:bookmarkStart w:id="7" w:name="_Toc29089"/>
      <w:r>
        <w:rPr>
          <w:rFonts w:hint="default" w:ascii="Times New Roman" w:hAnsi="Times New Roman" w:eastAsia="方正小标宋简体" w:cs="Times New Roman"/>
          <w:sz w:val="72"/>
          <w:szCs w:val="72"/>
        </w:rPr>
        <w:t>2022年度</w:t>
      </w:r>
      <w:bookmarkEnd w:id="0"/>
      <w:bookmarkEnd w:id="1"/>
      <w:bookmarkEnd w:id="2"/>
      <w:bookmarkEnd w:id="3"/>
      <w:bookmarkEnd w:id="4"/>
      <w:bookmarkEnd w:id="6"/>
      <w:bookmarkEnd w:id="7"/>
    </w:p>
    <w:bookmarkEnd w:id="5"/>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8" w:name="_Toc15396476"/>
      <w:bookmarkStart w:id="9" w:name="_Toc15306268"/>
      <w:bookmarkStart w:id="10" w:name="_Toc15396598"/>
      <w:bookmarkStart w:id="11" w:name="_Toc15378442"/>
      <w:bookmarkStart w:id="12" w:name="_Toc15377194"/>
      <w:bookmarkStart w:id="13" w:name="_Toc14136"/>
      <w:bookmarkStart w:id="14" w:name="_Toc26964"/>
      <w:bookmarkStart w:id="15" w:name="_Toc15377426"/>
      <w:r>
        <w:rPr>
          <w:rFonts w:hint="default" w:ascii="Times New Roman" w:hAnsi="Times New Roman" w:eastAsia="方正小标宋简体" w:cs="Times New Roman"/>
          <w:sz w:val="72"/>
          <w:szCs w:val="72"/>
        </w:rPr>
        <w:t>中共攀枝花市西区区委</w:t>
      </w: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117" w:name="_GoBack"/>
      <w:bookmarkEnd w:id="117"/>
      <w:r>
        <w:rPr>
          <w:rFonts w:hint="default" w:ascii="Times New Roman" w:hAnsi="Times New Roman" w:eastAsia="方正小标宋简体" w:cs="Times New Roman"/>
          <w:sz w:val="72"/>
          <w:szCs w:val="72"/>
        </w:rPr>
        <w:t>政法委员会部门决算</w:t>
      </w:r>
      <w:bookmarkEnd w:id="8"/>
      <w:bookmarkEnd w:id="9"/>
      <w:bookmarkEnd w:id="10"/>
      <w:bookmarkEnd w:id="11"/>
      <w:bookmarkEnd w:id="12"/>
      <w:bookmarkEnd w:id="13"/>
      <w:bookmarkEnd w:id="14"/>
      <w:bookmarkEnd w:id="15"/>
    </w:p>
    <w:p>
      <w:pPr>
        <w:adjustRightInd w:val="0"/>
        <w:snapToGrid w:val="0"/>
        <w:spacing w:line="360" w:lineRule="auto"/>
        <w:jc w:val="center"/>
        <w:outlineLvl w:val="9"/>
        <w:rPr>
          <w:rFonts w:hint="default" w:ascii="Times New Roman" w:hAnsi="Times New Roman" w:eastAsia="方正小标宋简体" w:cs="Times New Roman"/>
          <w:sz w:val="52"/>
          <w:szCs w:val="52"/>
        </w:rPr>
      </w:pPr>
    </w:p>
    <w:p>
      <w:pPr>
        <w:rPr>
          <w:rFonts w:hint="default" w:ascii="Times New Roman" w:hAnsi="Times New Roman" w:cs="Times New Roman"/>
        </w:rPr>
      </w:pPr>
    </w:p>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sdt>
      <w:sdtPr>
        <w:rPr>
          <w:rFonts w:hint="default" w:ascii="Times New Roman" w:hAnsi="Times New Roman" w:eastAsia="宋体" w:cs="Times New Roman"/>
          <w:kern w:val="2"/>
          <w:sz w:val="44"/>
          <w:szCs w:val="44"/>
          <w:lang w:val="en-US" w:eastAsia="zh-CN" w:bidi="ar-SA"/>
        </w:rPr>
        <w:id w:val="147460919"/>
        <w15:color w:val="DBDBDB"/>
      </w:sdtPr>
      <w:sdtEndPr>
        <w:rPr>
          <w:rFonts w:hint="default" w:ascii="Times New Roman" w:hAnsi="Times New Roman" w:eastAsia="宋体" w:cs="Times New Roman"/>
          <w:b/>
          <w:kern w:val="2"/>
          <w:sz w:val="44"/>
          <w:szCs w:val="44"/>
          <w:lang w:val="en-US" w:eastAsia="zh-CN" w:bidi="ar-SA"/>
        </w:rPr>
      </w:sdtEndPr>
      <w:sdtContent>
        <w:sdt>
          <w:sdtPr>
            <w:rPr>
              <w:rFonts w:ascii="宋体" w:hAnsi="宋体" w:eastAsia="宋体" w:cs="Times New Roman"/>
              <w:kern w:val="2"/>
              <w:sz w:val="44"/>
              <w:szCs w:val="44"/>
              <w:lang w:val="en-US" w:eastAsia="zh-CN" w:bidi="ar-SA"/>
            </w:rPr>
            <w:id w:val="147460919"/>
            <w15:color w:val="DBDBDB"/>
          </w:sdtPr>
          <w:sdtEndPr>
            <w:rPr>
              <w:rFonts w:ascii="宋体" w:hAnsi="宋体" w:eastAsia="宋体" w:cs="Times New Roman"/>
              <w:b/>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pPr>
                <w:pStyle w:val="6"/>
                <w:jc w:val="center"/>
                <w:rPr>
                  <w:rFonts w:hint="default" w:ascii="Times New Roman" w:hAnsi="Times New Roman" w:cs="Times New Roman"/>
                </w:rPr>
              </w:pPr>
              <w:r>
                <w:rPr>
                  <w:rFonts w:hint="default" w:ascii="Times New Roman" w:hAnsi="Times New Roman" w:cs="Times New Roman"/>
                  <w:highlight w:val="none"/>
                </w:rPr>
                <w:t>公开时间：2023年10月</w:t>
              </w:r>
              <w:r>
                <w:rPr>
                  <w:rFonts w:hint="default" w:ascii="Times New Roman" w:hAnsi="Times New Roman" w:cs="Times New Roman"/>
                  <w:highlight w:val="none"/>
                  <w:lang w:val="en-US" w:eastAsia="zh-CN"/>
                </w:rPr>
                <w:t>27</w:t>
              </w:r>
              <w:r>
                <w:rPr>
                  <w:rFonts w:hint="default" w:ascii="Times New Roman" w:hAnsi="Times New Roman" w:cs="Times New Roman"/>
                  <w:highlight w:val="none"/>
                </w:rPr>
                <w:t>日</w:t>
              </w:r>
              <w:r>
                <w:rPr>
                  <w:rFonts w:hint="default" w:ascii="Times New Roman" w:hAnsi="Times New Roman" w:cs="Times New Roman"/>
                  <w:b/>
                </w:rPr>
                <w:fldChar w:fldCharType="begin"/>
              </w:r>
              <w:r>
                <w:rPr>
                  <w:rFonts w:hint="default" w:ascii="Times New Roman" w:hAnsi="Times New Roman" w:cs="Times New Roman"/>
                  <w:b/>
                </w:rPr>
                <w:instrText xml:space="preserve">TOC \o "1-2" \h \u </w:instrText>
              </w:r>
              <w:r>
                <w:rPr>
                  <w:rFonts w:hint="default" w:ascii="Times New Roman" w:hAnsi="Times New Roman" w:cs="Times New Roman"/>
                  <w:b/>
                </w:rPr>
                <w:fldChar w:fldCharType="separate"/>
              </w:r>
            </w:p>
            <w:p>
              <w:pPr>
                <w:pStyle w:val="13"/>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_Toc12192 </w:instrText>
              </w:r>
              <w:r>
                <w:rPr>
                  <w:rFonts w:hint="default" w:ascii="Times New Roman" w:hAnsi="Times New Roman" w:cs="Times New Roman"/>
                </w:rPr>
                <w:fldChar w:fldCharType="separate"/>
              </w:r>
              <w:r>
                <w:rPr>
                  <w:rFonts w:hint="default" w:ascii="Times New Roman" w:hAnsi="Times New Roman" w:eastAsia="黑体" w:cs="Times New Roman"/>
                </w:rPr>
                <w:t xml:space="preserve">第一部分 </w:t>
              </w:r>
              <w:r>
                <w:rPr>
                  <w:rFonts w:hint="default" w:ascii="Times New Roman" w:hAnsi="Times New Roman" w:eastAsia="黑体" w:cs="Times New Roman"/>
                  <w:bCs w:val="0"/>
                </w:rPr>
                <w:t>部门概况</w:t>
              </w:r>
              <w:r>
                <w:rPr>
                  <w:rFonts w:hint="default" w:ascii="Times New Roman" w:hAnsi="Times New Roman" w:cs="Times New Roman"/>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_Toc12192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_Toc10954 </w:instrText>
              </w:r>
              <w:r>
                <w:rPr>
                  <w:rFonts w:hint="default" w:ascii="Times New Roman" w:hAnsi="Times New Roman" w:cs="Times New Roman"/>
                </w:rPr>
                <w:fldChar w:fldCharType="separate"/>
              </w:r>
              <w:r>
                <w:rPr>
                  <w:rFonts w:hint="default" w:ascii="Times New Roman" w:hAnsi="Times New Roman" w:eastAsia="黑体" w:cs="Times New Roman"/>
                  <w:lang w:val="en-US" w:eastAsia="zh-CN"/>
                </w:rPr>
                <w:t>一、</w:t>
              </w:r>
              <w:r>
                <w:rPr>
                  <w:rFonts w:hint="default" w:ascii="Times New Roman" w:hAnsi="Times New Roman" w:eastAsia="黑体" w:cs="Times New Roman"/>
                </w:rPr>
                <w:t>部门职责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_Toc10954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_Toc3158 </w:instrText>
              </w:r>
              <w:r>
                <w:rPr>
                  <w:rFonts w:hint="default" w:ascii="Times New Roman" w:hAnsi="Times New Roman" w:cs="Times New Roman"/>
                </w:rPr>
                <w:fldChar w:fldCharType="separate"/>
              </w:r>
              <w:r>
                <w:rPr>
                  <w:rFonts w:hint="default" w:ascii="Times New Roman" w:hAnsi="Times New Roman" w:eastAsia="黑体" w:cs="Times New Roman"/>
                </w:rPr>
                <w:t>二、机</w:t>
              </w:r>
              <w:r>
                <w:rPr>
                  <w:rFonts w:hint="default" w:ascii="Times New Roman" w:hAnsi="Times New Roman" w:eastAsia="黑体" w:cs="Times New Roman"/>
                  <w:bCs w:val="0"/>
                </w:rPr>
                <w:t>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_Toc11782 </w:instrText>
              </w:r>
              <w:r>
                <w:rPr>
                  <w:rFonts w:hint="default" w:ascii="Times New Roman" w:hAnsi="Times New Roman" w:cs="Times New Roman"/>
                </w:rPr>
                <w:fldChar w:fldCharType="separate"/>
              </w:r>
              <w:r>
                <w:rPr>
                  <w:rFonts w:hint="default" w:ascii="Times New Roman" w:hAnsi="Times New Roman" w:eastAsia="黑体" w:cs="Times New Roman"/>
                </w:rPr>
                <w:t>第二部分 2022年度</w:t>
              </w:r>
              <w:r>
                <w:rPr>
                  <w:rFonts w:hint="default" w:ascii="Times New Roman" w:hAnsi="Times New Roman" w:eastAsia="黑体" w:cs="Times New Roman"/>
                  <w:bCs/>
                </w:rPr>
                <w:t>部门决算情况说明</w:t>
              </w:r>
              <w:r>
                <w:rPr>
                  <w:rFonts w:hint="default" w:ascii="Times New Roman" w:hAnsi="Times New Roman" w:cs="Times New Roman"/>
                </w:rPr>
                <w:tab/>
              </w:r>
              <w:r>
                <w:rPr>
                  <w:rFonts w:hint="default" w:ascii="Times New Roman" w:hAnsi="Times New Roman" w:cs="Times New Roman"/>
                  <w:sz w:val="21"/>
                  <w:szCs w:val="21"/>
                  <w:lang w:val="en-US" w:eastAsia="zh-CN"/>
                </w:rPr>
                <w:t>6</w:t>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_Toc30633 </w:instrText>
              </w:r>
              <w:r>
                <w:rPr>
                  <w:rFonts w:hint="default" w:ascii="Times New Roman" w:hAnsi="Times New Roman" w:cs="Times New Roman"/>
                </w:rPr>
                <w:fldChar w:fldCharType="separate"/>
              </w:r>
              <w:r>
                <w:rPr>
                  <w:rFonts w:hint="default" w:ascii="Times New Roman" w:hAnsi="Times New Roman" w:eastAsia="黑体" w:cs="Times New Roman"/>
                </w:rPr>
                <w:t>一、</w:t>
              </w:r>
              <w:r>
                <w:rPr>
                  <w:rFonts w:hint="default" w:ascii="Times New Roman" w:hAnsi="Times New Roman" w:eastAsia="黑体" w:cs="Times New Roman"/>
                  <w:szCs w:val="32"/>
                </w:rPr>
                <w:t>收</w:t>
              </w:r>
              <w:r>
                <w:rPr>
                  <w:rFonts w:hint="default" w:ascii="Times New Roman" w:hAnsi="Times New Roman" w:eastAsia="黑体" w:cs="Times New Roman"/>
                </w:rPr>
                <w:t>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_Toc30633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_Toc18842 </w:instrText>
              </w:r>
              <w:r>
                <w:rPr>
                  <w:rFonts w:hint="default" w:ascii="Times New Roman" w:hAnsi="Times New Roman" w:cs="Times New Roman"/>
                </w:rPr>
                <w:fldChar w:fldCharType="separate"/>
              </w:r>
              <w:r>
                <w:rPr>
                  <w:rFonts w:hint="default" w:ascii="Times New Roman" w:hAnsi="Times New Roman" w:eastAsia="黑体" w:cs="Times New Roman"/>
                </w:rPr>
                <w:t>二、</w:t>
              </w:r>
              <w:r>
                <w:rPr>
                  <w:rFonts w:hint="default" w:ascii="Times New Roman" w:hAnsi="Times New Roman" w:eastAsia="黑体" w:cs="Times New Roman"/>
                  <w:szCs w:val="32"/>
                </w:rPr>
                <w:t>收</w:t>
              </w:r>
              <w:r>
                <w:rPr>
                  <w:rFonts w:hint="default" w:ascii="Times New Roman" w:hAnsi="Times New Roman" w:eastAsia="黑体" w:cs="Times New Roman"/>
                </w:rPr>
                <w:t>入决算情况说明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_Toc18842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_Toc14984 </w:instrText>
              </w:r>
              <w:r>
                <w:rPr>
                  <w:rFonts w:hint="default" w:ascii="Times New Roman" w:hAnsi="Times New Roman" w:cs="Times New Roman"/>
                </w:rPr>
                <w:fldChar w:fldCharType="separate"/>
              </w:r>
              <w:r>
                <w:rPr>
                  <w:rFonts w:hint="default" w:ascii="Times New Roman" w:hAnsi="Times New Roman" w:eastAsia="黑体" w:cs="Times New Roman"/>
                </w:rPr>
                <w:t>三、</w:t>
              </w:r>
              <w:r>
                <w:rPr>
                  <w:rFonts w:hint="default" w:ascii="Times New Roman" w:hAnsi="Times New Roman" w:eastAsia="黑体" w:cs="Times New Roman"/>
                  <w:szCs w:val="32"/>
                </w:rPr>
                <w:t>支</w:t>
              </w:r>
              <w:r>
                <w:rPr>
                  <w:rFonts w:hint="default" w:ascii="Times New Roman" w:hAnsi="Times New Roman" w:eastAsia="黑体" w:cs="Times New Roman"/>
                </w:rPr>
                <w:t>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_Toc14984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_Toc11231 </w:instrText>
              </w:r>
              <w:r>
                <w:rPr>
                  <w:rFonts w:hint="default" w:ascii="Times New Roman" w:hAnsi="Times New Roman" w:cs="Times New Roman"/>
                </w:rPr>
                <w:fldChar w:fldCharType="separate"/>
              </w:r>
              <w:r>
                <w:rPr>
                  <w:rFonts w:hint="default" w:ascii="Times New Roman" w:hAnsi="Times New Roman" w:eastAsia="黑体" w:cs="Times New Roman"/>
                  <w:szCs w:val="32"/>
                </w:rPr>
                <w:t>四、财</w:t>
              </w:r>
              <w:r>
                <w:rPr>
                  <w:rFonts w:hint="default" w:ascii="Times New Roman" w:hAnsi="Times New Roman" w:eastAsia="黑体" w:cs="Times New Roman"/>
                </w:rPr>
                <w:t>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_Toc11231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_Toc7145 </w:instrText>
              </w:r>
              <w:r>
                <w:rPr>
                  <w:rFonts w:hint="default" w:ascii="Times New Roman" w:hAnsi="Times New Roman" w:cs="Times New Roman"/>
                </w:rPr>
                <w:fldChar w:fldCharType="separate"/>
              </w:r>
              <w:r>
                <w:rPr>
                  <w:rFonts w:hint="default" w:ascii="Times New Roman" w:hAnsi="Times New Roman" w:eastAsia="黑体" w:cs="Times New Roman"/>
                  <w:szCs w:val="32"/>
                </w:rPr>
                <w:t>五、一</w:t>
              </w:r>
              <w:r>
                <w:rPr>
                  <w:rFonts w:hint="default" w:ascii="Times New Roman" w:hAnsi="Times New Roman" w:eastAsia="黑体" w:cs="Times New Roman"/>
                </w:rPr>
                <w:t>般公共预算财政拨款支出决算情况说明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_Toc7145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_Toc8723 </w:instrText>
              </w:r>
              <w:r>
                <w:rPr>
                  <w:rFonts w:hint="default" w:ascii="Times New Roman" w:hAnsi="Times New Roman" w:cs="Times New Roman"/>
                </w:rPr>
                <w:fldChar w:fldCharType="separate"/>
              </w:r>
              <w:r>
                <w:rPr>
                  <w:rFonts w:hint="default" w:ascii="Times New Roman" w:hAnsi="Times New Roman" w:eastAsia="黑体" w:cs="Times New Roman"/>
                  <w:szCs w:val="32"/>
                </w:rPr>
                <w:t>六、一</w:t>
              </w:r>
              <w:r>
                <w:rPr>
                  <w:rFonts w:hint="default" w:ascii="Times New Roman" w:hAnsi="Times New Roman" w:eastAsia="黑体" w:cs="Times New Roman"/>
                </w:rPr>
                <w:t>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_Toc8723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_Toc27570 </w:instrText>
              </w:r>
              <w:r>
                <w:rPr>
                  <w:rFonts w:hint="default" w:ascii="Times New Roman" w:hAnsi="Times New Roman" w:cs="Times New Roman"/>
                </w:rPr>
                <w:fldChar w:fldCharType="separate"/>
              </w:r>
              <w:r>
                <w:rPr>
                  <w:rFonts w:hint="default" w:ascii="Times New Roman" w:hAnsi="Times New Roman" w:eastAsia="黑体" w:cs="Times New Roman"/>
                  <w:szCs w:val="32"/>
                </w:rPr>
                <w:t>七、</w:t>
              </w:r>
              <w:r>
                <w:rPr>
                  <w:rFonts w:hint="default" w:ascii="Times New Roman" w:hAnsi="Times New Roman" w:eastAsia="黑体" w:cs="Times New Roman"/>
                </w:rPr>
                <w:t>财政拨款“三公”经费支出决算情况说明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_Toc27570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_Toc28316 </w:instrText>
              </w:r>
              <w:r>
                <w:rPr>
                  <w:rFonts w:hint="default" w:ascii="Times New Roman" w:hAnsi="Times New Roman" w:cs="Times New Roman"/>
                </w:rPr>
                <w:fldChar w:fldCharType="separate"/>
              </w:r>
              <w:r>
                <w:rPr>
                  <w:rFonts w:hint="default" w:ascii="Times New Roman" w:hAnsi="Times New Roman" w:eastAsia="黑体" w:cs="Times New Roman"/>
                  <w:szCs w:val="32"/>
                </w:rPr>
                <w:t>八、</w:t>
              </w:r>
              <w:r>
                <w:rPr>
                  <w:rFonts w:hint="default" w:ascii="Times New Roman" w:hAnsi="Times New Roman" w:eastAsia="黑体" w:cs="Times New Roman"/>
                </w:rPr>
                <w:t>政府性基金预算支出决算情况说明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_Toc28316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_Toc20217 </w:instrText>
              </w:r>
              <w:r>
                <w:rPr>
                  <w:rFonts w:hint="default" w:ascii="Times New Roman" w:hAnsi="Times New Roman" w:cs="Times New Roman"/>
                </w:rPr>
                <w:fldChar w:fldCharType="separate"/>
              </w:r>
              <w:r>
                <w:rPr>
                  <w:rFonts w:hint="default" w:ascii="Times New Roman" w:hAnsi="Times New Roman" w:eastAsia="黑体" w:cs="Times New Roman"/>
                </w:rPr>
                <w:t>九、国有资本经营预算支出决算情况说明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_Toc20217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_Toc6469 </w:instrText>
              </w:r>
              <w:r>
                <w:rPr>
                  <w:rFonts w:hint="default" w:ascii="Times New Roman" w:hAnsi="Times New Roman" w:cs="Times New Roman"/>
                </w:rPr>
                <w:fldChar w:fldCharType="separate"/>
              </w:r>
              <w:r>
                <w:rPr>
                  <w:rFonts w:hint="default" w:ascii="Times New Roman" w:hAnsi="Times New Roman" w:eastAsia="黑体" w:cs="Times New Roman"/>
                </w:rPr>
                <w:t>十、其他重要事项的情况说明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_Toc6469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_Toc17449 </w:instrText>
              </w:r>
              <w:r>
                <w:rPr>
                  <w:rFonts w:hint="default" w:ascii="Times New Roman" w:hAnsi="Times New Roman" w:cs="Times New Roman"/>
                </w:rPr>
                <w:fldChar w:fldCharType="separate"/>
              </w:r>
              <w:r>
                <w:rPr>
                  <w:rFonts w:hint="default" w:ascii="Times New Roman" w:hAnsi="Times New Roman" w:eastAsia="黑体" w:cs="Times New Roman"/>
                </w:rPr>
                <w:t xml:space="preserve">第三部分 </w:t>
              </w:r>
              <w:r>
                <w:rPr>
                  <w:rFonts w:hint="default" w:ascii="Times New Roman" w:hAnsi="Times New Roman" w:eastAsia="黑体" w:cs="Times New Roman"/>
                  <w:szCs w:val="44"/>
                </w:rPr>
                <w:t>名</w:t>
              </w:r>
              <w:r>
                <w:rPr>
                  <w:rFonts w:hint="default" w:ascii="Times New Roman" w:hAnsi="Times New Roman" w:eastAsia="黑体" w:cs="Times New Roman"/>
                </w:rPr>
                <w:t>词解释</w:t>
              </w:r>
              <w:r>
                <w:rPr>
                  <w:rFonts w:hint="default" w:ascii="Times New Roman" w:hAnsi="Times New Roman" w:cs="Times New Roman"/>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_Toc17449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15</w:t>
              </w:r>
              <w:r>
                <w:rPr>
                  <w:rFonts w:hint="default" w:ascii="Times New Roman" w:hAnsi="Times New Roman" w:cs="Times New Roman"/>
                  <w:sz w:val="21"/>
                  <w:szCs w:val="21"/>
                </w:rPr>
                <w:fldChar w:fldCharType="end"/>
              </w:r>
              <w:r>
                <w:rPr>
                  <w:rFonts w:hint="default" w:ascii="Times New Roman" w:hAnsi="Times New Roman" w:cs="Times New Roman"/>
                </w:rPr>
                <w:fldChar w:fldCharType="end"/>
              </w:r>
            </w:p>
            <w:p>
              <w:pPr>
                <w:pStyle w:val="13"/>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_Toc2606 </w:instrText>
              </w:r>
              <w:r>
                <w:rPr>
                  <w:rFonts w:hint="default" w:ascii="Times New Roman" w:hAnsi="Times New Roman" w:cs="Times New Roman"/>
                </w:rPr>
                <w:fldChar w:fldCharType="separate"/>
              </w:r>
              <w:r>
                <w:rPr>
                  <w:rFonts w:hint="default" w:ascii="Times New Roman" w:hAnsi="Times New Roman" w:eastAsia="黑体" w:cs="Times New Roman"/>
                  <w:szCs w:val="44"/>
                </w:rPr>
                <w:t>第</w:t>
              </w:r>
              <w:r>
                <w:rPr>
                  <w:rFonts w:hint="default" w:ascii="Times New Roman" w:hAnsi="Times New Roman" w:eastAsia="黑体" w:cs="Times New Roman"/>
                </w:rPr>
                <w:t>四部分 附件</w:t>
              </w:r>
              <w:r>
                <w:rPr>
                  <w:rFonts w:hint="default" w:ascii="Times New Roman" w:hAnsi="Times New Roman" w:cs="Times New Roman"/>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_Toc2606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fldChar w:fldCharType="end"/>
              </w:r>
              <w:r>
                <w:rPr>
                  <w:rFonts w:hint="default" w:ascii="Times New Roman" w:hAnsi="Times New Roman" w:cs="Times New Roman"/>
                </w:rPr>
                <w:fldChar w:fldCharType="end"/>
              </w:r>
            </w:p>
            <w:p>
              <w:pPr>
                <w:pStyle w:val="13"/>
                <w:tabs>
                  <w:tab w:val="right" w:leader="dot" w:pos="8306"/>
                  <w:tab w:val="clear"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_Toc13884 </w:instrText>
              </w:r>
              <w:r>
                <w:rPr>
                  <w:rFonts w:hint="default" w:ascii="Times New Roman" w:hAnsi="Times New Roman" w:cs="Times New Roman"/>
                </w:rPr>
                <w:fldChar w:fldCharType="separate"/>
              </w:r>
              <w:r>
                <w:rPr>
                  <w:rFonts w:hint="default" w:ascii="Times New Roman" w:hAnsi="Times New Roman" w:eastAsia="黑体" w:cs="Times New Roman"/>
                  <w:szCs w:val="44"/>
                </w:rPr>
                <w:t>第</w:t>
              </w:r>
              <w:r>
                <w:rPr>
                  <w:rFonts w:hint="default" w:ascii="Times New Roman" w:hAnsi="Times New Roman" w:eastAsia="黑体" w:cs="Times New Roman"/>
                </w:rPr>
                <w:t>五部分 附表</w:t>
              </w:r>
              <w:r>
                <w:rPr>
                  <w:rFonts w:hint="default" w:ascii="Times New Roman" w:hAnsi="Times New Roman" w:cs="Times New Roman"/>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_Toc13884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fldChar w:fldCharType="end"/>
              </w:r>
              <w:r>
                <w:rPr>
                  <w:rFonts w:hint="default" w:ascii="Times New Roman" w:hAnsi="Times New Roman" w:cs="Times New Roman"/>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_Toc18339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一、收入支出决算总表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_Toc18339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_Toc28108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二、收入决算表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_Toc28108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_Toc932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三、支出决算表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_Toc932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_Toc8915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四、财政拨款收入支出决算总表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_Toc8915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_Toc30223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五、财政拨款支出决算明细表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_Toc30223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_Toc12594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六、一般公共预算财政拨款支出决算表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_Toc12594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_Toc19377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七、一般公共预算财政拨款支出决算明细表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_Toc19377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_Toc6443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八、一般公共预算财政拨款基本支出决算表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_Toc6443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_Toc6089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九、一般公共预算财政拨款项目支出决算表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_Toc6089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_Toc27899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十、政府性基金预算财政拨款收入支出决算表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_Toc27899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_Toc10160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十一、国有资本经营预算财政拨款收入支出决算表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_Toc10160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eastAsia="黑体" w:cs="Times New Roman"/>
                  <w:szCs w:val="32"/>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_Toc99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十二、国有资本经营预算财政拨款支出决算表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_Toc99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pStyle w:val="14"/>
                <w:tabs>
                  <w:tab w:val="right" w:leader="dot" w:pos="8306"/>
                  <w:tab w:val="clear" w:pos="8296"/>
                </w:tabs>
                <w:rPr>
                  <w:rFonts w:hint="default" w:ascii="Times New Roman" w:hAnsi="Times New Roman" w:cs="Times New Roman"/>
                </w:rPr>
              </w:pP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HYPERLINK \l _Toc29893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十三、财政拨款“三公”经费支出决算表</w:t>
              </w:r>
              <w:r>
                <w:rPr>
                  <w:rFonts w:hint="default" w:ascii="Times New Roman" w:hAnsi="Times New Roman" w:eastAsia="黑体" w:cs="Times New Roman"/>
                  <w:szCs w:val="32"/>
                </w:rPr>
                <w:tab/>
              </w:r>
              <w:r>
                <w:rPr>
                  <w:rFonts w:hint="default" w:ascii="Times New Roman" w:hAnsi="Times New Roman" w:eastAsia="黑体" w:cs="Times New Roman"/>
                  <w:szCs w:val="32"/>
                </w:rPr>
                <w:fldChar w:fldCharType="begin"/>
              </w:r>
              <w:r>
                <w:rPr>
                  <w:rFonts w:hint="default" w:ascii="Times New Roman" w:hAnsi="Times New Roman" w:eastAsia="黑体" w:cs="Times New Roman"/>
                  <w:szCs w:val="32"/>
                </w:rPr>
                <w:instrText xml:space="preserve"> PAGEREF _Toc29893 \h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szCs w:val="32"/>
                </w:rPr>
                <w:t>3</w:t>
              </w:r>
              <w:r>
                <w:rPr>
                  <w:rFonts w:hint="eastAsia" w:ascii="Times New Roman" w:hAnsi="Times New Roman" w:eastAsia="黑体" w:cs="Times New Roman"/>
                  <w:szCs w:val="32"/>
                  <w:lang w:val="en-US" w:eastAsia="zh-CN"/>
                </w:rPr>
                <w:t>5</w:t>
              </w:r>
              <w:r>
                <w:rPr>
                  <w:rFonts w:hint="default" w:ascii="Times New Roman" w:hAnsi="Times New Roman" w:eastAsia="黑体" w:cs="Times New Roman"/>
                  <w:szCs w:val="32"/>
                </w:rPr>
                <w:fldChar w:fldCharType="end"/>
              </w:r>
              <w:r>
                <w:rPr>
                  <w:rFonts w:hint="default" w:ascii="Times New Roman" w:hAnsi="Times New Roman" w:eastAsia="黑体" w:cs="Times New Roman"/>
                  <w:szCs w:val="32"/>
                </w:rPr>
                <w:fldChar w:fldCharType="end"/>
              </w:r>
            </w:p>
            <w:p>
              <w:pPr>
                <w:rPr>
                  <w:rFonts w:hint="default" w:ascii="Times New Roman" w:hAnsi="Times New Roman" w:eastAsia="方正小标宋简体" w:cs="Times New Roman"/>
                  <w:sz w:val="36"/>
                  <w:szCs w:val="36"/>
                </w:rPr>
              </w:pPr>
              <w:r>
                <w:rPr>
                  <w:rFonts w:hint="default" w:ascii="Times New Roman" w:hAnsi="Times New Roman" w:cs="Times New Roman"/>
                </w:rPr>
                <w:fldChar w:fldCharType="end"/>
              </w:r>
            </w:p>
          </w:sdtContent>
        </w:sdt>
      </w:sdtContent>
    </w:sdt>
    <w:p>
      <w:pPr>
        <w:rPr>
          <w:rFonts w:ascii="方正小标宋简体" w:hAnsi="宋体" w:eastAsia="方正小标宋简体"/>
          <w:sz w:val="36"/>
          <w:szCs w:val="36"/>
        </w:rPr>
      </w:pPr>
      <w:bookmarkStart w:id="16" w:name="_Toc15396599"/>
      <w:bookmarkStart w:id="17" w:name="_Toc15377196"/>
      <w:bookmarkStart w:id="18" w:name="_Toc12192"/>
      <w:r>
        <w:rPr>
          <w:rFonts w:ascii="方正小标宋简体" w:hAnsi="宋体" w:eastAsia="方正小标宋简体"/>
          <w:sz w:val="36"/>
          <w:szCs w:val="36"/>
        </w:rPr>
        <w:br w:type="page"/>
      </w:r>
    </w:p>
    <w:p>
      <w:pPr>
        <w:pStyle w:val="3"/>
        <w:pageBreakBefore w:val="0"/>
        <w:kinsoku/>
        <w:wordWrap/>
        <w:overflowPunct/>
        <w:topLinePunct w:val="0"/>
        <w:bidi w:val="0"/>
        <w:spacing w:line="353" w:lineRule="auto"/>
        <w:jc w:val="center"/>
        <w:textAlignment w:val="auto"/>
        <w:rPr>
          <w:rFonts w:hint="default" w:ascii="Times New Roman" w:hAnsi="Times New Roman" w:eastAsia="黑体" w:cs="Times New Roman"/>
          <w:bCs w:val="0"/>
        </w:rPr>
      </w:pPr>
      <w:r>
        <w:rPr>
          <w:rFonts w:hint="default" w:ascii="Times New Roman" w:hAnsi="Times New Roman" w:eastAsia="黑体" w:cs="Times New Roman"/>
          <w:b w:val="0"/>
        </w:rPr>
        <w:t xml:space="preserve">第一部分 </w:t>
      </w:r>
      <w:r>
        <w:rPr>
          <w:rStyle w:val="31"/>
          <w:rFonts w:hint="default" w:ascii="Times New Roman" w:hAnsi="Times New Roman" w:eastAsia="黑体" w:cs="Times New Roman"/>
          <w:b w:val="0"/>
          <w:bCs w:val="0"/>
        </w:rPr>
        <w:t>部门概况</w:t>
      </w:r>
      <w:bookmarkEnd w:id="16"/>
      <w:bookmarkEnd w:id="17"/>
      <w:bookmarkEnd w:id="18"/>
    </w:p>
    <w:p>
      <w:pPr>
        <w:pStyle w:val="4"/>
        <w:pageBreakBefore w:val="0"/>
        <w:numPr>
          <w:ilvl w:val="0"/>
          <w:numId w:val="0"/>
        </w:numPr>
        <w:kinsoku/>
        <w:wordWrap/>
        <w:overflowPunct/>
        <w:topLinePunct w:val="0"/>
        <w:bidi w:val="0"/>
        <w:adjustRightInd w:val="0"/>
        <w:snapToGrid w:val="0"/>
        <w:spacing w:before="0" w:after="0" w:line="353" w:lineRule="auto"/>
        <w:ind w:left="617" w:leftChars="0" w:right="0" w:rightChars="0" w:hanging="617" w:hangingChars="193"/>
        <w:textAlignment w:val="auto"/>
        <w:rPr>
          <w:rFonts w:hint="default" w:ascii="Times New Roman" w:hAnsi="Times New Roman" w:eastAsia="黑体" w:cs="Times New Roman"/>
          <w:b w:val="0"/>
        </w:rPr>
      </w:pPr>
      <w:bookmarkStart w:id="19" w:name="_Toc10954"/>
      <w:r>
        <w:rPr>
          <w:rFonts w:hint="default" w:ascii="Times New Roman" w:hAnsi="Times New Roman" w:eastAsia="黑体" w:cs="Times New Roman"/>
          <w:b w:val="0"/>
          <w:lang w:val="en-US" w:eastAsia="zh-CN"/>
        </w:rPr>
        <w:t>一、</w:t>
      </w:r>
      <w:r>
        <w:rPr>
          <w:rFonts w:hint="default" w:ascii="Times New Roman" w:hAnsi="Times New Roman" w:eastAsia="黑体" w:cs="Times New Roman"/>
          <w:b w:val="0"/>
        </w:rPr>
        <w:t>部门职责</w:t>
      </w:r>
      <w:bookmarkEnd w:id="19"/>
    </w:p>
    <w:p>
      <w:pPr>
        <w:pageBreakBefore w:val="0"/>
        <w:kinsoku/>
        <w:wordWrap/>
        <w:overflowPunct/>
        <w:topLinePunct w:val="0"/>
        <w:bidi w:val="0"/>
        <w:spacing w:line="353" w:lineRule="auto"/>
        <w:ind w:firstLine="640" w:firstLineChars="200"/>
        <w:textAlignment w:val="auto"/>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sz w:val="32"/>
          <w:szCs w:val="32"/>
        </w:rPr>
        <w:t>1.</w:t>
      </w:r>
      <w:r>
        <w:rPr>
          <w:rFonts w:hint="default" w:ascii="Times New Roman" w:hAnsi="Times New Roman" w:eastAsia="仿宋" w:cs="Times New Roman"/>
          <w:bCs/>
          <w:kern w:val="0"/>
          <w:sz w:val="32"/>
          <w:szCs w:val="32"/>
          <w:lang w:val="en-US" w:eastAsia="zh-CN" w:bidi="ar-SA"/>
        </w:rPr>
        <w:t>深入贯彻党的路线方针政策和决策部署，统一政法各部门思想和行动，坚持党对政法工作的绝对领导，坚决维护党中央权威和集中统一领导。</w:t>
      </w:r>
    </w:p>
    <w:p>
      <w:pPr>
        <w:pageBreakBefore w:val="0"/>
        <w:kinsoku/>
        <w:wordWrap/>
        <w:overflowPunct/>
        <w:topLinePunct w:val="0"/>
        <w:bidi w:val="0"/>
        <w:spacing w:line="353" w:lineRule="auto"/>
        <w:ind w:firstLine="640" w:firstLineChars="200"/>
        <w:textAlignment w:val="auto"/>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2.深入贯彻党中央决定和省委、市委、区委决策，对政法工作研究提出全局性部署，推进平安西区、法治西区建设，加强过硬队伍建设，深化智能化建设，坚决维护国家政治安全、确保社会大局稳定、促进社会公平正义、保障人民安居乐业。</w:t>
      </w:r>
    </w:p>
    <w:p>
      <w:pPr>
        <w:pageBreakBefore w:val="0"/>
        <w:kinsoku/>
        <w:wordWrap/>
        <w:overflowPunct/>
        <w:topLinePunct w:val="0"/>
        <w:bidi w:val="0"/>
        <w:spacing w:line="353" w:lineRule="auto"/>
        <w:ind w:firstLine="640" w:firstLineChars="200"/>
        <w:textAlignment w:val="auto"/>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3.了解掌握和分析研判政法工作情况动态，分析全区社会稳定形势，创新完善多部门参与的综治维稳工作机制，构建矛盾纠纷多元化解体系和机制，协调推动预防、化解影响稳定的社会矛盾和风险，协调应对和处置重大突发事件，统筹推动全区反分裂斗争和维护稳定工作。</w:t>
      </w:r>
    </w:p>
    <w:p>
      <w:pPr>
        <w:pageBreakBefore w:val="0"/>
        <w:kinsoku/>
        <w:wordWrap/>
        <w:overflowPunct/>
        <w:topLinePunct w:val="0"/>
        <w:bidi w:val="0"/>
        <w:spacing w:line="353" w:lineRule="auto"/>
        <w:ind w:firstLine="640" w:firstLineChars="200"/>
        <w:textAlignment w:val="auto"/>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4.加强对政法工作的督查，统筹协调维护政治安全、社会治安综合治理、维护社会稳定、反邪教有关法律法规政策的实施工作；指导全区政法系统网络安全和智能化建设工作。</w:t>
      </w:r>
    </w:p>
    <w:p>
      <w:pPr>
        <w:pageBreakBefore w:val="0"/>
        <w:kinsoku/>
        <w:wordWrap/>
        <w:overflowPunct/>
        <w:topLinePunct w:val="0"/>
        <w:bidi w:val="0"/>
        <w:spacing w:line="353" w:lineRule="auto"/>
        <w:ind w:firstLine="640" w:firstLineChars="200"/>
        <w:textAlignment w:val="auto"/>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5.组织开展政法领域的调查研究，研究拟订全区政法工作的政策措施，及时向区委提出建议。</w:t>
      </w:r>
    </w:p>
    <w:p>
      <w:pPr>
        <w:pageBreakBefore w:val="0"/>
        <w:kinsoku/>
        <w:wordWrap/>
        <w:overflowPunct/>
        <w:topLinePunct w:val="0"/>
        <w:bidi w:val="0"/>
        <w:spacing w:line="353" w:lineRule="auto"/>
        <w:ind w:firstLine="640" w:firstLineChars="200"/>
        <w:textAlignment w:val="auto"/>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6.掌握分析政法舆情动态，指导协调政法部门媒体网络宣传工作，指导政法部门做好涉及政法工作的重大宣传和舆论引导工作。</w:t>
      </w:r>
    </w:p>
    <w:p>
      <w:pPr>
        <w:pageBreakBefore w:val="0"/>
        <w:kinsoku/>
        <w:wordWrap/>
        <w:overflowPunct/>
        <w:topLinePunct w:val="0"/>
        <w:bidi w:val="0"/>
        <w:spacing w:line="353" w:lineRule="auto"/>
        <w:ind w:firstLine="640" w:firstLineChars="200"/>
        <w:textAlignment w:val="auto"/>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7.监督和支持政法各部门依法行使职权，指导和协调政法各部门密切配合，研究和协调重大、疑难案件，推进严格执法、公正司法。</w:t>
      </w:r>
    </w:p>
    <w:p>
      <w:pPr>
        <w:pageBreakBefore w:val="0"/>
        <w:kinsoku/>
        <w:wordWrap/>
        <w:overflowPunct/>
        <w:topLinePunct w:val="0"/>
        <w:bidi w:val="0"/>
        <w:spacing w:line="353" w:lineRule="auto"/>
        <w:ind w:firstLine="640" w:firstLineChars="200"/>
        <w:textAlignment w:val="auto"/>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8.组织研究政法改革中带有方向性、倾向性和普遍性的重大问题，深化政法改革。</w:t>
      </w:r>
    </w:p>
    <w:p>
      <w:pPr>
        <w:pageBreakBefore w:val="0"/>
        <w:kinsoku/>
        <w:wordWrap/>
        <w:overflowPunct/>
        <w:topLinePunct w:val="0"/>
        <w:bidi w:val="0"/>
        <w:spacing w:line="353" w:lineRule="auto"/>
        <w:ind w:firstLine="640" w:firstLineChars="200"/>
        <w:textAlignment w:val="auto"/>
        <w:rPr>
          <w:rFonts w:hint="default" w:ascii="Times New Roman" w:hAnsi="Times New Roman" w:eastAsia="仿宋" w:cs="Times New Roman"/>
          <w:bCs/>
          <w:kern w:val="0"/>
          <w:sz w:val="32"/>
          <w:szCs w:val="32"/>
          <w:lang w:val="en-US" w:eastAsia="zh-CN" w:bidi="ar-SA"/>
        </w:rPr>
      </w:pPr>
      <w:r>
        <w:rPr>
          <w:rFonts w:hint="default" w:ascii="Times New Roman" w:hAnsi="Times New Roman" w:eastAsia="仿宋" w:cs="Times New Roman"/>
          <w:bCs/>
          <w:kern w:val="0"/>
          <w:sz w:val="32"/>
          <w:szCs w:val="32"/>
          <w:lang w:val="en-US" w:eastAsia="zh-CN" w:bidi="ar-SA"/>
        </w:rPr>
        <w:t>9.指导推动政法系统党的建设和政法队伍建设，协助区级有关职能部门管理监督政法领导干部，代管攀枝花市西区法学会。</w:t>
      </w:r>
    </w:p>
    <w:p>
      <w:pPr>
        <w:pStyle w:val="6"/>
        <w:pageBreakBefore w:val="0"/>
        <w:kinsoku/>
        <w:wordWrap/>
        <w:overflowPunct/>
        <w:topLinePunct w:val="0"/>
        <w:bidi w:val="0"/>
        <w:adjustRightInd w:val="0"/>
        <w:snapToGrid w:val="0"/>
        <w:spacing w:before="93" w:line="353" w:lineRule="auto"/>
        <w:ind w:firstLine="672" w:firstLineChars="210"/>
        <w:textAlignment w:val="auto"/>
        <w:outlineLvl w:val="2"/>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lang w:val="en-US" w:eastAsia="zh-CN" w:bidi="ar-SA"/>
        </w:rPr>
        <w:t>10.完成区委交办的其他任务。</w:t>
      </w:r>
    </w:p>
    <w:p>
      <w:pPr>
        <w:pStyle w:val="4"/>
        <w:pageBreakBefore w:val="0"/>
        <w:kinsoku/>
        <w:wordWrap/>
        <w:overflowPunct/>
        <w:topLinePunct w:val="0"/>
        <w:bidi w:val="0"/>
        <w:adjustRightInd w:val="0"/>
        <w:snapToGrid w:val="0"/>
        <w:spacing w:before="0" w:after="0" w:line="353" w:lineRule="auto"/>
        <w:ind w:left="0" w:right="0"/>
        <w:textAlignment w:val="auto"/>
        <w:rPr>
          <w:rStyle w:val="32"/>
          <w:rFonts w:hint="default" w:ascii="Times New Roman" w:hAnsi="Times New Roman" w:cs="Times New Roman"/>
          <w:b w:val="0"/>
          <w:bCs w:val="0"/>
        </w:rPr>
      </w:pPr>
      <w:bookmarkStart w:id="20" w:name="_Toc3158"/>
      <w:bookmarkStart w:id="21" w:name="_Toc15377200"/>
      <w:bookmarkStart w:id="22" w:name="_Toc15396601"/>
      <w:r>
        <w:rPr>
          <w:rFonts w:hint="default" w:ascii="Times New Roman" w:hAnsi="Times New Roman" w:eastAsia="黑体" w:cs="Times New Roman"/>
          <w:b w:val="0"/>
        </w:rPr>
        <w:t>二、机</w:t>
      </w:r>
      <w:r>
        <w:rPr>
          <w:rStyle w:val="32"/>
          <w:rFonts w:hint="default" w:ascii="Times New Roman" w:hAnsi="Times New Roman" w:eastAsia="黑体" w:cs="Times New Roman"/>
          <w:b w:val="0"/>
          <w:bCs w:val="0"/>
        </w:rPr>
        <w:t>构设置</w:t>
      </w:r>
      <w:bookmarkEnd w:id="20"/>
      <w:bookmarkEnd w:id="21"/>
      <w:bookmarkEnd w:id="22"/>
    </w:p>
    <w:p>
      <w:pPr>
        <w:pageBreakBefore w:val="0"/>
        <w:kinsoku/>
        <w:wordWrap/>
        <w:overflowPunct/>
        <w:topLinePunct w:val="0"/>
        <w:bidi w:val="0"/>
        <w:adjustRightInd w:val="0"/>
        <w:snapToGrid w:val="0"/>
        <w:spacing w:line="353" w:lineRule="auto"/>
        <w:ind w:left="0" w:right="0" w:firstLine="800" w:firstLineChars="25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中共攀枝花市西区区委政法委员会下属二级预算单位1个，其中行政单位0个，参照公务员法管理的事业单位</w:t>
      </w:r>
      <w:r>
        <w:rPr>
          <w:rFonts w:hint="default" w:ascii="Times New Roman" w:hAnsi="Times New Roman" w:eastAsia="仿宋" w:cs="Times New Roman"/>
          <w:bCs/>
          <w:sz w:val="32"/>
          <w:szCs w:val="32"/>
        </w:rPr>
        <w:t>0</w:t>
      </w:r>
      <w:r>
        <w:rPr>
          <w:rFonts w:hint="default" w:ascii="Times New Roman" w:hAnsi="Times New Roman" w:eastAsia="仿宋" w:cs="Times New Roman"/>
          <w:sz w:val="32"/>
          <w:szCs w:val="32"/>
        </w:rPr>
        <w:t>个，其他事业单位1个。</w:t>
      </w:r>
    </w:p>
    <w:p>
      <w:pPr>
        <w:pStyle w:val="6"/>
        <w:pageBreakBefore w:val="0"/>
        <w:kinsoku/>
        <w:wordWrap/>
        <w:overflowPunct/>
        <w:topLinePunct w:val="0"/>
        <w:bidi w:val="0"/>
        <w:adjustRightInd w:val="0"/>
        <w:snapToGrid w:val="0"/>
        <w:spacing w:beforeLines="0" w:line="353" w:lineRule="auto"/>
        <w:ind w:left="0" w:right="0" w:firstLine="672" w:firstLineChars="21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纳入中共攀枝花市西区区委政法委员会2022年度部门决算编制范围的二级预算单位包括：</w:t>
      </w:r>
    </w:p>
    <w:p>
      <w:pPr>
        <w:pStyle w:val="6"/>
        <w:pageBreakBefore w:val="0"/>
        <w:kinsoku/>
        <w:wordWrap/>
        <w:overflowPunct/>
        <w:topLinePunct w:val="0"/>
        <w:bidi w:val="0"/>
        <w:adjustRightInd w:val="0"/>
        <w:snapToGrid w:val="0"/>
        <w:spacing w:beforeLines="0" w:line="353" w:lineRule="auto"/>
        <w:ind w:left="0" w:right="0" w:firstLine="672" w:firstLineChars="210"/>
        <w:textAlignment w:val="auto"/>
        <w:rPr>
          <w:rFonts w:hint="default" w:ascii="Times New Roman" w:hAnsi="Times New Roman" w:eastAsia="仿宋" w:cs="Times New Roman"/>
          <w:color w:val="000000" w:themeColor="text1"/>
          <w:sz w:val="32"/>
          <w:szCs w:val="32"/>
          <w:highlight w:val="none"/>
          <w:lang w:eastAsia="zh-CN"/>
        </w:rPr>
      </w:pPr>
      <w:r>
        <w:rPr>
          <w:rFonts w:hint="default" w:ascii="Times New Roman" w:hAnsi="Times New Roman" w:eastAsia="仿宋" w:cs="Times New Roman"/>
          <w:color w:val="000000" w:themeColor="text1"/>
          <w:sz w:val="32"/>
          <w:szCs w:val="32"/>
          <w:highlight w:val="none"/>
          <w:lang w:eastAsia="zh-CN"/>
        </w:rPr>
        <w:t>攀枝花市西区社会治安综合治理工作中心</w:t>
      </w:r>
    </w:p>
    <w:p>
      <w:pPr>
        <w:pageBreakBefore w:val="0"/>
        <w:widowControl/>
        <w:kinsoku/>
        <w:wordWrap/>
        <w:overflowPunct/>
        <w:topLinePunct w:val="0"/>
        <w:bidi w:val="0"/>
        <w:adjustRightInd w:val="0"/>
        <w:snapToGrid w:val="0"/>
        <w:spacing w:line="353" w:lineRule="auto"/>
        <w:ind w:left="0" w:right="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pageBreakBefore w:val="0"/>
        <w:kinsoku/>
        <w:wordWrap/>
        <w:overflowPunct/>
        <w:topLinePunct w:val="0"/>
        <w:bidi w:val="0"/>
        <w:adjustRightInd w:val="0"/>
        <w:snapToGrid w:val="0"/>
        <w:spacing w:before="0" w:after="0" w:line="353" w:lineRule="auto"/>
        <w:ind w:left="0" w:right="0"/>
        <w:jc w:val="center"/>
        <w:textAlignment w:val="auto"/>
        <w:rPr>
          <w:rStyle w:val="31"/>
          <w:rFonts w:hint="default" w:ascii="Times New Roman" w:hAnsi="Times New Roman" w:eastAsia="黑体" w:cs="Times New Roman"/>
          <w:b w:val="0"/>
          <w:bCs/>
        </w:rPr>
      </w:pPr>
      <w:bookmarkStart w:id="23" w:name="_Toc15377204"/>
      <w:bookmarkStart w:id="24" w:name="_Toc11782"/>
      <w:bookmarkStart w:id="25" w:name="_Toc15396602"/>
      <w:r>
        <w:rPr>
          <w:rFonts w:hint="default" w:ascii="Times New Roman" w:hAnsi="Times New Roman" w:eastAsia="黑体" w:cs="Times New Roman"/>
          <w:b w:val="0"/>
        </w:rPr>
        <w:t>第二部分 2022年度</w:t>
      </w:r>
      <w:r>
        <w:rPr>
          <w:rStyle w:val="31"/>
          <w:rFonts w:hint="default" w:ascii="Times New Roman" w:hAnsi="Times New Roman" w:eastAsia="黑体" w:cs="Times New Roman"/>
          <w:b w:val="0"/>
          <w:bCs/>
        </w:rPr>
        <w:t>部门决算情况说明</w:t>
      </w:r>
      <w:bookmarkEnd w:id="23"/>
      <w:bookmarkEnd w:id="24"/>
      <w:bookmarkEnd w:id="25"/>
    </w:p>
    <w:p>
      <w:pPr>
        <w:pageBreakBefore w:val="0"/>
        <w:kinsoku/>
        <w:wordWrap/>
        <w:overflowPunct/>
        <w:topLinePunct w:val="0"/>
        <w:bidi w:val="0"/>
        <w:adjustRightInd w:val="0"/>
        <w:snapToGrid w:val="0"/>
        <w:spacing w:line="353" w:lineRule="auto"/>
        <w:ind w:left="0" w:right="0"/>
        <w:textAlignment w:val="auto"/>
        <w:rPr>
          <w:rFonts w:hint="default" w:ascii="Times New Roman" w:hAnsi="Times New Roman" w:cs="Times New Roman"/>
        </w:rPr>
      </w:pPr>
    </w:p>
    <w:p>
      <w:pPr>
        <w:pStyle w:val="30"/>
        <w:keepNext w:val="0"/>
        <w:keepLines w:val="0"/>
        <w:pageBreakBefore w:val="0"/>
        <w:numPr>
          <w:ilvl w:val="0"/>
          <w:numId w:val="1"/>
        </w:numPr>
        <w:kinsoku/>
        <w:wordWrap/>
        <w:overflowPunct/>
        <w:topLinePunct w:val="0"/>
        <w:autoSpaceDE/>
        <w:autoSpaceDN/>
        <w:bidi w:val="0"/>
        <w:adjustRightInd w:val="0"/>
        <w:snapToGrid w:val="0"/>
        <w:spacing w:line="353" w:lineRule="auto"/>
        <w:ind w:left="0" w:leftChars="0" w:right="0" w:firstLine="640" w:firstLineChars="200"/>
        <w:textAlignment w:val="auto"/>
        <w:outlineLvl w:val="1"/>
        <w:rPr>
          <w:rStyle w:val="32"/>
          <w:rFonts w:hint="default" w:ascii="Times New Roman" w:hAnsi="Times New Roman" w:eastAsia="黑体" w:cs="Times New Roman"/>
          <w:b w:val="0"/>
        </w:rPr>
      </w:pPr>
      <w:bookmarkStart w:id="26" w:name="_Toc15396603"/>
      <w:bookmarkStart w:id="27" w:name="_Toc30633"/>
      <w:bookmarkStart w:id="28" w:name="_Toc15377205"/>
      <w:r>
        <w:rPr>
          <w:rFonts w:hint="default" w:ascii="Times New Roman" w:hAnsi="Times New Roman" w:eastAsia="黑体" w:cs="Times New Roman"/>
          <w:sz w:val="32"/>
          <w:szCs w:val="32"/>
        </w:rPr>
        <w:t>收</w:t>
      </w:r>
      <w:r>
        <w:rPr>
          <w:rStyle w:val="32"/>
          <w:rFonts w:hint="default" w:ascii="Times New Roman" w:hAnsi="Times New Roman" w:eastAsia="黑体" w:cs="Times New Roman"/>
          <w:b w:val="0"/>
        </w:rPr>
        <w:t>入支出决算总体情况说明</w:t>
      </w:r>
      <w:bookmarkEnd w:id="26"/>
      <w:bookmarkEnd w:id="27"/>
      <w:bookmarkEnd w:id="28"/>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2022年度收、支总计</w:t>
      </w:r>
      <w:r>
        <w:rPr>
          <w:rFonts w:hint="default" w:ascii="Times New Roman" w:hAnsi="Times New Roman" w:eastAsia="仿宋" w:cs="Times New Roman"/>
          <w:sz w:val="32"/>
          <w:szCs w:val="32"/>
          <w:lang w:val="en-US" w:eastAsia="zh-CN"/>
        </w:rPr>
        <w:t>490.79</w:t>
      </w:r>
      <w:r>
        <w:rPr>
          <w:rFonts w:hint="default" w:ascii="Times New Roman" w:hAnsi="Times New Roman" w:eastAsia="仿宋" w:cs="Times New Roman"/>
          <w:sz w:val="32"/>
          <w:szCs w:val="32"/>
        </w:rPr>
        <w:t>万元。与2021年相比，收、支总计各减少</w:t>
      </w:r>
      <w:r>
        <w:rPr>
          <w:rFonts w:hint="default" w:ascii="Times New Roman" w:hAnsi="Times New Roman" w:eastAsia="仿宋" w:cs="Times New Roman"/>
          <w:sz w:val="32"/>
          <w:szCs w:val="32"/>
          <w:lang w:val="en-US" w:eastAsia="zh-CN"/>
        </w:rPr>
        <w:t>34.69</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6.6</w:t>
      </w:r>
      <w:r>
        <w:rPr>
          <w:rFonts w:hint="default" w:ascii="Times New Roman" w:hAnsi="Times New Roman" w:eastAsia="仿宋" w:cs="Times New Roman"/>
          <w:sz w:val="32"/>
          <w:szCs w:val="32"/>
        </w:rPr>
        <w:t>%。主要变动原因是年底财政资金紧张未支付，项目经费减少。</w:t>
      </w:r>
    </w:p>
    <w:p>
      <w:pPr>
        <w:keepNext w:val="0"/>
        <w:keepLines w:val="0"/>
        <w:pageBreakBefore w:val="0"/>
        <w:widowControl/>
        <w:suppressLineNumbers w:val="0"/>
        <w:kinsoku/>
        <w:wordWrap/>
        <w:overflowPunct/>
        <w:topLinePunct w:val="0"/>
        <w:bidi w:val="0"/>
        <w:spacing w:line="353" w:lineRule="auto"/>
        <w:jc w:val="left"/>
        <w:textAlignment w:val="auto"/>
        <w:rPr>
          <w:rFonts w:hint="default" w:ascii="Times New Roman" w:hAnsi="Times New Roman" w:cs="Times New Roman"/>
          <w:kern w:val="0"/>
          <w:sz w:val="24"/>
        </w:rPr>
      </w:pPr>
      <w:r>
        <w:rPr>
          <w:rFonts w:hint="default" w:ascii="Times New Roman" w:hAnsi="Times New Roman" w:eastAsia="宋体" w:cs="Times New Roman"/>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INCLUDEPICTURE \d "C:\\Users\\lenovo\\AppData\\Roaming\\Tencent\\Users\\248301485\\QQ\\WinTemp\\RichOle\\4%@B3OEXQ%[{SPR](~OK7XH.png" \* MERGEFORMATINET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kern w:val="0"/>
          <w:sz w:val="24"/>
          <w:szCs w:val="24"/>
          <w:lang w:val="en-US" w:eastAsia="zh-CN" w:bidi="ar"/>
        </w:rPr>
        <w:drawing>
          <wp:inline distT="0" distB="0" distL="114300" distR="114300">
            <wp:extent cx="3743325" cy="23907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3743325" cy="2390775"/>
                    </a:xfrm>
                    <a:prstGeom prst="rect">
                      <a:avLst/>
                    </a:prstGeom>
                    <a:noFill/>
                    <a:ln w="9525">
                      <a:noFill/>
                    </a:ln>
                  </pic:spPr>
                </pic:pic>
              </a:graphicData>
            </a:graphic>
          </wp:inline>
        </w:drawing>
      </w:r>
      <w:r>
        <w:rPr>
          <w:rFonts w:hint="default" w:ascii="Times New Roman" w:hAnsi="Times New Roman" w:eastAsia="宋体" w:cs="Times New Roman"/>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（图1：收、支决算总计变动情况图）（柱状图）</w:t>
      </w:r>
    </w:p>
    <w:p>
      <w:pPr>
        <w:pStyle w:val="30"/>
        <w:keepNext w:val="0"/>
        <w:keepLines w:val="0"/>
        <w:pageBreakBefore w:val="0"/>
        <w:numPr>
          <w:ilvl w:val="0"/>
          <w:numId w:val="1"/>
        </w:numPr>
        <w:kinsoku/>
        <w:wordWrap/>
        <w:overflowPunct/>
        <w:topLinePunct w:val="0"/>
        <w:autoSpaceDE/>
        <w:autoSpaceDN/>
        <w:bidi w:val="0"/>
        <w:adjustRightInd w:val="0"/>
        <w:snapToGrid w:val="0"/>
        <w:spacing w:line="353" w:lineRule="auto"/>
        <w:ind w:left="0" w:leftChars="0" w:right="0" w:firstLine="640" w:firstLineChars="200"/>
        <w:textAlignment w:val="auto"/>
        <w:outlineLvl w:val="1"/>
        <w:rPr>
          <w:rStyle w:val="32"/>
          <w:rFonts w:hint="default" w:ascii="Times New Roman" w:hAnsi="Times New Roman" w:eastAsia="黑体" w:cs="Times New Roman"/>
          <w:b w:val="0"/>
        </w:rPr>
      </w:pPr>
      <w:bookmarkStart w:id="29" w:name="_Toc18842"/>
      <w:bookmarkStart w:id="30" w:name="_Toc15377206"/>
      <w:bookmarkStart w:id="31" w:name="_Toc15396604"/>
      <w:r>
        <w:rPr>
          <w:rFonts w:hint="default" w:ascii="Times New Roman" w:hAnsi="Times New Roman" w:eastAsia="黑体" w:cs="Times New Roman"/>
          <w:sz w:val="32"/>
          <w:szCs w:val="32"/>
        </w:rPr>
        <w:t>收</w:t>
      </w:r>
      <w:r>
        <w:rPr>
          <w:rStyle w:val="32"/>
          <w:rFonts w:hint="default" w:ascii="Times New Roman" w:hAnsi="Times New Roman" w:eastAsia="黑体" w:cs="Times New Roman"/>
          <w:b w:val="0"/>
        </w:rPr>
        <w:t>入决算情况说明</w:t>
      </w:r>
      <w:bookmarkEnd w:id="29"/>
      <w:bookmarkEnd w:id="30"/>
      <w:bookmarkEnd w:id="31"/>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Fonts w:hint="default" w:ascii="Times New Roman" w:hAnsi="Times New Roman" w:eastAsia="仿宋" w:cs="Times New Roman"/>
          <w:sz w:val="32"/>
          <w:szCs w:val="32"/>
        </w:rPr>
      </w:pPr>
      <w:bookmarkStart w:id="32" w:name="_Toc25162"/>
      <w:bookmarkStart w:id="33" w:name="_Toc22121"/>
      <w:r>
        <w:rPr>
          <w:rFonts w:hint="default" w:ascii="Times New Roman" w:hAnsi="Times New Roman" w:eastAsia="仿宋" w:cs="Times New Roman"/>
          <w:sz w:val="32"/>
          <w:szCs w:val="32"/>
        </w:rPr>
        <w:t>2022年本年收入合计</w:t>
      </w:r>
      <w:r>
        <w:rPr>
          <w:rFonts w:hint="default" w:ascii="Times New Roman" w:hAnsi="Times New Roman" w:eastAsia="仿宋" w:cs="Times New Roman"/>
          <w:sz w:val="32"/>
          <w:szCs w:val="32"/>
          <w:lang w:val="en-US" w:eastAsia="zh-CN"/>
        </w:rPr>
        <w:t>416.85</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sz w:val="32"/>
          <w:szCs w:val="32"/>
          <w:lang w:val="en-US" w:eastAsia="zh-CN"/>
        </w:rPr>
        <w:t>383.59</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92</w:t>
      </w:r>
      <w:r>
        <w:rPr>
          <w:rFonts w:hint="default" w:ascii="Times New Roman" w:hAnsi="Times New Roman" w:eastAsia="仿宋" w:cs="Times New Roman"/>
          <w:sz w:val="32"/>
          <w:szCs w:val="32"/>
        </w:rPr>
        <w:t>%；政府性基金预算财政拨款收入</w:t>
      </w:r>
      <w:r>
        <w:rPr>
          <w:rFonts w:hint="default" w:ascii="Times New Roman" w:hAnsi="Times New Roman" w:eastAsia="仿宋" w:cs="Times New Roman"/>
          <w:sz w:val="32"/>
          <w:szCs w:val="32"/>
          <w:lang w:val="en-US" w:eastAsia="zh-CN"/>
        </w:rPr>
        <w:t>33.26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%；国有资本经营预算财政拨款收入0万元，占0%；上级补助收入0万元，占0%；事业收入0万元，占0%；经营收入0万元，占0%；附属单位上缴收入0万元，占0%；其他收入0万元，占0%。</w:t>
      </w:r>
      <w:bookmarkEnd w:id="32"/>
      <w:bookmarkEnd w:id="33"/>
    </w:p>
    <w:p>
      <w:pPr>
        <w:keepNext w:val="0"/>
        <w:keepLines w:val="0"/>
        <w:pageBreakBefore w:val="0"/>
        <w:widowControl/>
        <w:suppressLineNumbers w:val="0"/>
        <w:kinsoku/>
        <w:wordWrap/>
        <w:overflowPunct/>
        <w:topLinePunct w:val="0"/>
        <w:bidi w:val="0"/>
        <w:spacing w:line="353" w:lineRule="auto"/>
        <w:jc w:val="left"/>
        <w:textAlignment w:val="auto"/>
        <w:rPr>
          <w:rFonts w:hint="default" w:ascii="Times New Roman" w:hAnsi="Times New Roman" w:cs="Times New Roman"/>
          <w:kern w:val="0"/>
          <w:sz w:val="24"/>
        </w:rPr>
      </w:pPr>
      <w:r>
        <w:rPr>
          <w:rFonts w:hint="default" w:ascii="Times New Roman" w:hAnsi="Times New Roman" w:eastAsia="宋体" w:cs="Times New Roman"/>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INCLUDEPICTURE \d "C:\\Users\\lenovo\\AppData\\Roaming\\Tencent\\Users\\248301485\\QQ\\WinTemp\\RichOle\\4HN4PXF59CQXD%4SJ_E8ZZ4.png" \* MERGEFORMATINET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kern w:val="0"/>
          <w:sz w:val="24"/>
          <w:szCs w:val="24"/>
          <w:lang w:val="en-US" w:eastAsia="zh-CN" w:bidi="ar"/>
        </w:rPr>
        <w:drawing>
          <wp:inline distT="0" distB="0" distL="114300" distR="114300">
            <wp:extent cx="3905250" cy="2371725"/>
            <wp:effectExtent l="0" t="0" r="0"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3905250" cy="2371725"/>
                    </a:xfrm>
                    <a:prstGeom prst="rect">
                      <a:avLst/>
                    </a:prstGeom>
                    <a:noFill/>
                    <a:ln w="9525">
                      <a:noFill/>
                    </a:ln>
                  </pic:spPr>
                </pic:pic>
              </a:graphicData>
            </a:graphic>
          </wp:inline>
        </w:drawing>
      </w:r>
      <w:r>
        <w:rPr>
          <w:rFonts w:hint="default" w:ascii="Times New Roman" w:hAnsi="Times New Roman" w:eastAsia="宋体" w:cs="Times New Roman"/>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（图2：收入决算结构图）（饼状图）</w:t>
      </w:r>
    </w:p>
    <w:p>
      <w:pPr>
        <w:pStyle w:val="30"/>
        <w:keepNext w:val="0"/>
        <w:keepLines w:val="0"/>
        <w:pageBreakBefore w:val="0"/>
        <w:numPr>
          <w:ilvl w:val="0"/>
          <w:numId w:val="1"/>
        </w:numPr>
        <w:kinsoku/>
        <w:wordWrap/>
        <w:overflowPunct/>
        <w:topLinePunct w:val="0"/>
        <w:autoSpaceDE/>
        <w:autoSpaceDN/>
        <w:bidi w:val="0"/>
        <w:adjustRightInd w:val="0"/>
        <w:snapToGrid w:val="0"/>
        <w:spacing w:line="353" w:lineRule="auto"/>
        <w:ind w:left="0" w:leftChars="0" w:right="0" w:firstLine="640" w:firstLineChars="200"/>
        <w:textAlignment w:val="auto"/>
        <w:outlineLvl w:val="1"/>
        <w:rPr>
          <w:rStyle w:val="32"/>
          <w:rFonts w:hint="default" w:ascii="Times New Roman" w:hAnsi="Times New Roman" w:eastAsia="黑体" w:cs="Times New Roman"/>
          <w:b w:val="0"/>
        </w:rPr>
      </w:pPr>
      <w:bookmarkStart w:id="34" w:name="_Toc14984"/>
      <w:bookmarkStart w:id="35" w:name="_Toc15377207"/>
      <w:bookmarkStart w:id="36" w:name="_Toc15396605"/>
      <w:r>
        <w:rPr>
          <w:rFonts w:hint="default" w:ascii="Times New Roman" w:hAnsi="Times New Roman" w:eastAsia="黑体" w:cs="Times New Roman"/>
          <w:sz w:val="32"/>
          <w:szCs w:val="32"/>
        </w:rPr>
        <w:t>支</w:t>
      </w:r>
      <w:r>
        <w:rPr>
          <w:rStyle w:val="32"/>
          <w:rFonts w:hint="default" w:ascii="Times New Roman" w:hAnsi="Times New Roman" w:eastAsia="黑体" w:cs="Times New Roman"/>
          <w:b w:val="0"/>
        </w:rPr>
        <w:t>出决算情况说明</w:t>
      </w:r>
      <w:bookmarkEnd w:id="34"/>
      <w:bookmarkEnd w:id="35"/>
      <w:bookmarkEnd w:id="36"/>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Fonts w:hint="default" w:ascii="Times New Roman" w:hAnsi="Times New Roman" w:eastAsia="仿宋" w:cs="Times New Roman"/>
          <w:sz w:val="32"/>
          <w:szCs w:val="32"/>
        </w:rPr>
      </w:pPr>
      <w:bookmarkStart w:id="37" w:name="_Toc30523"/>
      <w:bookmarkStart w:id="38" w:name="_Toc4490"/>
      <w:r>
        <w:rPr>
          <w:rFonts w:hint="default" w:ascii="Times New Roman" w:hAnsi="Times New Roman" w:eastAsia="仿宋" w:cs="Times New Roman"/>
          <w:sz w:val="32"/>
          <w:szCs w:val="32"/>
        </w:rPr>
        <w:t>2022年本年支出合计</w:t>
      </w:r>
      <w:r>
        <w:rPr>
          <w:rFonts w:hint="default" w:ascii="Times New Roman" w:hAnsi="Times New Roman" w:eastAsia="仿宋" w:cs="Times New Roman"/>
          <w:sz w:val="32"/>
          <w:szCs w:val="32"/>
          <w:lang w:val="en-US" w:eastAsia="zh-CN"/>
        </w:rPr>
        <w:t>490.79</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lang w:val="en-US" w:eastAsia="zh-CN"/>
        </w:rPr>
        <w:t>327.91</w:t>
      </w:r>
      <w:r>
        <w:rPr>
          <w:rFonts w:hint="default" w:ascii="Times New Roman" w:hAnsi="Times New Roman" w:eastAsia="仿宋" w:cs="Times New Roman"/>
          <w:sz w:val="32"/>
          <w:szCs w:val="32"/>
        </w:rPr>
        <w:t>元，占</w:t>
      </w:r>
      <w:r>
        <w:rPr>
          <w:rFonts w:hint="default" w:ascii="Times New Roman" w:hAnsi="Times New Roman" w:eastAsia="仿宋" w:cs="Times New Roman"/>
          <w:sz w:val="32"/>
          <w:szCs w:val="32"/>
          <w:lang w:val="en-US" w:eastAsia="zh-CN"/>
        </w:rPr>
        <w:t>66.81</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lang w:val="en-US" w:eastAsia="zh-CN"/>
        </w:rPr>
        <w:t>162.88</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33.19</w:t>
      </w:r>
      <w:r>
        <w:rPr>
          <w:rFonts w:hint="default" w:ascii="Times New Roman" w:hAnsi="Times New Roman" w:eastAsia="仿宋" w:cs="Times New Roman"/>
          <w:sz w:val="32"/>
          <w:szCs w:val="32"/>
        </w:rPr>
        <w:t>%；上缴上级支出0万元，占0%；经营支出0万元，占0%；对附属单位补助支出0万元，占0%。</w:t>
      </w:r>
      <w:bookmarkEnd w:id="37"/>
      <w:bookmarkEnd w:id="38"/>
    </w:p>
    <w:p>
      <w:pPr>
        <w:keepNext w:val="0"/>
        <w:keepLines w:val="0"/>
        <w:pageBreakBefore w:val="0"/>
        <w:widowControl/>
        <w:kinsoku/>
        <w:wordWrap/>
        <w:overflowPunct/>
        <w:topLinePunct w:val="0"/>
        <w:autoSpaceDE/>
        <w:autoSpaceDN/>
        <w:bidi w:val="0"/>
        <w:adjustRightInd w:val="0"/>
        <w:snapToGrid w:val="0"/>
        <w:spacing w:line="353" w:lineRule="auto"/>
        <w:ind w:left="0" w:right="0" w:firstLine="420" w:firstLineChars="200"/>
        <w:jc w:val="left"/>
        <w:textAlignment w:val="auto"/>
        <w:rPr>
          <w:rFonts w:hint="default" w:ascii="Times New Roman" w:hAnsi="Times New Roman" w:cs="Times New Roman"/>
          <w:kern w:val="0"/>
          <w:sz w:val="24"/>
        </w:rPr>
      </w:pPr>
      <w:r>
        <w:rPr>
          <w:rFonts w:hint="default" w:ascii="Times New Roman" w:hAnsi="Times New Roman" w:cs="Times New Roman"/>
        </w:rPr>
        <w:drawing>
          <wp:inline distT="0" distB="0" distL="114300" distR="114300">
            <wp:extent cx="3123565" cy="2505075"/>
            <wp:effectExtent l="0" t="0" r="63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3123565" cy="25050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（图3：支出决算结构图）（饼状图）</w:t>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Style w:val="32"/>
          <w:rFonts w:hint="default" w:ascii="Times New Roman" w:hAnsi="Times New Roman" w:eastAsia="黑体" w:cs="Times New Roman"/>
          <w:b w:val="0"/>
        </w:rPr>
      </w:pPr>
      <w:bookmarkStart w:id="39" w:name="_Toc11231"/>
      <w:bookmarkStart w:id="40" w:name="_Toc15396606"/>
      <w:bookmarkStart w:id="41" w:name="_Toc15377208"/>
      <w:r>
        <w:rPr>
          <w:rFonts w:hint="default" w:ascii="Times New Roman" w:hAnsi="Times New Roman" w:eastAsia="黑体" w:cs="Times New Roman"/>
          <w:sz w:val="32"/>
          <w:szCs w:val="32"/>
        </w:rPr>
        <w:t>四、财</w:t>
      </w:r>
      <w:r>
        <w:rPr>
          <w:rStyle w:val="32"/>
          <w:rFonts w:hint="default" w:ascii="Times New Roman" w:hAnsi="Times New Roman" w:eastAsia="黑体" w:cs="Times New Roman"/>
          <w:b w:val="0"/>
        </w:rPr>
        <w:t>政拨款收入支出决算总体情况说明</w:t>
      </w:r>
      <w:bookmarkEnd w:id="39"/>
      <w:bookmarkEnd w:id="40"/>
      <w:bookmarkEnd w:id="41"/>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2022年财政拨款收、支总计</w:t>
      </w:r>
      <w:r>
        <w:rPr>
          <w:rFonts w:hint="default" w:ascii="Times New Roman" w:hAnsi="Times New Roman" w:eastAsia="仿宋" w:cs="Times New Roman"/>
          <w:sz w:val="32"/>
          <w:szCs w:val="32"/>
          <w:lang w:val="en-US" w:eastAsia="zh-CN"/>
        </w:rPr>
        <w:t>490.79</w:t>
      </w:r>
      <w:r>
        <w:rPr>
          <w:rFonts w:hint="default" w:ascii="Times New Roman" w:hAnsi="Times New Roman" w:eastAsia="仿宋" w:cs="Times New Roman"/>
          <w:sz w:val="32"/>
          <w:szCs w:val="32"/>
        </w:rPr>
        <w:t>万元。与2021年相比，收、支总计各减少</w:t>
      </w:r>
      <w:r>
        <w:rPr>
          <w:rFonts w:hint="default" w:ascii="Times New Roman" w:hAnsi="Times New Roman" w:eastAsia="仿宋" w:cs="Times New Roman"/>
          <w:sz w:val="32"/>
          <w:szCs w:val="32"/>
          <w:lang w:val="en-US" w:eastAsia="zh-CN"/>
        </w:rPr>
        <w:t>34.69</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6.6</w:t>
      </w:r>
      <w:r>
        <w:rPr>
          <w:rFonts w:hint="default" w:ascii="Times New Roman" w:hAnsi="Times New Roman" w:eastAsia="仿宋" w:cs="Times New Roman"/>
          <w:sz w:val="32"/>
          <w:szCs w:val="32"/>
        </w:rPr>
        <w:t>%。主要变动原因是年底财政资金紧张未支付，项目经费减少。</w:t>
      </w:r>
    </w:p>
    <w:p>
      <w:pPr>
        <w:keepNext w:val="0"/>
        <w:keepLines w:val="0"/>
        <w:pageBreakBefore w:val="0"/>
        <w:widowControl/>
        <w:suppressLineNumbers w:val="0"/>
        <w:kinsoku/>
        <w:wordWrap/>
        <w:overflowPunct/>
        <w:topLinePunct w:val="0"/>
        <w:bidi w:val="0"/>
        <w:spacing w:line="353" w:lineRule="auto"/>
        <w:jc w:val="left"/>
        <w:textAlignment w:val="auto"/>
        <w:rPr>
          <w:rFonts w:hint="default" w:ascii="Times New Roman" w:hAnsi="Times New Roman" w:cs="Times New Roman"/>
          <w:kern w:val="0"/>
          <w:sz w:val="24"/>
        </w:rPr>
      </w:pPr>
      <w:r>
        <w:rPr>
          <w:rFonts w:hint="default" w:ascii="Times New Roman" w:hAnsi="Times New Roman" w:eastAsia="宋体" w:cs="Times New Roman"/>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INCLUDEPICTURE \d "C:\\Users\\lenovo\\AppData\\Roaming\\Tencent\\Users\\248301485\\QQ\\WinTemp\\RichOle\\4_5FA[H7I7_6IYMQU59U]FV.png" \* MERGEFORMATINET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kern w:val="0"/>
          <w:sz w:val="24"/>
          <w:szCs w:val="24"/>
          <w:lang w:val="en-US" w:eastAsia="zh-CN" w:bidi="ar"/>
        </w:rPr>
        <w:drawing>
          <wp:inline distT="0" distB="0" distL="114300" distR="114300">
            <wp:extent cx="3743325" cy="2419350"/>
            <wp:effectExtent l="0" t="0" r="9525"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9"/>
                    <a:stretch>
                      <a:fillRect/>
                    </a:stretch>
                  </pic:blipFill>
                  <pic:spPr>
                    <a:xfrm>
                      <a:off x="0" y="0"/>
                      <a:ext cx="3743325" cy="2419350"/>
                    </a:xfrm>
                    <a:prstGeom prst="rect">
                      <a:avLst/>
                    </a:prstGeom>
                    <a:noFill/>
                    <a:ln w="9525">
                      <a:noFill/>
                    </a:ln>
                  </pic:spPr>
                </pic:pic>
              </a:graphicData>
            </a:graphic>
          </wp:inline>
        </w:drawing>
      </w:r>
      <w:r>
        <w:rPr>
          <w:rFonts w:hint="default" w:ascii="Times New Roman" w:hAnsi="Times New Roman" w:eastAsia="宋体" w:cs="Times New Roman"/>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（图4：财政拨款收、支决算总计变动情况）（柱状图）</w:t>
      </w:r>
    </w:p>
    <w:p>
      <w:pPr>
        <w:pageBreakBefore w:val="0"/>
        <w:kinsoku/>
        <w:wordWrap/>
        <w:overflowPunct/>
        <w:topLinePunct w:val="0"/>
        <w:bidi w:val="0"/>
        <w:adjustRightInd w:val="0"/>
        <w:snapToGrid w:val="0"/>
        <w:spacing w:line="353" w:lineRule="auto"/>
        <w:ind w:left="0" w:right="0" w:firstLine="640" w:firstLineChars="200"/>
        <w:textAlignment w:val="auto"/>
        <w:outlineLvl w:val="1"/>
        <w:rPr>
          <w:rStyle w:val="32"/>
          <w:rFonts w:hint="default" w:ascii="Times New Roman" w:hAnsi="Times New Roman" w:eastAsia="黑体" w:cs="Times New Roman"/>
          <w:b w:val="0"/>
        </w:rPr>
      </w:pPr>
      <w:bookmarkStart w:id="42" w:name="_Toc15377209"/>
      <w:bookmarkStart w:id="43" w:name="_Toc7145"/>
      <w:bookmarkStart w:id="44"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般公共预算财政拨款支出决算情况说明</w:t>
      </w:r>
      <w:bookmarkEnd w:id="42"/>
      <w:bookmarkEnd w:id="43"/>
      <w:bookmarkEnd w:id="44"/>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hint="default" w:ascii="Times New Roman" w:hAnsi="Times New Roman" w:eastAsia="仿宋" w:cs="Times New Roman"/>
          <w:b/>
          <w:sz w:val="32"/>
          <w:szCs w:val="32"/>
        </w:rPr>
      </w:pPr>
      <w:bookmarkStart w:id="45" w:name="_Toc15377210"/>
      <w:r>
        <w:rPr>
          <w:rFonts w:hint="default" w:ascii="Times New Roman" w:hAnsi="Times New Roman" w:eastAsia="仿宋" w:cs="Times New Roman"/>
          <w:b/>
          <w:sz w:val="32"/>
          <w:szCs w:val="32"/>
        </w:rPr>
        <w:t>（一）一般公共预算财政拨款支出决算总体情况</w:t>
      </w:r>
      <w:bookmarkEnd w:id="45"/>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w:t>
      </w:r>
      <w:r>
        <w:rPr>
          <w:rFonts w:hint="default" w:ascii="Times New Roman" w:hAnsi="Times New Roman" w:eastAsia="仿宋" w:cs="Times New Roman"/>
          <w:sz w:val="32"/>
          <w:szCs w:val="32"/>
          <w:lang w:val="en-US" w:eastAsia="zh-CN"/>
        </w:rPr>
        <w:t>457.53</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sz w:val="32"/>
          <w:szCs w:val="32"/>
          <w:lang w:val="en-US" w:eastAsia="zh-CN"/>
        </w:rPr>
        <w:t>93</w:t>
      </w:r>
      <w:r>
        <w:rPr>
          <w:rFonts w:hint="default" w:ascii="Times New Roman" w:hAnsi="Times New Roman" w:eastAsia="仿宋" w:cs="Times New Roman"/>
          <w:sz w:val="32"/>
          <w:szCs w:val="32"/>
        </w:rPr>
        <w:t>%。与2021年相比，一般公共预算财政拨款支出</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37.98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rPr>
        <w:t>8%。主要变动原因是</w:t>
      </w:r>
      <w:r>
        <w:rPr>
          <w:rFonts w:hint="default" w:ascii="Times New Roman" w:hAnsi="Times New Roman" w:eastAsia="仿宋" w:cs="Times New Roman"/>
          <w:sz w:val="32"/>
          <w:szCs w:val="32"/>
          <w:lang w:eastAsia="zh-CN"/>
        </w:rPr>
        <w:t>项目</w:t>
      </w:r>
      <w:r>
        <w:rPr>
          <w:rFonts w:hint="default" w:ascii="Times New Roman" w:hAnsi="Times New Roman" w:eastAsia="仿宋" w:cs="Times New Roman"/>
          <w:sz w:val="32"/>
          <w:szCs w:val="32"/>
        </w:rPr>
        <w:t>经费</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rPr>
        <w:t>。</w:t>
      </w:r>
    </w:p>
    <w:p>
      <w:pPr>
        <w:keepNext w:val="0"/>
        <w:keepLines w:val="0"/>
        <w:pageBreakBefore w:val="0"/>
        <w:widowControl/>
        <w:suppressLineNumbers w:val="0"/>
        <w:kinsoku/>
        <w:wordWrap/>
        <w:overflowPunct/>
        <w:topLinePunct w:val="0"/>
        <w:bidi w:val="0"/>
        <w:spacing w:line="353" w:lineRule="auto"/>
        <w:jc w:val="left"/>
        <w:textAlignment w:val="auto"/>
        <w:rPr>
          <w:rFonts w:hint="default" w:ascii="Times New Roman" w:hAnsi="Times New Roman" w:cs="Times New Roman"/>
          <w:kern w:val="0"/>
          <w:sz w:val="24"/>
        </w:rPr>
      </w:pPr>
      <w:r>
        <w:rPr>
          <w:rFonts w:hint="default" w:ascii="Times New Roman" w:hAnsi="Times New Roman" w:eastAsia="宋体" w:cs="Times New Roman"/>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INCLUDEPICTURE \d "C:\\Users\\lenovo\\AppData\\Roaming\\Tencent\\Users\\248301485\\QQ\\WinTemp\\RichOle\\D}14_%CZCF2JC[}[LCX@1GA.png" \* MERGEFORMATINET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kern w:val="0"/>
          <w:sz w:val="24"/>
          <w:szCs w:val="24"/>
          <w:lang w:val="en-US" w:eastAsia="zh-CN" w:bidi="ar"/>
        </w:rPr>
        <w:drawing>
          <wp:inline distT="0" distB="0" distL="114300" distR="114300">
            <wp:extent cx="3705225" cy="2400300"/>
            <wp:effectExtent l="0" t="0" r="9525"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10"/>
                    <a:stretch>
                      <a:fillRect/>
                    </a:stretch>
                  </pic:blipFill>
                  <pic:spPr>
                    <a:xfrm>
                      <a:off x="0" y="0"/>
                      <a:ext cx="3705225" cy="2400300"/>
                    </a:xfrm>
                    <a:prstGeom prst="rect">
                      <a:avLst/>
                    </a:prstGeom>
                    <a:noFill/>
                    <a:ln w="9525">
                      <a:noFill/>
                    </a:ln>
                  </pic:spPr>
                </pic:pic>
              </a:graphicData>
            </a:graphic>
          </wp:inline>
        </w:drawing>
      </w:r>
      <w:r>
        <w:rPr>
          <w:rFonts w:hint="default" w:ascii="Times New Roman" w:hAnsi="Times New Roman" w:eastAsia="宋体" w:cs="Times New Roman"/>
          <w:kern w:val="0"/>
          <w:sz w:val="24"/>
          <w:szCs w:val="24"/>
          <w:lang w:val="en-US" w:eastAsia="zh-CN" w:bidi="ar"/>
        </w:rPr>
        <w:fldChar w:fldCharType="end"/>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（图5：一般公共预算财政拨款支出决算变动情况）（柱状图）</w:t>
      </w:r>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hint="default" w:ascii="Times New Roman" w:hAnsi="Times New Roman" w:eastAsia="仿宋" w:cs="Times New Roman"/>
          <w:b/>
          <w:sz w:val="32"/>
          <w:szCs w:val="32"/>
        </w:rPr>
      </w:pPr>
      <w:bookmarkStart w:id="46" w:name="_Toc15377211"/>
      <w:r>
        <w:rPr>
          <w:rFonts w:hint="default" w:ascii="Times New Roman" w:hAnsi="Times New Roman" w:eastAsia="仿宋" w:cs="Times New Roman"/>
          <w:b/>
          <w:sz w:val="32"/>
          <w:szCs w:val="32"/>
        </w:rPr>
        <w:t>（二）一般公共预算财政拨款支出决算结构情况</w:t>
      </w:r>
      <w:bookmarkEnd w:id="46"/>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w:t>
      </w:r>
      <w:r>
        <w:rPr>
          <w:rFonts w:hint="default" w:ascii="Times New Roman" w:hAnsi="Times New Roman" w:eastAsia="仿宋" w:cs="Times New Roman"/>
          <w:sz w:val="32"/>
          <w:szCs w:val="32"/>
          <w:lang w:val="en-US" w:eastAsia="zh-CN"/>
        </w:rPr>
        <w:t>457.53</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lang w:val="en-US" w:eastAsia="zh-CN"/>
        </w:rPr>
        <w:t>390.9</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85</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lang w:val="en-US" w:eastAsia="zh-CN"/>
        </w:rPr>
        <w:t>21.98</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lang w:val="en-US" w:eastAsia="zh-CN"/>
        </w:rPr>
        <w:t>18.46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lang w:val="en-US" w:eastAsia="zh-CN"/>
        </w:rPr>
        <w:t>26.2</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w:t>
      </w:r>
    </w:p>
    <w:p>
      <w:pPr>
        <w:keepNext w:val="0"/>
        <w:keepLines w:val="0"/>
        <w:pageBreakBefore w:val="0"/>
        <w:widowControl/>
        <w:suppressLineNumbers w:val="0"/>
        <w:kinsoku/>
        <w:wordWrap/>
        <w:overflowPunct/>
        <w:topLinePunct w:val="0"/>
        <w:bidi w:val="0"/>
        <w:spacing w:line="353" w:lineRule="auto"/>
        <w:jc w:val="left"/>
        <w:textAlignment w:val="auto"/>
        <w:rPr>
          <w:rFonts w:hint="default" w:ascii="Times New Roman" w:hAnsi="Times New Roman" w:cs="Times New Roman"/>
          <w:kern w:val="0"/>
          <w:sz w:val="24"/>
        </w:rPr>
      </w:pPr>
      <w:r>
        <w:rPr>
          <w:rFonts w:hint="default" w:ascii="Times New Roman" w:hAnsi="Times New Roman" w:eastAsia="宋体" w:cs="Times New Roman"/>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INCLUDEPICTURE \d "C:\\Users\\lenovo\\AppData\\Roaming\\Tencent\\Users\\248301485\\QQ\\WinTemp\\RichOle\\T}RQ}BG$WX]US`W3X3HENK5.png" \* MERGEFORMATINET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kern w:val="0"/>
          <w:sz w:val="24"/>
          <w:szCs w:val="24"/>
          <w:lang w:val="en-US" w:eastAsia="zh-CN" w:bidi="ar"/>
        </w:rPr>
        <w:drawing>
          <wp:inline distT="0" distB="0" distL="114300" distR="114300">
            <wp:extent cx="4229100" cy="2495550"/>
            <wp:effectExtent l="0" t="0" r="0" b="0"/>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11"/>
                    <a:stretch>
                      <a:fillRect/>
                    </a:stretch>
                  </pic:blipFill>
                  <pic:spPr>
                    <a:xfrm>
                      <a:off x="0" y="0"/>
                      <a:ext cx="4229100" cy="2495550"/>
                    </a:xfrm>
                    <a:prstGeom prst="rect">
                      <a:avLst/>
                    </a:prstGeom>
                    <a:noFill/>
                    <a:ln w="9525">
                      <a:noFill/>
                    </a:ln>
                  </pic:spPr>
                </pic:pic>
              </a:graphicData>
            </a:graphic>
          </wp:inline>
        </w:drawing>
      </w:r>
      <w:r>
        <w:rPr>
          <w:rFonts w:hint="default" w:ascii="Times New Roman" w:hAnsi="Times New Roman" w:eastAsia="宋体" w:cs="Times New Roman"/>
          <w:kern w:val="0"/>
          <w:sz w:val="24"/>
          <w:szCs w:val="24"/>
          <w:lang w:val="en-US" w:eastAsia="zh-CN" w:bidi="ar"/>
        </w:rPr>
        <w:fldChar w:fldCharType="end"/>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（图6：一般公共预算财政拨款支出决算结构）（饼状图）</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hint="default" w:ascii="Times New Roman" w:hAnsi="Times New Roman" w:eastAsia="仿宋" w:cs="Times New Roman"/>
          <w:b/>
          <w:sz w:val="32"/>
          <w:szCs w:val="32"/>
        </w:rPr>
      </w:pPr>
      <w:bookmarkStart w:id="47" w:name="_Toc15377212"/>
      <w:r>
        <w:rPr>
          <w:rFonts w:hint="default" w:ascii="Times New Roman" w:hAnsi="Times New Roman" w:eastAsia="仿宋" w:cs="Times New Roman"/>
          <w:b/>
          <w:sz w:val="32"/>
          <w:szCs w:val="32"/>
        </w:rPr>
        <w:t>（三）一般公共预算财政拨款支出决算具体情况</w:t>
      </w:r>
      <w:bookmarkEnd w:id="47"/>
    </w:p>
    <w:p>
      <w:pPr>
        <w:pageBreakBefore w:val="0"/>
        <w:kinsoku/>
        <w:wordWrap/>
        <w:overflowPunct/>
        <w:topLinePunct w:val="0"/>
        <w:bidi w:val="0"/>
        <w:adjustRightInd w:val="0"/>
        <w:snapToGrid w:val="0"/>
        <w:spacing w:line="353" w:lineRule="auto"/>
        <w:ind w:left="0" w:right="0" w:firstLine="643" w:firstLineChars="200"/>
        <w:textAlignment w:val="auto"/>
        <w:outlineLvl w:val="1"/>
        <w:rPr>
          <w:rFonts w:hint="default" w:ascii="Times New Roman" w:hAnsi="Times New Roman" w:eastAsia="仿宋" w:cs="Times New Roman"/>
          <w:sz w:val="32"/>
          <w:szCs w:val="32"/>
        </w:rPr>
      </w:pPr>
      <w:bookmarkStart w:id="48" w:name="_Toc30553"/>
      <w:bookmarkStart w:id="49" w:name="_Toc15377444"/>
      <w:bookmarkStart w:id="50" w:name="_Toc17139"/>
      <w:bookmarkStart w:id="51" w:name="_Toc15378460"/>
      <w:bookmarkStart w:id="52" w:name="_Toc15377213"/>
      <w:r>
        <w:rPr>
          <w:rFonts w:hint="default" w:ascii="Times New Roman" w:hAnsi="Times New Roman" w:eastAsia="仿宋" w:cs="Times New Roman"/>
          <w:b/>
          <w:sz w:val="32"/>
          <w:szCs w:val="32"/>
        </w:rPr>
        <w:t>2022年一般公共预算支出决算数为</w:t>
      </w:r>
      <w:r>
        <w:rPr>
          <w:rFonts w:hint="default" w:ascii="Times New Roman" w:hAnsi="Times New Roman" w:eastAsia="仿宋" w:cs="Times New Roman"/>
          <w:b/>
          <w:sz w:val="32"/>
          <w:szCs w:val="32"/>
          <w:lang w:val="en-US" w:eastAsia="zh-CN"/>
        </w:rPr>
        <w:t>457.53</w:t>
      </w:r>
      <w:r>
        <w:rPr>
          <w:rFonts w:hint="default" w:ascii="Times New Roman" w:hAnsi="Times New Roman" w:eastAsia="仿宋" w:cs="Times New Roman"/>
          <w:b/>
          <w:sz w:val="32"/>
          <w:szCs w:val="32"/>
        </w:rPr>
        <w:t>万元</w:t>
      </w:r>
      <w:r>
        <w:rPr>
          <w:rFonts w:hint="default" w:ascii="Times New Roman" w:hAnsi="Times New Roman" w:eastAsia="仿宋" w:cs="Times New Roman"/>
          <w:sz w:val="32"/>
          <w:szCs w:val="32"/>
        </w:rPr>
        <w:t>，</w:t>
      </w:r>
      <w:r>
        <w:rPr>
          <w:rStyle w:val="19"/>
          <w:rFonts w:hint="default" w:ascii="Times New Roman" w:hAnsi="Times New Roman" w:eastAsia="仿宋" w:cs="Times New Roman"/>
          <w:bCs/>
          <w:sz w:val="32"/>
          <w:szCs w:val="32"/>
        </w:rPr>
        <w:t>完成预算100%。其中：</w:t>
      </w:r>
      <w:bookmarkEnd w:id="48"/>
      <w:bookmarkEnd w:id="49"/>
      <w:bookmarkEnd w:id="50"/>
      <w:bookmarkEnd w:id="51"/>
      <w:bookmarkEnd w:id="52"/>
    </w:p>
    <w:p>
      <w:pPr>
        <w:pageBreakBefore w:val="0"/>
        <w:kinsoku/>
        <w:wordWrap/>
        <w:overflowPunct/>
        <w:topLinePunct w:val="0"/>
        <w:bidi w:val="0"/>
        <w:adjustRightInd w:val="0"/>
        <w:snapToGrid w:val="0"/>
        <w:spacing w:line="353" w:lineRule="auto"/>
        <w:ind w:left="0" w:right="0" w:firstLine="643" w:firstLineChars="200"/>
        <w:textAlignment w:val="auto"/>
        <w:rPr>
          <w:rFonts w:hint="default" w:ascii="Times New Roman" w:hAnsi="Times New Roman" w:eastAsia="仿宋" w:cs="Times New Roman"/>
          <w:b/>
          <w:sz w:val="32"/>
          <w:szCs w:val="32"/>
        </w:rPr>
      </w:pPr>
      <w:r>
        <w:rPr>
          <w:rStyle w:val="19"/>
          <w:rFonts w:hint="default" w:ascii="Times New Roman" w:hAnsi="Times New Roman" w:eastAsia="仿宋" w:cs="Times New Roman"/>
          <w:bCs/>
          <w:sz w:val="32"/>
          <w:szCs w:val="32"/>
        </w:rPr>
        <w:t>1.一般公共服务支出（类）其他共产党事务支出（款）行政运行（项）</w:t>
      </w:r>
      <w:r>
        <w:rPr>
          <w:rStyle w:val="19"/>
          <w:rFonts w:hint="default" w:ascii="Times New Roman" w:hAnsi="Times New Roman" w:eastAsia="仿宋" w:cs="Times New Roman"/>
          <w:bCs/>
          <w:sz w:val="32"/>
          <w:szCs w:val="32"/>
          <w:lang w:eastAsia="zh-CN"/>
        </w:rPr>
        <w:t>：</w:t>
      </w:r>
      <w:r>
        <w:rPr>
          <w:rStyle w:val="19"/>
          <w:rFonts w:hint="default" w:ascii="Times New Roman" w:hAnsi="Times New Roman" w:eastAsia="仿宋" w:cs="Times New Roman"/>
          <w:b w:val="0"/>
          <w:bCs/>
          <w:sz w:val="32"/>
          <w:szCs w:val="32"/>
        </w:rPr>
        <w:t>支出决算为</w:t>
      </w:r>
      <w:r>
        <w:rPr>
          <w:rStyle w:val="19"/>
          <w:rFonts w:hint="default" w:ascii="Times New Roman" w:hAnsi="Times New Roman" w:eastAsia="仿宋" w:cs="Times New Roman"/>
          <w:b w:val="0"/>
          <w:bCs/>
          <w:sz w:val="32"/>
          <w:szCs w:val="32"/>
          <w:lang w:val="en-US" w:eastAsia="zh-CN"/>
        </w:rPr>
        <w:t>119.87</w:t>
      </w:r>
      <w:r>
        <w:rPr>
          <w:rStyle w:val="19"/>
          <w:rFonts w:hint="default" w:ascii="Times New Roman" w:hAnsi="Times New Roman" w:eastAsia="仿宋" w:cs="Times New Roman"/>
          <w:b w:val="0"/>
          <w:bCs/>
          <w:sz w:val="32"/>
          <w:szCs w:val="32"/>
        </w:rPr>
        <w:t>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Fonts w:hint="default" w:ascii="Times New Roman" w:hAnsi="Times New Roman" w:eastAsia="仿宋" w:cs="Times New Roman"/>
          <w:b/>
          <w:sz w:val="32"/>
          <w:szCs w:val="32"/>
        </w:rPr>
      </w:pPr>
      <w:r>
        <w:rPr>
          <w:rStyle w:val="19"/>
          <w:rFonts w:hint="default" w:ascii="Times New Roman" w:hAnsi="Times New Roman" w:eastAsia="仿宋" w:cs="Times New Roman"/>
          <w:bCs/>
          <w:sz w:val="32"/>
          <w:szCs w:val="32"/>
        </w:rPr>
        <w:t>2.一般公共服务支出（类）其他共产党事务支出（款）一般行政管理事务（项）</w:t>
      </w:r>
      <w:r>
        <w:rPr>
          <w:rStyle w:val="19"/>
          <w:rFonts w:hint="default" w:ascii="Times New Roman" w:hAnsi="Times New Roman" w:eastAsia="仿宋" w:cs="Times New Roman"/>
          <w:bCs/>
          <w:sz w:val="32"/>
          <w:szCs w:val="32"/>
          <w:lang w:eastAsia="zh-CN"/>
        </w:rPr>
        <w:t>：</w:t>
      </w:r>
      <w:r>
        <w:rPr>
          <w:rStyle w:val="19"/>
          <w:rFonts w:hint="default" w:ascii="Times New Roman" w:hAnsi="Times New Roman" w:eastAsia="仿宋" w:cs="Times New Roman"/>
          <w:b w:val="0"/>
          <w:bCs/>
          <w:sz w:val="32"/>
          <w:szCs w:val="32"/>
        </w:rPr>
        <w:t>支出决算为</w:t>
      </w:r>
      <w:r>
        <w:rPr>
          <w:rStyle w:val="19"/>
          <w:rFonts w:hint="default" w:ascii="Times New Roman" w:hAnsi="Times New Roman" w:eastAsia="仿宋" w:cs="Times New Roman"/>
          <w:b w:val="0"/>
          <w:bCs/>
          <w:sz w:val="32"/>
          <w:szCs w:val="32"/>
          <w:lang w:val="en-US" w:eastAsia="zh-CN"/>
        </w:rPr>
        <w:t>129.62</w:t>
      </w:r>
      <w:r>
        <w:rPr>
          <w:rStyle w:val="19"/>
          <w:rFonts w:hint="default" w:ascii="Times New Roman" w:hAnsi="Times New Roman" w:eastAsia="仿宋" w:cs="Times New Roman"/>
          <w:b w:val="0"/>
          <w:bCs/>
          <w:sz w:val="32"/>
          <w:szCs w:val="32"/>
        </w:rPr>
        <w:t>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Style w:val="19"/>
          <w:rFonts w:hint="default" w:ascii="Times New Roman" w:hAnsi="Times New Roman" w:eastAsia="仿宋" w:cs="Times New Roman"/>
          <w:bCs/>
          <w:sz w:val="32"/>
          <w:szCs w:val="32"/>
        </w:rPr>
      </w:pPr>
      <w:r>
        <w:rPr>
          <w:rStyle w:val="19"/>
          <w:rFonts w:hint="default" w:ascii="Times New Roman" w:hAnsi="Times New Roman" w:eastAsia="仿宋" w:cs="Times New Roman"/>
          <w:bCs/>
          <w:sz w:val="32"/>
          <w:szCs w:val="32"/>
        </w:rPr>
        <w:t>3.一般公共服务支出（类）其他共产党事务支出（款）事业运行（项）</w:t>
      </w:r>
      <w:r>
        <w:rPr>
          <w:rStyle w:val="19"/>
          <w:rFonts w:hint="default" w:ascii="Times New Roman" w:hAnsi="Times New Roman" w:eastAsia="仿宋" w:cs="Times New Roman"/>
          <w:bCs/>
          <w:sz w:val="32"/>
          <w:szCs w:val="32"/>
          <w:lang w:eastAsia="zh-CN"/>
        </w:rPr>
        <w:t>：</w:t>
      </w:r>
      <w:r>
        <w:rPr>
          <w:rStyle w:val="19"/>
          <w:rFonts w:hint="default" w:ascii="Times New Roman" w:hAnsi="Times New Roman" w:eastAsia="仿宋" w:cs="Times New Roman"/>
          <w:b w:val="0"/>
          <w:bCs/>
          <w:sz w:val="32"/>
          <w:szCs w:val="32"/>
        </w:rPr>
        <w:t>支出决算为</w:t>
      </w:r>
      <w:r>
        <w:rPr>
          <w:rStyle w:val="19"/>
          <w:rFonts w:hint="default" w:ascii="Times New Roman" w:hAnsi="Times New Roman" w:eastAsia="仿宋" w:cs="Times New Roman"/>
          <w:b w:val="0"/>
          <w:bCs/>
          <w:sz w:val="32"/>
          <w:szCs w:val="32"/>
          <w:lang w:val="en-US" w:eastAsia="zh-CN"/>
        </w:rPr>
        <w:t>141.41</w:t>
      </w:r>
      <w:r>
        <w:rPr>
          <w:rStyle w:val="19"/>
          <w:rFonts w:hint="default" w:ascii="Times New Roman" w:hAnsi="Times New Roman" w:eastAsia="仿宋" w:cs="Times New Roman"/>
          <w:b w:val="0"/>
          <w:bCs/>
          <w:sz w:val="32"/>
          <w:szCs w:val="32"/>
        </w:rPr>
        <w:t>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Style w:val="19"/>
          <w:rFonts w:hint="default" w:ascii="Times New Roman" w:hAnsi="Times New Roman" w:eastAsia="仿宋" w:cs="Times New Roman"/>
          <w:bCs/>
          <w:sz w:val="32"/>
          <w:szCs w:val="32"/>
          <w:lang w:val="en-US" w:eastAsia="zh-CN"/>
        </w:rPr>
      </w:pPr>
      <w:r>
        <w:rPr>
          <w:rStyle w:val="19"/>
          <w:rFonts w:hint="default" w:ascii="Times New Roman" w:hAnsi="Times New Roman" w:eastAsia="仿宋" w:cs="Times New Roman"/>
          <w:bCs/>
          <w:sz w:val="32"/>
          <w:szCs w:val="32"/>
          <w:lang w:val="en-US" w:eastAsia="zh-CN"/>
        </w:rPr>
        <w:t>4.</w:t>
      </w:r>
      <w:r>
        <w:rPr>
          <w:rStyle w:val="19"/>
          <w:rFonts w:hint="default" w:ascii="Times New Roman" w:hAnsi="Times New Roman" w:eastAsia="仿宋" w:cs="Times New Roman"/>
          <w:bCs/>
          <w:sz w:val="32"/>
          <w:szCs w:val="32"/>
        </w:rPr>
        <w:t>社会保障和就业支出（类）行政事业单位养老支出（款）行政单位离退休项）:</w:t>
      </w:r>
      <w:r>
        <w:rPr>
          <w:rStyle w:val="19"/>
          <w:rFonts w:hint="default" w:ascii="Times New Roman" w:hAnsi="Times New Roman" w:eastAsia="仿宋" w:cs="Times New Roman"/>
          <w:b w:val="0"/>
          <w:bCs/>
          <w:sz w:val="32"/>
          <w:szCs w:val="32"/>
        </w:rPr>
        <w:t>支出决算为1.63万元，完成预算100%，决算数等于预算数</w:t>
      </w:r>
      <w:r>
        <w:rPr>
          <w:rStyle w:val="19"/>
          <w:rFonts w:hint="default" w:ascii="Times New Roman" w:hAnsi="Times New Roman" w:eastAsia="仿宋" w:cs="Times New Roman"/>
          <w:b w:val="0"/>
          <w:bCs/>
          <w:sz w:val="32"/>
          <w:szCs w:val="32"/>
          <w:lang w:eastAsia="zh-CN"/>
        </w:rPr>
        <w:t>。</w:t>
      </w:r>
    </w:p>
    <w:p>
      <w:pPr>
        <w:pageBreakBefore w:val="0"/>
        <w:kinsoku/>
        <w:wordWrap/>
        <w:overflowPunct/>
        <w:topLinePunct w:val="0"/>
        <w:bidi w:val="0"/>
        <w:adjustRightInd w:val="0"/>
        <w:snapToGrid w:val="0"/>
        <w:spacing w:line="353" w:lineRule="auto"/>
        <w:ind w:left="0" w:right="0" w:firstLine="643" w:firstLineChars="200"/>
        <w:textAlignment w:val="auto"/>
        <w:rPr>
          <w:rFonts w:hint="default" w:ascii="Times New Roman" w:hAnsi="Times New Roman" w:eastAsia="仿宋" w:cs="Times New Roman"/>
          <w:b/>
          <w:sz w:val="32"/>
          <w:szCs w:val="32"/>
        </w:rPr>
      </w:pPr>
      <w:r>
        <w:rPr>
          <w:rStyle w:val="19"/>
          <w:rFonts w:hint="default" w:ascii="Times New Roman" w:hAnsi="Times New Roman" w:eastAsia="仿宋" w:cs="Times New Roman"/>
          <w:bCs/>
          <w:sz w:val="32"/>
          <w:szCs w:val="32"/>
          <w:lang w:val="en-US" w:eastAsia="zh-CN"/>
        </w:rPr>
        <w:t>5.</w:t>
      </w:r>
      <w:r>
        <w:rPr>
          <w:rStyle w:val="19"/>
          <w:rFonts w:hint="default" w:ascii="Times New Roman" w:hAnsi="Times New Roman" w:eastAsia="仿宋" w:cs="Times New Roman"/>
          <w:bCs/>
          <w:sz w:val="32"/>
          <w:szCs w:val="32"/>
        </w:rPr>
        <w:t>社会保障和就业支出（类）行政事业单位养老支出（款）机关事业单位基本养老保险缴费支出（项）</w:t>
      </w:r>
      <w:r>
        <w:rPr>
          <w:rStyle w:val="19"/>
          <w:rFonts w:hint="default" w:ascii="Times New Roman" w:hAnsi="Times New Roman" w:eastAsia="仿宋" w:cs="Times New Roman"/>
          <w:bCs/>
          <w:sz w:val="32"/>
          <w:szCs w:val="32"/>
          <w:lang w:eastAsia="zh-CN"/>
        </w:rPr>
        <w:t>：</w:t>
      </w:r>
      <w:r>
        <w:rPr>
          <w:rStyle w:val="19"/>
          <w:rFonts w:hint="default" w:ascii="Times New Roman" w:hAnsi="Times New Roman" w:eastAsia="仿宋" w:cs="Times New Roman"/>
          <w:b w:val="0"/>
          <w:bCs/>
          <w:sz w:val="32"/>
          <w:szCs w:val="32"/>
        </w:rPr>
        <w:t>支出决算为</w:t>
      </w:r>
      <w:r>
        <w:rPr>
          <w:rStyle w:val="19"/>
          <w:rFonts w:hint="default" w:ascii="Times New Roman" w:hAnsi="Times New Roman" w:eastAsia="仿宋" w:cs="Times New Roman"/>
          <w:b w:val="0"/>
          <w:bCs/>
          <w:sz w:val="32"/>
          <w:szCs w:val="32"/>
          <w:lang w:val="en-US" w:eastAsia="zh-CN"/>
        </w:rPr>
        <w:t>20.34</w:t>
      </w:r>
      <w:r>
        <w:rPr>
          <w:rStyle w:val="19"/>
          <w:rFonts w:hint="default" w:ascii="Times New Roman" w:hAnsi="Times New Roman" w:eastAsia="仿宋" w:cs="Times New Roman"/>
          <w:b w:val="0"/>
          <w:bCs/>
          <w:sz w:val="32"/>
          <w:szCs w:val="32"/>
        </w:rPr>
        <w:t>万元，完成预算100%。</w:t>
      </w:r>
    </w:p>
    <w:p>
      <w:pPr>
        <w:pageBreakBefore w:val="0"/>
        <w:kinsoku/>
        <w:wordWrap/>
        <w:overflowPunct/>
        <w:topLinePunct w:val="0"/>
        <w:bidi w:val="0"/>
        <w:adjustRightInd w:val="0"/>
        <w:snapToGrid w:val="0"/>
        <w:spacing w:line="353" w:lineRule="auto"/>
        <w:ind w:left="0" w:right="0" w:firstLine="640"/>
        <w:textAlignment w:val="auto"/>
        <w:rPr>
          <w:rStyle w:val="19"/>
          <w:rFonts w:hint="default" w:ascii="Times New Roman" w:hAnsi="Times New Roman" w:eastAsia="仿宋" w:cs="Times New Roman"/>
          <w:b w:val="0"/>
          <w:bCs/>
          <w:sz w:val="32"/>
          <w:szCs w:val="32"/>
        </w:rPr>
      </w:pPr>
      <w:r>
        <w:rPr>
          <w:rStyle w:val="19"/>
          <w:rFonts w:hint="default" w:ascii="Times New Roman" w:hAnsi="Times New Roman" w:eastAsia="仿宋" w:cs="Times New Roman"/>
          <w:bCs/>
          <w:sz w:val="32"/>
          <w:szCs w:val="32"/>
          <w:lang w:val="en-US" w:eastAsia="zh-CN"/>
        </w:rPr>
        <w:t>6</w:t>
      </w:r>
      <w:r>
        <w:rPr>
          <w:rStyle w:val="19"/>
          <w:rFonts w:hint="default" w:ascii="Times New Roman" w:hAnsi="Times New Roman" w:eastAsia="仿宋" w:cs="Times New Roman"/>
          <w:bCs/>
          <w:sz w:val="32"/>
          <w:szCs w:val="32"/>
        </w:rPr>
        <w:t>.卫生健康支出（类）行政事业单位医疗（款）行政单位医疗（项）</w:t>
      </w:r>
      <w:r>
        <w:rPr>
          <w:rStyle w:val="19"/>
          <w:rFonts w:hint="default" w:ascii="Times New Roman" w:hAnsi="Times New Roman" w:eastAsia="仿宋" w:cs="Times New Roman"/>
          <w:bCs/>
          <w:sz w:val="32"/>
          <w:szCs w:val="32"/>
          <w:lang w:eastAsia="zh-CN"/>
        </w:rPr>
        <w:t>：</w:t>
      </w:r>
      <w:r>
        <w:rPr>
          <w:rStyle w:val="19"/>
          <w:rFonts w:hint="default" w:ascii="Times New Roman" w:hAnsi="Times New Roman" w:eastAsia="仿宋" w:cs="Times New Roman"/>
          <w:b w:val="0"/>
          <w:bCs/>
          <w:sz w:val="32"/>
          <w:szCs w:val="32"/>
        </w:rPr>
        <w:t>支出决算为</w:t>
      </w:r>
      <w:r>
        <w:rPr>
          <w:rStyle w:val="19"/>
          <w:rFonts w:hint="default" w:ascii="Times New Roman" w:hAnsi="Times New Roman" w:eastAsia="仿宋" w:cs="Times New Roman"/>
          <w:b w:val="0"/>
          <w:bCs/>
          <w:sz w:val="32"/>
          <w:szCs w:val="32"/>
          <w:lang w:val="en-US" w:eastAsia="zh-CN"/>
        </w:rPr>
        <w:t>7.11</w:t>
      </w:r>
      <w:r>
        <w:rPr>
          <w:rStyle w:val="19"/>
          <w:rFonts w:hint="default" w:ascii="Times New Roman" w:hAnsi="Times New Roman" w:eastAsia="仿宋" w:cs="Times New Roman"/>
          <w:b w:val="0"/>
          <w:bCs/>
          <w:sz w:val="32"/>
          <w:szCs w:val="32"/>
        </w:rPr>
        <w:t>万元，完成预算100%，决算数等于预算数。</w:t>
      </w:r>
    </w:p>
    <w:p>
      <w:pPr>
        <w:pStyle w:val="6"/>
        <w:pageBreakBefore w:val="0"/>
        <w:kinsoku/>
        <w:wordWrap/>
        <w:overflowPunct/>
        <w:topLinePunct w:val="0"/>
        <w:bidi w:val="0"/>
        <w:adjustRightInd w:val="0"/>
        <w:snapToGrid w:val="0"/>
        <w:spacing w:beforeLines="0" w:line="353" w:lineRule="auto"/>
        <w:ind w:left="0" w:right="0" w:firstLine="642"/>
        <w:textAlignment w:val="auto"/>
        <w:rPr>
          <w:rStyle w:val="19"/>
          <w:rFonts w:hint="default" w:ascii="Times New Roman" w:hAnsi="Times New Roman" w:eastAsia="仿宋" w:cs="Times New Roman"/>
          <w:b w:val="0"/>
          <w:bCs/>
          <w:sz w:val="32"/>
          <w:szCs w:val="32"/>
        </w:rPr>
      </w:pPr>
      <w:r>
        <w:rPr>
          <w:rStyle w:val="19"/>
          <w:rFonts w:hint="default" w:ascii="Times New Roman" w:hAnsi="Times New Roman" w:eastAsia="仿宋" w:cs="Times New Roman"/>
          <w:bCs/>
          <w:sz w:val="32"/>
          <w:szCs w:val="32"/>
          <w:lang w:val="en-US" w:eastAsia="zh-CN"/>
        </w:rPr>
        <w:t>7</w:t>
      </w:r>
      <w:r>
        <w:rPr>
          <w:rStyle w:val="19"/>
          <w:rFonts w:hint="default" w:ascii="Times New Roman" w:hAnsi="Times New Roman" w:eastAsia="仿宋" w:cs="Times New Roman"/>
          <w:bCs/>
          <w:sz w:val="32"/>
          <w:szCs w:val="32"/>
        </w:rPr>
        <w:t>.卫生健康支出（类）行政事业单位医疗（款）事业单位医疗（项）</w:t>
      </w:r>
      <w:r>
        <w:rPr>
          <w:rStyle w:val="19"/>
          <w:rFonts w:hint="default" w:ascii="Times New Roman" w:hAnsi="Times New Roman" w:eastAsia="仿宋" w:cs="Times New Roman"/>
          <w:bCs/>
          <w:sz w:val="32"/>
          <w:szCs w:val="32"/>
          <w:lang w:eastAsia="zh-CN"/>
        </w:rPr>
        <w:t>：</w:t>
      </w:r>
      <w:r>
        <w:rPr>
          <w:rStyle w:val="19"/>
          <w:rFonts w:hint="default" w:ascii="Times New Roman" w:hAnsi="Times New Roman" w:eastAsia="仿宋" w:cs="Times New Roman"/>
          <w:b w:val="0"/>
          <w:bCs/>
          <w:sz w:val="32"/>
          <w:szCs w:val="32"/>
        </w:rPr>
        <w:t>支出决算为9.</w:t>
      </w:r>
      <w:r>
        <w:rPr>
          <w:rStyle w:val="19"/>
          <w:rFonts w:hint="default" w:ascii="Times New Roman" w:hAnsi="Times New Roman" w:eastAsia="仿宋" w:cs="Times New Roman"/>
          <w:b w:val="0"/>
          <w:bCs/>
          <w:sz w:val="32"/>
          <w:szCs w:val="32"/>
          <w:lang w:val="en-US" w:eastAsia="zh-CN"/>
        </w:rPr>
        <w:t>83</w:t>
      </w:r>
      <w:r>
        <w:rPr>
          <w:rStyle w:val="19"/>
          <w:rFonts w:hint="default" w:ascii="Times New Roman" w:hAnsi="Times New Roman" w:eastAsia="仿宋" w:cs="Times New Roman"/>
          <w:b w:val="0"/>
          <w:bCs/>
          <w:sz w:val="32"/>
          <w:szCs w:val="32"/>
        </w:rPr>
        <w:t>万元，完成预算100%，决算数等于预算数。</w:t>
      </w:r>
    </w:p>
    <w:p>
      <w:pPr>
        <w:pStyle w:val="6"/>
        <w:pageBreakBefore w:val="0"/>
        <w:kinsoku/>
        <w:wordWrap/>
        <w:overflowPunct/>
        <w:topLinePunct w:val="0"/>
        <w:bidi w:val="0"/>
        <w:adjustRightInd w:val="0"/>
        <w:snapToGrid w:val="0"/>
        <w:spacing w:beforeLines="0" w:line="353" w:lineRule="auto"/>
        <w:ind w:left="0" w:right="0"/>
        <w:textAlignment w:val="auto"/>
        <w:rPr>
          <w:rFonts w:hint="default" w:ascii="Times New Roman" w:hAnsi="Times New Roman" w:cs="Times New Roman"/>
        </w:rPr>
      </w:pPr>
      <w:r>
        <w:rPr>
          <w:rStyle w:val="19"/>
          <w:rFonts w:hint="default" w:ascii="Times New Roman" w:hAnsi="Times New Roman" w:eastAsia="仿宋" w:cs="Times New Roman"/>
          <w:bCs/>
          <w:sz w:val="32"/>
          <w:szCs w:val="32"/>
        </w:rPr>
        <w:t xml:space="preserve">    </w:t>
      </w:r>
      <w:r>
        <w:rPr>
          <w:rStyle w:val="19"/>
          <w:rFonts w:hint="default" w:ascii="Times New Roman" w:hAnsi="Times New Roman" w:eastAsia="仿宋" w:cs="Times New Roman"/>
          <w:bCs/>
          <w:sz w:val="32"/>
          <w:szCs w:val="32"/>
          <w:lang w:val="en-US" w:eastAsia="zh-CN"/>
        </w:rPr>
        <w:t>8</w:t>
      </w:r>
      <w:r>
        <w:rPr>
          <w:rStyle w:val="19"/>
          <w:rFonts w:hint="default" w:ascii="Times New Roman" w:hAnsi="Times New Roman" w:eastAsia="仿宋" w:cs="Times New Roman"/>
          <w:bCs/>
          <w:sz w:val="32"/>
          <w:szCs w:val="32"/>
        </w:rPr>
        <w:t>.卫生健康支出（类）行政事业单位医疗（款）公务员医疗补助（项）</w:t>
      </w:r>
      <w:r>
        <w:rPr>
          <w:rStyle w:val="19"/>
          <w:rFonts w:hint="default" w:ascii="Times New Roman" w:hAnsi="Times New Roman" w:eastAsia="仿宋" w:cs="Times New Roman"/>
          <w:bCs/>
          <w:sz w:val="32"/>
          <w:szCs w:val="32"/>
          <w:lang w:eastAsia="zh-CN"/>
        </w:rPr>
        <w:t>：</w:t>
      </w:r>
      <w:r>
        <w:rPr>
          <w:rStyle w:val="19"/>
          <w:rFonts w:hint="default" w:ascii="Times New Roman" w:hAnsi="Times New Roman" w:eastAsia="仿宋" w:cs="Times New Roman"/>
          <w:b w:val="0"/>
          <w:bCs/>
          <w:sz w:val="32"/>
          <w:szCs w:val="32"/>
        </w:rPr>
        <w:t>支出决算为0.</w:t>
      </w:r>
      <w:r>
        <w:rPr>
          <w:rStyle w:val="19"/>
          <w:rFonts w:hint="default" w:ascii="Times New Roman" w:hAnsi="Times New Roman" w:eastAsia="仿宋" w:cs="Times New Roman"/>
          <w:b w:val="0"/>
          <w:bCs/>
          <w:sz w:val="32"/>
          <w:szCs w:val="32"/>
          <w:lang w:val="en-US" w:eastAsia="zh-CN"/>
        </w:rPr>
        <w:t>59</w:t>
      </w:r>
      <w:r>
        <w:rPr>
          <w:rStyle w:val="19"/>
          <w:rFonts w:hint="default" w:ascii="Times New Roman" w:hAnsi="Times New Roman" w:eastAsia="仿宋" w:cs="Times New Roman"/>
          <w:b w:val="0"/>
          <w:bCs/>
          <w:sz w:val="32"/>
          <w:szCs w:val="32"/>
        </w:rPr>
        <w:t>万元，完成预算100%，决算数等于预算数。</w:t>
      </w:r>
    </w:p>
    <w:p>
      <w:pPr>
        <w:pStyle w:val="6"/>
        <w:pageBreakBefore w:val="0"/>
        <w:kinsoku/>
        <w:wordWrap/>
        <w:overflowPunct/>
        <w:topLinePunct w:val="0"/>
        <w:bidi w:val="0"/>
        <w:adjustRightInd w:val="0"/>
        <w:snapToGrid w:val="0"/>
        <w:spacing w:beforeLines="0" w:line="353" w:lineRule="auto"/>
        <w:ind w:left="0" w:right="0"/>
        <w:textAlignment w:val="auto"/>
        <w:rPr>
          <w:rFonts w:hint="default" w:ascii="Times New Roman" w:hAnsi="Times New Roman" w:cs="Times New Roman"/>
        </w:rPr>
      </w:pPr>
      <w:r>
        <w:rPr>
          <w:rStyle w:val="19"/>
          <w:rFonts w:hint="default" w:ascii="Times New Roman" w:hAnsi="Times New Roman" w:eastAsia="仿宋" w:cs="Times New Roman"/>
          <w:bCs/>
          <w:sz w:val="32"/>
          <w:szCs w:val="32"/>
        </w:rPr>
        <w:t xml:space="preserve">    </w:t>
      </w:r>
      <w:r>
        <w:rPr>
          <w:rStyle w:val="19"/>
          <w:rFonts w:hint="default" w:ascii="Times New Roman" w:hAnsi="Times New Roman" w:eastAsia="仿宋" w:cs="Times New Roman"/>
          <w:bCs/>
          <w:sz w:val="32"/>
          <w:szCs w:val="32"/>
          <w:lang w:val="en-US" w:eastAsia="zh-CN"/>
        </w:rPr>
        <w:t>9</w:t>
      </w:r>
      <w:r>
        <w:rPr>
          <w:rStyle w:val="19"/>
          <w:rFonts w:hint="default" w:ascii="Times New Roman" w:hAnsi="Times New Roman" w:eastAsia="仿宋" w:cs="Times New Roman"/>
          <w:bCs/>
          <w:sz w:val="32"/>
          <w:szCs w:val="32"/>
        </w:rPr>
        <w:t>.卫生健康支出（类）行政事业单位医疗（款）</w:t>
      </w:r>
      <w:r>
        <w:rPr>
          <w:rStyle w:val="19"/>
          <w:rFonts w:hint="default" w:ascii="Times New Roman" w:hAnsi="Times New Roman" w:eastAsia="仿宋" w:cs="Times New Roman"/>
          <w:bCs/>
        </w:rPr>
        <w:t>其他</w:t>
      </w:r>
      <w:r>
        <w:rPr>
          <w:rStyle w:val="19"/>
          <w:rFonts w:hint="default" w:ascii="Times New Roman" w:hAnsi="Times New Roman" w:eastAsia="仿宋" w:cs="Times New Roman"/>
          <w:bCs/>
          <w:kern w:val="2"/>
        </w:rPr>
        <w:t>行政事业单位医疗支出</w:t>
      </w:r>
      <w:r>
        <w:rPr>
          <w:rStyle w:val="19"/>
          <w:rFonts w:hint="default" w:ascii="Times New Roman" w:hAnsi="Times New Roman" w:eastAsia="仿宋" w:cs="Times New Roman"/>
          <w:bCs/>
          <w:kern w:val="2"/>
          <w:sz w:val="32"/>
          <w:szCs w:val="32"/>
        </w:rPr>
        <w:t>（项）</w:t>
      </w:r>
      <w:r>
        <w:rPr>
          <w:rStyle w:val="19"/>
          <w:rFonts w:hint="default" w:ascii="Times New Roman" w:hAnsi="Times New Roman" w:eastAsia="仿宋" w:cs="Times New Roman"/>
          <w:bCs/>
          <w:kern w:val="2"/>
          <w:sz w:val="32"/>
          <w:szCs w:val="32"/>
          <w:lang w:eastAsia="zh-CN"/>
        </w:rPr>
        <w:t>：</w:t>
      </w:r>
      <w:r>
        <w:rPr>
          <w:rStyle w:val="19"/>
          <w:rFonts w:hint="default" w:ascii="Times New Roman" w:hAnsi="Times New Roman" w:eastAsia="仿宋" w:cs="Times New Roman"/>
          <w:b w:val="0"/>
          <w:bCs/>
          <w:sz w:val="32"/>
          <w:szCs w:val="32"/>
        </w:rPr>
        <w:t>支出决算为0.</w:t>
      </w:r>
      <w:r>
        <w:rPr>
          <w:rStyle w:val="19"/>
          <w:rFonts w:hint="default" w:ascii="Times New Roman" w:hAnsi="Times New Roman" w:eastAsia="仿宋" w:cs="Times New Roman"/>
          <w:b w:val="0"/>
          <w:bCs/>
          <w:sz w:val="32"/>
          <w:szCs w:val="32"/>
          <w:lang w:val="en-US" w:eastAsia="zh-CN"/>
        </w:rPr>
        <w:t>93</w:t>
      </w:r>
      <w:r>
        <w:rPr>
          <w:rStyle w:val="19"/>
          <w:rFonts w:hint="default" w:ascii="Times New Roman" w:hAnsi="Times New Roman" w:eastAsia="仿宋" w:cs="Times New Roman"/>
          <w:b w:val="0"/>
          <w:bCs/>
          <w:sz w:val="32"/>
          <w:szCs w:val="32"/>
        </w:rPr>
        <w:t>万元，完成预算100%，决算数等于预算数。</w:t>
      </w:r>
    </w:p>
    <w:p>
      <w:pPr>
        <w:pStyle w:val="6"/>
        <w:pageBreakBefore w:val="0"/>
        <w:kinsoku/>
        <w:wordWrap/>
        <w:overflowPunct/>
        <w:topLinePunct w:val="0"/>
        <w:bidi w:val="0"/>
        <w:adjustRightInd w:val="0"/>
        <w:snapToGrid w:val="0"/>
        <w:spacing w:beforeLines="0" w:line="353" w:lineRule="auto"/>
        <w:ind w:left="0" w:right="0"/>
        <w:textAlignment w:val="auto"/>
        <w:rPr>
          <w:rStyle w:val="19"/>
          <w:rFonts w:hint="default" w:ascii="Times New Roman" w:hAnsi="Times New Roman" w:cs="Times New Roman"/>
          <w:b w:val="0"/>
        </w:rPr>
      </w:pPr>
      <w:r>
        <w:rPr>
          <w:rStyle w:val="19"/>
          <w:rFonts w:hint="default" w:ascii="Times New Roman" w:hAnsi="Times New Roman" w:eastAsia="仿宋" w:cs="Times New Roman"/>
          <w:bCs/>
          <w:sz w:val="32"/>
          <w:szCs w:val="32"/>
        </w:rPr>
        <w:t xml:space="preserve">    </w:t>
      </w:r>
      <w:r>
        <w:rPr>
          <w:rStyle w:val="19"/>
          <w:rFonts w:hint="default" w:ascii="Times New Roman" w:hAnsi="Times New Roman" w:eastAsia="仿宋" w:cs="Times New Roman"/>
          <w:bCs/>
          <w:sz w:val="32"/>
          <w:szCs w:val="32"/>
          <w:lang w:val="en-US" w:eastAsia="zh-CN"/>
        </w:rPr>
        <w:t>10</w:t>
      </w:r>
      <w:r>
        <w:rPr>
          <w:rStyle w:val="19"/>
          <w:rFonts w:hint="default" w:ascii="Times New Roman" w:hAnsi="Times New Roman" w:eastAsia="仿宋" w:cs="Times New Roman"/>
          <w:bCs/>
          <w:sz w:val="32"/>
          <w:szCs w:val="32"/>
        </w:rPr>
        <w:t>.住房保障支出（类）住房改革支出（款）住房公积金（项）</w:t>
      </w:r>
      <w:r>
        <w:rPr>
          <w:rStyle w:val="19"/>
          <w:rFonts w:hint="default" w:ascii="Times New Roman" w:hAnsi="Times New Roman" w:eastAsia="仿宋" w:cs="Times New Roman"/>
          <w:bCs/>
          <w:sz w:val="32"/>
          <w:szCs w:val="32"/>
          <w:lang w:eastAsia="zh-CN"/>
        </w:rPr>
        <w:t>：</w:t>
      </w:r>
      <w:r>
        <w:rPr>
          <w:rStyle w:val="19"/>
          <w:rFonts w:hint="default" w:ascii="Times New Roman" w:hAnsi="Times New Roman" w:eastAsia="仿宋" w:cs="Times New Roman"/>
          <w:b w:val="0"/>
          <w:bCs/>
          <w:sz w:val="32"/>
          <w:szCs w:val="32"/>
        </w:rPr>
        <w:t>支出决算为2</w:t>
      </w:r>
      <w:r>
        <w:rPr>
          <w:rStyle w:val="19"/>
          <w:rFonts w:hint="default" w:ascii="Times New Roman" w:hAnsi="Times New Roman" w:eastAsia="仿宋" w:cs="Times New Roman"/>
          <w:b w:val="0"/>
          <w:bCs/>
          <w:sz w:val="32"/>
          <w:szCs w:val="32"/>
          <w:lang w:val="en-US" w:eastAsia="zh-CN"/>
        </w:rPr>
        <w:t>6.2</w:t>
      </w:r>
      <w:r>
        <w:rPr>
          <w:rStyle w:val="19"/>
          <w:rFonts w:hint="default" w:ascii="Times New Roman" w:hAnsi="Times New Roman" w:eastAsia="仿宋" w:cs="Times New Roman"/>
          <w:b w:val="0"/>
          <w:bCs/>
          <w:sz w:val="32"/>
          <w:szCs w:val="32"/>
        </w:rPr>
        <w:t>万元，完成预算100%，决算数等于预算数。</w:t>
      </w:r>
    </w:p>
    <w:p>
      <w:pPr>
        <w:pageBreakBefore w:val="0"/>
        <w:tabs>
          <w:tab w:val="right" w:pos="8306"/>
        </w:tabs>
        <w:kinsoku/>
        <w:wordWrap/>
        <w:overflowPunct/>
        <w:topLinePunct w:val="0"/>
        <w:bidi w:val="0"/>
        <w:adjustRightInd w:val="0"/>
        <w:snapToGrid w:val="0"/>
        <w:spacing w:line="353" w:lineRule="auto"/>
        <w:ind w:left="0" w:right="0" w:firstLine="640"/>
        <w:textAlignment w:val="auto"/>
        <w:outlineLvl w:val="1"/>
        <w:rPr>
          <w:rStyle w:val="32"/>
          <w:rFonts w:hint="default" w:ascii="Times New Roman" w:hAnsi="Times New Roman" w:cs="Times New Roman"/>
        </w:rPr>
      </w:pPr>
      <w:bookmarkStart w:id="53" w:name="_Toc15396608"/>
      <w:bookmarkStart w:id="54" w:name="_Toc8723"/>
      <w:bookmarkStart w:id="5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般公共预算财政拨款基本支出决算情况说明</w:t>
      </w:r>
      <w:bookmarkEnd w:id="53"/>
      <w:bookmarkEnd w:id="54"/>
      <w:bookmarkEnd w:id="55"/>
      <w:r>
        <w:rPr>
          <w:rStyle w:val="32"/>
          <w:rFonts w:hint="default" w:ascii="Times New Roman" w:hAnsi="Times New Roman" w:eastAsia="黑体" w:cs="Times New Roman"/>
          <w:b w:val="0"/>
        </w:rPr>
        <w:tab/>
      </w:r>
    </w:p>
    <w:p>
      <w:pPr>
        <w:pageBreakBefore w:val="0"/>
        <w:kinsoku/>
        <w:wordWrap/>
        <w:overflowPunct/>
        <w:topLinePunct w:val="0"/>
        <w:bidi w:val="0"/>
        <w:adjustRightInd w:val="0"/>
        <w:snapToGrid w:val="0"/>
        <w:spacing w:line="353" w:lineRule="auto"/>
        <w:ind w:left="0" w:right="0"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2022年一般公共预算财政拨款基本支出</w:t>
      </w:r>
      <w:r>
        <w:rPr>
          <w:rFonts w:hint="default" w:ascii="Times New Roman" w:hAnsi="Times New Roman" w:eastAsia="仿宋" w:cs="Times New Roman"/>
          <w:sz w:val="32"/>
          <w:szCs w:val="32"/>
          <w:lang w:val="en-US" w:eastAsia="zh-CN"/>
        </w:rPr>
        <w:t>327.91</w:t>
      </w:r>
      <w:r>
        <w:rPr>
          <w:rFonts w:hint="default" w:ascii="Times New Roman" w:hAnsi="Times New Roman" w:eastAsia="仿宋" w:cs="Times New Roman"/>
          <w:sz w:val="32"/>
          <w:szCs w:val="32"/>
        </w:rPr>
        <w:t>万元，其中：</w:t>
      </w:r>
    </w:p>
    <w:p>
      <w:pPr>
        <w:pageBreakBefore w:val="0"/>
        <w:kinsoku/>
        <w:wordWrap/>
        <w:overflowPunct/>
        <w:topLinePunct w:val="0"/>
        <w:bidi w:val="0"/>
        <w:adjustRightInd w:val="0"/>
        <w:snapToGrid w:val="0"/>
        <w:spacing w:line="353" w:lineRule="auto"/>
        <w:ind w:left="0" w:right="0" w:firstLine="645"/>
        <w:textAlignment w:val="auto"/>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lang w:val="en-US" w:eastAsia="zh-CN"/>
        </w:rPr>
        <w:t>308.77</w:t>
      </w:r>
      <w:r>
        <w:rPr>
          <w:rFonts w:hint="default" w:ascii="Times New Roman" w:hAnsi="Times New Roman" w:eastAsia="仿宋" w:cs="Times New Roman"/>
          <w:sz w:val="32"/>
          <w:szCs w:val="32"/>
        </w:rPr>
        <w:t>万元，主要包括：基本工资、津贴补贴、奖金、绩效工资、机关事业单位基本养老保险缴费、职工基本医疗保险缴费、公务员医疗补助缴费、其他社会保障缴费、其他工资福利支出、住房公积金</w:t>
      </w:r>
      <w:r>
        <w:rPr>
          <w:rFonts w:hint="default" w:ascii="Times New Roman" w:hAnsi="Times New Roman" w:eastAsia="仿宋" w:cs="Times New Roman"/>
          <w:sz w:val="32"/>
          <w:szCs w:val="32"/>
          <w:lang w:eastAsia="zh-CN"/>
        </w:rPr>
        <w:t>、生活补助</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br w:type="textWrapping"/>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公用经费1</w:t>
      </w:r>
      <w:r>
        <w:rPr>
          <w:rFonts w:hint="default" w:ascii="Times New Roman" w:hAnsi="Times New Roman" w:eastAsia="仿宋" w:cs="Times New Roman"/>
          <w:sz w:val="32"/>
          <w:szCs w:val="32"/>
          <w:lang w:val="en-US" w:eastAsia="zh-CN"/>
        </w:rPr>
        <w:t>9.13</w:t>
      </w:r>
      <w:r>
        <w:rPr>
          <w:rFonts w:hint="default" w:ascii="Times New Roman" w:hAnsi="Times New Roman" w:eastAsia="仿宋" w:cs="Times New Roman"/>
          <w:sz w:val="32"/>
          <w:szCs w:val="32"/>
        </w:rPr>
        <w:t>万元，主要包括：办公费、</w:t>
      </w:r>
      <w:r>
        <w:rPr>
          <w:rFonts w:hint="default" w:ascii="Times New Roman" w:hAnsi="Times New Roman" w:eastAsia="仿宋" w:cs="Times New Roman"/>
          <w:sz w:val="32"/>
          <w:szCs w:val="32"/>
          <w:lang w:eastAsia="zh-CN"/>
        </w:rPr>
        <w:t>咨询费、</w:t>
      </w:r>
      <w:r>
        <w:rPr>
          <w:rFonts w:hint="default" w:ascii="Times New Roman" w:hAnsi="Times New Roman" w:eastAsia="仿宋" w:cs="Times New Roman"/>
          <w:sz w:val="32"/>
          <w:szCs w:val="32"/>
        </w:rPr>
        <w:t>邮电费、差旅费、维修（护）费、劳务费、工会经费、福利费、其他交通费。</w:t>
      </w:r>
    </w:p>
    <w:p>
      <w:pPr>
        <w:pageBreakBefore w:val="0"/>
        <w:kinsoku/>
        <w:wordWrap/>
        <w:overflowPunct/>
        <w:topLinePunct w:val="0"/>
        <w:bidi w:val="0"/>
        <w:adjustRightInd w:val="0"/>
        <w:snapToGrid w:val="0"/>
        <w:spacing w:line="353" w:lineRule="auto"/>
        <w:ind w:left="0" w:right="0" w:firstLine="640"/>
        <w:textAlignment w:val="auto"/>
        <w:outlineLvl w:val="1"/>
        <w:rPr>
          <w:rStyle w:val="32"/>
          <w:rFonts w:hint="default" w:ascii="Times New Roman" w:hAnsi="Times New Roman" w:eastAsia="黑体" w:cs="Times New Roman"/>
          <w:b w:val="0"/>
        </w:rPr>
      </w:pPr>
      <w:bookmarkStart w:id="56" w:name="_Toc15377215"/>
      <w:bookmarkStart w:id="57" w:name="_Toc15396609"/>
      <w:bookmarkStart w:id="58" w:name="_Toc27570"/>
      <w:r>
        <w:rPr>
          <w:rFonts w:hint="default" w:ascii="Times New Roman" w:hAnsi="Times New Roman" w:eastAsia="黑体" w:cs="Times New Roman"/>
          <w:sz w:val="32"/>
          <w:szCs w:val="32"/>
        </w:rPr>
        <w:t>七、</w:t>
      </w:r>
      <w:r>
        <w:rPr>
          <w:rStyle w:val="32"/>
          <w:rFonts w:hint="default" w:ascii="Times New Roman" w:hAnsi="Times New Roman" w:eastAsia="黑体" w:cs="Times New Roman"/>
          <w:b w:val="0"/>
        </w:rPr>
        <w:t>财政拨款</w:t>
      </w:r>
      <w:r>
        <w:rPr>
          <w:rStyle w:val="32"/>
          <w:rFonts w:hint="default" w:ascii="Times New Roman" w:hAnsi="Times New Roman" w:eastAsia="黑体" w:cs="Times New Roman"/>
        </w:rPr>
        <w:t>“</w:t>
      </w:r>
      <w:r>
        <w:rPr>
          <w:rStyle w:val="32"/>
          <w:rFonts w:hint="default" w:ascii="Times New Roman" w:hAnsi="Times New Roman" w:eastAsia="黑体" w:cs="Times New Roman"/>
          <w:b w:val="0"/>
        </w:rPr>
        <w:t>三公”经费支出决算情况说明</w:t>
      </w:r>
      <w:bookmarkEnd w:id="56"/>
      <w:bookmarkEnd w:id="57"/>
      <w:bookmarkEnd w:id="58"/>
    </w:p>
    <w:p>
      <w:pPr>
        <w:pageBreakBefore w:val="0"/>
        <w:kinsoku/>
        <w:wordWrap/>
        <w:overflowPunct/>
        <w:topLinePunct w:val="0"/>
        <w:bidi w:val="0"/>
        <w:adjustRightInd w:val="0"/>
        <w:snapToGrid w:val="0"/>
        <w:spacing w:line="353" w:lineRule="auto"/>
        <w:ind w:left="0" w:right="0" w:firstLine="640"/>
        <w:textAlignment w:val="auto"/>
        <w:outlineLvl w:val="2"/>
        <w:rPr>
          <w:rFonts w:hint="default" w:ascii="Times New Roman" w:hAnsi="Times New Roman" w:eastAsia="仿宋" w:cs="Times New Roman"/>
          <w:b/>
          <w:sz w:val="32"/>
          <w:szCs w:val="32"/>
        </w:rPr>
      </w:pPr>
      <w:bookmarkStart w:id="59" w:name="_Toc15377216"/>
      <w:r>
        <w:rPr>
          <w:rFonts w:hint="default" w:ascii="Times New Roman" w:hAnsi="Times New Roman" w:eastAsia="仿宋" w:cs="Times New Roman"/>
          <w:b/>
          <w:sz w:val="32"/>
          <w:szCs w:val="32"/>
        </w:rPr>
        <w:t>（一）“三公”经费财政拨款支出决算总体情况说明</w:t>
      </w:r>
      <w:bookmarkEnd w:id="59"/>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2022年“三公”经费财政拨款支出决算为0万元，完成预算0%，</w:t>
      </w:r>
      <w:r>
        <w:rPr>
          <w:rFonts w:hint="default" w:ascii="Times New Roman" w:hAnsi="Times New Roman" w:eastAsia="仿宋" w:cs="Times New Roman"/>
          <w:sz w:val="32"/>
          <w:szCs w:val="32"/>
          <w:lang w:val="en-US" w:eastAsia="zh-CN"/>
        </w:rPr>
        <w:t>与上年数据持平</w:t>
      </w:r>
      <w:r>
        <w:rPr>
          <w:rFonts w:hint="default" w:ascii="Times New Roman" w:hAnsi="Times New Roman" w:eastAsia="仿宋" w:cs="Times New Roman"/>
          <w:sz w:val="32"/>
          <w:szCs w:val="32"/>
        </w:rPr>
        <w:t>。</w:t>
      </w:r>
    </w:p>
    <w:p>
      <w:pPr>
        <w:pageBreakBefore w:val="0"/>
        <w:kinsoku/>
        <w:wordWrap/>
        <w:overflowPunct/>
        <w:topLinePunct w:val="0"/>
        <w:bidi w:val="0"/>
        <w:adjustRightInd w:val="0"/>
        <w:snapToGrid w:val="0"/>
        <w:spacing w:line="353" w:lineRule="auto"/>
        <w:ind w:left="0" w:right="0" w:firstLine="640"/>
        <w:textAlignment w:val="auto"/>
        <w:outlineLvl w:val="2"/>
        <w:rPr>
          <w:rFonts w:hint="default" w:ascii="Times New Roman" w:hAnsi="Times New Roman" w:eastAsia="仿宋" w:cs="Times New Roman"/>
          <w:b/>
          <w:sz w:val="32"/>
          <w:szCs w:val="32"/>
        </w:rPr>
      </w:pPr>
      <w:bookmarkStart w:id="60" w:name="_Toc15377217"/>
      <w:r>
        <w:rPr>
          <w:rFonts w:hint="default" w:ascii="Times New Roman" w:hAnsi="Times New Roman" w:eastAsia="仿宋" w:cs="Times New Roman"/>
          <w:b/>
          <w:sz w:val="32"/>
          <w:szCs w:val="32"/>
        </w:rPr>
        <w:t>（二）“三公”经费财政拨款支出决算具体情况说明</w:t>
      </w:r>
      <w:bookmarkEnd w:id="60"/>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2022年“三公”经费财政拨款支出决算中，因公出国（境）费支出决算0万元，占0%；公务用车购置及运行维护费支出决算0万元，占0%；公务接待费支出决算0万元，占0%。具体情况如下：</w:t>
      </w:r>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19"/>
          <w:rFonts w:hint="default" w:ascii="Times New Roman" w:hAnsi="Times New Roman" w:eastAsia="仿宋" w:cs="Times New Roman"/>
          <w:b w:val="0"/>
          <w:bCs/>
          <w:sz w:val="32"/>
          <w:szCs w:val="32"/>
        </w:rPr>
        <w:t>完成预算0%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与上年数据持平</w:t>
      </w:r>
      <w:r>
        <w:rPr>
          <w:rStyle w:val="19"/>
          <w:rFonts w:hint="default" w:ascii="Times New Roman" w:hAnsi="Times New Roman" w:eastAsia="仿宋" w:cs="Times New Roman"/>
          <w:b w:val="0"/>
          <w:bCs/>
          <w:sz w:val="32"/>
          <w:szCs w:val="32"/>
        </w:rPr>
        <w:t>。</w:t>
      </w:r>
      <w:r>
        <w:rPr>
          <w:rFonts w:hint="default" w:ascii="Times New Roman" w:hAnsi="Times New Roman" w:eastAsia="仿宋" w:cs="Times New Roman"/>
          <w:sz w:val="32"/>
          <w:szCs w:val="32"/>
        </w:rPr>
        <w:t>全年安排因公出国（境）团组0次，出国（境）0人。</w:t>
      </w:r>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开支内容包括：无。</w:t>
      </w:r>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zCs w:val="32"/>
          <w:lang w:eastAsia="zh-CN"/>
        </w:rPr>
        <w:t>，</w:t>
      </w:r>
      <w:r>
        <w:rPr>
          <w:rStyle w:val="19"/>
          <w:rFonts w:hint="default" w:ascii="Times New Roman" w:hAnsi="Times New Roman" w:eastAsia="仿宋" w:cs="Times New Roman"/>
          <w:b w:val="0"/>
          <w:bCs/>
          <w:sz w:val="32"/>
          <w:szCs w:val="32"/>
        </w:rPr>
        <w:t>完成预算0%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与上年数据持平</w:t>
      </w:r>
      <w:r>
        <w:rPr>
          <w:rFonts w:hint="default" w:ascii="Times New Roman" w:hAnsi="Times New Roman" w:eastAsia="仿宋" w:cs="Times New Roman"/>
          <w:sz w:val="32"/>
          <w:szCs w:val="32"/>
        </w:rPr>
        <w:t>。</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w:t>
      </w:r>
      <w:r>
        <w:rPr>
          <w:rFonts w:hint="default" w:ascii="Times New Roman" w:hAnsi="Times New Roman" w:eastAsia="仿宋" w:cs="Times New Roman"/>
          <w:sz w:val="32"/>
          <w:szCs w:val="32"/>
        </w:rPr>
        <w:t>全年按规定更新购置公务用车0辆，其中：轿车0辆、金额0万元，越野车0辆、金额0万元，载客汽车0辆、金额0万元。截至2022年12月底，单位共有公务用车0辆，其中：轿车0辆、越野车0辆、载客汽车0辆。</w:t>
      </w:r>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zCs w:val="32"/>
          <w:lang w:eastAsia="zh-CN"/>
        </w:rPr>
        <w:t>。</w:t>
      </w:r>
    </w:p>
    <w:p>
      <w:pPr>
        <w:pageBreakBefore w:val="0"/>
        <w:kinsoku/>
        <w:wordWrap/>
        <w:overflowPunct/>
        <w:topLinePunct w:val="0"/>
        <w:bidi w:val="0"/>
        <w:adjustRightInd w:val="0"/>
        <w:snapToGrid w:val="0"/>
        <w:spacing w:line="353" w:lineRule="auto"/>
        <w:ind w:left="0" w:right="0" w:firstLine="640"/>
        <w:textAlignment w:val="auto"/>
        <w:rPr>
          <w:rStyle w:val="19"/>
          <w:rFonts w:hint="default" w:ascii="Times New Roman" w:hAnsi="Times New Roman" w:eastAsia="仿宋" w:cs="Times New Roman"/>
          <w:bCs/>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0万元，</w:t>
      </w:r>
      <w:r>
        <w:rPr>
          <w:rStyle w:val="19"/>
          <w:rFonts w:hint="default" w:ascii="Times New Roman" w:hAnsi="Times New Roman" w:eastAsia="仿宋" w:cs="Times New Roman"/>
          <w:b w:val="0"/>
          <w:bCs/>
          <w:sz w:val="32"/>
          <w:szCs w:val="32"/>
        </w:rPr>
        <w:t>完成预算0%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与上年数据持平</w:t>
      </w:r>
      <w:r>
        <w:rPr>
          <w:rStyle w:val="19"/>
          <w:rFonts w:hint="default" w:ascii="Times New Roman" w:hAnsi="Times New Roman" w:eastAsia="仿宋" w:cs="Times New Roman"/>
          <w:b w:val="0"/>
          <w:bCs/>
          <w:sz w:val="32"/>
          <w:szCs w:val="32"/>
        </w:rPr>
        <w:t>。其中：</w:t>
      </w:r>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w:t>
      </w:r>
      <w:r>
        <w:rPr>
          <w:rStyle w:val="19"/>
          <w:rFonts w:hint="default" w:ascii="Times New Roman" w:hAnsi="Times New Roman" w:eastAsia="仿宋" w:cs="Times New Roman"/>
          <w:b w:val="0"/>
          <w:bCs/>
          <w:sz w:val="32"/>
          <w:szCs w:val="32"/>
        </w:rPr>
        <w:t>。</w:t>
      </w:r>
    </w:p>
    <w:p>
      <w:pPr>
        <w:pageBreakBefore w:val="0"/>
        <w:kinsoku/>
        <w:wordWrap/>
        <w:overflowPunct/>
        <w:topLinePunct w:val="0"/>
        <w:bidi w:val="0"/>
        <w:adjustRightInd w:val="0"/>
        <w:snapToGrid w:val="0"/>
        <w:spacing w:line="353" w:lineRule="auto"/>
        <w:ind w:left="0" w:right="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0万元。</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外事接待0批次，0人次（不包括陪同人员），共计支出0万元。</w:t>
      </w:r>
      <w:bookmarkStart w:id="61" w:name="_Toc15396610"/>
      <w:bookmarkStart w:id="62" w:name="_Toc15377218"/>
    </w:p>
    <w:p>
      <w:pPr>
        <w:pageBreakBefore w:val="0"/>
        <w:kinsoku/>
        <w:wordWrap/>
        <w:overflowPunct/>
        <w:topLinePunct w:val="0"/>
        <w:bidi w:val="0"/>
        <w:adjustRightInd w:val="0"/>
        <w:snapToGrid w:val="0"/>
        <w:spacing w:line="353" w:lineRule="auto"/>
        <w:ind w:left="0" w:right="0" w:firstLine="640"/>
        <w:textAlignment w:val="auto"/>
        <w:outlineLvl w:val="1"/>
        <w:rPr>
          <w:rStyle w:val="32"/>
          <w:rFonts w:hint="default" w:ascii="Times New Roman" w:hAnsi="Times New Roman" w:eastAsia="黑体" w:cs="Times New Roman"/>
        </w:rPr>
      </w:pPr>
      <w:bookmarkStart w:id="63" w:name="_Toc28316"/>
      <w:r>
        <w:rPr>
          <w:rFonts w:hint="default" w:ascii="Times New Roman" w:hAnsi="Times New Roman" w:eastAsia="黑体" w:cs="Times New Roman"/>
          <w:sz w:val="32"/>
          <w:szCs w:val="32"/>
        </w:rPr>
        <w:t>八、</w:t>
      </w:r>
      <w:r>
        <w:rPr>
          <w:rStyle w:val="32"/>
          <w:rFonts w:hint="default" w:ascii="Times New Roman" w:hAnsi="Times New Roman" w:eastAsia="黑体" w:cs="Times New Roman"/>
          <w:b w:val="0"/>
        </w:rPr>
        <w:t>政府性基金预算支出决算情况说明</w:t>
      </w:r>
      <w:bookmarkEnd w:id="61"/>
      <w:bookmarkEnd w:id="62"/>
      <w:bookmarkEnd w:id="63"/>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2022年政府性基金预算财政拨款支出</w:t>
      </w:r>
      <w:r>
        <w:rPr>
          <w:rFonts w:hint="default" w:ascii="Times New Roman" w:hAnsi="Times New Roman" w:eastAsia="仿宋" w:cs="Times New Roman"/>
          <w:sz w:val="32"/>
          <w:szCs w:val="32"/>
          <w:lang w:val="en-US" w:eastAsia="zh-CN"/>
        </w:rPr>
        <w:t>33.26</w:t>
      </w:r>
      <w:r>
        <w:rPr>
          <w:rFonts w:hint="default" w:ascii="Times New Roman" w:hAnsi="Times New Roman" w:eastAsia="仿宋" w:cs="Times New Roman"/>
          <w:sz w:val="32"/>
          <w:szCs w:val="32"/>
        </w:rPr>
        <w:t>万元。</w:t>
      </w:r>
    </w:p>
    <w:p>
      <w:pPr>
        <w:pageBreakBefore w:val="0"/>
        <w:numPr>
          <w:ilvl w:val="0"/>
          <w:numId w:val="2"/>
        </w:numPr>
        <w:kinsoku/>
        <w:wordWrap/>
        <w:overflowPunct/>
        <w:topLinePunct w:val="0"/>
        <w:bidi w:val="0"/>
        <w:adjustRightInd w:val="0"/>
        <w:snapToGrid w:val="0"/>
        <w:spacing w:line="353" w:lineRule="auto"/>
        <w:ind w:left="0" w:right="0" w:firstLine="640"/>
        <w:textAlignment w:val="auto"/>
        <w:outlineLvl w:val="1"/>
        <w:rPr>
          <w:rStyle w:val="32"/>
          <w:rFonts w:hint="default" w:ascii="Times New Roman" w:hAnsi="Times New Roman" w:eastAsia="黑体" w:cs="Times New Roman"/>
          <w:b w:val="0"/>
        </w:rPr>
      </w:pPr>
      <w:bookmarkStart w:id="64" w:name="_Toc20217"/>
      <w:bookmarkStart w:id="65" w:name="_Toc15396611"/>
      <w:bookmarkStart w:id="66" w:name="_Toc15377219"/>
      <w:r>
        <w:rPr>
          <w:rStyle w:val="32"/>
          <w:rFonts w:hint="default" w:ascii="Times New Roman" w:hAnsi="Times New Roman" w:eastAsia="黑体" w:cs="Times New Roman"/>
          <w:b w:val="0"/>
        </w:rPr>
        <w:t>国有资本经营预算支出决算情况说明</w:t>
      </w:r>
      <w:bookmarkEnd w:id="64"/>
      <w:bookmarkEnd w:id="65"/>
      <w:bookmarkEnd w:id="66"/>
    </w:p>
    <w:p>
      <w:pPr>
        <w:pageBreakBefore w:val="0"/>
        <w:kinsoku/>
        <w:wordWrap/>
        <w:overflowPunct/>
        <w:topLinePunct w:val="0"/>
        <w:bidi w:val="0"/>
        <w:adjustRightInd w:val="0"/>
        <w:snapToGrid w:val="0"/>
        <w:spacing w:line="353" w:lineRule="auto"/>
        <w:ind w:left="0" w:right="0" w:firstLine="640"/>
        <w:textAlignment w:val="auto"/>
        <w:rPr>
          <w:rFonts w:hint="default" w:ascii="Times New Roman" w:hAnsi="Times New Roman" w:eastAsia="仿宋" w:cs="Times New Roman"/>
          <w:sz w:val="44"/>
          <w:szCs w:val="44"/>
        </w:rPr>
      </w:pPr>
      <w:r>
        <w:rPr>
          <w:rFonts w:hint="default" w:ascii="Times New Roman" w:hAnsi="Times New Roman" w:eastAsia="仿宋" w:cs="Times New Roman"/>
          <w:sz w:val="32"/>
          <w:szCs w:val="32"/>
        </w:rPr>
        <w:t>2022年国有资本经营预算财政拨款支出0万元。</w:t>
      </w:r>
    </w:p>
    <w:p>
      <w:pPr>
        <w:pageBreakBefore w:val="0"/>
        <w:numPr>
          <w:ilvl w:val="0"/>
          <w:numId w:val="2"/>
        </w:numPr>
        <w:kinsoku/>
        <w:wordWrap/>
        <w:overflowPunct/>
        <w:topLinePunct w:val="0"/>
        <w:bidi w:val="0"/>
        <w:adjustRightInd w:val="0"/>
        <w:snapToGrid w:val="0"/>
        <w:spacing w:line="353" w:lineRule="auto"/>
        <w:ind w:left="0" w:right="0" w:firstLine="640"/>
        <w:textAlignment w:val="auto"/>
        <w:outlineLvl w:val="1"/>
        <w:rPr>
          <w:rStyle w:val="32"/>
          <w:rFonts w:hint="default" w:ascii="Times New Roman" w:hAnsi="Times New Roman" w:eastAsia="黑体" w:cs="Times New Roman"/>
          <w:b w:val="0"/>
        </w:rPr>
      </w:pPr>
      <w:bookmarkStart w:id="67" w:name="_Toc15396612"/>
      <w:bookmarkStart w:id="68" w:name="_Toc15377221"/>
      <w:bookmarkStart w:id="69" w:name="_Toc6469"/>
      <w:r>
        <w:rPr>
          <w:rStyle w:val="32"/>
          <w:rFonts w:hint="default" w:ascii="Times New Roman" w:hAnsi="Times New Roman" w:eastAsia="黑体" w:cs="Times New Roman"/>
          <w:b w:val="0"/>
        </w:rPr>
        <w:t>其他重要事项的情况说明</w:t>
      </w:r>
      <w:bookmarkEnd w:id="67"/>
      <w:bookmarkEnd w:id="68"/>
      <w:bookmarkEnd w:id="69"/>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hint="default" w:ascii="Times New Roman" w:hAnsi="Times New Roman" w:eastAsia="仿宋" w:cs="Times New Roman"/>
          <w:sz w:val="32"/>
          <w:szCs w:val="32"/>
        </w:rPr>
      </w:pPr>
      <w:bookmarkStart w:id="70" w:name="_Toc15377222"/>
      <w:r>
        <w:rPr>
          <w:rFonts w:hint="default" w:ascii="Times New Roman" w:hAnsi="Times New Roman" w:eastAsia="仿宋" w:cs="Times New Roman"/>
          <w:b/>
          <w:sz w:val="32"/>
          <w:szCs w:val="32"/>
        </w:rPr>
        <w:t>（一）机关运行经费支出情况</w:t>
      </w:r>
      <w:bookmarkEnd w:id="70"/>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2022年，中共攀枝花市西区区委政法委员会机关运行经费支出</w:t>
      </w:r>
      <w:r>
        <w:rPr>
          <w:rFonts w:hint="default" w:ascii="Times New Roman" w:hAnsi="Times New Roman" w:eastAsia="仿宋" w:cs="Times New Roman"/>
          <w:sz w:val="32"/>
          <w:szCs w:val="32"/>
          <w:lang w:val="en-US" w:eastAsia="zh-CN"/>
        </w:rPr>
        <w:t>19.13</w:t>
      </w:r>
      <w:r>
        <w:rPr>
          <w:rFonts w:hint="default" w:ascii="Times New Roman" w:hAnsi="Times New Roman" w:eastAsia="仿宋" w:cs="Times New Roman"/>
          <w:sz w:val="32"/>
          <w:szCs w:val="32"/>
        </w:rPr>
        <w:t>万元，比2021年减少</w:t>
      </w:r>
      <w:r>
        <w:rPr>
          <w:rFonts w:hint="default" w:ascii="Times New Roman" w:hAnsi="Times New Roman" w:eastAsia="仿宋" w:cs="Times New Roman"/>
          <w:sz w:val="32"/>
          <w:szCs w:val="32"/>
          <w:lang w:val="en-US" w:eastAsia="zh-CN"/>
        </w:rPr>
        <w:t>17.51</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48</w:t>
      </w:r>
      <w:r>
        <w:rPr>
          <w:rFonts w:hint="default" w:ascii="Times New Roman" w:hAnsi="Times New Roman" w:eastAsia="仿宋" w:cs="Times New Roman"/>
          <w:sz w:val="32"/>
          <w:szCs w:val="32"/>
        </w:rPr>
        <w:t>%。主要原因</w:t>
      </w:r>
      <w:r>
        <w:rPr>
          <w:rFonts w:hint="default" w:ascii="Times New Roman" w:hAnsi="Times New Roman" w:eastAsia="仿宋" w:cs="Times New Roman"/>
          <w:sz w:val="32"/>
          <w:szCs w:val="32"/>
          <w:lang w:eastAsia="zh-CN"/>
        </w:rPr>
        <w:t>一是人员减少运行经费减少，二是</w:t>
      </w:r>
      <w:r>
        <w:rPr>
          <w:rFonts w:hint="default" w:ascii="Times New Roman" w:hAnsi="Times New Roman" w:eastAsia="仿宋" w:cs="Times New Roman"/>
          <w:sz w:val="32"/>
          <w:szCs w:val="32"/>
        </w:rPr>
        <w:t>是压缩公用经费，厉行节约。</w:t>
      </w:r>
    </w:p>
    <w:p>
      <w:pPr>
        <w:pageBreakBefore w:val="0"/>
        <w:kinsoku/>
        <w:wordWrap/>
        <w:overflowPunct/>
        <w:topLinePunct w:val="0"/>
        <w:autoSpaceDE w:val="0"/>
        <w:autoSpaceDN w:val="0"/>
        <w:bidi w:val="0"/>
        <w:adjustRightInd w:val="0"/>
        <w:snapToGrid w:val="0"/>
        <w:spacing w:line="353" w:lineRule="auto"/>
        <w:ind w:left="0" w:right="0" w:firstLine="643" w:firstLineChars="200"/>
        <w:jc w:val="left"/>
        <w:textAlignment w:val="auto"/>
        <w:outlineLvl w:val="2"/>
        <w:rPr>
          <w:rFonts w:hint="default" w:ascii="Times New Roman" w:hAnsi="Times New Roman" w:eastAsia="仿宋" w:cs="Times New Roman"/>
          <w:b/>
          <w:sz w:val="32"/>
          <w:szCs w:val="32"/>
        </w:rPr>
      </w:pPr>
      <w:bookmarkStart w:id="71" w:name="_Toc15377223"/>
      <w:r>
        <w:rPr>
          <w:rFonts w:hint="default" w:ascii="Times New Roman" w:hAnsi="Times New Roman" w:eastAsia="仿宋" w:cs="Times New Roman"/>
          <w:b/>
          <w:sz w:val="32"/>
          <w:szCs w:val="32"/>
        </w:rPr>
        <w:t>（二）政府采购支出情况</w:t>
      </w:r>
      <w:bookmarkEnd w:id="71"/>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2022年，中共攀枝花市西区区委政法委员政府采购支出总额</w:t>
      </w:r>
      <w:r>
        <w:rPr>
          <w:rFonts w:hint="default" w:ascii="Times New Roman" w:hAnsi="Times New Roman" w:eastAsia="仿宋" w:cs="Times New Roman"/>
          <w:sz w:val="32"/>
          <w:szCs w:val="32"/>
          <w:lang w:val="en-US" w:eastAsia="zh-CN"/>
        </w:rPr>
        <w:t>78.7</w:t>
      </w:r>
      <w:r>
        <w:rPr>
          <w:rFonts w:hint="default" w:ascii="Times New Roman" w:hAnsi="Times New Roman" w:eastAsia="仿宋" w:cs="Times New Roman"/>
          <w:sz w:val="32"/>
          <w:szCs w:val="32"/>
        </w:rPr>
        <w:t>万元，其中：政府采购货物支出0万元、政府采购工程支出0万元、政府采购服务支出</w:t>
      </w:r>
      <w:r>
        <w:rPr>
          <w:rFonts w:hint="default" w:ascii="Times New Roman" w:hAnsi="Times New Roman" w:eastAsia="仿宋" w:cs="Times New Roman"/>
          <w:sz w:val="32"/>
          <w:szCs w:val="32"/>
          <w:lang w:val="en-US" w:eastAsia="zh-CN"/>
        </w:rPr>
        <w:t>78.7</w:t>
      </w:r>
      <w:r>
        <w:rPr>
          <w:rFonts w:hint="default" w:ascii="Times New Roman" w:hAnsi="Times New Roman" w:eastAsia="仿宋" w:cs="Times New Roman"/>
          <w:sz w:val="32"/>
          <w:szCs w:val="32"/>
        </w:rPr>
        <w:t>万元。主要用于雪亮工程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综治中心信息化维护</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网络运行等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授予中小企业合同金额0万元，占政府采购支出总额的0%，其中：授予小微企业合同金额0万元，占政府采购支出总额的0%。</w:t>
      </w:r>
    </w:p>
    <w:p>
      <w:pPr>
        <w:pageBreakBefore w:val="0"/>
        <w:kinsoku/>
        <w:wordWrap/>
        <w:overflowPunct/>
        <w:topLinePunct w:val="0"/>
        <w:autoSpaceDE w:val="0"/>
        <w:autoSpaceDN w:val="0"/>
        <w:bidi w:val="0"/>
        <w:adjustRightInd w:val="0"/>
        <w:snapToGrid w:val="0"/>
        <w:spacing w:line="353" w:lineRule="auto"/>
        <w:ind w:left="0" w:right="0" w:firstLine="643" w:firstLineChars="200"/>
        <w:jc w:val="left"/>
        <w:textAlignment w:val="auto"/>
        <w:outlineLvl w:val="2"/>
        <w:rPr>
          <w:rFonts w:hint="default" w:ascii="Times New Roman" w:hAnsi="Times New Roman" w:eastAsia="仿宋" w:cs="Times New Roman"/>
          <w:b/>
          <w:sz w:val="32"/>
          <w:szCs w:val="32"/>
        </w:rPr>
      </w:pPr>
      <w:bookmarkStart w:id="72" w:name="_Toc15377224"/>
      <w:r>
        <w:rPr>
          <w:rFonts w:hint="default" w:ascii="Times New Roman" w:hAnsi="Times New Roman" w:eastAsia="仿宋" w:cs="Times New Roman"/>
          <w:b/>
          <w:sz w:val="32"/>
          <w:szCs w:val="32"/>
        </w:rPr>
        <w:t>（三）国有资产占有使用情况</w:t>
      </w:r>
      <w:bookmarkEnd w:id="72"/>
    </w:p>
    <w:p>
      <w:pPr>
        <w:pageBreakBefore w:val="0"/>
        <w:kinsoku/>
        <w:wordWrap/>
        <w:overflowPunct/>
        <w:topLinePunct w:val="0"/>
        <w:autoSpaceDE w:val="0"/>
        <w:autoSpaceDN w:val="0"/>
        <w:bidi w:val="0"/>
        <w:adjustRightInd w:val="0"/>
        <w:snapToGrid w:val="0"/>
        <w:spacing w:line="353" w:lineRule="auto"/>
        <w:ind w:left="0" w:right="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截至2022年12月31日，中共攀枝花市西区区委政法委员共有车辆0辆，其中：主要领导干部</w:t>
      </w:r>
      <w:r>
        <w:rPr>
          <w:rFonts w:hint="default" w:ascii="Times New Roman" w:hAnsi="Times New Roman" w:eastAsia="仿宋" w:cs="Times New Roman"/>
          <w:sz w:val="32"/>
          <w:szCs w:val="32"/>
          <w:lang w:eastAsia="zh-CN"/>
        </w:rPr>
        <w:t>用车</w:t>
      </w:r>
      <w:r>
        <w:rPr>
          <w:rFonts w:hint="default" w:ascii="Times New Roman" w:hAnsi="Times New Roman" w:eastAsia="仿宋" w:cs="Times New Roman"/>
          <w:sz w:val="32"/>
          <w:szCs w:val="32"/>
        </w:rPr>
        <w:t>0辆、机要通信用车0辆、应急保障用车0辆、其他用车0辆。单价100万元以上专用设备0台（套）。</w:t>
      </w:r>
    </w:p>
    <w:p>
      <w:pPr>
        <w:pageBreakBefore w:val="0"/>
        <w:kinsoku/>
        <w:wordWrap/>
        <w:overflowPunct/>
        <w:topLinePunct w:val="0"/>
        <w:autoSpaceDE w:val="0"/>
        <w:autoSpaceDN w:val="0"/>
        <w:bidi w:val="0"/>
        <w:adjustRightInd w:val="0"/>
        <w:snapToGrid w:val="0"/>
        <w:spacing w:line="353" w:lineRule="auto"/>
        <w:ind w:left="0" w:right="0" w:firstLine="643" w:firstLineChars="200"/>
        <w:jc w:val="left"/>
        <w:textAlignment w:val="auto"/>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pageBreakBefore w:val="0"/>
        <w:widowControl/>
        <w:kinsoku/>
        <w:wordWrap/>
        <w:overflowPunct/>
        <w:topLinePunct w:val="0"/>
        <w:bidi w:val="0"/>
        <w:adjustRightInd w:val="0"/>
        <w:snapToGrid w:val="0"/>
        <w:spacing w:line="353" w:lineRule="auto"/>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根据预算绩效管理要求，本部门在2022年度预算编制阶段，</w:t>
      </w:r>
      <w:r>
        <w:rPr>
          <w:rFonts w:hint="default" w:ascii="Times New Roman" w:hAnsi="Times New Roman" w:eastAsia="仿宋" w:cs="Times New Roman"/>
          <w:sz w:val="32"/>
          <w:szCs w:val="32"/>
          <w:lang w:eastAsia="zh-CN"/>
        </w:rPr>
        <w:t>组织对</w:t>
      </w:r>
      <w:r>
        <w:rPr>
          <w:rFonts w:hint="default" w:ascii="Times New Roman" w:hAnsi="Times New Roman" w:eastAsia="仿宋" w:cs="Times New Roman"/>
          <w:sz w:val="32"/>
          <w:szCs w:val="32"/>
        </w:rPr>
        <w:t>带薪年休假经费、住房公积金、在职医疗补助</w:t>
      </w:r>
      <w:r>
        <w:rPr>
          <w:rFonts w:hint="default" w:ascii="Times New Roman" w:hAnsi="Times New Roman" w:eastAsia="仿宋" w:cs="Times New Roman"/>
          <w:sz w:val="32"/>
          <w:szCs w:val="32"/>
          <w:lang w:eastAsia="zh-CN"/>
        </w:rPr>
        <w:t>等</w:t>
      </w:r>
      <w:r>
        <w:rPr>
          <w:rFonts w:hint="default" w:ascii="Times New Roman" w:hAnsi="Times New Roman" w:eastAsia="仿宋" w:cs="Times New Roman"/>
          <w:sz w:val="32"/>
          <w:szCs w:val="32"/>
          <w:lang w:val="en-US" w:eastAsia="zh-CN"/>
        </w:rPr>
        <w:t>36</w:t>
      </w:r>
      <w:r>
        <w:rPr>
          <w:rFonts w:hint="default" w:ascii="Times New Roman" w:hAnsi="Times New Roman" w:eastAsia="仿宋" w:cs="Times New Roman"/>
          <w:sz w:val="32"/>
          <w:szCs w:val="32"/>
        </w:rPr>
        <w:t>个项目开展了预算事前绩效评估，对</w:t>
      </w:r>
      <w:r>
        <w:rPr>
          <w:rFonts w:hint="default" w:ascii="Times New Roman" w:hAnsi="Times New Roman" w:eastAsia="仿宋" w:cs="Times New Roman"/>
          <w:sz w:val="32"/>
          <w:szCs w:val="32"/>
          <w:lang w:val="en-US" w:eastAsia="zh-CN"/>
        </w:rPr>
        <w:t>36</w:t>
      </w:r>
      <w:r>
        <w:rPr>
          <w:rFonts w:hint="default" w:ascii="Times New Roman" w:hAnsi="Times New Roman" w:eastAsia="仿宋" w:cs="Times New Roman"/>
          <w:sz w:val="32"/>
          <w:szCs w:val="32"/>
        </w:rPr>
        <w:t>个项目编制了绩效目标，预算执行过程中，选取</w:t>
      </w:r>
      <w:r>
        <w:rPr>
          <w:rFonts w:hint="default" w:ascii="Times New Roman" w:hAnsi="Times New Roman" w:eastAsia="仿宋" w:cs="Times New Roman"/>
          <w:sz w:val="32"/>
          <w:szCs w:val="32"/>
          <w:lang w:val="en-US" w:eastAsia="zh-CN"/>
        </w:rPr>
        <w:t>36</w:t>
      </w:r>
      <w:r>
        <w:rPr>
          <w:rFonts w:hint="default" w:ascii="Times New Roman" w:hAnsi="Times New Roman" w:eastAsia="仿宋" w:cs="Times New Roman"/>
          <w:sz w:val="32"/>
          <w:szCs w:val="32"/>
        </w:rPr>
        <w:t>个项目开展绩效监控。</w:t>
      </w:r>
    </w:p>
    <w:p>
      <w:pPr>
        <w:pageBreakBefore w:val="0"/>
        <w:widowControl/>
        <w:kinsoku/>
        <w:wordWrap/>
        <w:overflowPunct/>
        <w:topLinePunct w:val="0"/>
        <w:bidi w:val="0"/>
        <w:adjustRightInd w:val="0"/>
        <w:snapToGrid w:val="0"/>
        <w:spacing w:line="353" w:lineRule="auto"/>
        <w:ind w:left="0" w:right="0"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 w:cs="Times New Roman"/>
          <w:sz w:val="32"/>
          <w:szCs w:val="32"/>
        </w:rPr>
        <w:t>组织对2022年度一般公共预算、政府性基金预算全面开展绩效自评，形成中共攀枝花市西区区委政法委员部门整体（含部门预算项目）绩效自评报告、</w:t>
      </w:r>
      <w:r>
        <w:rPr>
          <w:rFonts w:hint="default" w:ascii="Times New Roman" w:hAnsi="Times New Roman" w:eastAsia="仿宋" w:cs="Times New Roman"/>
          <w:sz w:val="32"/>
          <w:szCs w:val="32"/>
          <w:lang w:val="en-US" w:eastAsia="zh-CN"/>
        </w:rPr>
        <w:t>矛盾纠纷多元化解（大调解）专项经费、维稳工作专项经费、平安建设专项经费、雪亮工程及综治中心运维服务4个</w:t>
      </w:r>
      <w:r>
        <w:rPr>
          <w:rFonts w:hint="default" w:ascii="Times New Roman" w:hAnsi="Times New Roman" w:eastAsia="仿宋" w:cs="Times New Roman"/>
          <w:sz w:val="32"/>
          <w:szCs w:val="32"/>
        </w:rPr>
        <w:t>专项预算项目绩效自评报告，</w:t>
      </w:r>
      <w:r>
        <w:rPr>
          <w:rFonts w:hint="default" w:ascii="Times New Roman" w:hAnsi="Times New Roman" w:eastAsia="方正仿宋_GBK" w:cs="Times New Roman"/>
          <w:sz w:val="32"/>
          <w:szCs w:val="32"/>
        </w:rPr>
        <w:t>其中，</w:t>
      </w:r>
      <w:r>
        <w:rPr>
          <w:rFonts w:hint="default" w:ascii="Times New Roman" w:hAnsi="Times New Roman" w:eastAsia="仿宋" w:cs="Times New Roman"/>
          <w:sz w:val="32"/>
          <w:szCs w:val="32"/>
        </w:rPr>
        <w:t>中共攀枝花市西区区委政法委员</w:t>
      </w:r>
      <w:r>
        <w:rPr>
          <w:rFonts w:hint="default" w:ascii="Times New Roman" w:hAnsi="Times New Roman" w:eastAsia="方正仿宋_GBK" w:cs="Times New Roman"/>
          <w:sz w:val="32"/>
          <w:szCs w:val="32"/>
        </w:rPr>
        <w:t>部门整体（含部门预算项目）绩效自评得分为9</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分，绩效自评综述：我委参照主要工作职责和任务完成情况详细进行了自评报告编制工作，自评部门整体支出情况与项目完成情况，内容较为完整、客观。</w:t>
      </w:r>
      <w:r>
        <w:rPr>
          <w:rFonts w:hint="default" w:ascii="Times New Roman" w:hAnsi="Times New Roman" w:eastAsia="仿宋" w:cs="Times New Roman"/>
          <w:color w:val="000000"/>
          <w:kern w:val="0"/>
          <w:sz w:val="32"/>
          <w:szCs w:val="32"/>
          <w:highlight w:val="none"/>
          <w:shd w:val="clear" w:color="auto" w:fill="FFFFFF"/>
          <w:lang w:val="en-US" w:eastAsia="zh-CN"/>
        </w:rPr>
        <w:t>矛盾纠纷多元化解（大调解）专项经费</w:t>
      </w:r>
      <w:r>
        <w:rPr>
          <w:rFonts w:hint="default" w:ascii="Times New Roman" w:hAnsi="Times New Roman" w:eastAsia="方正仿宋_GBK" w:cs="Times New Roman"/>
          <w:sz w:val="32"/>
          <w:szCs w:val="32"/>
          <w:highlight w:val="none"/>
        </w:rPr>
        <w:t>专项预算项目绩效自评得分为</w:t>
      </w:r>
      <w:r>
        <w:rPr>
          <w:rFonts w:hint="default" w:ascii="Times New Roman" w:hAnsi="Times New Roman" w:eastAsia="方正仿宋_GBK" w:cs="Times New Roman"/>
          <w:sz w:val="32"/>
          <w:szCs w:val="32"/>
          <w:highlight w:val="none"/>
          <w:lang w:val="en-US" w:eastAsia="zh-CN"/>
        </w:rPr>
        <w:t>100</w:t>
      </w:r>
      <w:r>
        <w:rPr>
          <w:rFonts w:hint="default" w:ascii="Times New Roman" w:hAnsi="Times New Roman" w:eastAsia="方正仿宋_GBK" w:cs="Times New Roman"/>
          <w:sz w:val="32"/>
          <w:szCs w:val="32"/>
          <w:highlight w:val="none"/>
        </w:rPr>
        <w:t>分，绩效自评综述：对照项目计划完成目标及资金支付情况，项目实现了预期目标。</w:t>
      </w:r>
      <w:r>
        <w:rPr>
          <w:rFonts w:hint="default" w:ascii="Times New Roman" w:hAnsi="Times New Roman" w:eastAsia="仿宋" w:cs="Times New Roman"/>
          <w:color w:val="000000"/>
          <w:kern w:val="0"/>
          <w:sz w:val="32"/>
          <w:szCs w:val="32"/>
          <w:highlight w:val="none"/>
          <w:shd w:val="clear" w:color="auto" w:fill="FFFFFF"/>
          <w:lang w:val="en-US" w:eastAsia="zh-CN"/>
        </w:rPr>
        <w:t>维稳工作经费</w:t>
      </w:r>
      <w:r>
        <w:rPr>
          <w:rFonts w:hint="default" w:ascii="Times New Roman" w:hAnsi="Times New Roman" w:eastAsia="方正仿宋_GBK" w:cs="Times New Roman"/>
          <w:sz w:val="32"/>
          <w:szCs w:val="32"/>
          <w:highlight w:val="none"/>
        </w:rPr>
        <w:t>预算项目绩效自评得分为</w:t>
      </w:r>
      <w:r>
        <w:rPr>
          <w:rFonts w:hint="default" w:ascii="Times New Roman" w:hAnsi="Times New Roman" w:eastAsia="方正仿宋_GBK" w:cs="Times New Roman"/>
          <w:sz w:val="32"/>
          <w:szCs w:val="32"/>
          <w:highlight w:val="none"/>
          <w:lang w:val="en-US" w:eastAsia="zh-CN"/>
        </w:rPr>
        <w:t>100</w:t>
      </w:r>
      <w:r>
        <w:rPr>
          <w:rFonts w:hint="default" w:ascii="Times New Roman" w:hAnsi="Times New Roman" w:eastAsia="方正仿宋_GBK" w:cs="Times New Roman"/>
          <w:sz w:val="32"/>
          <w:szCs w:val="32"/>
          <w:highlight w:val="none"/>
        </w:rPr>
        <w:t>分，绩效自评综述：对照项目计划完成目标及资金支付情况，项目实现了预期目标。</w:t>
      </w:r>
      <w:r>
        <w:rPr>
          <w:rFonts w:hint="default" w:ascii="Times New Roman" w:hAnsi="Times New Roman" w:eastAsia="仿宋" w:cs="Times New Roman"/>
          <w:color w:val="000000"/>
          <w:kern w:val="0"/>
          <w:sz w:val="32"/>
          <w:szCs w:val="32"/>
          <w:highlight w:val="none"/>
          <w:shd w:val="clear" w:color="auto" w:fill="FFFFFF"/>
          <w:lang w:val="en-US" w:eastAsia="zh-CN"/>
        </w:rPr>
        <w:t>平安建设专项经费</w:t>
      </w:r>
      <w:r>
        <w:rPr>
          <w:rFonts w:hint="default" w:ascii="Times New Roman" w:hAnsi="Times New Roman" w:eastAsia="方正仿宋_GBK" w:cs="Times New Roman"/>
          <w:sz w:val="32"/>
          <w:szCs w:val="32"/>
          <w:highlight w:val="none"/>
        </w:rPr>
        <w:t>项目绩效自评得分为</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0分，绩效自评综述：对照项目计划完成目标及资金支付情况，项目实现了预期目标。</w:t>
      </w:r>
      <w:r>
        <w:rPr>
          <w:rFonts w:hint="default" w:ascii="Times New Roman" w:hAnsi="Times New Roman" w:eastAsia="仿宋" w:cs="Times New Roman"/>
          <w:color w:val="000000"/>
          <w:kern w:val="0"/>
          <w:sz w:val="32"/>
          <w:szCs w:val="32"/>
          <w:highlight w:val="none"/>
          <w:shd w:val="clear" w:color="auto" w:fill="FFFFFF"/>
          <w:lang w:val="en-US" w:eastAsia="zh-CN"/>
        </w:rPr>
        <w:t>雪亮工程及综治中心运维服务</w:t>
      </w:r>
      <w:r>
        <w:rPr>
          <w:rFonts w:hint="default" w:ascii="Times New Roman" w:hAnsi="Times New Roman" w:eastAsia="方正仿宋_GBK" w:cs="Times New Roman"/>
          <w:sz w:val="32"/>
          <w:szCs w:val="32"/>
          <w:highlight w:val="none"/>
        </w:rPr>
        <w:t>项目绩效自评得分为</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rPr>
        <w:t>分，绩效自评综述：对照项目计划完成目标及资金支付情况，绩效目标运行及实现情况良好。绩效自</w:t>
      </w:r>
      <w:r>
        <w:rPr>
          <w:rFonts w:hint="default" w:ascii="Times New Roman" w:hAnsi="Times New Roman" w:eastAsia="仿宋" w:cs="Times New Roman"/>
          <w:color w:val="000000"/>
          <w:kern w:val="0"/>
          <w:sz w:val="32"/>
          <w:szCs w:val="32"/>
          <w:highlight w:val="none"/>
          <w:shd w:val="clear" w:color="auto" w:fill="FFFFFF"/>
          <w:lang w:val="en-US" w:eastAsia="zh-CN"/>
        </w:rPr>
        <w:t>评报告详见附件（其中矛盾纠纷多元化解（大调解）专项经费，维稳工作专项经费涉密未公开）。绩效自评报告</w:t>
      </w:r>
      <w:r>
        <w:rPr>
          <w:rFonts w:hint="default" w:ascii="Times New Roman" w:hAnsi="Times New Roman" w:eastAsia="仿宋" w:cs="Times New Roman"/>
          <w:sz w:val="32"/>
          <w:szCs w:val="32"/>
        </w:rPr>
        <w:t>详见附件。</w:t>
      </w:r>
      <w:r>
        <w:rPr>
          <w:rFonts w:hint="default" w:ascii="Times New Roman" w:hAnsi="Times New Roman" w:eastAsia="仿宋_GB2312" w:cs="Times New Roman"/>
          <w:b/>
          <w:sz w:val="32"/>
          <w:szCs w:val="32"/>
        </w:rPr>
        <w:br w:type="page"/>
      </w:r>
    </w:p>
    <w:p>
      <w:pPr>
        <w:pageBreakBefore w:val="0"/>
        <w:numPr>
          <w:ilvl w:val="0"/>
          <w:numId w:val="3"/>
        </w:numPr>
        <w:kinsoku/>
        <w:wordWrap/>
        <w:overflowPunct/>
        <w:topLinePunct w:val="0"/>
        <w:bidi w:val="0"/>
        <w:adjustRightInd w:val="0"/>
        <w:snapToGrid w:val="0"/>
        <w:spacing w:line="353" w:lineRule="auto"/>
        <w:ind w:left="0" w:right="0" w:firstLine="660" w:firstLineChars="150"/>
        <w:jc w:val="center"/>
        <w:textAlignment w:val="auto"/>
        <w:outlineLvl w:val="0"/>
        <w:rPr>
          <w:rStyle w:val="31"/>
          <w:rFonts w:hint="default" w:ascii="Times New Roman" w:hAnsi="Times New Roman" w:eastAsia="黑体" w:cs="Times New Roman"/>
          <w:b w:val="0"/>
        </w:rPr>
      </w:pPr>
      <w:bookmarkStart w:id="73" w:name="_Toc17449"/>
      <w:bookmarkStart w:id="74" w:name="_Toc15377225"/>
      <w:bookmarkStart w:id="75" w:name="_Toc15396613"/>
      <w:r>
        <w:rPr>
          <w:rFonts w:hint="default" w:ascii="Times New Roman" w:hAnsi="Times New Roman" w:eastAsia="黑体" w:cs="Times New Roman"/>
          <w:sz w:val="44"/>
          <w:szCs w:val="44"/>
        </w:rPr>
        <w:t>名</w:t>
      </w:r>
      <w:r>
        <w:rPr>
          <w:rStyle w:val="31"/>
          <w:rFonts w:hint="default" w:ascii="Times New Roman" w:hAnsi="Times New Roman" w:eastAsia="黑体" w:cs="Times New Roman"/>
          <w:b w:val="0"/>
        </w:rPr>
        <w:t>词解释</w:t>
      </w:r>
      <w:bookmarkEnd w:id="73"/>
      <w:bookmarkEnd w:id="74"/>
      <w:bookmarkEnd w:id="75"/>
    </w:p>
    <w:p>
      <w:pPr>
        <w:pageBreakBefore w:val="0"/>
        <w:kinsoku/>
        <w:wordWrap/>
        <w:overflowPunct/>
        <w:topLinePunct w:val="0"/>
        <w:bidi w:val="0"/>
        <w:adjustRightInd w:val="0"/>
        <w:snapToGrid w:val="0"/>
        <w:spacing w:line="353" w:lineRule="auto"/>
        <w:ind w:left="0" w:right="0"/>
        <w:jc w:val="left"/>
        <w:textAlignment w:val="auto"/>
        <w:rPr>
          <w:rFonts w:hint="default" w:ascii="Times New Roman" w:hAnsi="Times New Roman" w:cs="Times New Roman"/>
          <w:b/>
          <w:sz w:val="44"/>
          <w:szCs w:val="44"/>
        </w:rPr>
      </w:pPr>
    </w:p>
    <w:p>
      <w:pPr>
        <w:pStyle w:val="29"/>
        <w:pageBreakBefore w:val="0"/>
        <w:kinsoku/>
        <w:wordWrap/>
        <w:overflowPunct/>
        <w:topLinePunct w:val="0"/>
        <w:bidi w:val="0"/>
        <w:adjustRightInd w:val="0"/>
        <w:snapToGrid w:val="0"/>
        <w:spacing w:line="353" w:lineRule="auto"/>
        <w:ind w:left="0" w:right="0" w:firstLine="640" w:firstLineChars="200"/>
        <w:textAlignment w:val="auto"/>
        <w:outlineLvl w:val="1"/>
        <w:rPr>
          <w:rFonts w:hint="default" w:ascii="Times New Roman" w:hAnsi="Times New Roman" w:cs="Times New Roman"/>
          <w:color w:val="auto"/>
          <w:sz w:val="32"/>
          <w:szCs w:val="32"/>
        </w:rPr>
      </w:pPr>
      <w:bookmarkStart w:id="76" w:name="_Toc1323"/>
      <w:bookmarkStart w:id="77" w:name="_Toc593"/>
      <w:r>
        <w:rPr>
          <w:rFonts w:hint="default" w:ascii="Times New Roman" w:hAnsi="Times New Roman" w:cs="Times New Roman"/>
          <w:color w:val="auto"/>
          <w:sz w:val="32"/>
          <w:szCs w:val="32"/>
        </w:rPr>
        <w:t>1.财政拨款收入：指单位从同级财政部门取得的财政预算资金。</w:t>
      </w:r>
      <w:bookmarkEnd w:id="76"/>
      <w:bookmarkEnd w:id="77"/>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2.事业收入：指事业单位开展专业业务活动及辅助活动取得的收入。</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3.经营收入：指事业单位在专业业务活动及其辅助活动之外开展非独立核算经营活动取得的收入。</w:t>
      </w:r>
    </w:p>
    <w:p>
      <w:pPr>
        <w:pStyle w:val="29"/>
        <w:pageBreakBefore w:val="0"/>
        <w:kinsoku/>
        <w:wordWrap/>
        <w:overflowPunct/>
        <w:topLinePunct w:val="0"/>
        <w:bidi w:val="0"/>
        <w:adjustRightInd w:val="0"/>
        <w:snapToGrid w:val="0"/>
        <w:spacing w:line="353" w:lineRule="auto"/>
        <w:ind w:left="0" w:right="0" w:firstLine="640" w:firstLineChars="200"/>
        <w:textAlignment w:val="auto"/>
        <w:outlineLvl w:val="1"/>
        <w:rPr>
          <w:rFonts w:hint="default" w:ascii="Times New Roman" w:hAnsi="Times New Roman" w:cs="Times New Roman"/>
          <w:color w:val="auto"/>
          <w:sz w:val="32"/>
          <w:szCs w:val="32"/>
        </w:rPr>
      </w:pPr>
      <w:bookmarkStart w:id="78" w:name="_Toc14029"/>
      <w:bookmarkStart w:id="79" w:name="_Toc838"/>
      <w:r>
        <w:rPr>
          <w:rFonts w:hint="default" w:ascii="Times New Roman" w:hAnsi="Times New Roman" w:cs="Times New Roman"/>
          <w:color w:val="auto"/>
          <w:sz w:val="32"/>
          <w:szCs w:val="32"/>
        </w:rPr>
        <w:t>4.其他收入：指单位取得的除上述收入以外的各项收入。</w:t>
      </w:r>
      <w:bookmarkEnd w:id="78"/>
      <w:bookmarkEnd w:id="79"/>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5.使用非财政拨款结余：指事业单位使用以前年度积累的非财政拨款结余弥补当年收支差额的金额。</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6.年初结转和结余：指以前年度尚未完成、结转到本年按有关规定继续使用的资金。</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7.结余分配：指事业单位按照会计制度规定缴纳的所得税、提取的专用结余以及转入非财政拨款结余的金额等。</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8.年末结转和结余：指单位按有关规定结转到下年或以后年度继续使用的资金。</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w:t>
      </w:r>
      <w:r>
        <w:rPr>
          <w:rFonts w:hint="default" w:ascii="Times New Roman" w:hAnsi="Times New Roman" w:eastAsia="仿宋_GB2312" w:cs="Times New Roman"/>
          <w:sz w:val="32"/>
          <w:szCs w:val="32"/>
          <w:highlight w:val="none"/>
        </w:rPr>
        <w:t>一般公共服务（类）其他共产党事务支出（款）行政运行（项）：指</w:t>
      </w:r>
      <w:r>
        <w:rPr>
          <w:rFonts w:hint="default" w:ascii="Times New Roman" w:hAnsi="Times New Roman" w:eastAsia="仿宋_GB2312" w:cs="Times New Roman"/>
          <w:sz w:val="32"/>
          <w:szCs w:val="32"/>
          <w:highlight w:val="none"/>
          <w:lang w:eastAsia="zh-CN"/>
        </w:rPr>
        <w:t>反映行政单位（包括实行公务员管理的事业单位）的基本支出</w:t>
      </w:r>
      <w:r>
        <w:rPr>
          <w:rFonts w:hint="default" w:ascii="Times New Roman" w:hAnsi="Times New Roman" w:eastAsia="仿宋" w:cs="Times New Roman"/>
          <w:sz w:val="32"/>
          <w:szCs w:val="32"/>
        </w:rPr>
        <w:t>。</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rPr>
      </w:pPr>
      <w:r>
        <w:rPr>
          <w:rFonts w:hint="default" w:ascii="Times New Roman" w:hAnsi="Times New Roman" w:eastAsia="仿宋" w:cs="Times New Roman"/>
          <w:sz w:val="32"/>
          <w:szCs w:val="32"/>
        </w:rPr>
        <w:t>10.</w:t>
      </w:r>
      <w:r>
        <w:rPr>
          <w:rFonts w:hint="default" w:ascii="Times New Roman" w:hAnsi="Times New Roman" w:eastAsia="仿宋_GB2312" w:cs="Times New Roman"/>
          <w:sz w:val="32"/>
          <w:szCs w:val="32"/>
        </w:rPr>
        <w:t>一般公共服务（类）其他共产党事务支出（款）一般行政管理事务（项）：指</w:t>
      </w:r>
      <w:r>
        <w:rPr>
          <w:rFonts w:hint="default" w:ascii="Times New Roman" w:hAnsi="Times New Roman" w:eastAsia="仿宋_GB2312" w:cs="Times New Roman"/>
          <w:sz w:val="32"/>
          <w:szCs w:val="32"/>
          <w:lang w:eastAsia="zh-CN"/>
        </w:rPr>
        <w:t>反映行政单位（包括实行公务员管理的事业单位）未单独设置项级科目的其他项目支出。</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w:t>
      </w:r>
      <w:r>
        <w:rPr>
          <w:rFonts w:hint="default" w:ascii="Times New Roman" w:hAnsi="Times New Roman" w:eastAsia="仿宋_GB2312" w:cs="Times New Roman"/>
          <w:sz w:val="32"/>
          <w:szCs w:val="32"/>
        </w:rPr>
        <w:t>一般公共服务（类）其他共产党事务支出（款）事业运行（项）：指</w:t>
      </w:r>
      <w:r>
        <w:rPr>
          <w:rFonts w:hint="default" w:ascii="Times New Roman" w:hAnsi="Times New Roman" w:eastAsia="仿宋_GB2312" w:cs="Times New Roman"/>
          <w:sz w:val="32"/>
          <w:szCs w:val="32"/>
          <w:lang w:eastAsia="zh-CN"/>
        </w:rPr>
        <w:t>反映事业单位的基本支出，不包括行政单位（包括实行公务员管理的事业单位）后勤服务中心、医务室等附属事业单位</w:t>
      </w:r>
      <w:r>
        <w:rPr>
          <w:rFonts w:hint="default" w:ascii="Times New Roman" w:hAnsi="Times New Roman" w:eastAsia="仿宋_GB2312" w:cs="Times New Roman"/>
          <w:sz w:val="32"/>
          <w:szCs w:val="32"/>
        </w:rPr>
        <w:t>。</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社会保障和就业支出（类）行政事业单位养老支出（款）机关事业单位基本养老保险缴费支出（项）：指机关事业单位实施养老保险制度有单位缴纳的基本养老保险费支出。</w:t>
      </w:r>
    </w:p>
    <w:p>
      <w:pPr>
        <w:pageBreakBefore w:val="0"/>
        <w:kinsoku/>
        <w:wordWrap/>
        <w:overflowPunct/>
        <w:topLinePunct w:val="0"/>
        <w:autoSpaceDE w:val="0"/>
        <w:autoSpaceDN w:val="0"/>
        <w:bidi w:val="0"/>
        <w:adjustRightInd w:val="0"/>
        <w:snapToGrid w:val="0"/>
        <w:spacing w:line="353" w:lineRule="auto"/>
        <w:ind w:left="0" w:right="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.卫生健康</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（类）行政事业单位医疗支出（款） 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.卫生健康</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（类）行政事业单位医疗支出（款）事业单位医疗（项）：反映财政部门安排的事业单位基本医疗保险缴费经费，未参加医疗保险的事业单位的公费医疗经费，按国家规定享受离休人员待遇的医疗经费。</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.卫生健康</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（类）行政事业单位医疗支出（款）公务员医疗补助：反映财政部门安排的公务员医疗补助经费。</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.卫生健康</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（类）行政事业单位医疗支出（款）其他行政事业单位医疗支出（项）：反映除上述项目以外的其他用于行政事业单位医疗方面的支出。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1</w:t>
      </w:r>
      <w:r>
        <w:rPr>
          <w:rFonts w:hint="default" w:ascii="Times New Roman" w:hAnsi="Times New Roman" w:eastAsia="仿宋" w:cs="Times New Roman"/>
          <w:color w:val="000000"/>
          <w:kern w:val="0"/>
          <w:sz w:val="32"/>
          <w:szCs w:val="32"/>
          <w:lang w:val="en-US" w:eastAsia="zh-CN"/>
        </w:rPr>
        <w:t>7</w:t>
      </w:r>
      <w:r>
        <w:rPr>
          <w:rFonts w:hint="default" w:ascii="Times New Roman" w:hAnsi="Times New Roman" w:eastAsia="仿宋" w:cs="Times New Roman"/>
          <w:color w:val="000000"/>
          <w:kern w:val="0"/>
          <w:sz w:val="32"/>
          <w:szCs w:val="32"/>
        </w:rPr>
        <w:t>.城乡社区支出</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类</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国有土地使用权出让收入安排的支出</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款</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土地开发支出</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项</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反映新疆生产建设兵团和地方政府用于前期土地开发性支出以及与前期土地开发相关的费用等支出</w:t>
      </w:r>
      <w:r>
        <w:rPr>
          <w:rFonts w:hint="default" w:ascii="Times New Roman" w:hAnsi="Times New Roman" w:eastAsia="仿宋" w:cs="Times New Roman"/>
          <w:sz w:val="32"/>
          <w:szCs w:val="32"/>
        </w:rPr>
        <w:t>。</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.住房保障支出（类）住房改革支出（款）住房公积金（项）：指行政事业单位按人力资源和社会保障部、财政部规定的基本工资和津贴补贴以及规定比例为职工缴纳的住房公积金。</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.基本支出：指为保障机构正常运转、完成日常工作任务而发生的人员支出和公用支出。</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.项目支出：指在基本支出之外为完成特定行政任务和事业发展目标所发生的支出。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.经营支出：指事业单位在专业业务活动及其辅助活动之外开展非独立核算经营活动发生的支出。</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sz w:val="32"/>
          <w:szCs w:val="32"/>
        </w:rPr>
      </w:pP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sz w:val="32"/>
          <w:szCs w:val="32"/>
        </w:rPr>
      </w:pPr>
    </w:p>
    <w:p>
      <w:pPr>
        <w:pageBreakBefore w:val="0"/>
        <w:kinsoku/>
        <w:wordWrap/>
        <w:overflowPunct/>
        <w:topLinePunct w:val="0"/>
        <w:bidi w:val="0"/>
        <w:adjustRightInd w:val="0"/>
        <w:snapToGrid w:val="0"/>
        <w:spacing w:line="353" w:lineRule="auto"/>
        <w:ind w:left="0" w:right="0"/>
        <w:jc w:val="center"/>
        <w:textAlignment w:val="auto"/>
        <w:outlineLvl w:val="0"/>
        <w:rPr>
          <w:rStyle w:val="31"/>
          <w:rFonts w:hint="default" w:ascii="Times New Roman" w:hAnsi="Times New Roman" w:eastAsia="黑体" w:cs="Times New Roman"/>
          <w:b w:val="0"/>
        </w:rPr>
      </w:pPr>
      <w:bookmarkStart w:id="80" w:name="_Toc15377226"/>
      <w:r>
        <w:rPr>
          <w:rFonts w:hint="default" w:ascii="Times New Roman" w:hAnsi="Times New Roman" w:cs="Times New Roman"/>
          <w:b/>
          <w:sz w:val="44"/>
          <w:szCs w:val="44"/>
        </w:rPr>
        <w:br w:type="page"/>
      </w:r>
      <w:bookmarkStart w:id="81" w:name="_Toc15396614"/>
      <w:bookmarkStart w:id="82" w:name="_Toc2606"/>
      <w:r>
        <w:rPr>
          <w:rFonts w:hint="default" w:ascii="Times New Roman" w:hAnsi="Times New Roman" w:eastAsia="黑体" w:cs="Times New Roman"/>
          <w:sz w:val="44"/>
          <w:szCs w:val="44"/>
        </w:rPr>
        <w:t>第</w:t>
      </w:r>
      <w:r>
        <w:rPr>
          <w:rStyle w:val="31"/>
          <w:rFonts w:hint="default" w:ascii="Times New Roman" w:hAnsi="Times New Roman" w:eastAsia="黑体" w:cs="Times New Roman"/>
          <w:b w:val="0"/>
        </w:rPr>
        <w:t>四部分 附件</w:t>
      </w:r>
      <w:bookmarkEnd w:id="81"/>
      <w:bookmarkEnd w:id="82"/>
    </w:p>
    <w:p>
      <w:pPr>
        <w:pageBreakBefore w:val="0"/>
        <w:kinsoku/>
        <w:wordWrap/>
        <w:overflowPunct/>
        <w:topLinePunct w:val="0"/>
        <w:bidi w:val="0"/>
        <w:adjustRightInd w:val="0"/>
        <w:snapToGrid w:val="0"/>
        <w:spacing w:line="353" w:lineRule="auto"/>
        <w:ind w:left="0" w:right="0"/>
        <w:jc w:val="left"/>
        <w:textAlignment w:val="auto"/>
        <w:outlineLvl w:val="1"/>
        <w:rPr>
          <w:rFonts w:hint="default" w:ascii="Times New Roman" w:hAnsi="Times New Roman" w:eastAsia="黑体" w:cs="Times New Roman"/>
          <w:sz w:val="44"/>
          <w:szCs w:val="44"/>
          <w:lang w:val="en-US" w:eastAsia="zh-CN"/>
        </w:rPr>
      </w:pPr>
      <w:bookmarkStart w:id="83" w:name="_Toc17531"/>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bookmarkEnd w:id="83"/>
    </w:p>
    <w:p>
      <w:pPr>
        <w:pageBreakBefore w:val="0"/>
        <w:widowControl/>
        <w:kinsoku/>
        <w:wordWrap/>
        <w:overflowPunct/>
        <w:topLinePunct w:val="0"/>
        <w:bidi w:val="0"/>
        <w:adjustRightInd w:val="0"/>
        <w:snapToGrid w:val="0"/>
        <w:spacing w:line="353" w:lineRule="auto"/>
        <w:ind w:left="0" w:right="0"/>
        <w:contextualSpacing/>
        <w:jc w:val="center"/>
        <w:textAlignment w:val="auto"/>
        <w:rPr>
          <w:rFonts w:hint="default" w:ascii="Times New Roman" w:hAnsi="Times New Roman" w:cs="Times New Roman"/>
          <w:b/>
          <w:sz w:val="32"/>
          <w:szCs w:val="32"/>
          <w:shd w:val="clear" w:color="auto" w:fill="FFFFFF"/>
        </w:rPr>
      </w:pPr>
      <w:r>
        <w:rPr>
          <w:rFonts w:hint="default" w:ascii="Times New Roman" w:hAnsi="Times New Roman" w:cs="Times New Roman"/>
          <w:b/>
          <w:sz w:val="32"/>
          <w:szCs w:val="32"/>
          <w:shd w:val="clear" w:color="auto" w:fill="FFFFFF"/>
        </w:rPr>
        <w:t>202</w:t>
      </w:r>
      <w:r>
        <w:rPr>
          <w:rFonts w:hint="eastAsia" w:cs="Times New Roman"/>
          <w:b/>
          <w:sz w:val="32"/>
          <w:szCs w:val="32"/>
          <w:shd w:val="clear" w:color="auto" w:fill="FFFFFF"/>
          <w:lang w:val="en-US" w:eastAsia="zh-CN"/>
        </w:rPr>
        <w:t>2</w:t>
      </w:r>
      <w:r>
        <w:rPr>
          <w:rFonts w:hint="default" w:ascii="Times New Roman" w:hAnsi="Times New Roman" w:cs="Times New Roman"/>
          <w:b/>
          <w:sz w:val="32"/>
          <w:szCs w:val="32"/>
          <w:shd w:val="clear" w:color="auto" w:fill="FFFFFF"/>
        </w:rPr>
        <w:t>年区级部门整体绩效评价报告</w:t>
      </w:r>
    </w:p>
    <w:p>
      <w:pPr>
        <w:pageBreakBefore w:val="0"/>
        <w:widowControl/>
        <w:kinsoku/>
        <w:wordWrap/>
        <w:overflowPunct/>
        <w:topLinePunct w:val="0"/>
        <w:bidi w:val="0"/>
        <w:adjustRightInd w:val="0"/>
        <w:snapToGrid w:val="0"/>
        <w:spacing w:line="353" w:lineRule="auto"/>
        <w:ind w:left="0" w:right="0"/>
        <w:contextualSpacing/>
        <w:jc w:val="center"/>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（报告范围包括机关和下属单位）</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p>
    <w:p>
      <w:pPr>
        <w:pageBreakBefore w:val="0"/>
        <w:widowControl/>
        <w:numPr>
          <w:ilvl w:val="0"/>
          <w:numId w:val="4"/>
        </w:numPr>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hint="default" w:ascii="Times New Roman" w:hAnsi="Times New Roman" w:eastAsia="黑体" w:cs="Times New Roman"/>
          <w:kern w:val="0"/>
          <w:sz w:val="32"/>
          <w:szCs w:val="32"/>
          <w:shd w:val="clear" w:color="auto" w:fill="FFFFFF"/>
          <w:lang w:val="zh-CN"/>
        </w:rPr>
      </w:pPr>
      <w:bookmarkStart w:id="84" w:name="_Toc9074"/>
      <w:r>
        <w:rPr>
          <w:rFonts w:hint="default" w:ascii="Times New Roman" w:hAnsi="Times New Roman" w:eastAsia="黑体" w:cs="Times New Roman"/>
          <w:kern w:val="0"/>
          <w:sz w:val="32"/>
          <w:szCs w:val="32"/>
          <w:shd w:val="clear" w:color="auto" w:fill="FFFFFF"/>
          <w:lang w:val="zh-CN"/>
        </w:rPr>
        <w:t>部门（单位）基本情况</w:t>
      </w:r>
      <w:bookmarkEnd w:id="84"/>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（一）机构组成。</w:t>
      </w:r>
    </w:p>
    <w:p>
      <w:pPr>
        <w:pageBreakBefore w:val="0"/>
        <w:widowControl/>
        <w:kinsoku/>
        <w:wordWrap/>
        <w:overflowPunct/>
        <w:topLinePunct w:val="0"/>
        <w:bidi w:val="0"/>
        <w:adjustRightInd w:val="0"/>
        <w:snapToGrid w:val="0"/>
        <w:spacing w:line="353" w:lineRule="auto"/>
        <w:ind w:firstLine="640" w:firstLineChars="200"/>
        <w:contextualSpacing/>
        <w:jc w:val="left"/>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中共攀枝花市西区区委政法委员会</w:t>
      </w:r>
      <w:r>
        <w:rPr>
          <w:rFonts w:hint="default" w:ascii="Times New Roman" w:hAnsi="Times New Roman" w:eastAsia="仿宋_GB2312" w:cs="Times New Roman"/>
          <w:kern w:val="2"/>
          <w:sz w:val="32"/>
          <w:szCs w:val="32"/>
          <w:lang w:val="zh-CN" w:eastAsia="zh-CN" w:bidi="ar-SA"/>
        </w:rPr>
        <w:t>内设机构</w:t>
      </w:r>
      <w:r>
        <w:rPr>
          <w:rFonts w:hint="default" w:ascii="Times New Roman" w:hAnsi="Times New Roman" w:eastAsia="仿宋_GB2312" w:cs="Times New Roman"/>
          <w:kern w:val="2"/>
          <w:sz w:val="32"/>
          <w:szCs w:val="32"/>
          <w:lang w:val="en-US" w:eastAsia="zh-CN" w:bidi="ar-SA"/>
        </w:rPr>
        <w:t>7个，分别是：办公室、政策研究室、维稳指导室、国家安全人民防线建设办公室、综治督导室、执法监督室、政治部。</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（二）机构职能和人员概况。</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kern w:val="2"/>
          <w:sz w:val="32"/>
          <w:szCs w:val="32"/>
          <w:lang w:val="en-US" w:eastAsia="zh-CN" w:bidi="ar-SA"/>
        </w:rPr>
        <w:t>1.中共攀枝花市西区区委政法委员会主要职能：深入贯彻党的路线方针政策和决策部署，统一政法各部门思想和行动，坚持党对政法工作的绝对领导，坚决维护党中央权威和集中统一领导</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深入贯彻党中央决定和省委、市委、区委决策，对政法工作研究提出全局性部署，推进平安西区、法治西区建设，加强过硬队伍建设，深化智能化建设，坚决维护国家政治安全、确保社会大局稳定、促进社会公平正义、保障人民安居乐业。了解掌握和分析研判政法工作情况动态，分析全区社会稳定形势，创新完善多部门参与的综治维稳工作机制，构建矛盾纠纷多元化解体系和机制，协调推动预防、化解影响稳定的社会矛盾和风险，协调应对和处置重大突发事件，统筹推动全区反分裂斗争和维护稳定工作</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加强对政法工作的督查，</w:t>
      </w:r>
      <w:r>
        <w:rPr>
          <w:rFonts w:hint="default" w:ascii="Times New Roman" w:hAnsi="Times New Roman" w:eastAsia="仿宋" w:cs="Times New Roman"/>
          <w:color w:val="000000"/>
          <w:sz w:val="32"/>
          <w:szCs w:val="32"/>
          <w:lang w:val="en-US" w:eastAsia="zh-CN"/>
        </w:rPr>
        <w:t>统筹协调维护政治安全、社会治安综合治理、维护社会稳定、反邪教有关法律法规政策的实施工作；指导全区政法系统网络安全和智能化建设工作。组织开展政法领域的调查研究，研究拟订全区政法工作的政策措施，及时向区委提出建议。掌握分析政法舆情动态，指导协调政法部门媒体网络宣传工作，指导政法部门做好涉及政法工作的重大宣传和舆论引导工作。</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监督和支持政法各部门依法行使职权，指导和协调政法各部门密切配合，研究和协调重大、疑难案件，推进严格执法、公正司法。组织研究政法改革中带有方向性、倾向性和普遍性的重大问题，深化政法改革。指导推动政法系统党的建设和政法队伍建设，协助区级有关职能部门管理监督政法领导干部，代管攀枝花市西区法学会</w:t>
      </w:r>
      <w:r>
        <w:rPr>
          <w:rFonts w:hint="default" w:ascii="Times New Roman" w:hAnsi="Times New Roman" w:eastAsia="仿宋" w:cs="Times New Roman"/>
          <w:color w:val="000000"/>
          <w:sz w:val="32"/>
          <w:szCs w:val="32"/>
        </w:rPr>
        <w:t>。</w:t>
      </w:r>
    </w:p>
    <w:p>
      <w:pPr>
        <w:pStyle w:val="6"/>
        <w:pageBreakBefore w:val="0"/>
        <w:kinsoku/>
        <w:wordWrap/>
        <w:overflowPunct/>
        <w:topLinePunct w:val="0"/>
        <w:bidi w:val="0"/>
        <w:adjustRightInd w:val="0"/>
        <w:snapToGrid w:val="0"/>
        <w:spacing w:beforeLines="0" w:line="353" w:lineRule="auto"/>
        <w:ind w:left="0" w:right="0"/>
        <w:textAlignment w:val="auto"/>
        <w:rPr>
          <w:rFonts w:hint="default" w:ascii="Times New Roman" w:hAnsi="Times New Roman" w:eastAsia="仿宋" w:cs="Times New Roman"/>
          <w:color w:val="000000"/>
          <w:kern w:val="2"/>
          <w:sz w:val="32"/>
          <w:szCs w:val="32"/>
          <w:lang w:val="zh-CN" w:eastAsia="zh-CN" w:bidi="ar-SA"/>
        </w:rPr>
      </w:pPr>
      <w:r>
        <w:rPr>
          <w:rFonts w:hint="default" w:ascii="Times New Roman" w:hAnsi="Times New Roman" w:cs="Times New Roman"/>
          <w:lang w:val="zh-CN"/>
        </w:rPr>
        <w:t xml:space="preserve">    </w:t>
      </w:r>
      <w:r>
        <w:rPr>
          <w:rFonts w:hint="default" w:ascii="Times New Roman" w:hAnsi="Times New Roman" w:cs="Times New Roman"/>
          <w:sz w:val="32"/>
          <w:szCs w:val="32"/>
          <w:lang w:val="zh-CN"/>
        </w:rPr>
        <w:t>2.</w:t>
      </w:r>
      <w:r>
        <w:rPr>
          <w:rFonts w:hint="default" w:ascii="Times New Roman" w:hAnsi="Times New Roman" w:eastAsia="仿宋" w:cs="Times New Roman"/>
          <w:color w:val="000000"/>
          <w:kern w:val="2"/>
          <w:sz w:val="32"/>
          <w:szCs w:val="32"/>
          <w:lang w:val="en-US" w:eastAsia="zh-CN" w:bidi="ar-SA"/>
        </w:rPr>
        <w:t>中共攀枝花市西区区委政法委员共有编制23名，其中行政编制5名、事业编制15名、临聘编制3名，实有人员2</w:t>
      </w:r>
      <w:r>
        <w:rPr>
          <w:rFonts w:hint="eastAsia" w:ascii="Times New Roman" w:hAnsi="Times New Roman" w:eastAsia="仿宋" w:cs="Times New Roman"/>
          <w:color w:val="000000"/>
          <w:kern w:val="2"/>
          <w:sz w:val="32"/>
          <w:szCs w:val="32"/>
          <w:lang w:val="en-US" w:eastAsia="zh-CN" w:bidi="ar-SA"/>
        </w:rPr>
        <w:t>3</w:t>
      </w:r>
      <w:r>
        <w:rPr>
          <w:rFonts w:hint="default" w:ascii="Times New Roman" w:hAnsi="Times New Roman" w:eastAsia="仿宋" w:cs="Times New Roman"/>
          <w:color w:val="000000"/>
          <w:kern w:val="2"/>
          <w:sz w:val="32"/>
          <w:szCs w:val="32"/>
          <w:lang w:val="en-US" w:eastAsia="zh-CN" w:bidi="ar-SA"/>
        </w:rPr>
        <w:t>人，其中行政人员</w:t>
      </w:r>
      <w:r>
        <w:rPr>
          <w:rFonts w:hint="eastAsia" w:ascii="Times New Roman" w:hAnsi="Times New Roman" w:eastAsia="仿宋" w:cs="Times New Roman"/>
          <w:color w:val="000000"/>
          <w:kern w:val="2"/>
          <w:sz w:val="32"/>
          <w:szCs w:val="32"/>
          <w:lang w:val="en-US" w:eastAsia="zh-CN" w:bidi="ar-SA"/>
        </w:rPr>
        <w:t>6</w:t>
      </w:r>
      <w:r>
        <w:rPr>
          <w:rFonts w:hint="default" w:ascii="Times New Roman" w:hAnsi="Times New Roman" w:eastAsia="仿宋" w:cs="Times New Roman"/>
          <w:color w:val="000000"/>
          <w:kern w:val="2"/>
          <w:sz w:val="32"/>
          <w:szCs w:val="32"/>
          <w:lang w:val="en-US" w:eastAsia="zh-CN" w:bidi="ar-SA"/>
        </w:rPr>
        <w:t>人（机关工勤1人），事业人员14人，聘用人员3人。</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（三）年度主要工作任务。</w:t>
      </w:r>
    </w:p>
    <w:p>
      <w:pPr>
        <w:pageBreakBefore w:val="0"/>
        <w:kinsoku/>
        <w:wordWrap/>
        <w:overflowPunct/>
        <w:topLinePunct w:val="0"/>
        <w:bidi w:val="0"/>
        <w:spacing w:line="353" w:lineRule="auto"/>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kern w:val="2"/>
          <w:sz w:val="32"/>
          <w:szCs w:val="32"/>
          <w:lang w:val="en-US" w:eastAsia="zh-CN" w:bidi="ar-SA"/>
        </w:rPr>
        <w:t xml:space="preserve">    1.旗帜鲜明讲政治，</w:t>
      </w:r>
      <w:r>
        <w:rPr>
          <w:rFonts w:hint="default" w:ascii="Times New Roman" w:hAnsi="Times New Roman" w:eastAsia="方正仿宋_GBK" w:cs="Times New Roman"/>
          <w:b w:val="0"/>
          <w:bCs/>
          <w:sz w:val="32"/>
          <w:szCs w:val="32"/>
          <w:lang w:val="en-US" w:eastAsia="zh-CN"/>
        </w:rPr>
        <w:t>擦亮</w:t>
      </w:r>
      <w:r>
        <w:rPr>
          <w:rFonts w:hint="default" w:ascii="Times New Roman" w:hAnsi="Times New Roman" w:eastAsia="方正仿宋_GBK" w:cs="Times New Roman"/>
          <w:b w:val="0"/>
          <w:bCs/>
          <w:kern w:val="2"/>
          <w:sz w:val="32"/>
          <w:szCs w:val="32"/>
          <w:lang w:val="en-US" w:eastAsia="zh-CN" w:bidi="ar-SA"/>
        </w:rPr>
        <w:t>政法姓党“底色”。</w:t>
      </w:r>
      <w:r>
        <w:rPr>
          <w:rFonts w:hint="default" w:ascii="Times New Roman" w:hAnsi="Times New Roman" w:eastAsia="方正仿宋_GBK" w:cs="Times New Roman"/>
          <w:b w:val="0"/>
          <w:bCs/>
          <w:color w:val="auto"/>
          <w:kern w:val="2"/>
          <w:sz w:val="32"/>
          <w:szCs w:val="32"/>
          <w:lang w:val="en-US" w:eastAsia="zh-CN" w:bidi="ar-SA"/>
        </w:rPr>
        <w:t>一是</w:t>
      </w:r>
      <w:r>
        <w:rPr>
          <w:rFonts w:hint="default" w:ascii="Times New Roman" w:hAnsi="Times New Roman" w:eastAsia="方正仿宋_GBK" w:cs="Times New Roman"/>
          <w:b w:val="0"/>
          <w:bCs/>
          <w:sz w:val="32"/>
          <w:szCs w:val="32"/>
          <w:lang w:eastAsia="zh-CN"/>
        </w:rPr>
        <w:t>强化政治引领添动力</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二是加强统筹谋划优环境。三是围绕中心工作护发展</w:t>
      </w:r>
      <w:r>
        <w:rPr>
          <w:rFonts w:hint="default" w:ascii="Times New Roman" w:hAnsi="Times New Roman" w:eastAsia="方正仿宋_GBK" w:cs="Times New Roman"/>
          <w:b w:val="0"/>
          <w:bCs/>
          <w:sz w:val="32"/>
          <w:szCs w:val="32"/>
        </w:rPr>
        <w:t>。</w:t>
      </w:r>
    </w:p>
    <w:p>
      <w:pPr>
        <w:pageBreakBefore w:val="0"/>
        <w:kinsoku/>
        <w:wordWrap/>
        <w:overflowPunct/>
        <w:topLinePunct w:val="0"/>
        <w:bidi w:val="0"/>
        <w:spacing w:line="353" w:lineRule="auto"/>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sz w:val="32"/>
          <w:szCs w:val="32"/>
          <w:lang w:val="en-US" w:eastAsia="zh-CN"/>
        </w:rPr>
        <w:t xml:space="preserve">    2.全力以赴防风险，增添社会稳定“亮色”。</w:t>
      </w:r>
      <w:r>
        <w:rPr>
          <w:rFonts w:hint="default" w:ascii="Times New Roman" w:hAnsi="Times New Roman" w:eastAsia="方正仿宋_GBK" w:cs="Times New Roman"/>
          <w:b w:val="0"/>
          <w:bCs/>
          <w:color w:val="auto"/>
          <w:sz w:val="32"/>
          <w:szCs w:val="32"/>
          <w:lang w:eastAsia="zh-CN"/>
        </w:rPr>
        <w:t>一是打好了政治安全防控“整体仗”。二是打好了维护稳定“攻坚仗”。</w:t>
      </w:r>
      <w:r>
        <w:rPr>
          <w:rFonts w:hint="default" w:ascii="Times New Roman" w:hAnsi="Times New Roman" w:eastAsia="方正仿宋_GBK" w:cs="Times New Roman"/>
          <w:b w:val="0"/>
          <w:bCs/>
          <w:color w:val="auto"/>
          <w:kern w:val="2"/>
          <w:sz w:val="32"/>
          <w:szCs w:val="32"/>
          <w:lang w:eastAsia="zh-CN"/>
        </w:rPr>
        <w:t>三</w:t>
      </w:r>
      <w:r>
        <w:rPr>
          <w:rFonts w:hint="default" w:ascii="Times New Roman" w:hAnsi="Times New Roman" w:eastAsia="方正仿宋_GBK" w:cs="Times New Roman"/>
          <w:b w:val="0"/>
          <w:bCs/>
          <w:color w:val="auto"/>
          <w:sz w:val="32"/>
          <w:szCs w:val="32"/>
          <w:lang w:eastAsia="zh-CN"/>
        </w:rPr>
        <w:t>是打好了基层管控</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color w:val="auto"/>
          <w:sz w:val="32"/>
          <w:szCs w:val="32"/>
          <w:lang w:eastAsia="zh-CN"/>
        </w:rPr>
        <w:t>处置仗</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color w:val="auto"/>
          <w:sz w:val="32"/>
          <w:szCs w:val="32"/>
          <w:lang w:eastAsia="zh-CN"/>
        </w:rPr>
        <w:t>。</w:t>
      </w:r>
    </w:p>
    <w:p>
      <w:pPr>
        <w:pageBreakBefore w:val="0"/>
        <w:kinsoku/>
        <w:wordWrap/>
        <w:overflowPunct/>
        <w:topLinePunct w:val="0"/>
        <w:bidi w:val="0"/>
        <w:spacing w:line="353" w:lineRule="auto"/>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    3.守正创新保安全，彰显平安西区建设“特色”。</w:t>
      </w:r>
      <w:r>
        <w:rPr>
          <w:rFonts w:hint="default" w:ascii="Times New Roman" w:hAnsi="Times New Roman" w:eastAsia="方正仿宋_GBK" w:cs="Times New Roman"/>
          <w:b w:val="0"/>
          <w:bCs/>
          <w:color w:val="auto"/>
          <w:kern w:val="2"/>
          <w:sz w:val="32"/>
          <w:szCs w:val="32"/>
          <w:lang w:val="en-US" w:eastAsia="zh-CN" w:bidi="ar-SA"/>
        </w:rPr>
        <w:t>一</w:t>
      </w:r>
      <w:r>
        <w:rPr>
          <w:rFonts w:hint="default" w:ascii="Times New Roman" w:hAnsi="Times New Roman" w:eastAsia="方正仿宋_GBK" w:cs="Times New Roman"/>
          <w:b w:val="0"/>
          <w:bCs/>
          <w:sz w:val="32"/>
          <w:szCs w:val="32"/>
          <w:lang w:val="en-US" w:eastAsia="zh-CN"/>
        </w:rPr>
        <w:t>是社会治理提质增效。二是矛盾纠纷化解提档升级。三是扫黑除恶斗争高效推进。</w:t>
      </w:r>
    </w:p>
    <w:p>
      <w:pPr>
        <w:pageBreakBefore w:val="0"/>
        <w:kinsoku/>
        <w:wordWrap/>
        <w:overflowPunct/>
        <w:topLinePunct w:val="0"/>
        <w:bidi w:val="0"/>
        <w:spacing w:line="353" w:lineRule="auto"/>
        <w:textAlignment w:val="auto"/>
        <w:rPr>
          <w:rFonts w:hint="default" w:ascii="Times New Roman" w:hAnsi="Times New Roman" w:eastAsia="仿宋" w:cs="Times New Roman"/>
          <w:color w:val="000000"/>
          <w:sz w:val="32"/>
          <w:szCs w:val="32"/>
        </w:rPr>
      </w:pPr>
      <w:r>
        <w:rPr>
          <w:rFonts w:hint="default" w:ascii="Times New Roman" w:hAnsi="Times New Roman" w:eastAsia="方正仿宋_GBK" w:cs="Times New Roman"/>
          <w:b w:val="0"/>
          <w:bCs/>
          <w:sz w:val="32"/>
          <w:szCs w:val="32"/>
          <w:lang w:val="en-US" w:eastAsia="zh-CN"/>
        </w:rPr>
        <w:t xml:space="preserve">    4.</w:t>
      </w:r>
      <w:r>
        <w:rPr>
          <w:rFonts w:hint="default" w:ascii="Times New Roman" w:hAnsi="Times New Roman" w:eastAsia="方正仿宋_GBK" w:cs="Times New Roman"/>
          <w:b w:val="0"/>
          <w:bCs/>
          <w:sz w:val="32"/>
          <w:szCs w:val="32"/>
          <w:lang w:val="zh-CN" w:eastAsia="zh-CN"/>
        </w:rPr>
        <w:t>从严从实建铁军，永葆政法队伍忠诚“本色”</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color w:val="auto"/>
          <w:kern w:val="2"/>
          <w:sz w:val="32"/>
          <w:szCs w:val="32"/>
          <w:lang w:val="en-US" w:eastAsia="zh-CN" w:bidi="ar-SA"/>
        </w:rPr>
        <w:t>一是强化政治建警，队伍凝聚力得到提升。二是强化</w:t>
      </w:r>
      <w:r>
        <w:rPr>
          <w:rFonts w:hint="default" w:ascii="Times New Roman" w:hAnsi="Times New Roman" w:eastAsia="方正仿宋_GBK" w:cs="Times New Roman"/>
          <w:b w:val="0"/>
          <w:bCs/>
          <w:sz w:val="32"/>
          <w:szCs w:val="32"/>
          <w:lang w:val="en-US" w:eastAsia="zh-CN"/>
        </w:rPr>
        <w:t>能力强警，</w:t>
      </w:r>
      <w:r>
        <w:rPr>
          <w:rFonts w:hint="default" w:ascii="Times New Roman" w:hAnsi="Times New Roman" w:eastAsia="方正仿宋_GBK" w:cs="Times New Roman"/>
          <w:b w:val="0"/>
          <w:bCs/>
          <w:color w:val="auto"/>
          <w:kern w:val="0"/>
          <w:sz w:val="32"/>
          <w:szCs w:val="32"/>
          <w:lang w:val="en-US" w:eastAsia="zh-CN" w:bidi="ar"/>
        </w:rPr>
        <w:t>队伍战斗力</w:t>
      </w:r>
      <w:r>
        <w:rPr>
          <w:rFonts w:hint="default" w:ascii="Times New Roman" w:hAnsi="Times New Roman" w:eastAsia="方正仿宋_GBK" w:cs="Times New Roman"/>
          <w:b w:val="0"/>
          <w:bCs/>
          <w:color w:val="auto"/>
          <w:kern w:val="2"/>
          <w:sz w:val="32"/>
          <w:szCs w:val="32"/>
          <w:lang w:val="en-US" w:eastAsia="zh-CN" w:bidi="ar-SA"/>
        </w:rPr>
        <w:t>得到提升</w:t>
      </w:r>
      <w:r>
        <w:rPr>
          <w:rFonts w:hint="default" w:ascii="Times New Roman" w:hAnsi="Times New Roman" w:eastAsia="方正仿宋_GBK" w:cs="Times New Roman"/>
          <w:b w:val="0"/>
          <w:bCs/>
          <w:sz w:val="32"/>
          <w:szCs w:val="32"/>
          <w:lang w:val="en-US" w:eastAsia="zh-CN"/>
        </w:rPr>
        <w:t>。三是</w:t>
      </w:r>
      <w:r>
        <w:rPr>
          <w:rFonts w:hint="default" w:ascii="Times New Roman" w:hAnsi="Times New Roman" w:eastAsia="方正仿宋_GBK" w:cs="Times New Roman"/>
          <w:b w:val="0"/>
          <w:bCs/>
          <w:color w:val="auto"/>
          <w:kern w:val="2"/>
          <w:sz w:val="32"/>
          <w:szCs w:val="32"/>
          <w:lang w:val="en-US" w:eastAsia="zh-CN" w:bidi="ar-SA"/>
        </w:rPr>
        <w:t>强化</w:t>
      </w:r>
      <w:r>
        <w:rPr>
          <w:rFonts w:hint="default" w:ascii="Times New Roman" w:hAnsi="Times New Roman" w:eastAsia="方正仿宋_GBK" w:cs="Times New Roman"/>
          <w:b w:val="0"/>
          <w:bCs/>
          <w:sz w:val="32"/>
          <w:szCs w:val="32"/>
          <w:lang w:val="en-US" w:eastAsia="zh-CN"/>
        </w:rPr>
        <w:t>从严治警，</w:t>
      </w:r>
      <w:r>
        <w:rPr>
          <w:rFonts w:hint="default" w:ascii="Times New Roman" w:hAnsi="Times New Roman" w:eastAsia="方正仿宋_GBK" w:cs="Times New Roman"/>
          <w:b w:val="0"/>
          <w:bCs/>
          <w:color w:val="auto"/>
          <w:sz w:val="32"/>
          <w:szCs w:val="32"/>
          <w:lang w:eastAsia="zh-CN"/>
        </w:rPr>
        <w:t>队伍约束力</w:t>
      </w:r>
      <w:r>
        <w:rPr>
          <w:rFonts w:hint="default" w:ascii="Times New Roman" w:hAnsi="Times New Roman" w:eastAsia="方正仿宋_GBK" w:cs="Times New Roman"/>
          <w:b w:val="0"/>
          <w:bCs/>
          <w:color w:val="auto"/>
          <w:kern w:val="2"/>
          <w:sz w:val="32"/>
          <w:szCs w:val="32"/>
          <w:lang w:val="en-US" w:eastAsia="zh-CN" w:bidi="ar-SA"/>
        </w:rPr>
        <w:t>得到提升</w:t>
      </w:r>
      <w:r>
        <w:rPr>
          <w:rFonts w:hint="default" w:ascii="Times New Roman" w:hAnsi="Times New Roman" w:eastAsia="方正仿宋_GBK" w:cs="Times New Roman"/>
          <w:b w:val="0"/>
          <w:bCs/>
          <w:sz w:val="32"/>
          <w:szCs w:val="32"/>
          <w:lang w:val="en-US" w:eastAsia="zh-CN"/>
        </w:rPr>
        <w:t>。四是</w:t>
      </w:r>
      <w:r>
        <w:rPr>
          <w:rFonts w:hint="default" w:ascii="Times New Roman" w:hAnsi="Times New Roman" w:eastAsia="方正仿宋_GBK" w:cs="Times New Roman"/>
          <w:b w:val="0"/>
          <w:bCs/>
          <w:color w:val="auto"/>
          <w:kern w:val="2"/>
          <w:sz w:val="32"/>
          <w:szCs w:val="32"/>
          <w:lang w:val="en-US" w:eastAsia="zh-CN" w:bidi="ar-SA"/>
        </w:rPr>
        <w:t>强化</w:t>
      </w:r>
      <w:r>
        <w:rPr>
          <w:rFonts w:hint="default" w:ascii="Times New Roman" w:hAnsi="Times New Roman" w:eastAsia="方正仿宋_GBK" w:cs="Times New Roman"/>
          <w:b w:val="0"/>
          <w:bCs/>
          <w:sz w:val="32"/>
          <w:szCs w:val="32"/>
          <w:lang w:val="en-US" w:eastAsia="zh-CN"/>
        </w:rPr>
        <w:t>从优待警</w:t>
      </w:r>
      <w:r>
        <w:rPr>
          <w:rFonts w:hint="default" w:ascii="Times New Roman" w:hAnsi="Times New Roman" w:eastAsia="方正仿宋_GBK" w:cs="Times New Roman"/>
          <w:b w:val="0"/>
          <w:bCs/>
          <w:color w:val="auto"/>
          <w:sz w:val="32"/>
          <w:szCs w:val="32"/>
          <w:lang w:eastAsia="zh-CN"/>
        </w:rPr>
        <w:t>，队伍向心力</w:t>
      </w:r>
      <w:r>
        <w:rPr>
          <w:rFonts w:hint="default" w:ascii="Times New Roman" w:hAnsi="Times New Roman" w:eastAsia="方正仿宋_GBK" w:cs="Times New Roman"/>
          <w:b w:val="0"/>
          <w:bCs/>
          <w:color w:val="auto"/>
          <w:kern w:val="2"/>
          <w:sz w:val="32"/>
          <w:szCs w:val="32"/>
          <w:lang w:val="en-US" w:eastAsia="zh-CN" w:bidi="ar-SA"/>
        </w:rPr>
        <w:t>得到提升</w:t>
      </w:r>
      <w:r>
        <w:rPr>
          <w:rFonts w:hint="default" w:ascii="Times New Roman" w:hAnsi="Times New Roman" w:eastAsia="方正仿宋_GBK" w:cs="Times New Roman"/>
          <w:b w:val="0"/>
          <w:bCs/>
          <w:sz w:val="32"/>
          <w:szCs w:val="32"/>
          <w:lang w:val="en-US" w:eastAsia="zh-CN"/>
        </w:rPr>
        <w:t>。</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（四）部门整体支出绩效目标。</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cs="Times New Roman"/>
          <w:lang w:val="zh-CN"/>
        </w:rPr>
      </w:pPr>
      <w:r>
        <w:rPr>
          <w:rFonts w:hint="default" w:ascii="Times New Roman" w:hAnsi="Times New Roman" w:eastAsia="仿宋" w:cs="Times New Roman"/>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hint="default" w:ascii="Times New Roman" w:hAnsi="Times New Roman" w:eastAsia="黑体" w:cs="Times New Roman"/>
          <w:kern w:val="0"/>
          <w:sz w:val="32"/>
          <w:szCs w:val="32"/>
          <w:shd w:val="clear" w:color="auto" w:fill="FFFFFF"/>
        </w:rPr>
      </w:pPr>
      <w:bookmarkStart w:id="85" w:name="_Toc7015"/>
      <w:r>
        <w:rPr>
          <w:rFonts w:hint="default" w:ascii="Times New Roman" w:hAnsi="Times New Roman" w:eastAsia="黑体" w:cs="Times New Roman"/>
          <w:kern w:val="0"/>
          <w:sz w:val="32"/>
          <w:szCs w:val="32"/>
          <w:shd w:val="clear" w:color="auto" w:fill="FFFFFF"/>
        </w:rPr>
        <w:t>二、部门资金收支情况</w:t>
      </w:r>
      <w:bookmarkEnd w:id="85"/>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（一）部门总体收支情况。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1.部门总体收入情况</w:t>
      </w:r>
    </w:p>
    <w:p>
      <w:pPr>
        <w:pStyle w:val="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color w:val="000000"/>
          <w:spacing w:val="0"/>
        </w:rPr>
      </w:pPr>
      <w:r>
        <w:rPr>
          <w:rFonts w:hint="default" w:ascii="Times New Roman" w:hAnsi="Times New Roman" w:eastAsia="仿宋" w:cs="Times New Roman"/>
          <w:color w:val="000000"/>
          <w:spacing w:val="0"/>
        </w:rPr>
        <w:t>2022年度，中共攀枝花市西区区委政法委员会年初结转资金</w:t>
      </w:r>
      <w:r>
        <w:rPr>
          <w:rFonts w:hint="default" w:ascii="Times New Roman" w:hAnsi="Times New Roman" w:eastAsia="仿宋" w:cs="Times New Roman"/>
          <w:color w:val="000000"/>
          <w:spacing w:val="0"/>
          <w:lang w:val="en-US" w:eastAsia="zh-CN"/>
        </w:rPr>
        <w:t>73.94</w:t>
      </w:r>
      <w:r>
        <w:rPr>
          <w:rFonts w:hint="default" w:ascii="Times New Roman" w:hAnsi="Times New Roman" w:eastAsia="仿宋" w:cs="Times New Roman"/>
          <w:color w:val="000000"/>
          <w:spacing w:val="0"/>
        </w:rPr>
        <w:t>万元。当年财政拨款收入</w:t>
      </w:r>
      <w:r>
        <w:rPr>
          <w:rFonts w:hint="default" w:ascii="Times New Roman" w:hAnsi="Times New Roman" w:eastAsia="仿宋" w:cs="Times New Roman"/>
          <w:color w:val="000000"/>
          <w:spacing w:val="0"/>
          <w:lang w:val="en-US" w:eastAsia="zh-CN"/>
        </w:rPr>
        <w:t>416.85</w:t>
      </w:r>
      <w:r>
        <w:rPr>
          <w:rFonts w:hint="default" w:ascii="Times New Roman" w:hAnsi="Times New Roman" w:eastAsia="仿宋" w:cs="Times New Roman"/>
          <w:color w:val="000000"/>
          <w:spacing w:val="0"/>
        </w:rPr>
        <w:t>万元 。</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2.部门总体支出情况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2022年度，中共攀枝花市西区区委政法委员会财政资金支出</w:t>
      </w:r>
      <w:r>
        <w:rPr>
          <w:rFonts w:hint="default" w:ascii="Times New Roman" w:hAnsi="Times New Roman" w:eastAsia="仿宋" w:cs="Times New Roman"/>
          <w:color w:val="000000"/>
          <w:sz w:val="32"/>
          <w:szCs w:val="32"/>
          <w:lang w:val="en-US" w:eastAsia="zh-CN"/>
        </w:rPr>
        <w:t>490.79</w:t>
      </w:r>
      <w:r>
        <w:rPr>
          <w:rFonts w:hint="default" w:ascii="Times New Roman" w:hAnsi="Times New Roman" w:eastAsia="仿宋" w:cs="Times New Roman"/>
          <w:color w:val="000000"/>
          <w:sz w:val="32"/>
          <w:szCs w:val="32"/>
        </w:rPr>
        <w:t>万元，基本支出</w:t>
      </w:r>
      <w:r>
        <w:rPr>
          <w:rFonts w:hint="default" w:ascii="Times New Roman" w:hAnsi="Times New Roman" w:eastAsia="仿宋" w:cs="Times New Roman"/>
          <w:color w:val="000000"/>
          <w:sz w:val="32"/>
          <w:szCs w:val="32"/>
          <w:lang w:val="en-US" w:eastAsia="zh-CN"/>
        </w:rPr>
        <w:t>327.91</w:t>
      </w:r>
      <w:r>
        <w:rPr>
          <w:rFonts w:hint="default" w:ascii="Times New Roman" w:hAnsi="Times New Roman" w:eastAsia="仿宋" w:cs="Times New Roman"/>
          <w:color w:val="000000"/>
          <w:sz w:val="32"/>
          <w:szCs w:val="32"/>
        </w:rPr>
        <w:t>万元，项目支出</w:t>
      </w:r>
      <w:r>
        <w:rPr>
          <w:rFonts w:hint="default" w:ascii="Times New Roman" w:hAnsi="Times New Roman" w:eastAsia="仿宋" w:cs="Times New Roman"/>
          <w:color w:val="000000"/>
          <w:sz w:val="32"/>
          <w:szCs w:val="32"/>
          <w:lang w:val="en-US" w:eastAsia="zh-CN"/>
        </w:rPr>
        <w:t>162.88</w:t>
      </w:r>
      <w:r>
        <w:rPr>
          <w:rFonts w:hint="default" w:ascii="Times New Roman" w:hAnsi="Times New Roman" w:eastAsia="仿宋" w:cs="Times New Roman"/>
          <w:color w:val="000000"/>
          <w:sz w:val="32"/>
          <w:szCs w:val="32"/>
        </w:rPr>
        <w:t>万元。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3.部门总体结转结余情况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2022年年末无结转和结余。</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仿宋" w:cs="Times New Roman"/>
          <w:color w:val="000000"/>
          <w:sz w:val="32"/>
          <w:szCs w:val="32"/>
        </w:rPr>
      </w:pPr>
      <w:r>
        <w:rPr>
          <w:rFonts w:hint="default" w:ascii="Times New Roman" w:hAnsi="Times New Roman" w:eastAsia="楷体_GB2312" w:cs="Times New Roman"/>
          <w:b/>
          <w:bCs/>
          <w:kern w:val="0"/>
          <w:sz w:val="32"/>
          <w:szCs w:val="32"/>
          <w:shd w:val="clear" w:color="auto" w:fill="FFFFFF"/>
          <w:lang w:val="zh-CN"/>
        </w:rPr>
        <w:t>（二）部门财政拨款收支情况。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1.部门财政拨款收入情况</w:t>
      </w:r>
    </w:p>
    <w:p>
      <w:pPr>
        <w:pStyle w:val="9"/>
        <w:pageBreakBefore w:val="0"/>
        <w:tabs>
          <w:tab w:val="left" w:pos="5456"/>
        </w:tabs>
        <w:kinsoku/>
        <w:wordWrap/>
        <w:overflowPunct/>
        <w:topLinePunct w:val="0"/>
        <w:bidi w:val="0"/>
        <w:spacing w:line="353" w:lineRule="auto"/>
        <w:ind w:firstLine="640" w:firstLineChars="200"/>
        <w:jc w:val="left"/>
        <w:textAlignment w:val="auto"/>
        <w:rPr>
          <w:rFonts w:hint="default" w:ascii="Times New Roman" w:hAnsi="Times New Roman" w:eastAsia="仿宋_GB2312" w:cs="Times New Roman"/>
          <w:spacing w:val="0"/>
          <w:kern w:val="0"/>
          <w:sz w:val="32"/>
          <w:szCs w:val="32"/>
          <w:shd w:val="clear" w:color="auto" w:fill="FFFFFF"/>
          <w:lang w:val="zh-CN" w:eastAsia="zh-CN" w:bidi="ar-SA"/>
        </w:rPr>
      </w:pPr>
      <w:r>
        <w:rPr>
          <w:rFonts w:hint="default" w:ascii="Times New Roman" w:hAnsi="Times New Roman" w:eastAsia="仿宋_GB2312" w:cs="Times New Roman"/>
          <w:spacing w:val="0"/>
          <w:kern w:val="0"/>
          <w:sz w:val="32"/>
          <w:szCs w:val="32"/>
          <w:shd w:val="clear" w:color="auto" w:fill="FFFFFF"/>
          <w:lang w:val="en-US" w:eastAsia="zh-CN" w:bidi="ar-SA"/>
        </w:rPr>
        <w:t>中共攀枝花市西区区委政法委员会2022当年预算收入490.79万元，其中：一般公共预算拨款收入457.53万元，占总收入93.22%；政府性基金预算财政拨款支出33.26万元，占总收入6.78%。</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spacing w:val="0"/>
          <w:kern w:val="0"/>
          <w:sz w:val="32"/>
          <w:szCs w:val="32"/>
          <w:shd w:val="clear" w:color="auto" w:fill="FFFFFF"/>
          <w:lang w:val="en-US" w:eastAsia="zh-CN" w:bidi="ar-SA"/>
        </w:rPr>
      </w:pPr>
      <w:r>
        <w:rPr>
          <w:rFonts w:hint="default" w:ascii="Times New Roman" w:hAnsi="Times New Roman" w:eastAsia="仿宋_GB2312" w:cs="Times New Roman"/>
          <w:spacing w:val="0"/>
          <w:kern w:val="0"/>
          <w:sz w:val="32"/>
          <w:szCs w:val="32"/>
          <w:shd w:val="clear" w:color="auto" w:fill="FFFFFF"/>
          <w:lang w:val="en-US" w:eastAsia="zh-CN" w:bidi="ar-SA"/>
        </w:rPr>
        <w:t>2022年列入项目绩效管理的项目有6个，共计162.88万元，分别是：矛盾纠纷多元化解（大调解）专项经费25万元、社会治安防控专项工作经费6.5万元、扫黑除恶专项经费1.56万元、维稳工作经费34.79万元、平安建设专项经费55.67万元、雪亮工程及综治中心运维服务项目39.35万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spacing w:val="0"/>
          <w:kern w:val="0"/>
          <w:sz w:val="32"/>
          <w:szCs w:val="32"/>
          <w:shd w:val="clear" w:color="auto" w:fill="FFFFFF"/>
          <w:lang w:val="en-US" w:eastAsia="zh-CN" w:bidi="ar-SA"/>
        </w:rPr>
      </w:pPr>
      <w:r>
        <w:rPr>
          <w:rFonts w:hint="default" w:ascii="Times New Roman" w:hAnsi="Times New Roman" w:eastAsia="仿宋_GB2312" w:cs="Times New Roman"/>
          <w:spacing w:val="0"/>
          <w:kern w:val="0"/>
          <w:sz w:val="32"/>
          <w:szCs w:val="32"/>
          <w:shd w:val="clear" w:color="auto" w:fill="FFFFFF"/>
          <w:lang w:val="en-US" w:eastAsia="zh-CN" w:bidi="ar-SA"/>
        </w:rPr>
        <w:t>2.部门财政拨款支出情况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spacing w:val="0"/>
          <w:kern w:val="0"/>
          <w:sz w:val="32"/>
          <w:szCs w:val="32"/>
          <w:shd w:val="clear" w:color="auto" w:fill="FFFFFF"/>
          <w:lang w:val="en-US" w:eastAsia="zh-CN" w:bidi="ar-SA"/>
        </w:rPr>
      </w:pPr>
      <w:r>
        <w:rPr>
          <w:rFonts w:hint="default" w:ascii="Times New Roman" w:hAnsi="Times New Roman" w:eastAsia="仿宋_GB2312" w:cs="Times New Roman"/>
          <w:spacing w:val="0"/>
          <w:kern w:val="0"/>
          <w:sz w:val="32"/>
          <w:szCs w:val="32"/>
          <w:shd w:val="clear" w:color="auto" w:fill="FFFFFF"/>
          <w:lang w:val="en-US" w:eastAsia="zh-CN" w:bidi="ar-SA"/>
        </w:rPr>
        <w:t>中共攀枝花市西区区委政法委员2022年支出预算490.79万元。其中：基本支出327.91万元，占总支出66.81%；项目支出162.88万元，占总支出11.15%。</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spacing w:val="0"/>
          <w:kern w:val="0"/>
          <w:sz w:val="32"/>
          <w:szCs w:val="32"/>
          <w:shd w:val="clear" w:color="auto" w:fill="FFFFFF"/>
          <w:lang w:val="en-US" w:eastAsia="zh-CN" w:bidi="ar-SA"/>
        </w:rPr>
      </w:pPr>
      <w:r>
        <w:rPr>
          <w:rFonts w:hint="default" w:ascii="Times New Roman" w:hAnsi="Times New Roman" w:eastAsia="仿宋_GB2312" w:cs="Times New Roman"/>
          <w:spacing w:val="0"/>
          <w:kern w:val="0"/>
          <w:sz w:val="32"/>
          <w:szCs w:val="32"/>
          <w:shd w:val="clear" w:color="auto" w:fill="FFFFFF"/>
          <w:lang w:val="en-US" w:eastAsia="zh-CN" w:bidi="ar-SA"/>
        </w:rPr>
        <w:t>2022年度基本支出327.91万元，比年初预算减少6.35万元，增幅-1.9%，其中：人员经费支出308.77万元，比年初预算增加9.05万元，增幅3.02%，主要为在职人员社保增加导致；日常公用经费支出19.13万元，比年初预算减少15.41万元，增幅-44.61%，主要是2022年度厉行节约减少了不必要开支。</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spacing w:val="0"/>
          <w:kern w:val="0"/>
          <w:sz w:val="32"/>
          <w:szCs w:val="32"/>
          <w:shd w:val="clear" w:color="auto" w:fill="FFFFFF"/>
          <w:lang w:val="en-US" w:eastAsia="zh-CN" w:bidi="ar-SA"/>
        </w:rPr>
      </w:pPr>
      <w:r>
        <w:rPr>
          <w:rFonts w:hint="default" w:ascii="Times New Roman" w:hAnsi="Times New Roman" w:eastAsia="仿宋_GB2312" w:cs="Times New Roman"/>
          <w:spacing w:val="0"/>
          <w:kern w:val="0"/>
          <w:sz w:val="32"/>
          <w:szCs w:val="32"/>
          <w:shd w:val="clear" w:color="auto" w:fill="FFFFFF"/>
          <w:lang w:val="en-US" w:eastAsia="zh-CN" w:bidi="ar-SA"/>
        </w:rPr>
        <w:t>2022年项目支出决算数为162.88万元，比年初预算增加82.88万元。主要一是上年结转73.94万元，二是根据工作需要追加项目经费8.93万元。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spacing w:val="0"/>
          <w:kern w:val="0"/>
          <w:sz w:val="32"/>
          <w:szCs w:val="32"/>
          <w:shd w:val="clear" w:color="auto" w:fill="FFFFFF"/>
          <w:lang w:val="en-US" w:eastAsia="zh-CN" w:bidi="ar-SA"/>
        </w:rPr>
      </w:pPr>
      <w:r>
        <w:rPr>
          <w:rFonts w:hint="default" w:ascii="Times New Roman" w:hAnsi="Times New Roman" w:eastAsia="仿宋_GB2312" w:cs="Times New Roman"/>
          <w:spacing w:val="0"/>
          <w:kern w:val="0"/>
          <w:sz w:val="32"/>
          <w:szCs w:val="32"/>
          <w:shd w:val="clear" w:color="auto" w:fill="FFFFFF"/>
          <w:lang w:val="en-US" w:eastAsia="zh-CN" w:bidi="ar-SA"/>
        </w:rPr>
        <w:t>3.部门财政拨款结转结余情况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spacing w:val="0"/>
          <w:kern w:val="0"/>
          <w:sz w:val="32"/>
          <w:szCs w:val="32"/>
          <w:shd w:val="clear" w:color="auto" w:fill="FFFFFF"/>
          <w:lang w:val="en-US" w:eastAsia="zh-CN" w:bidi="ar-SA"/>
        </w:rPr>
      </w:pPr>
      <w:r>
        <w:rPr>
          <w:rFonts w:hint="default" w:ascii="Times New Roman" w:hAnsi="Times New Roman" w:eastAsia="仿宋_GB2312" w:cs="Times New Roman"/>
          <w:spacing w:val="0"/>
          <w:kern w:val="0"/>
          <w:sz w:val="32"/>
          <w:szCs w:val="32"/>
          <w:shd w:val="clear" w:color="auto" w:fill="FFFFFF"/>
          <w:lang w:val="en-US" w:eastAsia="zh-CN" w:bidi="ar-SA"/>
        </w:rPr>
        <w:t>年末结转和结余资金均为零，各预算项目资金结余率均为零。</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hint="default" w:ascii="Times New Roman" w:hAnsi="Times New Roman" w:eastAsia="黑体" w:cs="Times New Roman"/>
          <w:kern w:val="0"/>
          <w:sz w:val="32"/>
          <w:szCs w:val="32"/>
          <w:shd w:val="clear" w:color="auto" w:fill="FFFFFF"/>
        </w:rPr>
      </w:pPr>
      <w:bookmarkStart w:id="86" w:name="_Toc31147"/>
      <w:r>
        <w:rPr>
          <w:rFonts w:hint="default" w:ascii="Times New Roman" w:hAnsi="Times New Roman" w:eastAsia="黑体" w:cs="Times New Roman"/>
          <w:kern w:val="0"/>
          <w:sz w:val="32"/>
          <w:szCs w:val="32"/>
          <w:shd w:val="clear" w:color="auto" w:fill="FFFFFF"/>
        </w:rPr>
        <w:t>三、部门整体绩效分析</w:t>
      </w:r>
      <w:bookmarkEnd w:id="86"/>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绩效目标制定要素完整，指标细化量准确，每年的绩效评价均列入党委会议讨论并审议；绩效目标分为人员类、运转类和特定目标类三类分类制定目标，根据目标分类跟踪考核。</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 w:cs="Times New Roman"/>
          <w:sz w:val="32"/>
          <w:szCs w:val="32"/>
        </w:rPr>
        <w:t>预算编制，实事求是，确保预算的准确性、及时性；专项预算项目按照程序严密、规划合理的原则实施、管理结果符合审计要求、项目分配科学、分配及时，没有违规记录等情况。</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（一）部门预算项目绩效分析。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1.人员类项目绩效分析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kern w:val="0"/>
          <w:sz w:val="32"/>
          <w:szCs w:val="32"/>
          <w:shd w:val="clear" w:color="auto" w:fill="FFFFFF"/>
        </w:rPr>
      </w:pPr>
      <w:r>
        <w:rPr>
          <w:rFonts w:hint="default" w:ascii="Times New Roman" w:hAnsi="Times New Roman" w:eastAsia="仿宋" w:cs="Times New Roman"/>
          <w:sz w:val="32"/>
          <w:szCs w:val="32"/>
        </w:rPr>
        <w:t>2022年及时准确核算发放在职人员的工资和各项待遇，共支出人员经费</w:t>
      </w:r>
      <w:r>
        <w:rPr>
          <w:rFonts w:hint="default" w:ascii="Times New Roman" w:hAnsi="Times New Roman" w:eastAsia="仿宋" w:cs="Times New Roman"/>
          <w:sz w:val="32"/>
          <w:szCs w:val="32"/>
          <w:lang w:val="en-US" w:eastAsia="zh-CN"/>
        </w:rPr>
        <w:t>308.77</w:t>
      </w:r>
      <w:r>
        <w:rPr>
          <w:rFonts w:hint="default" w:ascii="Times New Roman" w:hAnsi="Times New Roman" w:eastAsia="仿宋" w:cs="Times New Roman"/>
          <w:sz w:val="32"/>
          <w:szCs w:val="32"/>
        </w:rPr>
        <w:t>万元，主要包括：基本工资、津贴补贴、奖金、绩效工资、机关事业单位基本养老保险缴费、职工基本医疗保险缴费、公务员医疗补助缴费、其他社会保障缴费、其他工资福利支出、住房公积金</w:t>
      </w:r>
      <w:r>
        <w:rPr>
          <w:rFonts w:hint="default" w:ascii="Times New Roman" w:hAnsi="Times New Roman" w:eastAsia="仿宋" w:cs="Times New Roman"/>
          <w:sz w:val="32"/>
          <w:szCs w:val="32"/>
          <w:lang w:eastAsia="zh-CN"/>
        </w:rPr>
        <w:t>、生活补助</w:t>
      </w:r>
      <w:r>
        <w:rPr>
          <w:rFonts w:hint="default" w:ascii="Times New Roman" w:hAnsi="Times New Roman" w:eastAsia="仿宋" w:cs="Times New Roman"/>
          <w:kern w:val="0"/>
          <w:sz w:val="32"/>
          <w:szCs w:val="32"/>
          <w:shd w:val="clear" w:color="auto" w:fill="FFFFFF"/>
          <w:lang w:val="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2.运转类项目绩效分析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2022年贯彻区委、区政府过紧日子要求，按照厉行节约原则，严格控制“三公经费”支出，强化支出及项目绩效管理，保证机关单位的正常运转，按照规定使用日常公用经费</w:t>
      </w:r>
      <w:r>
        <w:rPr>
          <w:rFonts w:hint="default" w:ascii="Times New Roman" w:hAnsi="Times New Roman" w:eastAsia="仿宋" w:cs="Times New Roman"/>
          <w:sz w:val="32"/>
          <w:szCs w:val="32"/>
          <w:lang w:val="en-US" w:eastAsia="zh-CN"/>
        </w:rPr>
        <w:t>19.13</w:t>
      </w:r>
      <w:r>
        <w:rPr>
          <w:rFonts w:hint="default" w:ascii="Times New Roman" w:hAnsi="Times New Roman" w:eastAsia="仿宋" w:cs="Times New Roman"/>
          <w:sz w:val="32"/>
          <w:szCs w:val="32"/>
        </w:rPr>
        <w:t>万元，主要包括：办公费、</w:t>
      </w:r>
      <w:r>
        <w:rPr>
          <w:rFonts w:hint="default" w:ascii="Times New Roman" w:hAnsi="Times New Roman" w:eastAsia="仿宋" w:cs="Times New Roman"/>
          <w:sz w:val="32"/>
          <w:szCs w:val="32"/>
          <w:lang w:eastAsia="zh-CN"/>
        </w:rPr>
        <w:t>咨询费、</w:t>
      </w:r>
      <w:r>
        <w:rPr>
          <w:rFonts w:hint="default" w:ascii="Times New Roman" w:hAnsi="Times New Roman" w:eastAsia="仿宋" w:cs="Times New Roman"/>
          <w:sz w:val="32"/>
          <w:szCs w:val="32"/>
        </w:rPr>
        <w:t>邮电费、差旅费、维修（护）费、劳务费、工会经费、福利费、其他交通费。</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3.特定目标类项目绩效分析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kern w:val="0"/>
          <w:sz w:val="32"/>
          <w:szCs w:val="32"/>
          <w:shd w:val="clear" w:color="auto" w:fill="FFFFFF"/>
        </w:rPr>
      </w:pPr>
      <w:r>
        <w:rPr>
          <w:rFonts w:hint="default" w:ascii="Times New Roman" w:hAnsi="Times New Roman" w:eastAsia="仿宋" w:cs="Times New Roman"/>
          <w:sz w:val="32"/>
          <w:szCs w:val="32"/>
        </w:rPr>
        <w:t>2022年特定目标类部门预算项目</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项，其中，2022年初安排项目预算</w:t>
      </w:r>
      <w:r>
        <w:rPr>
          <w:rFonts w:hint="default" w:ascii="Times New Roman" w:hAnsi="Times New Roman" w:eastAsia="仿宋" w:cs="Times New Roman"/>
          <w:sz w:val="32"/>
          <w:szCs w:val="32"/>
          <w:lang w:val="en-US" w:eastAsia="zh-CN"/>
        </w:rPr>
        <w:t>80</w:t>
      </w:r>
      <w:r>
        <w:rPr>
          <w:rFonts w:hint="default" w:ascii="Times New Roman" w:hAnsi="Times New Roman" w:eastAsia="仿宋" w:cs="Times New Roman"/>
          <w:sz w:val="32"/>
          <w:szCs w:val="32"/>
        </w:rPr>
        <w:t>元，年初结转资金</w:t>
      </w:r>
      <w:r>
        <w:rPr>
          <w:rFonts w:hint="default" w:ascii="Times New Roman" w:hAnsi="Times New Roman" w:eastAsia="仿宋" w:cs="Times New Roman"/>
          <w:sz w:val="32"/>
          <w:szCs w:val="32"/>
          <w:lang w:val="en-US" w:eastAsia="zh-CN"/>
        </w:rPr>
        <w:t>73.94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，追加预算</w:t>
      </w:r>
      <w:r>
        <w:rPr>
          <w:rFonts w:hint="default" w:ascii="Times New Roman" w:hAnsi="Times New Roman" w:eastAsia="仿宋" w:cs="Times New Roman"/>
          <w:sz w:val="32"/>
          <w:szCs w:val="32"/>
          <w:lang w:val="en-US" w:eastAsia="zh-CN"/>
        </w:rPr>
        <w:t>8.94</w:t>
      </w:r>
      <w:r>
        <w:rPr>
          <w:rFonts w:hint="default" w:ascii="Times New Roman" w:hAnsi="Times New Roman" w:eastAsia="仿宋" w:cs="Times New Roman"/>
          <w:kern w:val="0"/>
          <w:sz w:val="32"/>
          <w:szCs w:val="32"/>
          <w:shd w:val="clear" w:color="auto" w:fill="FFFFFF"/>
          <w:lang w:val="en-US" w:eastAsia="zh-CN"/>
        </w:rPr>
        <w:t>万元，</w:t>
      </w:r>
      <w:r>
        <w:rPr>
          <w:rFonts w:hint="default" w:ascii="Times New Roman" w:hAnsi="Times New Roman" w:eastAsia="仿宋" w:cs="Times New Roman"/>
          <w:kern w:val="0"/>
          <w:sz w:val="32"/>
          <w:szCs w:val="32"/>
          <w:shd w:val="clear" w:color="auto" w:fill="FFFFFF"/>
        </w:rPr>
        <w:t>实际支出</w:t>
      </w:r>
      <w:r>
        <w:rPr>
          <w:rFonts w:hint="default" w:ascii="Times New Roman" w:hAnsi="Times New Roman" w:eastAsia="仿宋" w:cs="Times New Roman"/>
          <w:kern w:val="0"/>
          <w:sz w:val="32"/>
          <w:szCs w:val="32"/>
          <w:shd w:val="clear" w:color="auto" w:fill="FFFFFF"/>
          <w:lang w:val="en-US" w:eastAsia="zh-CN"/>
        </w:rPr>
        <w:t>162.88</w:t>
      </w:r>
      <w:r>
        <w:rPr>
          <w:rFonts w:hint="default" w:ascii="Times New Roman" w:hAnsi="Times New Roman" w:eastAsia="仿宋" w:cs="Times New Roman"/>
          <w:kern w:val="0"/>
          <w:sz w:val="32"/>
          <w:szCs w:val="32"/>
          <w:shd w:val="clear" w:color="auto" w:fill="FFFFFF"/>
        </w:rPr>
        <w:t>万元。具体完成如下：</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矛盾纠纷多元化解（大调解）专项经费25</w:t>
      </w:r>
      <w:r>
        <w:rPr>
          <w:rFonts w:hint="default" w:ascii="Times New Roman" w:hAnsi="Times New Roman" w:eastAsia="仿宋" w:cs="Times New Roman"/>
          <w:sz w:val="32"/>
          <w:szCs w:val="32"/>
        </w:rPr>
        <w:t>万元。完善多元化解工作体系，形成了区、镇（街道）、社区上下一致、协调联动的实战化，实体化工作体系；着力排查化解纠纷矛盾，推进“大排查，防范“民转刑”命案，调解跟着项目走三大行动；推动矛盾纠纷多元化解调研工作，依法及时就地化解矛盾纠纷。</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社会治安防控专项工作经费6.5万元</w:t>
      </w:r>
      <w:r>
        <w:rPr>
          <w:rFonts w:hint="default" w:ascii="Times New Roman" w:hAnsi="Times New Roman" w:eastAsia="仿宋" w:cs="Times New Roman"/>
          <w:sz w:val="32"/>
          <w:szCs w:val="32"/>
        </w:rPr>
        <w:t>，强力推进禁毒防艾工作，集中整治突出毒品问题，深入开展严重精神障碍患者精细化管理，全面落实监护人“以奖代补”制度，严防发生肇事肇祸事件，强化重点领域，区域安全治理，营造更加安全稳定的社会环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扫黑除恶专项经费1.56万元</w:t>
      </w:r>
      <w:r>
        <w:rPr>
          <w:rFonts w:hint="default" w:ascii="Times New Roman" w:hAnsi="Times New Roman" w:eastAsia="仿宋" w:cs="Times New Roman"/>
          <w:sz w:val="32"/>
          <w:szCs w:val="32"/>
        </w:rPr>
        <w:t>，推动扫黑除恶专项斗争工作常态化、规范化、专业化，使黑恶势力违法犯罪得到根本遏制，涉黑涉恶治安乱点得到彻底整治，重点行业、领域管理得到进一步加强，黑恶势力“保护伞”得以彻底铲除，社会治安环境得以进一步优化，人民群众安全感，满意度进一步提升。</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zh-CN"/>
        </w:rPr>
        <w:t>（</w:t>
      </w:r>
      <w:r>
        <w:rPr>
          <w:rFonts w:hint="default" w:ascii="Times New Roman" w:hAnsi="Times New Roman" w:eastAsia="仿宋" w:cs="Times New Roman"/>
          <w:sz w:val="32"/>
          <w:szCs w:val="32"/>
          <w:lang w:val="en-US" w:eastAsia="zh-CN"/>
        </w:rPr>
        <w:t>4）维稳工作经费34.79万元，坚决防止发生有重大影响的政治类敏感案事件、坚决防止发生暴恐案事件、坚决防止发生大规模群体性事件、坚决防止发生重特大公共安全事故、坚决防止发生个人极端案事件，营造安全稳定的社会环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lang w:val="zh-CN"/>
        </w:rPr>
      </w:pPr>
      <w:r>
        <w:rPr>
          <w:rFonts w:hint="default" w:ascii="Times New Roman" w:hAnsi="Times New Roman" w:eastAsia="仿宋" w:cs="Times New Roman"/>
          <w:sz w:val="32"/>
          <w:szCs w:val="32"/>
          <w:lang w:val="zh-CN"/>
        </w:rPr>
        <w:t>（</w:t>
      </w:r>
      <w:r>
        <w:rPr>
          <w:rFonts w:hint="default" w:ascii="Times New Roman" w:hAnsi="Times New Roman" w:eastAsia="仿宋" w:cs="Times New Roman"/>
          <w:sz w:val="32"/>
          <w:szCs w:val="32"/>
          <w:lang w:val="en-US" w:eastAsia="zh-CN"/>
        </w:rPr>
        <w:t>5）平安建设专项经费55.67万元，通过开展网格管理专职化工作，优化网格化服务体系，建立健全网格考核，网格职责准入等工作制度，提升网格服务管理质效；通过“平安智慧小区”“慧眼工程”及公共视频联网应用等智能化建设，进一步推动平安西区、法治西区建设。</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lang w:val="zh-CN"/>
        </w:rPr>
      </w:pPr>
      <w:r>
        <w:rPr>
          <w:rFonts w:hint="default" w:ascii="Times New Roman" w:hAnsi="Times New Roman" w:eastAsia="仿宋" w:cs="Times New Roman"/>
          <w:sz w:val="32"/>
          <w:szCs w:val="32"/>
          <w:lang w:val="zh-CN"/>
        </w:rPr>
        <w:t>（</w:t>
      </w:r>
      <w:r>
        <w:rPr>
          <w:rFonts w:hint="default" w:ascii="Times New Roman" w:hAnsi="Times New Roman" w:eastAsia="仿宋" w:cs="Times New Roman"/>
          <w:sz w:val="32"/>
          <w:szCs w:val="32"/>
          <w:lang w:val="en-US" w:eastAsia="zh-CN"/>
        </w:rPr>
        <w:t>6）雪亮工程及综治中心运维服务项目39.35万元，结合市域社会治理现代化，构建全方位、智能化、立体化社会治安防控体系，有效夯实了社会治理、智能治理能力和水平。</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（二）部门整体履职绩效分析。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kern w:val="0"/>
          <w:sz w:val="32"/>
          <w:szCs w:val="32"/>
          <w:shd w:val="clear" w:color="auto" w:fill="FFFFFF"/>
          <w:lang w:val="zh-CN"/>
        </w:rPr>
      </w:pPr>
      <w:r>
        <w:rPr>
          <w:rFonts w:hint="default" w:ascii="Times New Roman" w:hAnsi="Times New Roman" w:eastAsia="仿宋" w:cs="Times New Roman"/>
          <w:sz w:val="32"/>
          <w:szCs w:val="32"/>
        </w:rPr>
        <w:t>预算编制及时、财务</w:t>
      </w:r>
      <w:r>
        <w:rPr>
          <w:rFonts w:hint="default" w:ascii="Times New Roman" w:hAnsi="Times New Roman" w:eastAsia="仿宋" w:cs="Times New Roman"/>
          <w:color w:val="000000"/>
          <w:sz w:val="32"/>
          <w:szCs w:val="32"/>
        </w:rPr>
        <w:t>管理较为规范，财经纪律、财务制度执行情况良好。严格预算支出管理。在支出预算编制上，人员经费按照配置定额，逐人核定编制，公用经费分类分档，按定额编制</w:t>
      </w:r>
      <w:r>
        <w:rPr>
          <w:rFonts w:hint="default" w:ascii="Times New Roman" w:hAnsi="Times New Roman" w:eastAsia="仿宋" w:cs="Times New Roman"/>
          <w:kern w:val="0"/>
          <w:sz w:val="32"/>
          <w:szCs w:val="32"/>
          <w:shd w:val="clear" w:color="auto" w:fill="FFFFFF"/>
          <w:lang w:val="zh-CN"/>
        </w:rPr>
        <w:t>。</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（三）结果应用情况。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kern w:val="0"/>
          <w:sz w:val="32"/>
          <w:szCs w:val="32"/>
          <w:shd w:val="clear" w:color="auto" w:fill="FFFFFF"/>
          <w:lang w:val="zh-CN"/>
        </w:rPr>
      </w:pPr>
      <w:r>
        <w:rPr>
          <w:rFonts w:hint="default" w:ascii="Times New Roman" w:hAnsi="Times New Roman" w:eastAsia="仿宋" w:cs="Times New Roman"/>
          <w:color w:val="000000"/>
          <w:sz w:val="32"/>
          <w:szCs w:val="32"/>
        </w:rPr>
        <w:t>严格对照项目支出绩效评价发现的问题，查找管理漏洞，强化结果应用，将评价结果运用到政策制定、完善内控管理制度，改进项目管理、财务管理和资金使用管理，调整预算安排方式、增减预算规模和优化支出结构等方面，不断提高资金使用效益</w:t>
      </w:r>
      <w:r>
        <w:rPr>
          <w:rFonts w:hint="default" w:ascii="Times New Roman" w:hAnsi="Times New Roman" w:eastAsia="仿宋" w:cs="Times New Roman"/>
          <w:kern w:val="0"/>
          <w:sz w:val="32"/>
          <w:szCs w:val="32"/>
          <w:shd w:val="clear" w:color="auto" w:fill="FFFFFF"/>
          <w:lang w:val="zh-CN"/>
        </w:rPr>
        <w:t>。</w:t>
      </w:r>
    </w:p>
    <w:p>
      <w:pPr>
        <w:pageBreakBefore w:val="0"/>
        <w:widowControl/>
        <w:numPr>
          <w:ilvl w:val="0"/>
          <w:numId w:val="5"/>
        </w:numPr>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自评质量。</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kern w:val="0"/>
          <w:sz w:val="32"/>
          <w:szCs w:val="32"/>
          <w:shd w:val="clear" w:color="auto" w:fill="FFFFFF"/>
        </w:rPr>
      </w:pPr>
      <w:r>
        <w:rPr>
          <w:rFonts w:hint="default" w:ascii="Times New Roman" w:hAnsi="Times New Roman" w:eastAsia="仿宋" w:cs="Times New Roman"/>
          <w:color w:val="000000"/>
          <w:sz w:val="32"/>
          <w:szCs w:val="32"/>
        </w:rPr>
        <w:t>部门整体支出自评客观公正，质量良好</w:t>
      </w:r>
      <w:r>
        <w:rPr>
          <w:rFonts w:hint="default" w:ascii="Times New Roman" w:hAnsi="Times New Roman" w:eastAsia="仿宋" w:cs="Times New Roman"/>
          <w:kern w:val="0"/>
          <w:sz w:val="32"/>
          <w:szCs w:val="32"/>
          <w:shd w:val="clear" w:color="auto" w:fill="FFFFFF"/>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hint="default" w:ascii="Times New Roman" w:hAnsi="Times New Roman" w:eastAsia="黑体" w:cs="Times New Roman"/>
          <w:kern w:val="0"/>
          <w:sz w:val="32"/>
          <w:szCs w:val="32"/>
          <w:shd w:val="clear" w:color="auto" w:fill="FFFFFF"/>
        </w:rPr>
      </w:pPr>
      <w:bookmarkStart w:id="87" w:name="_Toc15973"/>
      <w:r>
        <w:rPr>
          <w:rFonts w:hint="default" w:ascii="Times New Roman" w:hAnsi="Times New Roman" w:eastAsia="黑体" w:cs="Times New Roman"/>
          <w:kern w:val="0"/>
          <w:sz w:val="32"/>
          <w:szCs w:val="32"/>
          <w:shd w:val="clear" w:color="auto" w:fill="FFFFFF"/>
        </w:rPr>
        <w:t>四、评价结论及建议</w:t>
      </w:r>
      <w:bookmarkEnd w:id="87"/>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（一）评价结论。</w:t>
      </w:r>
    </w:p>
    <w:p>
      <w:pPr>
        <w:pStyle w:val="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 w:cs="Times New Roman"/>
          <w:color w:val="000000"/>
          <w:spacing w:val="0"/>
        </w:rPr>
      </w:pPr>
      <w:r>
        <w:rPr>
          <w:rFonts w:hint="default" w:ascii="Times New Roman" w:hAnsi="Times New Roman" w:eastAsia="仿宋" w:cs="Times New Roman"/>
          <w:color w:val="000000"/>
          <w:spacing w:val="0"/>
        </w:rPr>
        <w:t>我单位支出绩效总体良好，各项目标基本达到了相应时期执行进度，使财政收支预算执行都得到了良好的制度保障和实施效果。</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自我评价得分：96分</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（二）存在问题。</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部分资金在使用上因财政资金支付困难，因此在资金支付上有进度滞后情况。</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（三）改进建议。</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1.我们将进一步重视预算的编制工作，加强财务管理制度建设，完善单位内部财务管理制度，增强可执行性；提高预算编制的精确度，提高财政资金使用效率，尽量减少预算执行调整、结转和结余情形。</w:t>
      </w:r>
    </w:p>
    <w:p>
      <w:pPr>
        <w:pStyle w:val="16"/>
        <w:pageBreakBefore w:val="0"/>
        <w:kinsoku/>
        <w:wordWrap/>
        <w:overflowPunct/>
        <w:topLinePunct w:val="0"/>
        <w:bidi w:val="0"/>
        <w:adjustRightInd w:val="0"/>
        <w:snapToGrid w:val="0"/>
        <w:spacing w:after="0" w:line="353" w:lineRule="auto"/>
        <w:ind w:left="0" w:leftChars="0" w:right="0" w:firstLine="640"/>
        <w:textAlignment w:val="auto"/>
        <w:rPr>
          <w:rFonts w:hint="default" w:ascii="Times New Roman" w:hAnsi="Times New Roman" w:eastAsia="仿宋" w:cs="Times New Roman"/>
          <w:sz w:val="32"/>
        </w:rPr>
      </w:pPr>
      <w:r>
        <w:rPr>
          <w:rFonts w:hint="default" w:ascii="Times New Roman" w:hAnsi="Times New Roman" w:eastAsia="仿宋" w:cs="Times New Roman"/>
          <w:sz w:val="32"/>
        </w:rPr>
        <w:t>2.加强资金的合理使用，提前做好资金使用规划，对资金使用和管理实施绩效管理、建立考核机制，实行动态管理，确保资金使用效益最大化。</w:t>
      </w:r>
    </w:p>
    <w:p>
      <w:pPr>
        <w:pStyle w:val="16"/>
        <w:pageBreakBefore w:val="0"/>
        <w:kinsoku/>
        <w:wordWrap/>
        <w:overflowPunct/>
        <w:topLinePunct w:val="0"/>
        <w:bidi w:val="0"/>
        <w:adjustRightInd w:val="0"/>
        <w:snapToGrid w:val="0"/>
        <w:spacing w:after="0" w:line="353" w:lineRule="auto"/>
        <w:ind w:left="0" w:leftChars="0" w:right="0" w:firstLine="640"/>
        <w:textAlignment w:val="auto"/>
        <w:rPr>
          <w:rFonts w:hint="default" w:ascii="Times New Roman" w:hAnsi="Times New Roman" w:eastAsia="仿宋" w:cs="Times New Roman"/>
          <w:sz w:val="32"/>
          <w:lang w:val="zh-CN"/>
        </w:rPr>
      </w:pPr>
      <w:r>
        <w:rPr>
          <w:rFonts w:hint="default" w:ascii="Times New Roman" w:hAnsi="Times New Roman" w:eastAsia="仿宋" w:cs="Times New Roman"/>
          <w:sz w:val="32"/>
          <w:lang w:val="zh-CN"/>
        </w:rPr>
        <w:t>附表：</w:t>
      </w:r>
      <w:r>
        <w:rPr>
          <w:rFonts w:hint="default" w:ascii="Times New Roman" w:hAnsi="Times New Roman" w:eastAsia="仿宋" w:cs="Times New Roman"/>
          <w:sz w:val="32"/>
        </w:rPr>
        <w:t>部门预算项目支出绩效自评表（2022年度）见附件</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sz w:val="32"/>
          <w:szCs w:val="32"/>
        </w:rPr>
      </w:pPr>
    </w:p>
    <w:p>
      <w:pPr>
        <w:pStyle w:val="16"/>
        <w:pageBreakBefore w:val="0"/>
        <w:kinsoku/>
        <w:wordWrap/>
        <w:overflowPunct/>
        <w:topLinePunct w:val="0"/>
        <w:bidi w:val="0"/>
        <w:adjustRightInd w:val="0"/>
        <w:snapToGrid w:val="0"/>
        <w:spacing w:after="0" w:line="353" w:lineRule="auto"/>
        <w:ind w:left="0" w:leftChars="0" w:right="0" w:firstLine="640"/>
        <w:textAlignment w:val="auto"/>
        <w:rPr>
          <w:rFonts w:hint="default" w:ascii="Times New Roman" w:hAnsi="Times New Roman" w:eastAsia="仿宋" w:cs="Times New Roman"/>
          <w:kern w:val="0"/>
          <w:sz w:val="32"/>
        </w:rPr>
      </w:pPr>
      <w:r>
        <w:rPr>
          <w:rFonts w:hint="default" w:ascii="Times New Roman" w:hAnsi="Times New Roman" w:cs="Times New Roman"/>
          <w:b/>
          <w:sz w:val="44"/>
          <w:szCs w:val="44"/>
        </w:rPr>
        <w:br w:type="page"/>
      </w:r>
    </w:p>
    <w:p>
      <w:pPr>
        <w:pStyle w:val="6"/>
        <w:pageBreakBefore w:val="0"/>
        <w:kinsoku/>
        <w:wordWrap/>
        <w:overflowPunct/>
        <w:topLinePunct w:val="0"/>
        <w:bidi w:val="0"/>
        <w:adjustRightInd w:val="0"/>
        <w:snapToGrid w:val="0"/>
        <w:spacing w:beforeLines="0" w:line="353" w:lineRule="auto"/>
        <w:ind w:left="0" w:right="0"/>
        <w:textAlignment w:val="auto"/>
        <w:outlineLvl w:val="1"/>
        <w:rPr>
          <w:rFonts w:hint="default" w:ascii="Times New Roman" w:hAnsi="Times New Roman" w:cs="Times New Roman"/>
          <w:sz w:val="32"/>
          <w:szCs w:val="32"/>
        </w:rPr>
      </w:pPr>
      <w:bookmarkStart w:id="88" w:name="_Toc31705"/>
      <w:r>
        <w:rPr>
          <w:rFonts w:hint="default" w:ascii="Times New Roman" w:hAnsi="Times New Roman" w:cs="Times New Roman"/>
          <w:sz w:val="32"/>
          <w:szCs w:val="32"/>
          <w:shd w:val="clear" w:color="auto" w:fill="FFFFFF"/>
          <w:lang w:val="zh-CN"/>
        </w:rPr>
        <w:t>附件</w:t>
      </w:r>
      <w:r>
        <w:rPr>
          <w:rFonts w:hint="default" w:ascii="Times New Roman" w:hAnsi="Times New Roman" w:cs="Times New Roman"/>
          <w:sz w:val="32"/>
          <w:szCs w:val="32"/>
          <w:shd w:val="clear" w:color="auto" w:fill="FFFFFF"/>
        </w:rPr>
        <w:t>2</w:t>
      </w:r>
      <w:bookmarkEnd w:id="88"/>
    </w:p>
    <w:p>
      <w:pPr>
        <w:pStyle w:val="37"/>
        <w:pageBreakBefore w:val="0"/>
        <w:kinsoku/>
        <w:wordWrap/>
        <w:overflowPunct/>
        <w:topLinePunct w:val="0"/>
        <w:bidi w:val="0"/>
        <w:adjustRightInd w:val="0"/>
        <w:snapToGrid w:val="0"/>
        <w:spacing w:line="353" w:lineRule="auto"/>
        <w:ind w:left="0" w:right="0"/>
        <w:jc w:val="center"/>
        <w:textAlignment w:val="auto"/>
        <w:rPr>
          <w:rFonts w:hint="default" w:ascii="Times New Roman" w:hAnsi="Times New Roman" w:eastAsia="方正小标宋简体" w:cs="Times New Roman"/>
          <w:color w:val="auto"/>
          <w:kern w:val="2"/>
          <w:sz w:val="32"/>
          <w:szCs w:val="32"/>
          <w:highlight w:val="none"/>
          <w:lang w:val="en-US"/>
        </w:rPr>
      </w:pPr>
      <w:r>
        <w:rPr>
          <w:rFonts w:hint="default" w:ascii="Times New Roman" w:hAnsi="Times New Roman" w:eastAsia="方正小标宋简体" w:cs="Times New Roman"/>
          <w:color w:val="auto"/>
          <w:kern w:val="2"/>
          <w:sz w:val="32"/>
          <w:szCs w:val="32"/>
          <w:highlight w:val="none"/>
          <w:lang w:val="en-US"/>
        </w:rPr>
        <w:t>202</w:t>
      </w:r>
      <w:r>
        <w:rPr>
          <w:rFonts w:hint="eastAsia" w:ascii="Times New Roman" w:hAnsi="Times New Roman" w:eastAsia="方正小标宋简体" w:cs="Times New Roman"/>
          <w:color w:val="auto"/>
          <w:kern w:val="2"/>
          <w:sz w:val="32"/>
          <w:szCs w:val="32"/>
          <w:highlight w:val="none"/>
          <w:lang w:val="en-US" w:eastAsia="zh-CN"/>
        </w:rPr>
        <w:t>2</w:t>
      </w:r>
      <w:r>
        <w:rPr>
          <w:rFonts w:hint="default" w:ascii="Times New Roman" w:hAnsi="Times New Roman" w:eastAsia="方正小标宋简体" w:cs="Times New Roman"/>
          <w:color w:val="auto"/>
          <w:kern w:val="2"/>
          <w:sz w:val="32"/>
          <w:szCs w:val="32"/>
          <w:highlight w:val="none"/>
          <w:lang w:val="en-US"/>
        </w:rPr>
        <w:t>年</w:t>
      </w:r>
      <w:r>
        <w:rPr>
          <w:rFonts w:hint="default" w:ascii="Times New Roman" w:hAnsi="Times New Roman" w:eastAsia="方正小标宋简体" w:cs="Times New Roman"/>
          <w:color w:val="auto"/>
          <w:kern w:val="2"/>
          <w:sz w:val="32"/>
          <w:szCs w:val="32"/>
          <w:highlight w:val="none"/>
          <w:lang w:val="en-US" w:eastAsia="zh-CN"/>
        </w:rPr>
        <w:t>平安建设专项经费</w:t>
      </w:r>
      <w:r>
        <w:rPr>
          <w:rFonts w:hint="default" w:ascii="Times New Roman" w:hAnsi="Times New Roman" w:eastAsia="方正小标宋简体" w:cs="Times New Roman"/>
          <w:color w:val="auto"/>
          <w:kern w:val="2"/>
          <w:sz w:val="32"/>
          <w:szCs w:val="32"/>
          <w:highlight w:val="none"/>
          <w:lang w:val="en-US"/>
        </w:rPr>
        <w:t>专项资金</w:t>
      </w:r>
    </w:p>
    <w:p>
      <w:pPr>
        <w:pStyle w:val="37"/>
        <w:pageBreakBefore w:val="0"/>
        <w:kinsoku/>
        <w:wordWrap/>
        <w:overflowPunct/>
        <w:topLinePunct w:val="0"/>
        <w:bidi w:val="0"/>
        <w:adjustRightInd w:val="0"/>
        <w:snapToGrid w:val="0"/>
        <w:spacing w:line="353" w:lineRule="auto"/>
        <w:ind w:left="0" w:right="0"/>
        <w:jc w:val="center"/>
        <w:textAlignment w:val="auto"/>
        <w:rPr>
          <w:rFonts w:hint="default" w:ascii="Times New Roman" w:hAnsi="Times New Roman" w:eastAsia="方正小标宋简体" w:cs="Times New Roman"/>
          <w:color w:val="auto"/>
          <w:kern w:val="2"/>
          <w:sz w:val="32"/>
          <w:szCs w:val="32"/>
          <w:highlight w:val="none"/>
          <w:lang w:val="en-US"/>
        </w:rPr>
      </w:pPr>
      <w:r>
        <w:rPr>
          <w:rFonts w:hint="default" w:ascii="Times New Roman" w:hAnsi="Times New Roman" w:eastAsia="方正小标宋简体" w:cs="Times New Roman"/>
          <w:color w:val="auto"/>
          <w:kern w:val="2"/>
          <w:sz w:val="32"/>
          <w:szCs w:val="32"/>
          <w:highlight w:val="none"/>
          <w:lang w:val="en-US"/>
        </w:rPr>
        <w:t>预算项目绩效自评报告</w:t>
      </w:r>
    </w:p>
    <w:p>
      <w:pPr>
        <w:pStyle w:val="37"/>
        <w:pageBreakBefore w:val="0"/>
        <w:kinsoku/>
        <w:wordWrap/>
        <w:overflowPunct/>
        <w:topLinePunct w:val="0"/>
        <w:bidi w:val="0"/>
        <w:adjustRightInd w:val="0"/>
        <w:snapToGrid w:val="0"/>
        <w:spacing w:line="353" w:lineRule="auto"/>
        <w:ind w:left="0" w:right="0" w:firstLine="640"/>
        <w:jc w:val="center"/>
        <w:textAlignment w:val="auto"/>
        <w:rPr>
          <w:rFonts w:hint="default" w:ascii="Times New Roman" w:hAnsi="Times New Roman" w:cs="Times New Roman"/>
          <w:color w:val="auto"/>
          <w:kern w:val="2"/>
          <w:sz w:val="32"/>
          <w:szCs w:val="32"/>
        </w:rPr>
      </w:pP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一、项目概况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（一）项目基本情况。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1．说明项目主管部门（单位）在该项目管理中的职能。</w:t>
      </w:r>
    </w:p>
    <w:p>
      <w:pPr>
        <w:pageBreakBefore w:val="0"/>
        <w:kinsoku/>
        <w:wordWrap/>
        <w:overflowPunct/>
        <w:topLinePunct w:val="0"/>
        <w:autoSpaceDE w:val="0"/>
        <w:bidi w:val="0"/>
        <w:spacing w:line="353" w:lineRule="auto"/>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按照《四川省社会治安综合治理委员会进一步加强和完善网格化服务管理的指导意见》（川综治委〔2017〕16号）的要求开展相关工作</w:t>
      </w:r>
      <w:r>
        <w:rPr>
          <w:rFonts w:hint="default" w:ascii="Times New Roman" w:hAnsi="Times New Roman" w:eastAsia="方正仿宋_GBK" w:cs="Times New Roman"/>
          <w:sz w:val="32"/>
          <w:szCs w:val="32"/>
          <w:lang w:eastAsia="zh-CN"/>
        </w:rPr>
        <w:t>，进一步健全网格化管理服务体系，进一步明确网格管理员职责，进一步提升网格管理服务质效。</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2．项目立项、资金申报的依据。</w:t>
      </w:r>
    </w:p>
    <w:p>
      <w:pPr>
        <w:pageBreakBefore w:val="0"/>
        <w:kinsoku/>
        <w:wordWrap/>
        <w:overflowPunct/>
        <w:topLinePunct w:val="0"/>
        <w:autoSpaceDE w:val="0"/>
        <w:bidi w:val="0"/>
        <w:spacing w:line="353" w:lineRule="auto"/>
        <w:ind w:firstLine="640" w:firstLineChars="200"/>
        <w:jc w:val="left"/>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sz w:val="32"/>
          <w:szCs w:val="32"/>
        </w:rPr>
        <w:t>项目由</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委政法委负责实施，</w:t>
      </w:r>
      <w:r>
        <w:rPr>
          <w:rFonts w:hint="default" w:ascii="Times New Roman" w:hAnsi="Times New Roman" w:eastAsia="方正仿宋_GBK" w:cs="Times New Roman"/>
          <w:color w:val="000000"/>
          <w:kern w:val="0"/>
          <w:sz w:val="33"/>
          <w:szCs w:val="33"/>
        </w:rPr>
        <w:t>按照</w:t>
      </w:r>
      <w:r>
        <w:rPr>
          <w:rFonts w:hint="default" w:ascii="Times New Roman" w:hAnsi="Times New Roman" w:eastAsia="方正仿宋_GBK" w:cs="Times New Roman"/>
          <w:color w:val="000000"/>
          <w:kern w:val="0"/>
          <w:sz w:val="33"/>
          <w:szCs w:val="33"/>
          <w:lang w:eastAsia="zh-CN"/>
        </w:rPr>
        <w:t>工作职责</w:t>
      </w:r>
      <w:r>
        <w:rPr>
          <w:rFonts w:hint="default" w:ascii="Times New Roman" w:hAnsi="Times New Roman" w:eastAsia="方正仿宋_GBK" w:cs="Times New Roman"/>
          <w:color w:val="000000"/>
          <w:kern w:val="0"/>
          <w:sz w:val="33"/>
          <w:szCs w:val="33"/>
        </w:rPr>
        <w:t>，</w:t>
      </w:r>
      <w:r>
        <w:rPr>
          <w:rFonts w:hint="default" w:ascii="Times New Roman" w:hAnsi="Times New Roman" w:eastAsia="方正仿宋_GBK" w:cs="Times New Roman"/>
          <w:color w:val="000000"/>
          <w:kern w:val="0"/>
          <w:sz w:val="33"/>
          <w:szCs w:val="33"/>
          <w:lang w:eastAsia="zh-CN"/>
        </w:rPr>
        <w:t>平安建设专项经费</w:t>
      </w:r>
      <w:r>
        <w:rPr>
          <w:rFonts w:hint="default" w:ascii="Times New Roman" w:hAnsi="Times New Roman" w:eastAsia="方正仿宋_GBK" w:cs="Times New Roman"/>
          <w:color w:val="000000"/>
          <w:kern w:val="0"/>
          <w:sz w:val="33"/>
          <w:szCs w:val="33"/>
        </w:rPr>
        <w:t>经费由</w:t>
      </w:r>
      <w:r>
        <w:rPr>
          <w:rFonts w:hint="default" w:ascii="Times New Roman" w:hAnsi="Times New Roman" w:eastAsia="方正仿宋_GBK" w:cs="Times New Roman"/>
          <w:color w:val="000000"/>
          <w:kern w:val="0"/>
          <w:sz w:val="33"/>
          <w:szCs w:val="33"/>
          <w:lang w:eastAsia="zh-CN"/>
        </w:rPr>
        <w:t>区</w:t>
      </w:r>
      <w:r>
        <w:rPr>
          <w:rFonts w:hint="default" w:ascii="Times New Roman" w:hAnsi="Times New Roman" w:eastAsia="方正仿宋_GBK" w:cs="Times New Roman"/>
          <w:color w:val="000000"/>
          <w:kern w:val="0"/>
          <w:sz w:val="33"/>
          <w:szCs w:val="33"/>
        </w:rPr>
        <w:t>级财政保障。</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3．资金管理办法制定情况，资金支持具体项目的条件、范围与支持方式概况。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资金按照规定使用，主要用于西区网格化项目建设。</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4．资金分配的原则及考虑因素。</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严格按照文件规定内容据实核算、发放。</w:t>
      </w:r>
    </w:p>
    <w:p>
      <w:pPr>
        <w:pageBreakBefore w:val="0"/>
        <w:kinsoku/>
        <w:wordWrap/>
        <w:overflowPunct/>
        <w:topLinePunct w:val="0"/>
        <w:autoSpaceDE w:val="0"/>
        <w:autoSpaceDN w:val="0"/>
        <w:bidi w:val="0"/>
        <w:adjustRightInd w:val="0"/>
        <w:spacing w:line="353" w:lineRule="auto"/>
        <w:ind w:left="640"/>
        <w:jc w:val="left"/>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（二）项目绩效目标。</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结合市域社会治理现代化，构建全方位、智能化、立体化社会治安防控体系，完成三级综治中心建设，探索创新网格化服务管理工作</w:t>
      </w:r>
      <w:r>
        <w:rPr>
          <w:rFonts w:hint="default" w:ascii="Times New Roman" w:hAnsi="Times New Roman" w:eastAsia="方正仿宋_GBK" w:cs="Times New Roman"/>
          <w:sz w:val="32"/>
          <w:szCs w:val="32"/>
          <w:lang w:val="en-US" w:eastAsia="zh-CN"/>
        </w:rPr>
        <w:t>，有效夯实了社会治理、智能治理能力和水平。</w:t>
      </w:r>
    </w:p>
    <w:p>
      <w:pPr>
        <w:pageBreakBefore w:val="0"/>
        <w:kinsoku/>
        <w:wordWrap/>
        <w:overflowPunct/>
        <w:topLinePunct w:val="0"/>
        <w:bidi w:val="0"/>
        <w:adjustRightInd w:val="0"/>
        <w:snapToGrid w:val="0"/>
        <w:spacing w:line="353" w:lineRule="auto"/>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（三）项目自评步骤及方法。</w:t>
      </w:r>
    </w:p>
    <w:p>
      <w:pPr>
        <w:pStyle w:val="6"/>
        <w:pageBreakBefore w:val="0"/>
        <w:kinsoku/>
        <w:wordWrap/>
        <w:overflowPunct/>
        <w:topLinePunct w:val="0"/>
        <w:bidi w:val="0"/>
        <w:spacing w:before="93" w:line="353" w:lineRule="auto"/>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我委成立了以分管领导为组长的绩效自评领导小组，领导小组办公室设在办公室，负责牵头开展各项目绩效自评工作。自评小组依据专项资金绩效考评指标体系，对项目开展综合评分，全面考量项目实施程序的规范性、财务管理的合规性，以及项目执行率和目标绩效完成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黑体" w:cs="Times New Roman"/>
          <w:kern w:val="0"/>
          <w:sz w:val="32"/>
          <w:szCs w:val="32"/>
        </w:rPr>
        <w:t>二、项目资金申报及使用情况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（一）项目资金申报及批复情况。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按程序申报项目资金，并填报目标绩效表，财政审核下达指标到一体化平台。</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（二）资金计划、到位及使用情况。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1．资金计划。</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该项目为2021年实施，2022年下达资金资为19.58万元。</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2．资金到位。</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该项目资金一体化下达预算指标</w:t>
      </w:r>
      <w:r>
        <w:rPr>
          <w:rFonts w:hint="default" w:ascii="Times New Roman" w:hAnsi="Times New Roman" w:eastAsia="方正仿宋_GBK" w:cs="Times New Roman"/>
          <w:sz w:val="32"/>
          <w:szCs w:val="32"/>
          <w:lang w:val="en-US" w:eastAsia="zh-CN"/>
        </w:rPr>
        <w:t>55.67万</w:t>
      </w:r>
      <w:r>
        <w:rPr>
          <w:rFonts w:hint="default" w:ascii="Times New Roman" w:hAnsi="Times New Roman" w:eastAsia="方正仿宋_GBK" w:cs="Times New Roman"/>
          <w:sz w:val="32"/>
          <w:szCs w:val="32"/>
        </w:rPr>
        <w:t>元。</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3．资金使用。</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全年实现支付</w:t>
      </w:r>
      <w:r>
        <w:rPr>
          <w:rFonts w:hint="default" w:ascii="Times New Roman" w:hAnsi="Times New Roman" w:eastAsia="方正仿宋_GBK" w:cs="Times New Roman"/>
          <w:sz w:val="32"/>
          <w:szCs w:val="32"/>
          <w:lang w:val="en-US" w:eastAsia="zh-CN"/>
        </w:rPr>
        <w:t>55.67</w:t>
      </w:r>
      <w:r>
        <w:rPr>
          <w:rFonts w:hint="default" w:ascii="Times New Roman" w:hAnsi="Times New Roman" w:eastAsia="方正仿宋_GBK" w:cs="Times New Roman"/>
          <w:sz w:val="32"/>
          <w:szCs w:val="32"/>
        </w:rPr>
        <w:t>万元，用于西区网格化项目建设</w:t>
      </w:r>
      <w:r>
        <w:rPr>
          <w:rFonts w:hint="default" w:ascii="Times New Roman" w:hAnsi="Times New Roman" w:eastAsia="方正仿宋_GBK" w:cs="Times New Roman"/>
          <w:sz w:val="32"/>
          <w:szCs w:val="32"/>
          <w:lang w:eastAsia="zh-CN"/>
        </w:rPr>
        <w:t>及基层治理相关</w:t>
      </w:r>
      <w:r>
        <w:rPr>
          <w:rFonts w:hint="eastAsia" w:eastAsia="方正仿宋_GBK" w:cs="Times New Roman"/>
          <w:sz w:val="32"/>
          <w:szCs w:val="32"/>
          <w:lang w:eastAsia="zh-CN"/>
        </w:rPr>
        <w:t>工作</w:t>
      </w:r>
      <w:r>
        <w:rPr>
          <w:rFonts w:hint="default" w:ascii="Times New Roman" w:hAnsi="Times New Roman" w:eastAsia="方正仿宋_GBK" w:cs="Times New Roman"/>
          <w:sz w:val="32"/>
          <w:szCs w:val="32"/>
        </w:rPr>
        <w:t>产生费用。</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（三）项目财务管理情况。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该项目单位财务管理制度健全，严格按照财务管理制度执行，坚持专款专用，不得虚报冒领、截留财政专项资金，确保专项资金高效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安全、规范运行。</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三、项目实施及管理情况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楷体_GB2312" w:cs="Times New Roman"/>
          <w:kern w:val="0"/>
          <w:sz w:val="32"/>
          <w:szCs w:val="32"/>
        </w:rPr>
        <w:t>（一）项目组织架构及实施流程。</w:t>
      </w:r>
      <w:r>
        <w:rPr>
          <w:rFonts w:hint="default" w:ascii="Times New Roman" w:hAnsi="Times New Roman" w:eastAsia="楷体_GB2312" w:cs="Times New Roman"/>
          <w:kern w:val="0"/>
          <w:sz w:val="32"/>
          <w:szCs w:val="32"/>
          <w:lang w:eastAsia="zh-CN"/>
        </w:rPr>
        <w:t>区</w:t>
      </w:r>
      <w:r>
        <w:rPr>
          <w:rFonts w:hint="default" w:ascii="Times New Roman" w:hAnsi="Times New Roman" w:eastAsia="方正仿宋_GBK" w:cs="Times New Roman"/>
          <w:sz w:val="32"/>
          <w:szCs w:val="32"/>
        </w:rPr>
        <w:t>委政法委专项资金项目由分管财务的领导项目负责人，分管领导及其他人员为工作人员，负责协调处理方面的各项工作。在项目实施时，项目资金管理严格按制度执行，如需会议纪要、实施方案、稳控措施、审核报告、办结报告等一系列文件，严格审批程序。</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（二）项目管理情况。</w:t>
      </w:r>
      <w:r>
        <w:rPr>
          <w:rFonts w:hint="default" w:ascii="Times New Roman" w:hAnsi="Times New Roman" w:eastAsia="方正仿宋_GBK" w:cs="Times New Roman"/>
          <w:sz w:val="32"/>
          <w:szCs w:val="32"/>
        </w:rPr>
        <w:t>项目过程中单位执行相关法律法规按照项目管理制度管理项目。</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楷体_GB2312" w:cs="Times New Roman"/>
          <w:kern w:val="0"/>
          <w:sz w:val="32"/>
          <w:szCs w:val="32"/>
        </w:rPr>
        <w:t>（三）项目监管情况。</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委政法委加强项目管理，严格执行相关财务管理规定，未发生违反财经纪律以及其他违规违纪的情况。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四、项目绩效情况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（一）项目完成情况。</w:t>
      </w:r>
    </w:p>
    <w:p>
      <w:pPr>
        <w:pStyle w:val="2"/>
        <w:pageBreakBefore w:val="0"/>
        <w:kinsoku/>
        <w:wordWrap/>
        <w:overflowPunct/>
        <w:topLinePunct w:val="0"/>
        <w:bidi w:val="0"/>
        <w:spacing w:line="353" w:lineRule="auto"/>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仿宋_GB2312" w:cs="Times New Roman"/>
          <w:color w:val="FF0000"/>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结合市域社会治理现代化，构建全方位、智能化、立体化社会治安防控体系，有效夯实了社会治理、智能治理能力和水平。</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（二）项目效益情况。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稳步推进法治西区建设，减少事故发生率、提高社会安全感、推动城市化进程、提升城市形象、强化网络安全和信息安全、加强应急管理、维护社会稳定。极大增进了人民群众的获得感、幸福感、安全感，有力推动了党风政风和社会风气持续向好，社会大局持续保持和谐稳定，为全区经济高质量发展创造了稳定的社会环境、公正的法治环境、优质的服务环境</w:t>
      </w:r>
      <w:r>
        <w:rPr>
          <w:rFonts w:hint="default" w:ascii="Times New Roman" w:hAnsi="Times New Roman" w:eastAsia="方正仿宋_GBK" w:cs="Times New Roman"/>
          <w:kern w:val="2"/>
          <w:sz w:val="32"/>
          <w:szCs w:val="32"/>
          <w:lang w:val="zh-CN" w:eastAsia="zh-CN" w:bidi="ar-SA"/>
        </w:rPr>
        <w:t>。</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五、评价结论及建议</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（一）评价结论。</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对照项目计划完成目标及资金支付情况，因财政支付压力，导致很多已完成项目资金未支付，项目绩效完成不理想。</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（二）存在的问题。</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财政支付压力，导致很多已完成项目资金未支付。</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（三）相关建议。</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加大支付力度，尽量安排已发生且易导致涉诉风险费用支付。</w:t>
      </w:r>
    </w:p>
    <w:p>
      <w:pPr>
        <w:pageBreakBefore w:val="0"/>
        <w:kinsoku/>
        <w:wordWrap/>
        <w:overflowPunct/>
        <w:topLinePunct w:val="0"/>
        <w:bidi w:val="0"/>
        <w:adjustRightInd w:val="0"/>
        <w:snapToGrid w:val="0"/>
        <w:spacing w:line="353" w:lineRule="auto"/>
        <w:ind w:left="0" w:right="0"/>
        <w:textAlignment w:val="auto"/>
        <w:rPr>
          <w:rStyle w:val="31"/>
          <w:rFonts w:hint="default" w:ascii="Times New Roman" w:hAnsi="Times New Roman" w:eastAsia="仿宋" w:cs="Times New Roman"/>
          <w:b w:val="0"/>
        </w:rPr>
      </w:pPr>
    </w:p>
    <w:p>
      <w:pPr>
        <w:pStyle w:val="6"/>
        <w:pageBreakBefore w:val="0"/>
        <w:kinsoku/>
        <w:wordWrap/>
        <w:overflowPunct/>
        <w:topLinePunct w:val="0"/>
        <w:bidi w:val="0"/>
        <w:adjustRightInd w:val="0"/>
        <w:snapToGrid w:val="0"/>
        <w:spacing w:beforeLines="0" w:line="353" w:lineRule="auto"/>
        <w:ind w:left="0" w:right="0"/>
        <w:textAlignment w:val="auto"/>
        <w:outlineLvl w:val="1"/>
        <w:rPr>
          <w:rFonts w:hint="eastAsia" w:ascii="Times New Roman" w:hAnsi="Times New Roman" w:eastAsia="仿宋_GB2312" w:cs="Times New Roman"/>
          <w:sz w:val="32"/>
          <w:szCs w:val="32"/>
          <w:lang w:val="en-US" w:eastAsia="zh-CN"/>
        </w:rPr>
      </w:pPr>
      <w:r>
        <w:rPr>
          <w:rStyle w:val="31"/>
          <w:rFonts w:hint="default" w:ascii="Times New Roman" w:hAnsi="Times New Roman" w:eastAsia="黑体" w:cs="Times New Roman"/>
          <w:b w:val="0"/>
        </w:rPr>
        <w:br w:type="page"/>
      </w:r>
      <w:r>
        <w:rPr>
          <w:rFonts w:hint="default" w:ascii="Times New Roman" w:hAnsi="Times New Roman" w:cs="Times New Roman"/>
          <w:sz w:val="32"/>
          <w:szCs w:val="32"/>
          <w:shd w:val="clear" w:color="auto" w:fill="FFFFFF"/>
          <w:lang w:val="zh-CN"/>
        </w:rPr>
        <w:t>附件</w:t>
      </w:r>
      <w:r>
        <w:rPr>
          <w:rFonts w:hint="eastAsia" w:ascii="Times New Roman" w:cs="Times New Roman"/>
          <w:sz w:val="32"/>
          <w:szCs w:val="32"/>
          <w:shd w:val="clear" w:color="auto" w:fill="FFFFFF"/>
          <w:lang w:val="en-US" w:eastAsia="zh-CN"/>
        </w:rPr>
        <w:t>3</w:t>
      </w:r>
    </w:p>
    <w:p>
      <w:pPr>
        <w:pStyle w:val="37"/>
        <w:pageBreakBefore w:val="0"/>
        <w:kinsoku/>
        <w:wordWrap/>
        <w:overflowPunct/>
        <w:topLinePunct w:val="0"/>
        <w:bidi w:val="0"/>
        <w:adjustRightInd w:val="0"/>
        <w:snapToGrid w:val="0"/>
        <w:spacing w:line="353" w:lineRule="auto"/>
        <w:ind w:left="0" w:right="0"/>
        <w:jc w:val="center"/>
        <w:textAlignment w:val="auto"/>
        <w:rPr>
          <w:rFonts w:hint="default" w:ascii="Times New Roman" w:hAnsi="Times New Roman" w:eastAsia="方正小标宋简体" w:cs="Times New Roman"/>
          <w:color w:val="auto"/>
          <w:kern w:val="2"/>
          <w:sz w:val="32"/>
          <w:szCs w:val="32"/>
          <w:highlight w:val="none"/>
          <w:lang w:val="en-US" w:eastAsia="zh-CN"/>
        </w:rPr>
      </w:pPr>
      <w:r>
        <w:rPr>
          <w:rFonts w:hint="default" w:ascii="Times New Roman" w:hAnsi="Times New Roman" w:eastAsia="方正小标宋简体" w:cs="Times New Roman"/>
          <w:color w:val="auto"/>
          <w:kern w:val="2"/>
          <w:sz w:val="32"/>
          <w:szCs w:val="32"/>
          <w:highlight w:val="none"/>
          <w:lang w:val="en-US"/>
        </w:rPr>
        <w:t>202</w:t>
      </w:r>
      <w:r>
        <w:rPr>
          <w:rFonts w:hint="eastAsia" w:ascii="Times New Roman" w:hAnsi="Times New Roman" w:eastAsia="方正小标宋简体" w:cs="Times New Roman"/>
          <w:color w:val="auto"/>
          <w:kern w:val="2"/>
          <w:sz w:val="32"/>
          <w:szCs w:val="32"/>
          <w:highlight w:val="none"/>
          <w:lang w:val="en-US" w:eastAsia="zh-CN"/>
        </w:rPr>
        <w:t>2</w:t>
      </w:r>
      <w:r>
        <w:rPr>
          <w:rFonts w:hint="default" w:ascii="Times New Roman" w:hAnsi="Times New Roman" w:eastAsia="方正小标宋简体" w:cs="Times New Roman"/>
          <w:color w:val="auto"/>
          <w:kern w:val="2"/>
          <w:sz w:val="32"/>
          <w:szCs w:val="32"/>
          <w:highlight w:val="none"/>
          <w:lang w:val="en-US"/>
        </w:rPr>
        <w:t>年</w:t>
      </w:r>
      <w:r>
        <w:rPr>
          <w:rFonts w:hint="default" w:ascii="Times New Roman" w:hAnsi="Times New Roman" w:eastAsia="方正小标宋简体" w:cs="Times New Roman"/>
          <w:color w:val="auto"/>
          <w:kern w:val="2"/>
          <w:sz w:val="32"/>
          <w:szCs w:val="32"/>
          <w:highlight w:val="none"/>
          <w:lang w:val="en-US" w:eastAsia="zh-CN"/>
        </w:rPr>
        <w:t>雪亮工程及综治中心运维服务项目</w:t>
      </w:r>
    </w:p>
    <w:p>
      <w:pPr>
        <w:pStyle w:val="37"/>
        <w:pageBreakBefore w:val="0"/>
        <w:kinsoku/>
        <w:wordWrap/>
        <w:overflowPunct/>
        <w:topLinePunct w:val="0"/>
        <w:bidi w:val="0"/>
        <w:adjustRightInd w:val="0"/>
        <w:snapToGrid w:val="0"/>
        <w:spacing w:line="353" w:lineRule="auto"/>
        <w:ind w:left="0" w:right="0"/>
        <w:jc w:val="center"/>
        <w:textAlignment w:val="auto"/>
        <w:rPr>
          <w:rFonts w:hint="default" w:ascii="Times New Roman" w:hAnsi="Times New Roman" w:eastAsia="方正小标宋简体" w:cs="Times New Roman"/>
          <w:color w:val="auto"/>
          <w:kern w:val="2"/>
          <w:sz w:val="32"/>
          <w:szCs w:val="32"/>
          <w:highlight w:val="none"/>
          <w:lang w:val="en-US"/>
        </w:rPr>
      </w:pPr>
      <w:r>
        <w:rPr>
          <w:rFonts w:hint="default" w:ascii="Times New Roman" w:hAnsi="Times New Roman" w:eastAsia="方正小标宋简体" w:cs="Times New Roman"/>
          <w:color w:val="auto"/>
          <w:kern w:val="2"/>
          <w:sz w:val="32"/>
          <w:szCs w:val="32"/>
          <w:highlight w:val="none"/>
          <w:lang w:val="en-US"/>
        </w:rPr>
        <w:t>专项资金预算项目绩效自评报告</w:t>
      </w:r>
    </w:p>
    <w:p>
      <w:pPr>
        <w:pStyle w:val="37"/>
        <w:pageBreakBefore w:val="0"/>
        <w:kinsoku/>
        <w:wordWrap/>
        <w:overflowPunct/>
        <w:topLinePunct w:val="0"/>
        <w:bidi w:val="0"/>
        <w:adjustRightInd w:val="0"/>
        <w:snapToGrid w:val="0"/>
        <w:spacing w:line="353" w:lineRule="auto"/>
        <w:ind w:left="0" w:right="0" w:firstLine="640"/>
        <w:jc w:val="center"/>
        <w:textAlignment w:val="auto"/>
        <w:rPr>
          <w:rFonts w:hint="default" w:ascii="Times New Roman" w:hAnsi="Times New Roman" w:cs="Times New Roman"/>
          <w:color w:val="auto"/>
          <w:kern w:val="2"/>
          <w:sz w:val="32"/>
          <w:szCs w:val="32"/>
        </w:rPr>
      </w:pP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一、项目概况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（一）项目基本情况。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1．说明项目主管部门（单位）在该项目管理中的职能。</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lang w:eastAsia="zh-CN"/>
        </w:rPr>
        <w:t>保障全区高清视频监控探头正常运行，有效提升综治中心在治安防控、矛盾纠纷排查化解等方面的智能化水平。</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2．项目立项、资金申报的依据。</w:t>
      </w:r>
    </w:p>
    <w:p>
      <w:pPr>
        <w:pageBreakBefore w:val="0"/>
        <w:kinsoku/>
        <w:wordWrap/>
        <w:overflowPunct/>
        <w:topLinePunct w:val="0"/>
        <w:autoSpaceDE w:val="0"/>
        <w:bidi w:val="0"/>
        <w:spacing w:line="353" w:lineRule="auto"/>
        <w:ind w:firstLine="640" w:firstLineChars="200"/>
        <w:jc w:val="left"/>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sz w:val="32"/>
          <w:szCs w:val="32"/>
        </w:rPr>
        <w:t>项目由</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委政法委负责实施，</w:t>
      </w:r>
      <w:r>
        <w:rPr>
          <w:rFonts w:hint="default" w:ascii="Times New Roman" w:hAnsi="Times New Roman" w:eastAsia="方正仿宋_GBK" w:cs="Times New Roman"/>
          <w:color w:val="000000"/>
          <w:kern w:val="0"/>
          <w:sz w:val="33"/>
          <w:szCs w:val="33"/>
        </w:rPr>
        <w:t>按照</w:t>
      </w:r>
      <w:r>
        <w:rPr>
          <w:rFonts w:hint="default" w:ascii="Times New Roman" w:hAnsi="Times New Roman" w:eastAsia="方正仿宋_GBK" w:cs="Times New Roman"/>
          <w:color w:val="000000"/>
          <w:kern w:val="0"/>
          <w:sz w:val="33"/>
          <w:szCs w:val="33"/>
          <w:lang w:eastAsia="zh-CN"/>
        </w:rPr>
        <w:t>工作职责</w:t>
      </w:r>
      <w:r>
        <w:rPr>
          <w:rFonts w:hint="default" w:ascii="Times New Roman" w:hAnsi="Times New Roman" w:eastAsia="方正仿宋_GBK" w:cs="Times New Roman"/>
          <w:color w:val="000000"/>
          <w:kern w:val="0"/>
          <w:sz w:val="33"/>
          <w:szCs w:val="33"/>
        </w:rPr>
        <w:t>，</w:t>
      </w:r>
      <w:r>
        <w:rPr>
          <w:rFonts w:hint="default" w:ascii="Times New Roman" w:hAnsi="Times New Roman" w:eastAsia="方正仿宋_GBK" w:cs="Times New Roman"/>
          <w:color w:val="000000"/>
          <w:kern w:val="0"/>
          <w:sz w:val="33"/>
          <w:szCs w:val="33"/>
          <w:lang w:eastAsia="zh-CN"/>
        </w:rPr>
        <w:t>平安建设专项经费</w:t>
      </w:r>
      <w:r>
        <w:rPr>
          <w:rFonts w:hint="default" w:ascii="Times New Roman" w:hAnsi="Times New Roman" w:eastAsia="方正仿宋_GBK" w:cs="Times New Roman"/>
          <w:color w:val="000000"/>
          <w:kern w:val="0"/>
          <w:sz w:val="33"/>
          <w:szCs w:val="33"/>
        </w:rPr>
        <w:t>经费由</w:t>
      </w:r>
      <w:r>
        <w:rPr>
          <w:rFonts w:hint="default" w:ascii="Times New Roman" w:hAnsi="Times New Roman" w:eastAsia="方正仿宋_GBK" w:cs="Times New Roman"/>
          <w:color w:val="000000"/>
          <w:kern w:val="0"/>
          <w:sz w:val="33"/>
          <w:szCs w:val="33"/>
          <w:lang w:eastAsia="zh-CN"/>
        </w:rPr>
        <w:t>区</w:t>
      </w:r>
      <w:r>
        <w:rPr>
          <w:rFonts w:hint="default" w:ascii="Times New Roman" w:hAnsi="Times New Roman" w:eastAsia="方正仿宋_GBK" w:cs="Times New Roman"/>
          <w:color w:val="000000"/>
          <w:kern w:val="0"/>
          <w:sz w:val="33"/>
          <w:szCs w:val="33"/>
        </w:rPr>
        <w:t>级财政保障。</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3．资金管理办法制定情况，资金支持具体项目的条件、范围与支持方式概况。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资金按照规定</w:t>
      </w:r>
      <w:r>
        <w:rPr>
          <w:rFonts w:hint="default" w:ascii="Times New Roman" w:hAnsi="Times New Roman" w:eastAsia="方正仿宋_GBK" w:cs="Times New Roman"/>
          <w:sz w:val="32"/>
          <w:szCs w:val="32"/>
          <w:lang w:eastAsia="zh-CN"/>
        </w:rPr>
        <w:t>使用，主要用于</w:t>
      </w:r>
      <w:r>
        <w:rPr>
          <w:rFonts w:hint="default" w:ascii="Times New Roman" w:hAnsi="Times New Roman" w:eastAsia="方正仿宋_GBK" w:cs="Times New Roman"/>
          <w:sz w:val="32"/>
          <w:szCs w:val="32"/>
          <w:lang w:val="en-US" w:eastAsia="zh-CN"/>
        </w:rPr>
        <w:t>雪亮工程及综治中心运维服务</w:t>
      </w:r>
      <w:r>
        <w:rPr>
          <w:rFonts w:hint="default" w:ascii="Times New Roman" w:hAnsi="Times New Roman" w:eastAsia="方正仿宋_GBK" w:cs="Times New Roman"/>
          <w:sz w:val="32"/>
          <w:szCs w:val="32"/>
          <w:lang w:eastAsia="zh-CN"/>
        </w:rPr>
        <w:t>产生费用。</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4．资金分配的原则及考虑因素。</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严格按照文件规定内容据实核算、发放。</w:t>
      </w:r>
    </w:p>
    <w:p>
      <w:pPr>
        <w:pageBreakBefore w:val="0"/>
        <w:kinsoku/>
        <w:wordWrap/>
        <w:overflowPunct/>
        <w:topLinePunct w:val="0"/>
        <w:autoSpaceDE w:val="0"/>
        <w:autoSpaceDN w:val="0"/>
        <w:bidi w:val="0"/>
        <w:adjustRightInd w:val="0"/>
        <w:spacing w:line="353" w:lineRule="auto"/>
        <w:ind w:left="640"/>
        <w:jc w:val="left"/>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（二）项目绩效目标。</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结合市域社会治理现代化，构建全方位、智能化、立体化社会治安防控体系，完成三级综治中心建设，探索创新网格化服务管理工作</w:t>
      </w:r>
      <w:r>
        <w:rPr>
          <w:rFonts w:hint="default" w:ascii="Times New Roman" w:hAnsi="Times New Roman" w:eastAsia="仿宋_GB2312" w:cs="Times New Roman"/>
          <w:kern w:val="0"/>
          <w:sz w:val="32"/>
          <w:szCs w:val="32"/>
          <w:lang w:val="en-US" w:eastAsia="zh-CN"/>
        </w:rPr>
        <w:t>，有效夯实了社会治理、智能治理能力和水平。</w:t>
      </w:r>
    </w:p>
    <w:p>
      <w:pPr>
        <w:pageBreakBefore w:val="0"/>
        <w:kinsoku/>
        <w:wordWrap/>
        <w:overflowPunct/>
        <w:topLinePunct w:val="0"/>
        <w:bidi w:val="0"/>
        <w:adjustRightInd w:val="0"/>
        <w:snapToGrid w:val="0"/>
        <w:spacing w:line="353" w:lineRule="auto"/>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pStyle w:val="6"/>
        <w:pageBreakBefore w:val="0"/>
        <w:kinsoku/>
        <w:wordWrap/>
        <w:overflowPunct/>
        <w:topLinePunct w:val="0"/>
        <w:bidi w:val="0"/>
        <w:spacing w:before="93" w:line="353" w:lineRule="auto"/>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我委成立了以分管领导为组长的绩效自评领导小组，领导小组办公室设在办公室，负责牵头开展各项目绩效自评工作。自评小组依据专项资金绩效考评指标体系，对项目开展综合评分，全面考量项目实施程序的规范性、财务管理的合规性，以及项目执行率和目标绩效完成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黑体" w:cs="Times New Roman"/>
          <w:kern w:val="0"/>
          <w:sz w:val="32"/>
          <w:szCs w:val="32"/>
        </w:rPr>
        <w:t>二、项目资金申报及使用情况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（一）项目资金申报及批复情况。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按程序申报项目资金，并填报目标绩效表，财政审核下达指标到一体化平台。</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（二）资金计划、到位及使用情况。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1．资金计划。</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该项目为2021年实施，2022年下达资金资为</w:t>
      </w:r>
      <w:r>
        <w:rPr>
          <w:rFonts w:hint="default" w:ascii="Times New Roman" w:hAnsi="Times New Roman" w:eastAsia="方正仿宋_GBK" w:cs="Times New Roman"/>
          <w:sz w:val="32"/>
          <w:szCs w:val="32"/>
          <w:lang w:val="en-US" w:eastAsia="zh-CN"/>
        </w:rPr>
        <w:t>39.35</w:t>
      </w:r>
      <w:r>
        <w:rPr>
          <w:rFonts w:hint="default" w:ascii="Times New Roman" w:hAnsi="Times New Roman" w:eastAsia="方正仿宋_GBK" w:cs="Times New Roman"/>
          <w:sz w:val="32"/>
          <w:szCs w:val="32"/>
        </w:rPr>
        <w:t>万元。</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2．资金到位。</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该项目资金一体化下达预算指标</w:t>
      </w:r>
      <w:r>
        <w:rPr>
          <w:rFonts w:hint="default" w:ascii="Times New Roman" w:hAnsi="Times New Roman" w:eastAsia="方正仿宋_GBK" w:cs="Times New Roman"/>
          <w:sz w:val="32"/>
          <w:szCs w:val="32"/>
          <w:lang w:val="en-US" w:eastAsia="zh-CN"/>
        </w:rPr>
        <w:t>39.35万</w:t>
      </w:r>
      <w:r>
        <w:rPr>
          <w:rFonts w:hint="default" w:ascii="Times New Roman" w:hAnsi="Times New Roman" w:eastAsia="方正仿宋_GBK" w:cs="Times New Roman"/>
          <w:sz w:val="32"/>
          <w:szCs w:val="32"/>
        </w:rPr>
        <w:t>元。</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3．资金使用。</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全年实现支付</w:t>
      </w:r>
      <w:r>
        <w:rPr>
          <w:rFonts w:hint="default" w:ascii="Times New Roman" w:hAnsi="Times New Roman" w:eastAsia="方正仿宋_GBK" w:cs="Times New Roman"/>
          <w:sz w:val="32"/>
          <w:szCs w:val="32"/>
          <w:lang w:val="en-US" w:eastAsia="zh-CN"/>
        </w:rPr>
        <w:t>39.35</w:t>
      </w:r>
      <w:r>
        <w:rPr>
          <w:rFonts w:hint="default" w:ascii="Times New Roman" w:hAnsi="Times New Roman" w:eastAsia="方正仿宋_GBK" w:cs="Times New Roman"/>
          <w:sz w:val="32"/>
          <w:szCs w:val="32"/>
        </w:rPr>
        <w:t>万元，用于</w:t>
      </w:r>
      <w:r>
        <w:rPr>
          <w:rFonts w:hint="default" w:ascii="Times New Roman" w:hAnsi="Times New Roman" w:eastAsia="方正仿宋_GBK" w:cs="Times New Roman"/>
          <w:sz w:val="32"/>
          <w:szCs w:val="32"/>
          <w:lang w:val="en-US" w:eastAsia="zh-CN"/>
        </w:rPr>
        <w:t>2022年下半年雪亮工程及综治中心运维服务</w:t>
      </w:r>
      <w:r>
        <w:rPr>
          <w:rFonts w:hint="default" w:ascii="Times New Roman" w:hAnsi="Times New Roman" w:eastAsia="方正仿宋_GBK" w:cs="Times New Roman"/>
          <w:sz w:val="32"/>
          <w:szCs w:val="32"/>
        </w:rPr>
        <w:t>期间产生费用。</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（三）项目财务管理情况。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该项目单位财务管理制度健全，严格按照财务管理制度执行，坚持专款专用，不得虚报冒领、截留财政专项资金，确保专项资金高效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安全、规范运行。</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三、项目实施及管理情况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楷体_GB2312" w:cs="Times New Roman"/>
          <w:kern w:val="0"/>
          <w:sz w:val="32"/>
          <w:szCs w:val="32"/>
        </w:rPr>
        <w:t>（一）项目组织架构及实施流程。</w:t>
      </w:r>
      <w:r>
        <w:rPr>
          <w:rFonts w:hint="default" w:ascii="Times New Roman" w:hAnsi="Times New Roman" w:eastAsia="楷体_GB2312" w:cs="Times New Roman"/>
          <w:kern w:val="0"/>
          <w:sz w:val="32"/>
          <w:szCs w:val="32"/>
          <w:lang w:eastAsia="zh-CN"/>
        </w:rPr>
        <w:t>区</w:t>
      </w:r>
      <w:r>
        <w:rPr>
          <w:rFonts w:hint="default" w:ascii="Times New Roman" w:hAnsi="Times New Roman" w:eastAsia="方正仿宋_GBK" w:cs="Times New Roman"/>
          <w:sz w:val="32"/>
          <w:szCs w:val="32"/>
        </w:rPr>
        <w:t>委政法委专项资金项目由分管财务的领导项目负责人，分管领导及其他人员为工作人员，负责协调处理方面的各项工作。在项目实施时，项目资金管理严格按制度执行，如需会议纪要、实施方案、稳控措施、审核报告、办结报告等一系列文件，严格审批程序。</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（二）项目管理情况。</w:t>
      </w:r>
      <w:r>
        <w:rPr>
          <w:rFonts w:hint="default" w:ascii="Times New Roman" w:hAnsi="Times New Roman" w:eastAsia="方正仿宋_GBK" w:cs="Times New Roman"/>
          <w:sz w:val="32"/>
          <w:szCs w:val="32"/>
        </w:rPr>
        <w:t>项目过程中单位执行相关法律法规按照项目管理制度管理项目。</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楷体_GB2312" w:cs="Times New Roman"/>
          <w:kern w:val="0"/>
          <w:sz w:val="32"/>
          <w:szCs w:val="32"/>
        </w:rPr>
        <w:t>（三）项目监管情况。</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委政法委加强项目管理，严格执行相关财务管理规定，未发生违反财经纪律以及其他违规违纪的情况。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四、项目绩效情况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（一）项目完成情况。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维护全区“雪亮工程”高清视频监控探头，覆盖辖区6个镇（街道）、26个村（社区）。维护全区区级综治中心、6个镇（街道）综治中心、26个村（社区）综治中心，配备电脑、电视、电子显示大屏等设备。</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（二）项目效益情况。</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在治安防控、化解矛盾纠纷、森林草原防灭火、疫情防聚集等方面发挥着积极作用。协助公安机关破获盗抢、故意伤害等案件，全区刑事案件发案情况逐年下降</w:t>
      </w:r>
      <w:r>
        <w:rPr>
          <w:rFonts w:hint="default" w:ascii="Times New Roman" w:hAnsi="Times New Roman" w:eastAsia="方正仿宋_GBK" w:cs="Times New Roman"/>
          <w:sz w:val="32"/>
          <w:szCs w:val="32"/>
        </w:rPr>
        <w:t>。有效提升了综治中心智能化水平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持续提高辖区内群众满意度以及群众安全感</w:t>
      </w:r>
      <w:r>
        <w:rPr>
          <w:rFonts w:hint="default" w:ascii="Times New Roman" w:hAnsi="Times New Roman" w:eastAsia="方正仿宋_GBK" w:cs="Times New Roman"/>
          <w:sz w:val="32"/>
          <w:szCs w:val="32"/>
          <w:lang w:eastAsia="zh-CN"/>
        </w:rPr>
        <w:t>，为辖区营造良好和谐环境。</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五、评价结论及建议</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（一）评价结论。</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对照项目计划完成目标及资金支付情况，因财政支付压力，导致很多已完成项目资金未支付，项目绩效完成不理想。</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（二）存在的问题。</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财政支付压力，导致很多已完成项目资金未支付。</w:t>
      </w:r>
    </w:p>
    <w:p>
      <w:pPr>
        <w:pageBreakBefore w:val="0"/>
        <w:kinsoku/>
        <w:wordWrap/>
        <w:overflowPunct/>
        <w:topLinePunct w:val="0"/>
        <w:autoSpaceDE w:val="0"/>
        <w:autoSpaceDN w:val="0"/>
        <w:bidi w:val="0"/>
        <w:adjustRightInd w:val="0"/>
        <w:spacing w:line="353" w:lineRule="auto"/>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（三）相关建议。</w:t>
      </w:r>
    </w:p>
    <w:p>
      <w:pPr>
        <w:pageBreakBefore w:val="0"/>
        <w:widowControl/>
        <w:kinsoku/>
        <w:wordWrap/>
        <w:overflowPunct/>
        <w:topLinePunct w:val="0"/>
        <w:bidi w:val="0"/>
        <w:adjustRightInd w:val="0"/>
        <w:snapToGrid w:val="0"/>
        <w:spacing w:line="353" w:lineRule="auto"/>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加大支付力度，尽量安排已发生且易导致涉诉风险费用支付。</w:t>
      </w:r>
    </w:p>
    <w:p>
      <w:pPr>
        <w:pStyle w:val="6"/>
        <w:pageBreakBefore w:val="0"/>
        <w:kinsoku/>
        <w:wordWrap/>
        <w:overflowPunct/>
        <w:topLinePunct w:val="0"/>
        <w:bidi w:val="0"/>
        <w:adjustRightInd w:val="0"/>
        <w:snapToGrid w:val="0"/>
        <w:spacing w:beforeLines="0" w:line="353" w:lineRule="auto"/>
        <w:ind w:left="0" w:right="0"/>
        <w:textAlignment w:val="auto"/>
        <w:outlineLvl w:val="1"/>
        <w:rPr>
          <w:rFonts w:hint="default" w:ascii="Times New Roman" w:hAnsi="Times New Roman" w:cs="Times New Roman"/>
          <w:sz w:val="32"/>
          <w:szCs w:val="32"/>
          <w:shd w:val="clear" w:color="auto" w:fill="FFFFFF"/>
          <w:lang w:val="zh-CN"/>
        </w:rPr>
      </w:pP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sz w:val="32"/>
          <w:szCs w:val="32"/>
        </w:rPr>
      </w:pPr>
    </w:p>
    <w:p>
      <w:pPr>
        <w:pStyle w:val="6"/>
        <w:pageBreakBefore w:val="0"/>
        <w:kinsoku/>
        <w:wordWrap/>
        <w:overflowPunct/>
        <w:topLinePunct w:val="0"/>
        <w:bidi w:val="0"/>
        <w:adjustRightInd w:val="0"/>
        <w:snapToGrid w:val="0"/>
        <w:spacing w:beforeLines="0" w:line="353" w:lineRule="auto"/>
        <w:ind w:left="0" w:right="0"/>
        <w:textAlignment w:val="auto"/>
        <w:outlineLvl w:val="1"/>
        <w:rPr>
          <w:rFonts w:hint="default" w:ascii="Times New Roman" w:hAnsi="Times New Roman" w:cs="Times New Roman"/>
          <w:sz w:val="32"/>
          <w:szCs w:val="32"/>
          <w:shd w:val="clear" w:color="auto" w:fill="FFFFFF"/>
          <w:lang w:val="zh-CN"/>
        </w:rPr>
      </w:pPr>
      <w:r>
        <w:rPr>
          <w:rFonts w:hint="default" w:ascii="Times New Roman" w:hAnsi="Times New Roman" w:cs="Times New Roman"/>
          <w:b/>
          <w:sz w:val="44"/>
          <w:szCs w:val="44"/>
        </w:rPr>
        <w:br w:type="page"/>
      </w:r>
    </w:p>
    <w:p>
      <w:pPr>
        <w:pageBreakBefore w:val="0"/>
        <w:kinsoku/>
        <w:wordWrap/>
        <w:overflowPunct/>
        <w:topLinePunct w:val="0"/>
        <w:bidi w:val="0"/>
        <w:adjustRightInd w:val="0"/>
        <w:snapToGrid w:val="0"/>
        <w:spacing w:line="353" w:lineRule="auto"/>
        <w:ind w:left="0" w:right="0"/>
        <w:jc w:val="center"/>
        <w:textAlignment w:val="auto"/>
        <w:outlineLvl w:val="0"/>
        <w:rPr>
          <w:rStyle w:val="31"/>
          <w:rFonts w:hint="default" w:ascii="Times New Roman" w:hAnsi="Times New Roman" w:eastAsia="黑体" w:cs="Times New Roman"/>
          <w:b w:val="0"/>
        </w:rPr>
      </w:pPr>
      <w:bookmarkStart w:id="89" w:name="_Toc13884"/>
      <w:bookmarkStart w:id="90" w:name="_Toc15396618"/>
      <w:r>
        <w:rPr>
          <w:rFonts w:hint="default" w:ascii="Times New Roman" w:hAnsi="Times New Roman" w:eastAsia="黑体" w:cs="Times New Roman"/>
          <w:sz w:val="44"/>
          <w:szCs w:val="44"/>
        </w:rPr>
        <w:t>第</w:t>
      </w:r>
      <w:r>
        <w:rPr>
          <w:rStyle w:val="31"/>
          <w:rFonts w:hint="default" w:ascii="Times New Roman" w:hAnsi="Times New Roman" w:eastAsia="黑体" w:cs="Times New Roman"/>
          <w:b w:val="0"/>
        </w:rPr>
        <w:t>五部分 附表</w:t>
      </w:r>
      <w:bookmarkEnd w:id="80"/>
      <w:bookmarkEnd w:id="89"/>
      <w:bookmarkEnd w:id="90"/>
      <w:bookmarkStart w:id="91" w:name="_Toc15396619"/>
    </w:p>
    <w:p>
      <w:pPr>
        <w:pStyle w:val="2"/>
        <w:pageBreakBefore w:val="0"/>
        <w:kinsoku/>
        <w:wordWrap/>
        <w:overflowPunct/>
        <w:topLinePunct w:val="0"/>
        <w:bidi w:val="0"/>
        <w:spacing w:line="353" w:lineRule="auto"/>
        <w:textAlignment w:val="auto"/>
        <w:rPr>
          <w:rFonts w:hint="default"/>
        </w:rPr>
      </w:pPr>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92" w:name="_Toc18339"/>
      <w:r>
        <w:rPr>
          <w:rFonts w:hint="default" w:ascii="Times New Roman" w:hAnsi="Times New Roman" w:eastAsia="仿宋" w:cs="Times New Roman"/>
          <w:b w:val="0"/>
        </w:rPr>
        <w:t>一、收</w:t>
      </w:r>
      <w:r>
        <w:rPr>
          <w:rStyle w:val="32"/>
          <w:rFonts w:hint="default" w:ascii="Times New Roman" w:hAnsi="Times New Roman" w:eastAsia="仿宋" w:cs="Times New Roman"/>
          <w:b w:val="0"/>
          <w:bCs w:val="0"/>
        </w:rPr>
        <w:t>入支出决算总表</w:t>
      </w:r>
      <w:bookmarkEnd w:id="91"/>
      <w:bookmarkEnd w:id="92"/>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93" w:name="_Toc15396620"/>
      <w:bookmarkStart w:id="94" w:name="_Toc28108"/>
      <w:r>
        <w:rPr>
          <w:rFonts w:hint="default" w:ascii="Times New Roman" w:hAnsi="Times New Roman" w:eastAsia="仿宋" w:cs="Times New Roman"/>
          <w:b w:val="0"/>
        </w:rPr>
        <w:t>二、收</w:t>
      </w:r>
      <w:r>
        <w:rPr>
          <w:rStyle w:val="32"/>
          <w:rFonts w:hint="default" w:ascii="Times New Roman" w:hAnsi="Times New Roman" w:eastAsia="仿宋" w:cs="Times New Roman"/>
          <w:b w:val="0"/>
          <w:bCs w:val="0"/>
        </w:rPr>
        <w:t>入决算表</w:t>
      </w:r>
      <w:bookmarkEnd w:id="93"/>
      <w:bookmarkEnd w:id="94"/>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95" w:name="_Toc932"/>
      <w:bookmarkStart w:id="96" w:name="_Toc15396621"/>
      <w:r>
        <w:rPr>
          <w:rStyle w:val="32"/>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32"/>
          <w:rFonts w:hint="default" w:ascii="Times New Roman" w:hAnsi="Times New Roman" w:eastAsia="仿宋" w:cs="Times New Roman"/>
          <w:b w:val="0"/>
          <w:bCs w:val="0"/>
        </w:rPr>
        <w:t>出决算表</w:t>
      </w:r>
      <w:bookmarkEnd w:id="95"/>
      <w:bookmarkEnd w:id="96"/>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b w:val="0"/>
        </w:rPr>
      </w:pPr>
      <w:bookmarkStart w:id="97" w:name="_Toc15396622"/>
      <w:bookmarkStart w:id="98" w:name="_Toc8915"/>
      <w:r>
        <w:rPr>
          <w:rStyle w:val="32"/>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政拨款收入支出决算总表</w:t>
      </w:r>
      <w:bookmarkEnd w:id="97"/>
      <w:bookmarkEnd w:id="98"/>
    </w:p>
    <w:p>
      <w:pPr>
        <w:pStyle w:val="4"/>
        <w:pageBreakBefore w:val="0"/>
        <w:kinsoku/>
        <w:wordWrap/>
        <w:overflowPunct/>
        <w:topLinePunct w:val="0"/>
        <w:bidi w:val="0"/>
        <w:adjustRightInd w:val="0"/>
        <w:snapToGrid w:val="0"/>
        <w:spacing w:before="0" w:after="0" w:line="353" w:lineRule="auto"/>
        <w:ind w:left="0" w:right="0"/>
        <w:textAlignment w:val="auto"/>
        <w:rPr>
          <w:rStyle w:val="32"/>
          <w:rFonts w:hint="default" w:ascii="Times New Roman" w:hAnsi="Times New Roman" w:eastAsia="仿宋" w:cs="Times New Roman"/>
          <w:b w:val="0"/>
          <w:bCs w:val="0"/>
        </w:rPr>
      </w:pPr>
      <w:bookmarkStart w:id="99" w:name="_Toc15396623"/>
      <w:bookmarkStart w:id="100" w:name="_Toc30223"/>
      <w:r>
        <w:rPr>
          <w:rStyle w:val="32"/>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政拨款支出决算明细表</w:t>
      </w:r>
      <w:bookmarkEnd w:id="99"/>
      <w:bookmarkEnd w:id="100"/>
      <w:bookmarkStart w:id="101" w:name="_Toc15396624"/>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102" w:name="_Toc12594"/>
      <w:r>
        <w:rPr>
          <w:rStyle w:val="32"/>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般公共预算财政拨款支出决算表</w:t>
      </w:r>
      <w:bookmarkEnd w:id="101"/>
      <w:bookmarkEnd w:id="102"/>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103" w:name="_Toc19377"/>
      <w:bookmarkStart w:id="104" w:name="_Toc15396625"/>
      <w:r>
        <w:rPr>
          <w:rStyle w:val="32"/>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般公共预算财政拨款支出决算明细表</w:t>
      </w:r>
      <w:bookmarkEnd w:id="103"/>
      <w:bookmarkEnd w:id="104"/>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105" w:name="_Toc15396626"/>
      <w:bookmarkStart w:id="106" w:name="_Toc6443"/>
      <w:r>
        <w:rPr>
          <w:rStyle w:val="32"/>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般公共预算财政拨款基本支出决算表</w:t>
      </w:r>
      <w:bookmarkEnd w:id="105"/>
      <w:bookmarkEnd w:id="106"/>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107" w:name="_Toc15396627"/>
      <w:bookmarkStart w:id="108" w:name="_Toc6089"/>
      <w:r>
        <w:rPr>
          <w:rStyle w:val="32"/>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般公共预算财政拨款项目支出决算表</w:t>
      </w:r>
      <w:bookmarkEnd w:id="107"/>
      <w:bookmarkEnd w:id="108"/>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109" w:name="_Toc15396628"/>
      <w:bookmarkStart w:id="110" w:name="_Toc27899"/>
      <w:r>
        <w:rPr>
          <w:rStyle w:val="32"/>
          <w:rFonts w:hint="default" w:ascii="Times New Roman" w:hAnsi="Times New Roman" w:eastAsia="仿宋" w:cs="Times New Roman"/>
          <w:b w:val="0"/>
          <w:bCs w:val="0"/>
        </w:rPr>
        <w:t>十、</w:t>
      </w:r>
      <w:bookmarkEnd w:id="109"/>
      <w:r>
        <w:rPr>
          <w:rFonts w:hint="default" w:ascii="Times New Roman" w:hAnsi="Times New Roman" w:eastAsia="仿宋" w:cs="Times New Roman"/>
          <w:b w:val="0"/>
        </w:rPr>
        <w:t>政</w:t>
      </w:r>
      <w:r>
        <w:rPr>
          <w:rStyle w:val="32"/>
          <w:rFonts w:hint="default" w:ascii="Times New Roman" w:hAnsi="Times New Roman" w:eastAsia="仿宋" w:cs="Times New Roman"/>
          <w:b w:val="0"/>
          <w:bCs w:val="0"/>
        </w:rPr>
        <w:t>府性基金预算财政拨款收入支出决算表</w:t>
      </w:r>
      <w:bookmarkEnd w:id="110"/>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111" w:name="_Toc15396629"/>
      <w:bookmarkStart w:id="112" w:name="_Toc10160"/>
      <w:r>
        <w:rPr>
          <w:rStyle w:val="32"/>
          <w:rFonts w:hint="default" w:ascii="Times New Roman" w:hAnsi="Times New Roman" w:eastAsia="仿宋" w:cs="Times New Roman"/>
          <w:b w:val="0"/>
          <w:bCs w:val="0"/>
        </w:rPr>
        <w:t>十一、</w:t>
      </w:r>
      <w:bookmarkEnd w:id="111"/>
      <w:r>
        <w:rPr>
          <w:rFonts w:hint="default" w:ascii="Times New Roman" w:hAnsi="Times New Roman" w:eastAsia="仿宋" w:cs="Times New Roman"/>
          <w:b w:val="0"/>
        </w:rPr>
        <w:t>国</w:t>
      </w:r>
      <w:r>
        <w:rPr>
          <w:rStyle w:val="32"/>
          <w:rFonts w:hint="default" w:ascii="Times New Roman" w:hAnsi="Times New Roman" w:eastAsia="仿宋" w:cs="Times New Roman"/>
          <w:b w:val="0"/>
          <w:bCs w:val="0"/>
        </w:rPr>
        <w:t>有资本经营预算财政拨款收入支出决算表</w:t>
      </w:r>
      <w:bookmarkEnd w:id="112"/>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113" w:name="_Toc15396630"/>
      <w:bookmarkStart w:id="114" w:name="_Toc99"/>
      <w:r>
        <w:rPr>
          <w:rStyle w:val="32"/>
          <w:rFonts w:hint="default" w:ascii="Times New Roman" w:hAnsi="Times New Roman" w:eastAsia="仿宋" w:cs="Times New Roman"/>
          <w:b w:val="0"/>
          <w:bCs w:val="0"/>
        </w:rPr>
        <w:t>十二、</w:t>
      </w:r>
      <w:bookmarkEnd w:id="113"/>
      <w:r>
        <w:rPr>
          <w:rStyle w:val="32"/>
          <w:rFonts w:hint="default" w:ascii="Times New Roman" w:hAnsi="Times New Roman" w:eastAsia="仿宋" w:cs="Times New Roman"/>
          <w:b w:val="0"/>
          <w:bCs w:val="0"/>
        </w:rPr>
        <w:t>国有资本经营预算财政拨款支出决算表</w:t>
      </w:r>
      <w:bookmarkEnd w:id="114"/>
    </w:p>
    <w:p>
      <w:pPr>
        <w:pStyle w:val="4"/>
        <w:pageBreakBefore w:val="0"/>
        <w:kinsoku/>
        <w:wordWrap/>
        <w:overflowPunct/>
        <w:topLinePunct w:val="0"/>
        <w:bidi w:val="0"/>
        <w:adjustRightInd w:val="0"/>
        <w:snapToGrid w:val="0"/>
        <w:spacing w:before="0" w:after="0" w:line="353" w:lineRule="auto"/>
        <w:ind w:left="0" w:right="0"/>
        <w:textAlignment w:val="auto"/>
        <w:rPr>
          <w:rFonts w:hint="default" w:ascii="Times New Roman" w:hAnsi="Times New Roman" w:eastAsia="仿宋" w:cs="Times New Roman"/>
        </w:rPr>
      </w:pPr>
      <w:bookmarkStart w:id="115" w:name="_Toc15396631"/>
      <w:bookmarkStart w:id="116" w:name="_Toc29893"/>
      <w:r>
        <w:rPr>
          <w:rStyle w:val="32"/>
          <w:rFonts w:hint="default" w:ascii="Times New Roman" w:hAnsi="Times New Roman" w:eastAsia="仿宋" w:cs="Times New Roman"/>
          <w:b w:val="0"/>
          <w:bCs w:val="0"/>
        </w:rPr>
        <w:t>十三、</w:t>
      </w:r>
      <w:bookmarkEnd w:id="115"/>
      <w:r>
        <w:rPr>
          <w:rStyle w:val="32"/>
          <w:rFonts w:hint="default" w:ascii="Times New Roman" w:hAnsi="Times New Roman" w:eastAsia="仿宋" w:cs="Times New Roman"/>
          <w:b w:val="0"/>
          <w:bCs w:val="0"/>
        </w:rPr>
        <w:t>财政拨款“三公”经费支出决算表</w:t>
      </w:r>
      <w:bookmarkEnd w:id="11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36</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iYmQwZWRkM2Y5NDNiNDY1ZTFiYWQxMWYzNjkyYTcifQ=="/>
  </w:docVars>
  <w:rsids>
    <w:rsidRoot w:val="00F1361C"/>
    <w:rsid w:val="0000573B"/>
    <w:rsid w:val="000222C6"/>
    <w:rsid w:val="0002549F"/>
    <w:rsid w:val="000468DB"/>
    <w:rsid w:val="0006487A"/>
    <w:rsid w:val="00065F8F"/>
    <w:rsid w:val="00070A43"/>
    <w:rsid w:val="000768F2"/>
    <w:rsid w:val="00083E69"/>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7D4"/>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8492E"/>
    <w:rsid w:val="00294DC9"/>
    <w:rsid w:val="00295495"/>
    <w:rsid w:val="002A31DE"/>
    <w:rsid w:val="002B2613"/>
    <w:rsid w:val="002D6D05"/>
    <w:rsid w:val="002F1818"/>
    <w:rsid w:val="002F4DC0"/>
    <w:rsid w:val="002F567B"/>
    <w:rsid w:val="003216A9"/>
    <w:rsid w:val="00335A74"/>
    <w:rsid w:val="0036561B"/>
    <w:rsid w:val="0036665D"/>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1B80"/>
    <w:rsid w:val="00525E15"/>
    <w:rsid w:val="005664BB"/>
    <w:rsid w:val="00566FFA"/>
    <w:rsid w:val="0057481D"/>
    <w:rsid w:val="0058486E"/>
    <w:rsid w:val="00585B33"/>
    <w:rsid w:val="00586F76"/>
    <w:rsid w:val="0059014D"/>
    <w:rsid w:val="005B5C64"/>
    <w:rsid w:val="005B67C6"/>
    <w:rsid w:val="005C5337"/>
    <w:rsid w:val="005C6BD0"/>
    <w:rsid w:val="005D1C8B"/>
    <w:rsid w:val="005D468D"/>
    <w:rsid w:val="005D5CED"/>
    <w:rsid w:val="005D7D8C"/>
    <w:rsid w:val="005E2B09"/>
    <w:rsid w:val="005F034F"/>
    <w:rsid w:val="005F1A4C"/>
    <w:rsid w:val="005F7F56"/>
    <w:rsid w:val="00605688"/>
    <w:rsid w:val="006070AF"/>
    <w:rsid w:val="00607E6C"/>
    <w:rsid w:val="006101B1"/>
    <w:rsid w:val="00614E44"/>
    <w:rsid w:val="0062270A"/>
    <w:rsid w:val="00622830"/>
    <w:rsid w:val="00623DA0"/>
    <w:rsid w:val="00630AEF"/>
    <w:rsid w:val="006325F8"/>
    <w:rsid w:val="00633463"/>
    <w:rsid w:val="00634C9A"/>
    <w:rsid w:val="006424CF"/>
    <w:rsid w:val="006440E4"/>
    <w:rsid w:val="00660348"/>
    <w:rsid w:val="0066343B"/>
    <w:rsid w:val="00664777"/>
    <w:rsid w:val="0067280B"/>
    <w:rsid w:val="006748A4"/>
    <w:rsid w:val="00681A31"/>
    <w:rsid w:val="00683E73"/>
    <w:rsid w:val="006A3141"/>
    <w:rsid w:val="006A5E34"/>
    <w:rsid w:val="006B2422"/>
    <w:rsid w:val="006B2B9A"/>
    <w:rsid w:val="006C029B"/>
    <w:rsid w:val="006C1937"/>
    <w:rsid w:val="006F020C"/>
    <w:rsid w:val="007063D2"/>
    <w:rsid w:val="0071071A"/>
    <w:rsid w:val="007127B7"/>
    <w:rsid w:val="0071798E"/>
    <w:rsid w:val="007416B6"/>
    <w:rsid w:val="00746F48"/>
    <w:rsid w:val="0075404D"/>
    <w:rsid w:val="0076182A"/>
    <w:rsid w:val="00767B7E"/>
    <w:rsid w:val="007770C3"/>
    <w:rsid w:val="00784D24"/>
    <w:rsid w:val="00785FBA"/>
    <w:rsid w:val="00786E4A"/>
    <w:rsid w:val="007875EB"/>
    <w:rsid w:val="007925E1"/>
    <w:rsid w:val="0079426B"/>
    <w:rsid w:val="007C332C"/>
    <w:rsid w:val="007D1682"/>
    <w:rsid w:val="007D312A"/>
    <w:rsid w:val="007D3F19"/>
    <w:rsid w:val="007E23B0"/>
    <w:rsid w:val="007E23E5"/>
    <w:rsid w:val="007F1991"/>
    <w:rsid w:val="007F2C2F"/>
    <w:rsid w:val="007F55FC"/>
    <w:rsid w:val="007F5665"/>
    <w:rsid w:val="00800112"/>
    <w:rsid w:val="008012DE"/>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FF"/>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0676"/>
    <w:rsid w:val="00A56DF2"/>
    <w:rsid w:val="00A56E6E"/>
    <w:rsid w:val="00A67AB5"/>
    <w:rsid w:val="00A733B2"/>
    <w:rsid w:val="00A741C2"/>
    <w:rsid w:val="00A91760"/>
    <w:rsid w:val="00A93B00"/>
    <w:rsid w:val="00A93C21"/>
    <w:rsid w:val="00AB64C9"/>
    <w:rsid w:val="00AC3C6A"/>
    <w:rsid w:val="00AC79DB"/>
    <w:rsid w:val="00AD44C0"/>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52B"/>
    <w:rsid w:val="00B77EA6"/>
    <w:rsid w:val="00B81598"/>
    <w:rsid w:val="00B841F1"/>
    <w:rsid w:val="00B854DA"/>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4145D"/>
    <w:rsid w:val="00D51276"/>
    <w:rsid w:val="00D53133"/>
    <w:rsid w:val="00D65A13"/>
    <w:rsid w:val="00D7035F"/>
    <w:rsid w:val="00D95577"/>
    <w:rsid w:val="00DA634F"/>
    <w:rsid w:val="00DA65AC"/>
    <w:rsid w:val="00DB1913"/>
    <w:rsid w:val="00DC410D"/>
    <w:rsid w:val="00DC4B63"/>
    <w:rsid w:val="00DC5A81"/>
    <w:rsid w:val="00DC68CA"/>
    <w:rsid w:val="00DC7CBA"/>
    <w:rsid w:val="00DD1833"/>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747EB"/>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2EFC"/>
    <w:rsid w:val="00F2408F"/>
    <w:rsid w:val="00F240E9"/>
    <w:rsid w:val="00F36D8F"/>
    <w:rsid w:val="00F417B1"/>
    <w:rsid w:val="00F45853"/>
    <w:rsid w:val="00F5721D"/>
    <w:rsid w:val="00F602DF"/>
    <w:rsid w:val="00F754A1"/>
    <w:rsid w:val="00F81FD9"/>
    <w:rsid w:val="00F841AA"/>
    <w:rsid w:val="00F84A94"/>
    <w:rsid w:val="00F87E96"/>
    <w:rsid w:val="00FA23E8"/>
    <w:rsid w:val="00FD3683"/>
    <w:rsid w:val="00FD3CC1"/>
    <w:rsid w:val="00FF1E02"/>
    <w:rsid w:val="00FF30B4"/>
    <w:rsid w:val="015975B8"/>
    <w:rsid w:val="01CB578C"/>
    <w:rsid w:val="02143E91"/>
    <w:rsid w:val="066E0107"/>
    <w:rsid w:val="07996F6E"/>
    <w:rsid w:val="0A2032A3"/>
    <w:rsid w:val="0F98263C"/>
    <w:rsid w:val="101860EC"/>
    <w:rsid w:val="10C055FF"/>
    <w:rsid w:val="118107EC"/>
    <w:rsid w:val="13D50BC4"/>
    <w:rsid w:val="16BB723D"/>
    <w:rsid w:val="1BE8440E"/>
    <w:rsid w:val="1D155CEE"/>
    <w:rsid w:val="1EC7098C"/>
    <w:rsid w:val="1FF35744"/>
    <w:rsid w:val="21865149"/>
    <w:rsid w:val="23860B96"/>
    <w:rsid w:val="239D3210"/>
    <w:rsid w:val="23BD0067"/>
    <w:rsid w:val="240371BF"/>
    <w:rsid w:val="25654805"/>
    <w:rsid w:val="29FD04D3"/>
    <w:rsid w:val="2C8A61B5"/>
    <w:rsid w:val="2CD72C76"/>
    <w:rsid w:val="2DF04E50"/>
    <w:rsid w:val="2F040D46"/>
    <w:rsid w:val="2F1464CC"/>
    <w:rsid w:val="2F4B3654"/>
    <w:rsid w:val="319F7F4E"/>
    <w:rsid w:val="3304709D"/>
    <w:rsid w:val="358D33A2"/>
    <w:rsid w:val="36AA5135"/>
    <w:rsid w:val="376D39B2"/>
    <w:rsid w:val="37865210"/>
    <w:rsid w:val="37E16F03"/>
    <w:rsid w:val="387A4724"/>
    <w:rsid w:val="38D469F0"/>
    <w:rsid w:val="3D98207C"/>
    <w:rsid w:val="3E78745D"/>
    <w:rsid w:val="40652462"/>
    <w:rsid w:val="41766CF7"/>
    <w:rsid w:val="44A55A6E"/>
    <w:rsid w:val="44E268DA"/>
    <w:rsid w:val="4A627F82"/>
    <w:rsid w:val="4B0E749A"/>
    <w:rsid w:val="4B4F25DA"/>
    <w:rsid w:val="4BE068DB"/>
    <w:rsid w:val="4C667B27"/>
    <w:rsid w:val="4D577224"/>
    <w:rsid w:val="4E854C54"/>
    <w:rsid w:val="4EAB630A"/>
    <w:rsid w:val="4ECE2238"/>
    <w:rsid w:val="52CD24EF"/>
    <w:rsid w:val="537E6D0A"/>
    <w:rsid w:val="55543A94"/>
    <w:rsid w:val="56CC541F"/>
    <w:rsid w:val="56D84026"/>
    <w:rsid w:val="5AF92295"/>
    <w:rsid w:val="5CD71FC4"/>
    <w:rsid w:val="5F514918"/>
    <w:rsid w:val="6037173E"/>
    <w:rsid w:val="6566406B"/>
    <w:rsid w:val="685A0835"/>
    <w:rsid w:val="6C4A05C8"/>
    <w:rsid w:val="6D8276B5"/>
    <w:rsid w:val="6E2758FC"/>
    <w:rsid w:val="6E3D3B5A"/>
    <w:rsid w:val="6E7E3605"/>
    <w:rsid w:val="6FF5CC65"/>
    <w:rsid w:val="70C7542B"/>
    <w:rsid w:val="715C0E4B"/>
    <w:rsid w:val="71925FA1"/>
    <w:rsid w:val="726D7172"/>
    <w:rsid w:val="72734D90"/>
    <w:rsid w:val="73AD73D5"/>
    <w:rsid w:val="73B6EB34"/>
    <w:rsid w:val="744731E5"/>
    <w:rsid w:val="76E3355F"/>
    <w:rsid w:val="76F2517E"/>
    <w:rsid w:val="778769C8"/>
    <w:rsid w:val="79EE5BA4"/>
    <w:rsid w:val="7A894339"/>
    <w:rsid w:val="7EE22C35"/>
    <w:rsid w:val="7EEF11D3"/>
    <w:rsid w:val="7F6B4004"/>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Salutation"/>
    <w:basedOn w:val="1"/>
    <w:next w:val="1"/>
    <w:link w:val="54"/>
    <w:unhideWhenUsed/>
    <w:qFormat/>
    <w:uiPriority w:val="99"/>
  </w:style>
  <w:style w:type="paragraph" w:styleId="6">
    <w:name w:val="Body Text"/>
    <w:basedOn w:val="1"/>
    <w:link w:val="28"/>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3"/>
    <w:qFormat/>
    <w:uiPriority w:val="0"/>
    <w:rPr>
      <w:rFonts w:ascii="仿宋_GB2312" w:eastAsia="仿宋_GB2312"/>
      <w:spacing w:val="-70"/>
      <w:sz w:val="32"/>
      <w:szCs w:val="32"/>
    </w:rPr>
  </w:style>
  <w:style w:type="paragraph" w:styleId="10">
    <w:name w:val="Balloon Text"/>
    <w:basedOn w:val="1"/>
    <w:link w:val="34"/>
    <w:unhideWhenUsed/>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spacing w:beforeAutospacing="1" w:afterAutospacing="1"/>
      <w:jc w:val="left"/>
    </w:pPr>
    <w:rPr>
      <w:kern w:val="0"/>
      <w:sz w:val="24"/>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unhideWhenUsed/>
    <w:qFormat/>
    <w:uiPriority w:val="99"/>
    <w:rPr>
      <w:color w:val="954F72"/>
      <w:u w:val="single"/>
    </w:rPr>
  </w:style>
  <w:style w:type="character" w:styleId="21">
    <w:name w:val="Hyperlink"/>
    <w:basedOn w:val="18"/>
    <w:unhideWhenUsed/>
    <w:qFormat/>
    <w:uiPriority w:val="99"/>
    <w:rPr>
      <w:color w:val="0000FF" w:themeColor="hyperlink"/>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列出段落1"/>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纯文本 Char"/>
    <w:basedOn w:val="18"/>
    <w:link w:val="9"/>
    <w:qFormat/>
    <w:uiPriority w:val="0"/>
    <w:rPr>
      <w:rFonts w:ascii="仿宋_GB2312" w:hAnsi="Times New Roman" w:eastAsia="仿宋_GB2312" w:cs="Times New Roman"/>
      <w:spacing w:val="-70"/>
      <w:kern w:val="2"/>
      <w:sz w:val="32"/>
      <w:szCs w:val="32"/>
    </w:rPr>
  </w:style>
  <w:style w:type="character" w:customStyle="1" w:styleId="54">
    <w:name w:val="称呼 Char"/>
    <w:basedOn w:val="18"/>
    <w:link w:val="2"/>
    <w:qFormat/>
    <w:uiPriority w:val="99"/>
    <w:rPr>
      <w:rFonts w:ascii="Times New Roman" w:hAnsi="Times New Roman" w:eastAsia="宋体" w:cs="Times New Roman"/>
      <w:kern w:val="2"/>
      <w:sz w:val="21"/>
      <w:szCs w:val="24"/>
    </w:rPr>
  </w:style>
  <w:style w:type="paragraph" w:customStyle="1" w:styleId="55">
    <w:name w:val="WPSOffice手动目录 1"/>
    <w:qFormat/>
    <w:uiPriority w:val="0"/>
    <w:pPr>
      <w:ind w:leftChars="0"/>
    </w:pPr>
    <w:rPr>
      <w:rFonts w:asciiTheme="minorHAnsi" w:hAnsiTheme="minorHAnsi" w:eastAsiaTheme="minorEastAsia" w:cstheme="minorBidi"/>
      <w:sz w:val="20"/>
      <w:szCs w:val="20"/>
    </w:rPr>
  </w:style>
  <w:style w:type="paragraph" w:customStyle="1" w:styleId="56">
    <w:name w:val="WPSOffice手动目录 2"/>
    <w:qFormat/>
    <w:uiPriority w:val="0"/>
    <w:pPr>
      <w:ind w:leftChars="200"/>
    </w:pPr>
    <w:rPr>
      <w:rFonts w:asciiTheme="minorHAnsi" w:hAnsiTheme="minorHAnsi" w:eastAsiaTheme="minorEastAsia" w:cstheme="minorBidi"/>
      <w:sz w:val="20"/>
      <w:szCs w:val="20"/>
    </w:rPr>
  </w:style>
  <w:style w:type="paragraph" w:customStyle="1" w:styleId="57">
    <w:name w:val="_Style 5"/>
    <w:qFormat/>
    <w:uiPriority w:val="99"/>
    <w:pPr>
      <w:widowControl w:val="0"/>
      <w:ind w:firstLine="200" w:firstLineChars="200"/>
      <w:jc w:val="both"/>
    </w:pPr>
    <w:rPr>
      <w:rFonts w:hint="eastAsia"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A9A9-DAF3-453D-96D6-C444C688745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2116</Words>
  <Characters>12064</Characters>
  <Lines>100</Lines>
  <Paragraphs>28</Paragraphs>
  <TotalTime>6</TotalTime>
  <ScaleCrop>false</ScaleCrop>
  <LinksUpToDate>false</LinksUpToDate>
  <CharactersWithSpaces>14152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2023-10-27T01:40:00Z</cp:lastPrinted>
  <dcterms:modified xsi:type="dcterms:W3CDTF">2024-05-21T03:09:50Z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423AE45F2EA74D15BDF760A36EB3D5FE_12</vt:lpwstr>
  </property>
</Properties>
</file>