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bookmarkStart w:id="1" w:name="_Toc15377193"/>
      <w:bookmarkStart w:id="2" w:name="_Toc15396597"/>
      <w:bookmarkStart w:id="3" w:name="_Toc15377425"/>
      <w:bookmarkStart w:id="4" w:name="_Toc15378441"/>
      <w:bookmarkStart w:id="5" w:name="_Toc15396475"/>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5"/>
      <w:bookmarkStart w:id="6" w:name="_Toc15377194"/>
      <w:bookmarkStart w:id="7" w:name="_Toc15306268"/>
      <w:bookmarkStart w:id="8" w:name="_Toc15378442"/>
      <w:bookmarkStart w:id="9" w:name="_Toc15396598"/>
      <w:bookmarkStart w:id="10" w:name="_Toc15377426"/>
      <w:bookmarkStart w:id="11" w:name="_Toc15396476"/>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攀枝花市西区工商业联合会部门决算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公开时间：2023年10月2</w:t>
      </w:r>
      <w:r>
        <w:rPr>
          <w:rFonts w:hint="eastAsia"/>
          <w:lang w:val="en-US" w:eastAsia="zh-CN"/>
        </w:rPr>
        <w:t>5</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第一部分部门概况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rPr>
        <w:t>5</w:t>
      </w:r>
    </w:p>
    <w:p>
      <w:pPr>
        <w:pStyle w:val="12"/>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10</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11</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12</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12</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其他重要事项的情况说明......................................12</w:t>
      </w:r>
    </w:p>
    <w:p>
      <w:pPr>
        <w:pStyle w:val="12"/>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14</w:t>
      </w:r>
    </w:p>
    <w:p>
      <w:pPr>
        <w:pStyle w:val="12"/>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hint="eastAsia" w:cstheme="minorBidi"/>
          <w:sz w:val="24"/>
        </w:rPr>
        <w:t>17</w:t>
      </w:r>
    </w:p>
    <w:p>
      <w:pPr>
        <w:pStyle w:val="12"/>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29</w:t>
      </w:r>
    </w:p>
    <w:p>
      <w:pPr>
        <w:pStyle w:val="13"/>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29</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rPr>
        <w:tab/>
      </w:r>
      <w:r>
        <w:rPr>
          <w:rFonts w:hint="eastAsia" w:cstheme="minorBidi"/>
          <w:sz w:val="24"/>
        </w:rPr>
        <w:t>29</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4"/>
        <w:numPr>
          <w:ilvl w:val="0"/>
          <w:numId w:val="1"/>
        </w:numPr>
        <w:rPr>
          <w:rFonts w:ascii="黑体" w:hAnsi="黑体" w:eastAsia="黑体"/>
          <w:b w:val="0"/>
        </w:rPr>
      </w:pPr>
      <w:r>
        <w:rPr>
          <w:rFonts w:hint="eastAsia" w:ascii="黑体" w:hAnsi="黑体" w:eastAsia="黑体"/>
          <w:b w:val="0"/>
        </w:rPr>
        <w:t>部门职责</w:t>
      </w:r>
    </w:p>
    <w:p>
      <w:pPr>
        <w:rPr>
          <w:rFonts w:ascii="仿宋" w:hAnsi="仿宋" w:eastAsia="仿宋"/>
          <w:sz w:val="32"/>
          <w:szCs w:val="32"/>
        </w:rPr>
      </w:pPr>
      <w:r>
        <w:rPr>
          <w:rFonts w:hint="eastAsia" w:ascii="仿宋" w:hAnsi="仿宋" w:eastAsia="仿宋"/>
          <w:sz w:val="32"/>
          <w:szCs w:val="32"/>
        </w:rPr>
        <w:t>（1）参与区委、区政府大政方针及政治、经济、社会生活中的重要问题的政治协商，发挥民主监督作用，参政议政。</w:t>
      </w:r>
    </w:p>
    <w:p>
      <w:pPr>
        <w:pStyle w:val="2"/>
        <w:spacing w:before="93"/>
        <w:rPr>
          <w:rFonts w:ascii="仿宋" w:hAnsi="仿宋" w:eastAsia="仿宋"/>
          <w:kern w:val="2"/>
          <w:sz w:val="32"/>
          <w:szCs w:val="32"/>
        </w:rPr>
      </w:pPr>
      <w:r>
        <w:rPr>
          <w:rFonts w:hint="eastAsia" w:ascii="仿宋" w:hAnsi="仿宋" w:eastAsia="仿宋"/>
          <w:kern w:val="2"/>
          <w:sz w:val="32"/>
          <w:szCs w:val="32"/>
        </w:rPr>
        <w:t>（2）</w:t>
      </w:r>
      <w:r>
        <w:rPr>
          <w:rFonts w:hint="eastAsia" w:ascii="仿宋" w:hAnsi="仿宋" w:eastAsia="仿宋"/>
          <w:color w:val="000000"/>
          <w:sz w:val="32"/>
          <w:szCs w:val="32"/>
        </w:rPr>
        <w:t>引导会员积极参加国家经济建设，推动社会主义市场经济体制逐步完善，促进社会全面发展。</w:t>
      </w:r>
    </w:p>
    <w:p>
      <w:pPr>
        <w:pStyle w:val="2"/>
        <w:spacing w:before="93"/>
        <w:rPr>
          <w:rFonts w:ascii="仿宋" w:hAnsi="仿宋" w:eastAsia="仿宋"/>
          <w:kern w:val="2"/>
          <w:sz w:val="32"/>
          <w:szCs w:val="32"/>
        </w:rPr>
      </w:pPr>
      <w:r>
        <w:rPr>
          <w:rFonts w:hint="eastAsia" w:ascii="仿宋" w:hAnsi="仿宋" w:eastAsia="仿宋"/>
          <w:kern w:val="2"/>
          <w:sz w:val="32"/>
          <w:szCs w:val="32"/>
        </w:rPr>
        <w:t>（3）</w:t>
      </w:r>
      <w:r>
        <w:rPr>
          <w:rFonts w:hint="eastAsia" w:ascii="仿宋" w:hAnsi="仿宋" w:eastAsia="仿宋"/>
          <w:color w:val="000000"/>
          <w:sz w:val="32"/>
          <w:szCs w:val="32"/>
        </w:rPr>
        <w:t>做好工商界代表人士政治安排的推荐工作。</w:t>
      </w:r>
    </w:p>
    <w:p>
      <w:pPr>
        <w:pStyle w:val="2"/>
        <w:spacing w:before="93"/>
        <w:rPr>
          <w:rFonts w:ascii="仿宋" w:hAnsi="仿宋" w:eastAsia="仿宋"/>
          <w:kern w:val="2"/>
          <w:sz w:val="32"/>
          <w:szCs w:val="32"/>
        </w:rPr>
      </w:pPr>
      <w:r>
        <w:rPr>
          <w:rFonts w:hint="eastAsia" w:ascii="仿宋" w:hAnsi="仿宋" w:eastAsia="仿宋"/>
          <w:kern w:val="2"/>
          <w:sz w:val="32"/>
          <w:szCs w:val="32"/>
        </w:rPr>
        <w:t>（4）</w:t>
      </w:r>
      <w:r>
        <w:rPr>
          <w:rFonts w:hint="eastAsia" w:ascii="仿宋" w:hAnsi="仿宋" w:eastAsia="仿宋"/>
          <w:color w:val="000000"/>
          <w:sz w:val="32"/>
          <w:szCs w:val="32"/>
        </w:rPr>
        <w:t>指导同业公会和行业商会等专业组织的工作。</w:t>
      </w:r>
    </w:p>
    <w:p>
      <w:pPr>
        <w:spacing w:line="353" w:lineRule="auto"/>
        <w:rPr>
          <w:rFonts w:ascii="仿宋" w:hAnsi="仿宋" w:eastAsia="仿宋"/>
          <w:color w:val="000000"/>
          <w:sz w:val="32"/>
          <w:szCs w:val="32"/>
        </w:rPr>
      </w:pPr>
      <w:r>
        <w:rPr>
          <w:rFonts w:hint="eastAsia" w:ascii="仿宋" w:hAnsi="仿宋" w:eastAsia="仿宋"/>
          <w:sz w:val="32"/>
          <w:szCs w:val="32"/>
        </w:rPr>
        <w:t>（5）</w:t>
      </w:r>
      <w:r>
        <w:rPr>
          <w:rFonts w:hint="eastAsia" w:ascii="仿宋" w:hAnsi="仿宋" w:eastAsia="仿宋"/>
          <w:color w:val="000000"/>
          <w:sz w:val="32"/>
          <w:szCs w:val="32"/>
        </w:rPr>
        <w:t>发扬自我教育的优良传统，宣传、贯彻党和国家的方针政策，加强和改进思想政治工作，坚持对广大会员进行团结、帮助、引导、教育，促进非公有制经济健康发展，提倡爱国、敬业、守法，提高会员素质。</w:t>
      </w:r>
    </w:p>
    <w:p>
      <w:pPr>
        <w:spacing w:line="353" w:lineRule="auto"/>
        <w:rPr>
          <w:rFonts w:ascii="仿宋" w:hAnsi="仿宋" w:eastAsia="仿宋"/>
          <w:color w:val="000000"/>
          <w:sz w:val="32"/>
          <w:szCs w:val="32"/>
        </w:rPr>
      </w:pPr>
      <w:r>
        <w:rPr>
          <w:rFonts w:hint="eastAsia" w:ascii="仿宋" w:hAnsi="仿宋" w:eastAsia="仿宋"/>
          <w:sz w:val="32"/>
          <w:szCs w:val="32"/>
        </w:rPr>
        <w:t>（6）</w:t>
      </w:r>
      <w:r>
        <w:rPr>
          <w:rFonts w:hint="eastAsia" w:ascii="仿宋" w:hAnsi="仿宋" w:eastAsia="仿宋"/>
          <w:color w:val="000000"/>
          <w:sz w:val="32"/>
          <w:szCs w:val="32"/>
        </w:rPr>
        <w:t>代表并维护会员的合法权益，反映会员的意见、要求和建议为会员提供有关证明，协调关系，参与调解经济纠纷。</w:t>
      </w:r>
    </w:p>
    <w:p>
      <w:pPr>
        <w:pStyle w:val="2"/>
        <w:spacing w:before="93"/>
        <w:rPr>
          <w:rFonts w:ascii="仿宋" w:hAnsi="仿宋" w:eastAsia="仿宋"/>
          <w:kern w:val="2"/>
          <w:sz w:val="32"/>
          <w:szCs w:val="32"/>
        </w:rPr>
      </w:pPr>
      <w:r>
        <w:rPr>
          <w:rFonts w:hint="eastAsia" w:ascii="仿宋" w:hAnsi="仿宋" w:eastAsia="仿宋"/>
          <w:kern w:val="2"/>
          <w:sz w:val="32"/>
          <w:szCs w:val="32"/>
        </w:rPr>
        <w:t>（7）</w:t>
      </w:r>
      <w:r>
        <w:rPr>
          <w:rFonts w:hint="eastAsia" w:ascii="仿宋" w:hAnsi="仿宋" w:eastAsia="仿宋"/>
          <w:color w:val="000000"/>
          <w:sz w:val="32"/>
          <w:szCs w:val="32"/>
        </w:rPr>
        <w:t>引导会员把自身企业的发展与国家发展结合起来，把个人富裕与全体人民的共同富裕结合起来，把遵守市场规则与发扬社会主义道德结合起来，弘扬中华民族传统，先富帮后富，走共同富裕的道路，热心社会公益事业，积极参加扶贫光彩事业。</w:t>
      </w:r>
    </w:p>
    <w:p>
      <w:pPr>
        <w:pStyle w:val="2"/>
        <w:spacing w:before="93"/>
        <w:rPr>
          <w:rFonts w:ascii="仿宋" w:hAnsi="仿宋" w:eastAsia="仿宋"/>
          <w:kern w:val="2"/>
          <w:sz w:val="32"/>
          <w:szCs w:val="32"/>
        </w:rPr>
      </w:pPr>
      <w:bookmarkStart w:id="14" w:name="_Toc15396601"/>
      <w:bookmarkStart w:id="15" w:name="_Toc15377200"/>
      <w:r>
        <w:rPr>
          <w:rFonts w:hint="eastAsia" w:ascii="仿宋" w:hAnsi="仿宋" w:eastAsia="仿宋"/>
          <w:kern w:val="2"/>
          <w:sz w:val="32"/>
          <w:szCs w:val="32"/>
        </w:rPr>
        <w:t>（8）</w:t>
      </w:r>
      <w:r>
        <w:rPr>
          <w:rFonts w:hint="eastAsia" w:ascii="仿宋" w:hAnsi="仿宋" w:eastAsia="仿宋"/>
          <w:color w:val="000000"/>
          <w:sz w:val="32"/>
          <w:szCs w:val="32"/>
        </w:rPr>
        <w:t>为会员提供信息、培训、科技、管理、法律、会计、审计、融资、咨询等服务，帮助会员改进经营管理、完善财务制度，照章纳税，提高自身素质和生产技术、产品质量等。</w:t>
      </w:r>
    </w:p>
    <w:p>
      <w:pPr>
        <w:pStyle w:val="2"/>
        <w:spacing w:before="93"/>
        <w:rPr>
          <w:rFonts w:ascii="仿宋" w:hAnsi="仿宋" w:eastAsia="仿宋"/>
          <w:kern w:val="2"/>
          <w:sz w:val="32"/>
          <w:szCs w:val="32"/>
        </w:rPr>
      </w:pPr>
      <w:r>
        <w:rPr>
          <w:rFonts w:hint="eastAsia" w:ascii="仿宋" w:hAnsi="仿宋" w:eastAsia="仿宋"/>
          <w:kern w:val="2"/>
          <w:sz w:val="32"/>
          <w:szCs w:val="32"/>
        </w:rPr>
        <w:t>（9）</w:t>
      </w:r>
      <w:r>
        <w:rPr>
          <w:rFonts w:hint="eastAsia" w:ascii="仿宋" w:hAnsi="仿宋" w:eastAsia="仿宋"/>
          <w:color w:val="000000"/>
          <w:sz w:val="32"/>
          <w:szCs w:val="32"/>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w:t>
      </w:r>
    </w:p>
    <w:p>
      <w:pPr>
        <w:pStyle w:val="2"/>
        <w:spacing w:before="93"/>
        <w:rPr>
          <w:rFonts w:ascii="仿宋" w:hAnsi="仿宋" w:eastAsia="仿宋"/>
          <w:kern w:val="2"/>
          <w:sz w:val="32"/>
          <w:szCs w:val="32"/>
        </w:rPr>
      </w:pPr>
      <w:r>
        <w:rPr>
          <w:rFonts w:hint="eastAsia" w:ascii="仿宋" w:hAnsi="仿宋" w:eastAsia="仿宋"/>
          <w:kern w:val="2"/>
          <w:sz w:val="32"/>
          <w:szCs w:val="32"/>
        </w:rPr>
        <w:t>（10）</w:t>
      </w:r>
      <w:r>
        <w:rPr>
          <w:rFonts w:hint="eastAsia" w:ascii="仿宋" w:hAnsi="仿宋" w:eastAsia="仿宋"/>
          <w:color w:val="000000"/>
          <w:sz w:val="32"/>
          <w:szCs w:val="32"/>
        </w:rPr>
        <w:t>承办政府交办和有关部门委托事。</w:t>
      </w:r>
    </w:p>
    <w:p>
      <w:pPr>
        <w:pStyle w:val="4"/>
        <w:rPr>
          <w:rFonts w:ascii="仿宋" w:hAnsi="仿宋" w:eastAsia="仿宋" w:cs="Times New Roman"/>
        </w:rPr>
      </w:pPr>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rPr>
        <w:t>西区工商联下属二级预算单位0个，其中行政单位0个，参照公务员法管理的事业单位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纳入西区工商联无2022年度部门决算编制范围的二级预算单位。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Fonts w:ascii="黑体" w:hAnsi="黑体" w:eastAsia="黑体"/>
          <w:b w:val="0"/>
        </w:rPr>
      </w:pPr>
      <w:bookmarkStart w:id="16" w:name="_Toc15377204"/>
      <w:bookmarkStart w:id="17" w:name="_Toc15396602"/>
      <w:r>
        <w:rPr>
          <w:rFonts w:hint="eastAsia" w:ascii="黑体" w:hAnsi="黑体" w:eastAsia="黑体"/>
          <w:b w:val="0"/>
        </w:rPr>
        <w:t>第二部分 2022年度</w:t>
      </w:r>
      <w:r>
        <w:rPr>
          <w:rStyle w:val="29"/>
          <w:rFonts w:hint="eastAsia" w:ascii="黑体" w:hAnsi="黑体" w:eastAsia="黑体"/>
          <w:b w:val="0"/>
          <w:bCs/>
        </w:rPr>
        <w:t>部门决算情况说明</w:t>
      </w:r>
      <w:bookmarkEnd w:id="16"/>
      <w:bookmarkEnd w:id="17"/>
    </w:p>
    <w:p>
      <w:pPr>
        <w:pStyle w:val="28"/>
        <w:numPr>
          <w:ilvl w:val="0"/>
          <w:numId w:val="2"/>
        </w:numPr>
        <w:spacing w:line="600" w:lineRule="exact"/>
        <w:ind w:firstLineChars="0"/>
        <w:outlineLvl w:val="1"/>
        <w:rPr>
          <w:rStyle w:val="30"/>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2022年度收、支总计100.17万元。与2021年相比，收、支总计各增加2.42万元，增长2.47</w:t>
      </w:r>
      <w:r>
        <w:rPr>
          <w:rFonts w:ascii="仿宋" w:hAnsi="仿宋" w:eastAsia="仿宋"/>
          <w:sz w:val="32"/>
          <w:szCs w:val="32"/>
        </w:rPr>
        <w:t>%</w:t>
      </w:r>
      <w:r>
        <w:rPr>
          <w:rFonts w:hint="eastAsia" w:ascii="仿宋" w:hAnsi="仿宋" w:eastAsia="仿宋"/>
          <w:sz w:val="32"/>
          <w:szCs w:val="32"/>
        </w:rPr>
        <w:t>。主要变动原因是增加换届选举工作项目支出。</w:t>
      </w:r>
    </w:p>
    <w:p>
      <w:pPr>
        <w:widowControl/>
        <w:jc w:val="left"/>
        <w:rPr>
          <w:rFonts w:ascii="宋体" w:hAnsi="宋体" w:cs="宋体"/>
          <w:kern w:val="0"/>
          <w:sz w:val="24"/>
        </w:rPr>
      </w:pPr>
      <w:r>
        <w:rPr>
          <w:rFonts w:ascii="宋体" w:hAnsi="宋体" w:cs="宋体"/>
          <w:kern w:val="0"/>
          <w:sz w:val="24"/>
        </w:rPr>
        <w:drawing>
          <wp:inline distT="0" distB="0" distL="0" distR="0">
            <wp:extent cx="3733800" cy="2619375"/>
            <wp:effectExtent l="19050" t="0" r="0" b="0"/>
            <wp:docPr id="1" name="图片 1" descr="C:\Users\Administrator\AppData\Roaming\Tencent\Users\248301485\QQ\WinTemp\RichOle\B__M[L1NM3[G9{QN}LJZG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48301485\QQ\WinTemp\RichOle\B__M[L1NM3[G9{QN}LJZGFO.png"/>
                    <pic:cNvPicPr>
                      <a:picLocks noChangeAspect="1" noChangeArrowheads="1"/>
                    </pic:cNvPicPr>
                  </pic:nvPicPr>
                  <pic:blipFill>
                    <a:blip r:embed="rId6"/>
                    <a:srcRect/>
                    <a:stretch>
                      <a:fillRect/>
                    </a:stretch>
                  </pic:blipFill>
                  <pic:spPr>
                    <a:xfrm>
                      <a:off x="0" y="0"/>
                      <a:ext cx="3733800" cy="26193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8"/>
        <w:numPr>
          <w:ilvl w:val="0"/>
          <w:numId w:val="2"/>
        </w:numPr>
        <w:spacing w:line="600" w:lineRule="exact"/>
        <w:ind w:firstLineChars="0"/>
        <w:outlineLvl w:val="1"/>
        <w:rPr>
          <w:rStyle w:val="30"/>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22年本年收入合计100.17万元，其中：一般公共预算财政拨款收入89万元，占88.85</w:t>
      </w:r>
      <w:r>
        <w:rPr>
          <w:rFonts w:ascii="仿宋" w:hAnsi="仿宋" w:eastAsia="仿宋"/>
          <w:sz w:val="32"/>
          <w:szCs w:val="32"/>
        </w:rPr>
        <w:t>%</w:t>
      </w:r>
      <w:r>
        <w:rPr>
          <w:rFonts w:hint="eastAsia" w:ascii="仿宋" w:hAnsi="仿宋" w:eastAsia="仿宋"/>
          <w:sz w:val="32"/>
          <w:szCs w:val="32"/>
        </w:rPr>
        <w:t>；政府性基金预算财政拨款收入11.17万元，占11.15</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3714750" cy="2619375"/>
            <wp:effectExtent l="19050" t="0" r="0" b="0"/>
            <wp:docPr id="3" name="图片 3" descr="C:\Users\Administrator\AppData\Roaming\Tencent\Users\248301485\QQ\WinTemp\RichOle\LJXSM07HHR`]J17XQCGTOZ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LJXSM07HHR`]J17XQCGTOZL.png"/>
                    <pic:cNvPicPr>
                      <a:picLocks noChangeAspect="1" noChangeArrowheads="1"/>
                    </pic:cNvPicPr>
                  </pic:nvPicPr>
                  <pic:blipFill>
                    <a:blip r:embed="rId7"/>
                    <a:srcRect/>
                    <a:stretch>
                      <a:fillRect/>
                    </a:stretch>
                  </pic:blipFill>
                  <pic:spPr>
                    <a:xfrm>
                      <a:off x="0" y="0"/>
                      <a:ext cx="3714750" cy="26193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8"/>
        <w:numPr>
          <w:ilvl w:val="0"/>
          <w:numId w:val="2"/>
        </w:numPr>
        <w:spacing w:line="600" w:lineRule="exact"/>
        <w:ind w:firstLineChars="0"/>
        <w:outlineLvl w:val="1"/>
        <w:rPr>
          <w:rStyle w:val="30"/>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22年本年支出合计100.17万元，其中：基本支出89万元，占88.85</w:t>
      </w:r>
      <w:r>
        <w:rPr>
          <w:rFonts w:ascii="仿宋" w:hAnsi="仿宋" w:eastAsia="仿宋"/>
          <w:sz w:val="32"/>
          <w:szCs w:val="32"/>
        </w:rPr>
        <w:t>%</w:t>
      </w:r>
      <w:r>
        <w:rPr>
          <w:rFonts w:hint="eastAsia" w:ascii="仿宋" w:hAnsi="仿宋" w:eastAsia="仿宋"/>
          <w:sz w:val="32"/>
          <w:szCs w:val="32"/>
        </w:rPr>
        <w:t>；项目支出11.17万元，占11.15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3552825" cy="2667000"/>
            <wp:effectExtent l="19050" t="0" r="9525" b="0"/>
            <wp:docPr id="5" name="图片 5" descr="C:\Users\Administrator\AppData\Roaming\Tencent\Users\248301485\QQ\WinTemp\RichOle\DG28_E@4J@F_@)S%WUEO~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48301485\QQ\WinTemp\RichOle\DG28_E@4J@F_@)S%WUEO~35.png"/>
                    <pic:cNvPicPr>
                      <a:picLocks noChangeAspect="1" noChangeArrowheads="1"/>
                    </pic:cNvPicPr>
                  </pic:nvPicPr>
                  <pic:blipFill>
                    <a:blip r:embed="rId8"/>
                    <a:srcRect/>
                    <a:stretch>
                      <a:fillRect/>
                    </a:stretch>
                  </pic:blipFill>
                  <pic:spPr>
                    <a:xfrm>
                      <a:off x="0" y="0"/>
                      <a:ext cx="3552825" cy="266700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0"/>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22年财政拨款收、支总计100.17万元。与</w:t>
      </w:r>
      <w:r>
        <w:rPr>
          <w:rFonts w:ascii="仿宋" w:hAnsi="仿宋" w:eastAsia="仿宋"/>
          <w:sz w:val="32"/>
          <w:szCs w:val="32"/>
        </w:rPr>
        <w:t>20</w:t>
      </w:r>
      <w:r>
        <w:rPr>
          <w:rFonts w:hint="eastAsia" w:ascii="仿宋" w:hAnsi="仿宋" w:eastAsia="仿宋"/>
          <w:sz w:val="32"/>
          <w:szCs w:val="32"/>
        </w:rPr>
        <w:t>21年相比，财政拨款收、支总计各增加2.42万元，增长2.47</w:t>
      </w:r>
      <w:r>
        <w:rPr>
          <w:rFonts w:ascii="仿宋" w:hAnsi="仿宋" w:eastAsia="仿宋"/>
          <w:sz w:val="32"/>
          <w:szCs w:val="32"/>
        </w:rPr>
        <w:t>%</w:t>
      </w:r>
      <w:r>
        <w:rPr>
          <w:rFonts w:hint="eastAsia" w:ascii="仿宋" w:hAnsi="仿宋" w:eastAsia="仿宋"/>
          <w:sz w:val="32"/>
          <w:szCs w:val="32"/>
        </w:rPr>
        <w:t>。主要变动原因是增加换届选举工作项目支出。</w:t>
      </w:r>
    </w:p>
    <w:p>
      <w:pPr>
        <w:widowControl/>
        <w:jc w:val="left"/>
        <w:rPr>
          <w:rFonts w:ascii="宋体" w:hAnsi="宋体" w:cs="宋体"/>
          <w:kern w:val="0"/>
          <w:sz w:val="24"/>
        </w:rPr>
      </w:pPr>
      <w:r>
        <w:rPr>
          <w:rFonts w:ascii="宋体" w:hAnsi="宋体" w:cs="宋体"/>
          <w:kern w:val="0"/>
          <w:sz w:val="24"/>
        </w:rPr>
        <w:drawing>
          <wp:inline distT="0" distB="0" distL="0" distR="0">
            <wp:extent cx="3876675" cy="2314575"/>
            <wp:effectExtent l="19050" t="0" r="9525" b="0"/>
            <wp:docPr id="7" name="图片 7" descr="C:\Users\Administrator\AppData\Roaming\Tencent\Users\248301485\QQ\WinTemp\RichOle\31W[EBF9AOSI(@B3UO_G(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48301485\QQ\WinTemp\RichOle\31W[EBF9AOSI(@B3UO_G(GI.png"/>
                    <pic:cNvPicPr>
                      <a:picLocks noChangeAspect="1" noChangeArrowheads="1"/>
                    </pic:cNvPicPr>
                  </pic:nvPicPr>
                  <pic:blipFill>
                    <a:blip r:embed="rId9"/>
                    <a:srcRect/>
                    <a:stretch>
                      <a:fillRect/>
                    </a:stretch>
                  </pic:blipFill>
                  <pic:spPr>
                    <a:xfrm>
                      <a:off x="0" y="0"/>
                      <a:ext cx="3876675" cy="23145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0"/>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22年一般公共预算财政拨款支出89万元，占本年支出合计的88.85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21年相比，一般公共预算财政拨款支出减少4.37万元，下降4.9</w:t>
      </w:r>
      <w:r>
        <w:rPr>
          <w:rFonts w:ascii="仿宋" w:hAnsi="仿宋" w:eastAsia="仿宋"/>
          <w:sz w:val="32"/>
          <w:szCs w:val="32"/>
        </w:rPr>
        <w:t>%</w:t>
      </w:r>
      <w:r>
        <w:rPr>
          <w:rFonts w:hint="eastAsia" w:ascii="仿宋" w:hAnsi="仿宋" w:eastAsia="仿宋"/>
          <w:sz w:val="32"/>
          <w:szCs w:val="32"/>
        </w:rPr>
        <w:t>。主要变动原因是本年度项目经费一般公共预算财政拨款减少。</w:t>
      </w:r>
    </w:p>
    <w:p>
      <w:pPr>
        <w:widowControl/>
        <w:jc w:val="left"/>
        <w:rPr>
          <w:rFonts w:ascii="宋体" w:hAnsi="宋体" w:cs="宋体"/>
          <w:kern w:val="0"/>
          <w:sz w:val="24"/>
        </w:rPr>
      </w:pPr>
      <w:r>
        <w:rPr>
          <w:rFonts w:ascii="宋体" w:hAnsi="宋体" w:cs="宋体"/>
          <w:kern w:val="0"/>
          <w:sz w:val="24"/>
        </w:rPr>
        <w:drawing>
          <wp:inline distT="0" distB="0" distL="0" distR="0">
            <wp:extent cx="3248025" cy="2371725"/>
            <wp:effectExtent l="19050" t="0" r="9525" b="0"/>
            <wp:docPr id="9" name="图片 9" descr="C:\Users\Administrator\AppData\Roaming\Tencent\Users\248301485\QQ\WinTemp\RichOle\0B6%K)]{QPS2CC[L7S$@X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248301485\QQ\WinTemp\RichOle\0B6%K)]{QPS2CC[L7S$@XJQ.png"/>
                    <pic:cNvPicPr>
                      <a:picLocks noChangeAspect="1" noChangeArrowheads="1"/>
                    </pic:cNvPicPr>
                  </pic:nvPicPr>
                  <pic:blipFill>
                    <a:blip r:embed="rId10"/>
                    <a:srcRect/>
                    <a:stretch>
                      <a:fillRect/>
                    </a:stretch>
                  </pic:blipFill>
                  <pic:spPr>
                    <a:xfrm>
                      <a:off x="0" y="0"/>
                      <a:ext cx="3248025" cy="23717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22年一般公共预算财政拨款支出89万元，主要用于以下方面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70.25万元，占78.93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7.22万元，占8.11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4.34万元，占4.88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7.19万元，占8.08</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4048125" cy="2286000"/>
            <wp:effectExtent l="19050" t="0" r="9525" b="0"/>
            <wp:docPr id="11" name="图片 11" descr="C:\Users\Administrator\AppData\Roaming\Tencent\Users\248301485\QQ\WinTemp\RichOle\SSA9ASQO50O5]7142]E~`J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248301485\QQ\WinTemp\RichOle\SSA9ASQO50O5]7142]E~`JW.png"/>
                    <pic:cNvPicPr>
                      <a:picLocks noChangeAspect="1" noChangeArrowheads="1"/>
                    </pic:cNvPicPr>
                  </pic:nvPicPr>
                  <pic:blipFill>
                    <a:blip r:embed="rId11"/>
                    <a:srcRect/>
                    <a:stretch>
                      <a:fillRect/>
                    </a:stretch>
                  </pic:blipFill>
                  <pic:spPr>
                    <a:xfrm>
                      <a:off x="0" y="0"/>
                      <a:ext cx="4048125" cy="228600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2022年一般公共预算支出决算数为89</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一般公共服务（类）民主党派及工商联事务（款）行政运行（项）</w:t>
      </w:r>
      <w:r>
        <w:rPr>
          <w:rStyle w:val="17"/>
          <w:rFonts w:ascii="仿宋" w:hAnsi="仿宋" w:eastAsia="仿宋"/>
          <w:bCs/>
          <w:sz w:val="32"/>
          <w:szCs w:val="32"/>
        </w:rPr>
        <w:t>:</w:t>
      </w:r>
      <w:r>
        <w:rPr>
          <w:rStyle w:val="17"/>
          <w:rFonts w:hint="eastAsia" w:ascii="仿宋" w:hAnsi="仿宋" w:eastAsia="仿宋"/>
          <w:b w:val="0"/>
          <w:bCs/>
          <w:sz w:val="32"/>
          <w:szCs w:val="32"/>
        </w:rPr>
        <w:t>支出决算为70.25万元，完成预算100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社会保障和就业支出（类）行政事业单位养老支出（款）行政单位离退休（项）</w:t>
      </w:r>
      <w:r>
        <w:rPr>
          <w:rStyle w:val="17"/>
          <w:rFonts w:ascii="仿宋" w:hAnsi="仿宋" w:eastAsia="仿宋"/>
          <w:bCs/>
          <w:sz w:val="32"/>
          <w:szCs w:val="32"/>
        </w:rPr>
        <w:t>:</w:t>
      </w:r>
      <w:r>
        <w:rPr>
          <w:rStyle w:val="17"/>
          <w:rFonts w:hint="eastAsia" w:ascii="仿宋" w:hAnsi="仿宋" w:eastAsia="仿宋"/>
          <w:b w:val="0"/>
          <w:bCs/>
          <w:sz w:val="32"/>
          <w:szCs w:val="32"/>
        </w:rPr>
        <w:t>支出决算为1.63万元，完成预算100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支出决算为5.6万元，完成预算100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卫生健康支出（类）行政事业单位医疗（款）行政单位医疗（项）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支出决算为3.9万元，完成预算100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卫生健康支出（类）行政事业单位医疗（款）公务员医疗补助（项）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支出决算为0.44万元，完成预算100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Cs/>
          <w:sz w:val="32"/>
          <w:szCs w:val="32"/>
        </w:rPr>
      </w:pPr>
      <w:r>
        <w:rPr>
          <w:rStyle w:val="17"/>
          <w:rFonts w:ascii="仿宋" w:hAnsi="仿宋" w:eastAsia="仿宋"/>
          <w:bCs/>
          <w:sz w:val="32"/>
          <w:szCs w:val="32"/>
        </w:rPr>
        <w:t>6.</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支出决算为7.19万元，完成预算100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30"/>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4"/>
      <w:bookmarkEnd w:id="35"/>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22年一般公共预算财政拨款基本支出89万元，其中：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82.43万元，主要包括：基本工资19.76万元、津贴补贴34.91万元、奖金1.7万元、机关事业单位基本养老保险缴费5.6万元、职工基本医疗保险缴费3.9万元、公务员医疗补助缴费0.44万元、其他社会保障缴费0.1万元、其他工资福利支出7.22万元、生活补助1.63万元、住房公积金7.19万元。</w:t>
      </w:r>
      <w:r>
        <w:rPr>
          <w:rFonts w:ascii="仿宋" w:hAnsi="仿宋" w:eastAsia="仿宋"/>
          <w:sz w:val="32"/>
          <w:szCs w:val="32"/>
        </w:rPr>
        <w:br w:type="textWrapping"/>
      </w:r>
      <w:r>
        <w:rPr>
          <w:rFonts w:hint="eastAsia" w:ascii="仿宋" w:hAnsi="仿宋" w:eastAsia="仿宋"/>
          <w:sz w:val="32"/>
          <w:szCs w:val="32"/>
        </w:rPr>
        <w:t>　　公用经费6.57万元，主要包括：办公费1.14万元、邮电费0.09万元、差旅费0.33万元、工会经费0.85万元、福利费0.25万元、其他交通费3.92万元。</w:t>
      </w:r>
    </w:p>
    <w:p>
      <w:pPr>
        <w:spacing w:line="600" w:lineRule="exact"/>
        <w:ind w:firstLine="640"/>
        <w:outlineLvl w:val="1"/>
        <w:rPr>
          <w:rStyle w:val="30"/>
          <w:rFonts w:ascii="黑体" w:hAnsi="黑体" w:eastAsia="黑体"/>
          <w:b w:val="0"/>
        </w:rPr>
      </w:pPr>
      <w:bookmarkStart w:id="36" w:name="_Toc15377215"/>
      <w:bookmarkStart w:id="37"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7"/>
          <w:rFonts w:hint="eastAsia" w:ascii="仿宋" w:hAnsi="仿宋" w:eastAsia="仿宋"/>
          <w:b w:val="0"/>
          <w:bCs/>
          <w:sz w:val="32"/>
          <w:szCs w:val="32"/>
        </w:rPr>
        <w:t>。</w:t>
      </w:r>
      <w:r>
        <w:rPr>
          <w:rFonts w:hint="eastAsia" w:ascii="仿宋" w:hAnsi="仿宋" w:eastAsia="仿宋"/>
          <w:sz w:val="32"/>
          <w:szCs w:val="32"/>
        </w:rPr>
        <w:t>全年安排因公出国（境）团组0次，出国（境）0人。</w:t>
      </w:r>
    </w:p>
    <w:p>
      <w:pPr>
        <w:spacing w:line="600" w:lineRule="exact"/>
        <w:ind w:firstLine="640"/>
        <w:rPr>
          <w:rFonts w:ascii="仿宋" w:hAnsi="仿宋" w:eastAsia="仿宋"/>
          <w:sz w:val="32"/>
          <w:szCs w:val="32"/>
        </w:rPr>
      </w:pPr>
      <w:r>
        <w:rPr>
          <w:rFonts w:hint="eastAsia" w:ascii="仿宋" w:hAnsi="仿宋" w:eastAsia="仿宋"/>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7"/>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全年按规定更新购置公务用车0辆，其中：轿车0辆、金额0万元，越野车0辆、金额0万元，载客汽车0辆、金额0万元，主要用于…。截至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Style w:val="17"/>
          <w:rFonts w:ascii="仿宋" w:hAnsi="仿宋" w:eastAsia="仿宋"/>
          <w:b w:val="0"/>
          <w:bCs/>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7"/>
          <w:rFonts w:hint="eastAsia" w:ascii="仿宋" w:hAnsi="仿宋" w:eastAsia="仿宋"/>
          <w:b w:val="0"/>
          <w:bCs/>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。国内公务接待0批次，0人次（不包括陪同人员），共计支出0万元。</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外事接待支出</w:t>
      </w:r>
      <w:r>
        <w:rPr>
          <w:rFonts w:hint="eastAsia" w:ascii="仿宋" w:hAnsi="仿宋" w:eastAsia="仿宋"/>
          <w:sz w:val="32"/>
          <w:szCs w:val="32"/>
        </w:rPr>
        <w:t>0万元。外事接待0批次，0人次（不包括陪同人员），共计支出0万元。</w:t>
      </w:r>
      <w:bookmarkStart w:id="40" w:name="_Toc15377218"/>
      <w:bookmarkStart w:id="41" w:name="_Toc15396610"/>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0"/>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22年政府性基金预算财政拨款支出11.17万元。</w:t>
      </w:r>
    </w:p>
    <w:p>
      <w:pPr>
        <w:numPr>
          <w:ilvl w:val="0"/>
          <w:numId w:val="3"/>
        </w:numPr>
        <w:spacing w:line="600" w:lineRule="exact"/>
        <w:ind w:firstLine="640"/>
        <w:outlineLvl w:val="1"/>
        <w:rPr>
          <w:rStyle w:val="30"/>
          <w:rFonts w:ascii="黑体" w:hAnsi="黑体" w:eastAsia="黑体"/>
          <w:b w:val="0"/>
        </w:rPr>
      </w:pPr>
      <w:bookmarkStart w:id="42" w:name="_Toc15377219"/>
      <w:bookmarkStart w:id="43" w:name="_Toc15396611"/>
      <w:r>
        <w:rPr>
          <w:rStyle w:val="30"/>
          <w:rFonts w:hint="eastAsia" w:ascii="黑体" w:hAnsi="黑体" w:eastAsia="黑体"/>
          <w:b w:val="0"/>
        </w:rPr>
        <w:t>国有资本经营预算支出决算情况说明</w:t>
      </w:r>
      <w:bookmarkEnd w:id="42"/>
      <w:bookmarkEnd w:id="43"/>
    </w:p>
    <w:p>
      <w:pPr>
        <w:spacing w:line="600" w:lineRule="exact"/>
        <w:ind w:firstLine="640"/>
        <w:rPr>
          <w:rFonts w:ascii="仿宋" w:hAnsi="仿宋" w:eastAsia="仿宋" w:cs="方正小标宋简体"/>
          <w:sz w:val="44"/>
          <w:szCs w:val="44"/>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3"/>
        </w:numPr>
        <w:spacing w:line="600" w:lineRule="exact"/>
        <w:ind w:firstLine="640"/>
        <w:outlineLvl w:val="1"/>
        <w:rPr>
          <w:rStyle w:val="30"/>
          <w:rFonts w:ascii="黑体" w:hAnsi="黑体" w:eastAsia="黑体"/>
          <w:b w:val="0"/>
        </w:rPr>
      </w:pPr>
      <w:bookmarkStart w:id="44" w:name="_Toc15396612"/>
      <w:bookmarkStart w:id="45" w:name="_Toc15377221"/>
      <w:r>
        <w:rPr>
          <w:rStyle w:val="30"/>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22年，西区工商联机关运行经费支出6.57万元，比</w:t>
      </w:r>
      <w:r>
        <w:rPr>
          <w:rFonts w:ascii="仿宋" w:hAnsi="仿宋" w:eastAsia="仿宋"/>
          <w:sz w:val="32"/>
          <w:szCs w:val="32"/>
        </w:rPr>
        <w:t>20</w:t>
      </w:r>
      <w:r>
        <w:rPr>
          <w:rFonts w:hint="eastAsia" w:ascii="仿宋" w:hAnsi="仿宋" w:eastAsia="仿宋"/>
          <w:sz w:val="32"/>
          <w:szCs w:val="32"/>
        </w:rPr>
        <w:t>21年减少4.43万元，下降67.43</w:t>
      </w:r>
      <w:r>
        <w:rPr>
          <w:rFonts w:ascii="仿宋" w:hAnsi="仿宋" w:eastAsia="仿宋"/>
          <w:sz w:val="32"/>
          <w:szCs w:val="32"/>
        </w:rPr>
        <w:t>%</w:t>
      </w:r>
      <w:r>
        <w:rPr>
          <w:rFonts w:hint="eastAsia" w:ascii="仿宋" w:hAnsi="仿宋" w:eastAsia="仿宋"/>
          <w:sz w:val="32"/>
          <w:szCs w:val="32"/>
        </w:rPr>
        <w:t>。主要原因是</w:t>
      </w:r>
      <w:r>
        <w:rPr>
          <w:rFonts w:ascii="仿宋" w:hAnsi="仿宋" w:eastAsia="仿宋"/>
          <w:sz w:val="32"/>
          <w:szCs w:val="32"/>
        </w:rPr>
        <w:t>厉行节约，压缩开支</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22年，西区工商联政府采购支出总额0万元，其中：政府采购货物支出0万元、政府采购工程支出0万元、政府采购服务支出0万元。授予中小企业合同金额0万元，占政府采购支出总额的0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日，西区工商联共有车辆0辆，其中：主要领导干部用车0辆、机要通信用车0辆、应急保障用车0辆、其他用车0辆。单价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 w:hAnsi="仿宋" w:eastAsia="仿宋"/>
          <w:sz w:val="32"/>
          <w:szCs w:val="32"/>
        </w:rPr>
      </w:pPr>
      <w:r>
        <w:rPr>
          <w:rFonts w:hint="eastAsia" w:ascii="仿宋" w:hAnsi="仿宋" w:eastAsia="仿宋"/>
          <w:sz w:val="32"/>
          <w:szCs w:val="32"/>
        </w:rPr>
        <w:t>根据预算绩效管理要求，本部门在2022年度预算编制阶段，组织对</w:t>
      </w:r>
      <w:r>
        <w:rPr>
          <w:rFonts w:ascii="仿宋" w:hAnsi="仿宋" w:eastAsia="仿宋"/>
          <w:sz w:val="32"/>
          <w:szCs w:val="32"/>
        </w:rPr>
        <w:t>带薪年休假经费、住房公积金、在职医疗补助等项目</w:t>
      </w:r>
      <w:r>
        <w:rPr>
          <w:rFonts w:hint="eastAsia" w:ascii="仿宋" w:hAnsi="仿宋" w:eastAsia="仿宋"/>
          <w:sz w:val="32"/>
          <w:szCs w:val="32"/>
        </w:rPr>
        <w:t>等16个项目开展了预算事前绩效评估，对16个项目编制了绩效目标，预算执行过程中，选取16个项目开展绩效监控。</w:t>
      </w:r>
    </w:p>
    <w:p>
      <w:pPr>
        <w:widowControl/>
        <w:ind w:firstLine="640" w:firstLineChars="200"/>
        <w:jc w:val="left"/>
        <w:rPr>
          <w:rFonts w:ascii="仿宋" w:hAnsi="仿宋" w:eastAsia="仿宋"/>
          <w:sz w:val="32"/>
          <w:szCs w:val="32"/>
        </w:rPr>
      </w:pPr>
      <w:r>
        <w:rPr>
          <w:rFonts w:hint="eastAsia" w:ascii="仿宋" w:hAnsi="仿宋" w:eastAsia="仿宋"/>
          <w:sz w:val="32"/>
          <w:szCs w:val="32"/>
        </w:rPr>
        <w:t>组织对2022年度一般公共预算、政府性基金预算、全面开展绩效自评，形成西区工商联部门整体（含部门预算项目）绩效自评报告，其中，西区工商联部门整体（含部门预算项目）绩效自评得分为93分，绩效自评综述：支出绩效总体良好，各项目标基本达到了相应时期执行进度，使财政收支预算执行都得到了良好的制度保障和实施效果。</w:t>
      </w:r>
      <w:r>
        <w:rPr>
          <w:rFonts w:ascii="仿宋" w:hAnsi="仿宋" w:eastAsia="仿宋"/>
          <w:sz w:val="32"/>
          <w:szCs w:val="32"/>
        </w:rPr>
        <w:br w:type="page"/>
      </w:r>
    </w:p>
    <w:p>
      <w:pPr>
        <w:numPr>
          <w:ilvl w:val="0"/>
          <w:numId w:val="4"/>
        </w:numPr>
        <w:spacing w:line="600" w:lineRule="exact"/>
        <w:ind w:firstLine="660" w:firstLineChars="150"/>
        <w:jc w:val="center"/>
        <w:outlineLvl w:val="0"/>
        <w:rPr>
          <w:rFonts w:ascii="黑体" w:hAnsi="黑体" w:eastAsia="黑体"/>
          <w:bCs/>
          <w:kern w:val="44"/>
          <w:sz w:val="44"/>
          <w:szCs w:val="44"/>
        </w:rPr>
      </w:pPr>
      <w:bookmarkStart w:id="49" w:name="_Toc15396613"/>
      <w:bookmarkStart w:id="50" w:name="_Toc15377225"/>
      <w:r>
        <w:rPr>
          <w:rFonts w:hint="eastAsia" w:ascii="黑体" w:hAnsi="黑体" w:eastAsia="黑体"/>
          <w:sz w:val="44"/>
          <w:szCs w:val="44"/>
        </w:rPr>
        <w:t>名</w:t>
      </w:r>
      <w:r>
        <w:rPr>
          <w:rStyle w:val="29"/>
          <w:rFonts w:hint="eastAsia" w:ascii="黑体" w:hAnsi="黑体" w:eastAsia="黑体"/>
          <w:b w:val="0"/>
        </w:rPr>
        <w:t>词解释</w:t>
      </w:r>
      <w:bookmarkEnd w:id="49"/>
      <w:bookmarkEnd w:id="50"/>
    </w:p>
    <w:p>
      <w:pPr>
        <w:pStyle w:val="27"/>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7"/>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rPr>
        <w:t>事业收入：指事业单位开展专业业务活动及辅助活动取得的收入。</w:t>
      </w:r>
    </w:p>
    <w:p>
      <w:pPr>
        <w:pStyle w:val="27"/>
        <w:spacing w:line="560" w:lineRule="exact"/>
        <w:ind w:firstLine="640" w:firstLineChars="200"/>
        <w:rPr>
          <w:rFonts w:hAnsi="仿宋"/>
          <w:color w:val="auto"/>
          <w:sz w:val="32"/>
          <w:szCs w:val="32"/>
        </w:rPr>
      </w:pPr>
      <w:r>
        <w:rPr>
          <w:rFonts w:hAnsi="仿宋"/>
          <w:color w:val="auto"/>
          <w:sz w:val="32"/>
          <w:szCs w:val="32"/>
        </w:rPr>
        <w:t>3.</w:t>
      </w:r>
      <w:r>
        <w:rPr>
          <w:rFonts w:hint="eastAsia" w:hAnsi="仿宋"/>
          <w:color w:val="auto"/>
          <w:sz w:val="32"/>
          <w:szCs w:val="32"/>
        </w:rPr>
        <w:t>经营收入：指事业单位在专业业务活动及其辅助活动之外开展非独立核算经营活动取得的收入。</w:t>
      </w:r>
    </w:p>
    <w:p>
      <w:pPr>
        <w:pStyle w:val="27"/>
        <w:spacing w:line="560" w:lineRule="exact"/>
        <w:ind w:firstLine="640" w:firstLineChars="200"/>
        <w:rPr>
          <w:rFonts w:hAnsi="仿宋"/>
          <w:color w:val="auto"/>
          <w:sz w:val="32"/>
          <w:szCs w:val="32"/>
        </w:rPr>
      </w:pPr>
      <w:r>
        <w:rPr>
          <w:rFonts w:hAnsi="仿宋"/>
          <w:color w:val="auto"/>
          <w:sz w:val="32"/>
          <w:szCs w:val="32"/>
        </w:rPr>
        <w:t>4.</w:t>
      </w:r>
      <w:r>
        <w:rPr>
          <w:rFonts w:hint="eastAsia" w:hAnsi="仿宋"/>
          <w:color w:val="auto"/>
          <w:sz w:val="32"/>
          <w:szCs w:val="32"/>
        </w:rPr>
        <w:t>其他收入：指单位取得的除上述收入以外的各项收入。</w:t>
      </w:r>
    </w:p>
    <w:p>
      <w:pPr>
        <w:pStyle w:val="27"/>
        <w:spacing w:line="560" w:lineRule="exact"/>
        <w:ind w:firstLine="640" w:firstLineChars="200"/>
        <w:rPr>
          <w:rFonts w:hAnsi="仿宋"/>
          <w:color w:val="auto"/>
          <w:sz w:val="32"/>
          <w:szCs w:val="32"/>
        </w:rPr>
      </w:pPr>
      <w:r>
        <w:rPr>
          <w:rFonts w:hAnsi="仿宋"/>
          <w:color w:val="auto"/>
          <w:sz w:val="32"/>
          <w:szCs w:val="32"/>
        </w:rPr>
        <w:t>5.</w:t>
      </w:r>
      <w:r>
        <w:rPr>
          <w:rFonts w:hint="eastAsia" w:hAnsi="仿宋"/>
          <w:color w:val="auto"/>
          <w:sz w:val="32"/>
          <w:szCs w:val="32"/>
        </w:rPr>
        <w:t>使用非财政拨款结余：指事业单位使用以前年度积累的非财政拨款结余弥补当年收支差额的金额。</w:t>
      </w:r>
    </w:p>
    <w:p>
      <w:pPr>
        <w:pStyle w:val="27"/>
        <w:spacing w:line="560" w:lineRule="exact"/>
        <w:ind w:firstLine="640" w:firstLineChars="200"/>
        <w:rPr>
          <w:rFonts w:hAnsi="仿宋"/>
          <w:color w:val="auto"/>
          <w:sz w:val="32"/>
          <w:szCs w:val="32"/>
        </w:rPr>
      </w:pPr>
      <w:r>
        <w:rPr>
          <w:rFonts w:hAnsi="仿宋"/>
          <w:color w:val="auto"/>
          <w:sz w:val="32"/>
          <w:szCs w:val="32"/>
        </w:rPr>
        <w:t>6.</w:t>
      </w:r>
      <w:r>
        <w:rPr>
          <w:rFonts w:hint="eastAsia" w:hAnsi="仿宋"/>
          <w:color w:val="auto"/>
          <w:sz w:val="32"/>
          <w:szCs w:val="32"/>
        </w:rPr>
        <w:t>年初结转和结余：指以前年度尚未完成、结转到本年按有关规定继续使用的资金。</w:t>
      </w:r>
    </w:p>
    <w:p>
      <w:pPr>
        <w:pStyle w:val="27"/>
        <w:spacing w:line="560" w:lineRule="exact"/>
        <w:ind w:firstLine="640" w:firstLineChars="200"/>
        <w:rPr>
          <w:rFonts w:hAnsi="仿宋"/>
          <w:color w:val="auto"/>
          <w:sz w:val="32"/>
          <w:szCs w:val="32"/>
        </w:rPr>
      </w:pPr>
      <w:r>
        <w:rPr>
          <w:rFonts w:hAnsi="仿宋"/>
          <w:color w:val="auto"/>
          <w:sz w:val="32"/>
          <w:szCs w:val="32"/>
        </w:rPr>
        <w:t>7.</w:t>
      </w:r>
      <w:r>
        <w:rPr>
          <w:rFonts w:hint="eastAsia" w:hAnsi="仿宋"/>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hAnsi="仿宋"/>
          <w:color w:val="auto"/>
          <w:sz w:val="32"/>
          <w:szCs w:val="32"/>
        </w:rPr>
      </w:pPr>
      <w:r>
        <w:rPr>
          <w:rFonts w:hAnsi="仿宋"/>
          <w:color w:val="auto"/>
          <w:sz w:val="32"/>
          <w:szCs w:val="32"/>
        </w:rPr>
        <w:t>8</w:t>
      </w:r>
      <w:r>
        <w:rPr>
          <w:rFonts w:hint="eastAsia" w:hAnsi="仿宋"/>
          <w:color w:val="auto"/>
          <w:sz w:val="32"/>
          <w:szCs w:val="32"/>
        </w:rPr>
        <w:t>.年末结转和结余：指单位按有关规定结转到下年或以后年度继续使用的资金。</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cs="仿宋"/>
          <w:kern w:val="0"/>
          <w:sz w:val="32"/>
          <w:szCs w:val="32"/>
        </w:rPr>
        <w:t>一般公共服务支出（类）民主党派及工商联事务（款）行政运行（项）：反映行政单位（包括实行公务员管理的事业单位）的基本支出</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社会保障和就业支出（类）行政事业单位养老支出（款）行政单位离退休（项）: 指行政单位（包括实行公务员管理的事业单位）开支的离退休支出。</w:t>
      </w:r>
    </w:p>
    <w:p>
      <w:pPr>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社会保障和就业支出（类）行政事业单位养老支出（款）机关事业单位基本养老保险缴费支出（项）：指机关事业单位实施养老保险制度有单位缴纳的基本养老保险费支出。</w:t>
      </w:r>
    </w:p>
    <w:p>
      <w:pPr>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卫生健康支出支出（类）行政事业单位医疗支出（款） 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卫生健康支出支出（类）行政事业单位医疗支出（款）公务员医疗补助：反映财政部门安排的公务员医疗补助经费。</w:t>
      </w:r>
    </w:p>
    <w:p>
      <w:pPr>
        <w:autoSpaceDE w:val="0"/>
        <w:autoSpaceDN w:val="0"/>
        <w:adjustRightInd w:val="0"/>
        <w:spacing w:line="353" w:lineRule="auto"/>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14.</w:t>
      </w:r>
      <w:r>
        <w:rPr>
          <w:rFonts w:hint="eastAsia" w:ascii="仿宋" w:hAnsi="仿宋" w:eastAsia="仿宋" w:cs="仿宋"/>
          <w:color w:val="000000"/>
          <w:kern w:val="0"/>
          <w:sz w:val="32"/>
          <w:szCs w:val="32"/>
        </w:rPr>
        <w:t>城乡社区支出(类)国有土地使用权出让收入安排的支出(款)土地开发支出(项):反映新疆生产建设兵团和地方政府用于前期土地开发性支出以及与前期土地开发相关的费用等支出</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 xml:space="preserve">15. </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hint="eastAsia" w:ascii="仿宋" w:hAnsi="仿宋" w:eastAsia="仿宋"/>
          <w:sz w:val="32"/>
          <w:szCs w:val="32"/>
        </w:rPr>
        <w:t>17</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p>
    <w:p>
      <w:pPr>
        <w:ind w:firstLine="640" w:firstLineChars="200"/>
        <w:rPr>
          <w:rFonts w:ascii="仿宋" w:hAnsi="仿宋" w:eastAsia="仿宋"/>
          <w:sz w:val="32"/>
          <w:szCs w:val="32"/>
        </w:rPr>
      </w:pPr>
      <w:r>
        <w:rPr>
          <w:rFonts w:hint="eastAsia" w:ascii="仿宋" w:hAnsi="仿宋" w:eastAsia="仿宋"/>
          <w:sz w:val="32"/>
          <w:szCs w:val="32"/>
        </w:rPr>
        <w:t>18</w:t>
      </w:r>
      <w:r>
        <w:rPr>
          <w:rFonts w:ascii="仿宋" w:hAnsi="仿宋" w:eastAsia="仿宋"/>
          <w:sz w:val="32"/>
          <w:szCs w:val="32"/>
        </w:rPr>
        <w:t>.</w:t>
      </w:r>
      <w:r>
        <w:rPr>
          <w:rFonts w:hint="eastAsia" w:ascii="仿宋" w:hAnsi="仿宋" w:eastAsia="仿宋"/>
          <w:sz w:val="32"/>
          <w:szCs w:val="32"/>
        </w:rPr>
        <w:t>经营支出：指事业单位在专业业务活动及其辅助活动之外开展非独立核算经营活动发生的支出。</w:t>
      </w:r>
    </w:p>
    <w:p>
      <w:pPr>
        <w:pStyle w:val="27"/>
        <w:spacing w:line="560" w:lineRule="exact"/>
        <w:ind w:firstLine="640" w:firstLineChars="200"/>
        <w:rPr>
          <w:rFonts w:hAnsi="仿宋"/>
          <w:color w:val="auto"/>
          <w:sz w:val="32"/>
          <w:szCs w:val="32"/>
        </w:rPr>
      </w:pPr>
      <w:r>
        <w:rPr>
          <w:rFonts w:hint="eastAsia" w:hAnsi="仿宋"/>
          <w:color w:val="auto"/>
          <w:sz w:val="32"/>
          <w:szCs w:val="32"/>
        </w:rPr>
        <w:t>19</w:t>
      </w:r>
      <w:r>
        <w:rPr>
          <w:rFonts w:hAnsi="仿宋"/>
          <w:color w:val="auto"/>
          <w:sz w:val="32"/>
          <w:szCs w:val="32"/>
        </w:rPr>
        <w:t>.</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Ansi="仿宋"/>
          <w:color w:val="auto"/>
          <w:sz w:val="32"/>
          <w:szCs w:val="32"/>
        </w:rPr>
      </w:pPr>
      <w:r>
        <w:rPr>
          <w:rFonts w:hint="eastAsia" w:hAnsi="仿宋"/>
          <w:color w:val="auto"/>
          <w:sz w:val="32"/>
          <w:szCs w:val="32"/>
        </w:rPr>
        <w:t>20</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olor w:val="auto"/>
          <w:sz w:val="32"/>
          <w:szCs w:val="32"/>
        </w:rPr>
      </w:pP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9"/>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9"/>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bookmarkStart w:id="67" w:name="_GoBack"/>
      <w:bookmarkEnd w:id="67"/>
      <w:r>
        <w:rPr>
          <w:rFonts w:hint="eastAsia" w:ascii="宋体" w:hAnsi="宋体"/>
          <w:b/>
          <w:sz w:val="32"/>
          <w:szCs w:val="32"/>
          <w:shd w:val="clear" w:color="auto" w:fill="FFFFFF"/>
        </w:rPr>
        <w:t>年区级部门整体绩效评价报告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sz w:val="32"/>
          <w:szCs w:val="32"/>
        </w:rPr>
        <w:t>西区工商联下属二级单位0个，其中行政单位0个，参照公务员法管理的事业单位0个，其他事业单位0个</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widowControl/>
        <w:adjustRightInd w:val="0"/>
        <w:snapToGrid w:val="0"/>
        <w:spacing w:line="560" w:lineRule="exact"/>
        <w:ind w:firstLine="643" w:firstLineChars="200"/>
        <w:contextualSpacing/>
        <w:jc w:val="left"/>
        <w:rPr>
          <w:rFonts w:eastAsia="仿宋_GB2312"/>
          <w:color w:val="000000"/>
          <w:sz w:val="32"/>
          <w:szCs w:val="32"/>
        </w:rPr>
      </w:pPr>
      <w:r>
        <w:rPr>
          <w:rFonts w:hint="eastAsia" w:ascii="仿宋" w:hAnsi="仿宋" w:eastAsia="仿宋" w:cs="楷体_GB2312"/>
          <w:b/>
          <w:bCs/>
          <w:kern w:val="0"/>
          <w:sz w:val="32"/>
          <w:szCs w:val="32"/>
          <w:shd w:val="clear" w:color="auto" w:fill="FFFFFF"/>
          <w:lang w:val="zh-CN"/>
        </w:rPr>
        <w:t>1.</w:t>
      </w:r>
      <w:r>
        <w:rPr>
          <w:rFonts w:hint="eastAsia" w:eastAsia="仿宋_GB2312"/>
          <w:color w:val="000000"/>
          <w:sz w:val="32"/>
          <w:szCs w:val="32"/>
        </w:rPr>
        <w:t xml:space="preserve"> 机构职能</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（1）参与区委、区政府大政方针及政治、经济、社会生活中的重要问题的政治协商，发挥民主监督作用，参政议政</w:t>
      </w:r>
    </w:p>
    <w:p>
      <w:pPr>
        <w:spacing w:line="353" w:lineRule="auto"/>
        <w:ind w:firstLine="640" w:firstLineChars="200"/>
        <w:rPr>
          <w:rFonts w:ascii="仿宋" w:hAnsi="仿宋" w:eastAsia="仿宋"/>
          <w:sz w:val="32"/>
          <w:szCs w:val="32"/>
        </w:rPr>
      </w:pPr>
      <w:r>
        <w:rPr>
          <w:rFonts w:hint="eastAsia" w:ascii="仿宋" w:hAnsi="仿宋" w:eastAsia="仿宋"/>
          <w:sz w:val="32"/>
          <w:szCs w:val="32"/>
        </w:rPr>
        <w:t>（2）引导会员积极参加国家经济建设，推动社会主义市场经济体制逐步完善，促进社会全面发展。</w:t>
      </w:r>
    </w:p>
    <w:p>
      <w:pPr>
        <w:spacing w:line="353" w:lineRule="auto"/>
        <w:ind w:firstLine="640" w:firstLineChars="200"/>
        <w:rPr>
          <w:rFonts w:ascii="仿宋" w:hAnsi="仿宋" w:eastAsia="仿宋"/>
          <w:sz w:val="32"/>
          <w:szCs w:val="32"/>
        </w:rPr>
      </w:pPr>
      <w:r>
        <w:rPr>
          <w:rFonts w:hint="eastAsia" w:ascii="仿宋" w:hAnsi="仿宋" w:eastAsia="仿宋"/>
          <w:sz w:val="32"/>
          <w:szCs w:val="32"/>
        </w:rPr>
        <w:t>（3）做好工商界代表人士政治安排的推荐工作。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（4）指导同业公会和行业商会等专业组织的工作。</w:t>
      </w:r>
    </w:p>
    <w:p>
      <w:pPr>
        <w:spacing w:line="353" w:lineRule="auto"/>
        <w:ind w:firstLine="640" w:firstLineChars="200"/>
        <w:rPr>
          <w:rFonts w:ascii="仿宋" w:hAnsi="仿宋" w:eastAsia="仿宋"/>
          <w:sz w:val="32"/>
          <w:szCs w:val="32"/>
        </w:rPr>
      </w:pPr>
      <w:r>
        <w:rPr>
          <w:rFonts w:hint="eastAsia" w:ascii="仿宋" w:hAnsi="仿宋" w:eastAsia="仿宋"/>
          <w:sz w:val="32"/>
          <w:szCs w:val="32"/>
        </w:rPr>
        <w:t>（5）发扬自我教育的优良传统，宣传、贯彻党和国家的方针政策，加强和改进思想政治工作，坚持对广大会员进行团结、帮助、引导、教育，促进非公有制经济健康发展，提倡爱国、敬业、守法，提高会员素质。</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（6）代表并维护会员的合法权益，反映会员的意见、要求和建议为会员提供有关证明，协调关系，参与调解经济纠纷。</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7）引导会员把自身企业的发展与国家发展结合起来，把个人富裕与全体人民的共同富裕结合起来，把遵守市场规则与发扬社会主义道德结合起来，弘扬中华民族传统，先富帮后富，走共同富裕的道路，热心社会公益事业，积极参加扶贫光彩事业。</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（8）为会员提供信息、培训、科技、管理、法律、会计、审计、融资、咨询等服务，帮助会员改进经营管理、完善财务制度，照章纳税，提高自身素质和生产技术、产品质量等。</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9）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（10）承办政府交办和有关部门委托事</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2.人员概况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区工商联核定行政编制</w:t>
      </w:r>
      <w:r>
        <w:rPr>
          <w:rFonts w:ascii="仿宋" w:hAnsi="仿宋" w:eastAsia="仿宋"/>
          <w:sz w:val="32"/>
          <w:szCs w:val="32"/>
        </w:rPr>
        <w:t>2</w:t>
      </w:r>
      <w:r>
        <w:rPr>
          <w:rFonts w:hint="eastAsia" w:ascii="仿宋" w:hAnsi="仿宋" w:eastAsia="仿宋"/>
          <w:sz w:val="32"/>
          <w:szCs w:val="32"/>
        </w:rPr>
        <w:t>名，临聘人员编制</w:t>
      </w:r>
      <w:r>
        <w:rPr>
          <w:rFonts w:ascii="仿宋" w:hAnsi="仿宋" w:eastAsia="仿宋"/>
          <w:sz w:val="32"/>
          <w:szCs w:val="32"/>
        </w:rPr>
        <w:t>1</w:t>
      </w:r>
      <w:r>
        <w:rPr>
          <w:rFonts w:hint="eastAsia" w:ascii="仿宋" w:hAnsi="仿宋" w:eastAsia="仿宋"/>
          <w:sz w:val="32"/>
          <w:szCs w:val="32"/>
        </w:rPr>
        <w:t>名。区工商联实有行政人员4名，临聘人员</w:t>
      </w:r>
      <w:r>
        <w:rPr>
          <w:rFonts w:ascii="仿宋" w:hAnsi="仿宋" w:eastAsia="仿宋"/>
          <w:sz w:val="32"/>
          <w:szCs w:val="32"/>
        </w:rPr>
        <w:t>1</w:t>
      </w:r>
      <w:r>
        <w:rPr>
          <w:rFonts w:hint="eastAsia" w:ascii="仿宋" w:hAnsi="仿宋" w:eastAsia="仿宋"/>
          <w:sz w:val="32"/>
          <w:szCs w:val="32"/>
        </w:rPr>
        <w:t>名。核定常务主席一名，副主席兼秘书长一名。区工商联现有主席</w:t>
      </w:r>
      <w:r>
        <w:rPr>
          <w:rFonts w:ascii="仿宋" w:hAnsi="仿宋" w:eastAsia="仿宋"/>
          <w:sz w:val="32"/>
          <w:szCs w:val="32"/>
        </w:rPr>
        <w:t>1</w:t>
      </w:r>
      <w:r>
        <w:rPr>
          <w:rFonts w:hint="eastAsia" w:ascii="仿宋" w:hAnsi="仿宋" w:eastAsia="仿宋"/>
          <w:sz w:val="32"/>
          <w:szCs w:val="32"/>
        </w:rPr>
        <w:t>名、常务副主席</w:t>
      </w:r>
      <w:r>
        <w:rPr>
          <w:rFonts w:ascii="仿宋" w:hAnsi="仿宋" w:eastAsia="仿宋"/>
          <w:sz w:val="32"/>
          <w:szCs w:val="32"/>
        </w:rPr>
        <w:t>1</w:t>
      </w:r>
      <w:r>
        <w:rPr>
          <w:rFonts w:hint="eastAsia" w:ascii="仿宋" w:hAnsi="仿宋" w:eastAsia="仿宋"/>
          <w:sz w:val="32"/>
          <w:szCs w:val="32"/>
        </w:rPr>
        <w:t>名，副主席兼秘书长</w:t>
      </w:r>
      <w:r>
        <w:rPr>
          <w:rFonts w:ascii="仿宋" w:hAnsi="仿宋" w:eastAsia="仿宋"/>
          <w:sz w:val="32"/>
          <w:szCs w:val="32"/>
        </w:rPr>
        <w:t>1</w:t>
      </w:r>
      <w:r>
        <w:rPr>
          <w:rFonts w:hint="eastAsia" w:ascii="仿宋" w:hAnsi="仿宋" w:eastAsia="仿宋"/>
          <w:sz w:val="32"/>
          <w:szCs w:val="32"/>
        </w:rPr>
        <w:t>名，无超职数配备领导干部和高配领导干部情况。均严格按照编制执行。</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spacing w:line="353" w:lineRule="auto"/>
        <w:rPr>
          <w:rFonts w:ascii="仿宋" w:hAnsi="仿宋" w:eastAsia="仿宋"/>
          <w:sz w:val="32"/>
          <w:szCs w:val="32"/>
        </w:rPr>
      </w:pPr>
      <w:r>
        <w:rPr>
          <w:rFonts w:hint="eastAsia" w:eastAsia="方正黑体_GBK"/>
          <w:sz w:val="32"/>
          <w:szCs w:val="32"/>
        </w:rPr>
        <w:t xml:space="preserve">    </w:t>
      </w:r>
      <w:r>
        <w:rPr>
          <w:rFonts w:hint="eastAsia" w:ascii="仿宋" w:hAnsi="仿宋" w:eastAsia="仿宋"/>
          <w:sz w:val="32"/>
          <w:szCs w:val="32"/>
        </w:rPr>
        <w:t>1、</w:t>
      </w:r>
      <w:r>
        <w:rPr>
          <w:rFonts w:ascii="仿宋" w:hAnsi="仿宋" w:eastAsia="仿宋"/>
          <w:sz w:val="32"/>
          <w:szCs w:val="32"/>
        </w:rPr>
        <w:t>强化政治理论学习，抓好政治引领。</w:t>
      </w:r>
    </w:p>
    <w:p>
      <w:pPr>
        <w:spacing w:line="353" w:lineRule="auto"/>
        <w:ind w:firstLine="640" w:firstLineChars="200"/>
        <w:rPr>
          <w:rFonts w:ascii="仿宋" w:hAnsi="仿宋" w:eastAsia="仿宋"/>
          <w:sz w:val="32"/>
          <w:szCs w:val="32"/>
        </w:rPr>
      </w:pPr>
      <w:r>
        <w:rPr>
          <w:rFonts w:ascii="仿宋" w:hAnsi="仿宋" w:eastAsia="仿宋"/>
          <w:sz w:val="32"/>
          <w:szCs w:val="32"/>
        </w:rPr>
        <w:t>区工商联坚持把思想政治引领放在各项工作的首位，突出首位意识。3月23日，组织全体干部职工观看警示教育片，6月24日，组织园区民营企业家代表召开深入贯彻学习习近平总书记来川视察重要指示精神和省第十二次党代会精神座谈会。10月16日，区工商联全体干部职工与非公企业代表人士收看</w:t>
      </w:r>
      <w:r>
        <w:rPr>
          <w:rFonts w:hint="eastAsia" w:ascii="仿宋" w:hAnsi="仿宋" w:eastAsia="仿宋"/>
          <w:sz w:val="32"/>
          <w:szCs w:val="32"/>
        </w:rPr>
        <w:t>中国共产党第二十次全国代表大会</w:t>
      </w:r>
      <w:r>
        <w:rPr>
          <w:rFonts w:hint="eastAsia" w:ascii="仿宋" w:hAnsi="仿宋" w:eastAsia="仿宋"/>
          <w:sz w:val="32"/>
          <w:szCs w:val="32"/>
          <w:lang w:eastAsia="zh-CN"/>
        </w:rPr>
        <w:t>开幕会</w:t>
      </w:r>
      <w:r>
        <w:rPr>
          <w:rFonts w:ascii="仿宋" w:hAnsi="仿宋" w:eastAsia="仿宋"/>
          <w:sz w:val="32"/>
          <w:szCs w:val="32"/>
        </w:rPr>
        <w:t>直播，会后开展学习讨论，交流收听收看感受和</w:t>
      </w:r>
      <w:r>
        <w:rPr>
          <w:rFonts w:hint="eastAsia" w:ascii="仿宋" w:hAnsi="仿宋" w:eastAsia="仿宋"/>
          <w:sz w:val="32"/>
          <w:szCs w:val="32"/>
        </w:rPr>
        <w:t>撰写</w:t>
      </w:r>
      <w:r>
        <w:rPr>
          <w:rFonts w:ascii="仿宋" w:hAnsi="仿宋" w:eastAsia="仿宋"/>
          <w:sz w:val="32"/>
          <w:szCs w:val="32"/>
        </w:rPr>
        <w:t>观后的心得，提升民营经济人士政治站位，强化企业家政治素养。</w:t>
      </w:r>
    </w:p>
    <w:p>
      <w:pPr>
        <w:spacing w:line="353" w:lineRule="auto"/>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构建多元化商事解纷机制，护航法治化营商环境。</w:t>
      </w:r>
    </w:p>
    <w:p>
      <w:pPr>
        <w:spacing w:line="353" w:lineRule="auto"/>
        <w:ind w:firstLine="640" w:firstLineChars="200"/>
        <w:rPr>
          <w:rFonts w:ascii="仿宋" w:hAnsi="仿宋" w:eastAsia="仿宋"/>
          <w:sz w:val="32"/>
          <w:szCs w:val="32"/>
        </w:rPr>
      </w:pPr>
      <w:r>
        <w:rPr>
          <w:rFonts w:ascii="仿宋" w:hAnsi="仿宋" w:eastAsia="仿宋"/>
          <w:sz w:val="32"/>
          <w:szCs w:val="32"/>
        </w:rPr>
        <w:t>5月5日</w:t>
      </w:r>
      <w:r>
        <w:rPr>
          <w:rFonts w:hint="eastAsia" w:ascii="仿宋" w:hAnsi="仿宋" w:eastAsia="仿宋"/>
          <w:sz w:val="32"/>
          <w:szCs w:val="32"/>
        </w:rPr>
        <w:t>，全市首个针对民营企业提供法律服务的基层检察官法律工作站，在西区格里坪特色产业园区管理委员会揭牌。区工商联挂牌成立了西区人民检察院服务民营经济联系点，努力建立健全检察机关与工商联沟通联系机制。工作站统一受理涉企事项反映，设置“民营经济维权岗” 对涉企案件实行快速受理、优先办理；开展“定制式服务”，定期为民营企业开展“法治体检”和法治宣传，提供法律咨询，化解矛盾纠纷，打击违法犯罪，强化风险防范，净化营商环境；综合分析涉企法律服务情况，及时反馈信息，总结工作经验，提出政策建议。通过精准发力，主动为民营企业提供司法服务，强化民营企业人员依法经营意识，为民营经济高质量发展提供优质法治保障。</w:t>
      </w:r>
    </w:p>
    <w:p>
      <w:pPr>
        <w:spacing w:line="353" w:lineRule="auto"/>
        <w:ind w:firstLine="640" w:firstLineChars="200"/>
        <w:rPr>
          <w:rFonts w:ascii="仿宋" w:hAnsi="仿宋" w:eastAsia="仿宋"/>
          <w:sz w:val="32"/>
          <w:szCs w:val="32"/>
        </w:rPr>
      </w:pPr>
      <w:r>
        <w:rPr>
          <w:rFonts w:ascii="仿宋" w:hAnsi="仿宋" w:eastAsia="仿宋"/>
          <w:sz w:val="32"/>
          <w:szCs w:val="32"/>
        </w:rPr>
        <w:t>7月22</w:t>
      </w:r>
      <w:r>
        <w:rPr>
          <w:rFonts w:hint="eastAsia" w:ascii="仿宋" w:hAnsi="仿宋" w:eastAsia="仿宋"/>
          <w:sz w:val="32"/>
          <w:szCs w:val="32"/>
        </w:rPr>
        <w:t>日，西区工商联与区司法局组织非公企业20余家召开“万所联万会”工作启动会暨民营企业法律培训会。双方签署合作机制，搭建起西区法律服务民营企业新平台，此次结对对西区公共法律服务体系更好地为民营企业提供法律服务，营造良好的法治化营商环境，形成律所与商协会的良性协作机制，以实际行动助推西区民营经济高质量发展具有积极作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、优化服务保障，助力非公企业发展。</w:t>
      </w:r>
    </w:p>
    <w:p>
      <w:pPr>
        <w:spacing w:line="353" w:lineRule="auto"/>
        <w:ind w:firstLine="640" w:firstLineChars="200"/>
        <w:rPr>
          <w:rFonts w:ascii="仿宋" w:hAnsi="仿宋" w:eastAsia="仿宋"/>
          <w:sz w:val="32"/>
          <w:szCs w:val="32"/>
        </w:rPr>
      </w:pPr>
      <w:r>
        <w:rPr>
          <w:rFonts w:hint="eastAsia" w:ascii="仿宋" w:hAnsi="仿宋" w:eastAsia="仿宋"/>
          <w:sz w:val="32"/>
          <w:szCs w:val="32"/>
        </w:rPr>
        <w:t>重点项目是扩大有效投资、促进经济增长的“稳定器”，是推动全区高质量发展的强劲动力。区工商联牢固树立“抓项目就是抓发展”的理念，强化责任担当，积极主动深入项目建设一线，紧盯工作目标，时序节点，合力攻坚克难想方设法破解项目推进过程中遇到的困难和问题，全力保障重点项目建设稳妥有序推进，力争重点项目早日竣工投产达效。</w:t>
      </w:r>
    </w:p>
    <w:p>
      <w:pPr>
        <w:spacing w:line="353" w:lineRule="auto"/>
        <w:ind w:firstLine="640" w:firstLineChars="200"/>
        <w:rPr>
          <w:rFonts w:ascii="仿宋" w:hAnsi="仿宋" w:eastAsia="仿宋"/>
          <w:sz w:val="32"/>
          <w:szCs w:val="32"/>
        </w:rPr>
      </w:pPr>
      <w:r>
        <w:rPr>
          <w:rFonts w:hint="eastAsia" w:ascii="仿宋" w:hAnsi="仿宋" w:eastAsia="仿宋"/>
          <w:sz w:val="32"/>
          <w:szCs w:val="32"/>
        </w:rPr>
        <w:t>年初，攀枝花市嘉尔科技钛及钛合金管项目受上海疫情影响厂房设备、原材料和技术工人无法按时抵攀，企业建设进度滞后，严重影响企业原定计划，区工商联依托全区项目攻坚年重点项目，组织区经信局、区发改局、区财政、格里坪园区管委会等部门，深入项目现场了解企业困难，经过多部门联合努力6月中旬企业已经成功进行试生产，后续配套机械设备将陆续抵达，为年底投产奠定基础。</w:t>
      </w:r>
    </w:p>
    <w:p>
      <w:pPr>
        <w:spacing w:line="353" w:lineRule="auto"/>
        <w:ind w:firstLine="640" w:firstLineChars="200"/>
        <w:rPr>
          <w:rFonts w:ascii="仿宋" w:hAnsi="仿宋" w:eastAsia="仿宋"/>
          <w:sz w:val="32"/>
          <w:szCs w:val="32"/>
        </w:rPr>
      </w:pPr>
      <w:r>
        <w:rPr>
          <w:rFonts w:hint="eastAsia" w:ascii="仿宋" w:hAnsi="仿宋" w:eastAsia="仿宋"/>
          <w:sz w:val="32"/>
          <w:szCs w:val="32"/>
        </w:rPr>
        <w:t>攀枝花嘉兆丰年产20万吨外加剂生产线建设项目在入场初期遇到阻工情况，区工商联协调格里坪镇、区经信局、市公安局西区分局、区发改局、区林业局、区住建局、区环保等部门召开现场协调会，解决企业进场存在的问题，同时联系西区供电公司、春晖物业等企业解决项目建设用水、用电、企业红线外防洪沟建设等问题，指导企业对接区级职能部门加快办理能耗备案、安评备案等建设要件手续。</w:t>
      </w:r>
    </w:p>
    <w:p>
      <w:pPr>
        <w:spacing w:line="353" w:lineRule="auto"/>
        <w:ind w:firstLine="640" w:firstLineChars="200"/>
        <w:rPr>
          <w:rFonts w:ascii="仿宋" w:hAnsi="仿宋" w:eastAsia="仿宋"/>
          <w:sz w:val="32"/>
          <w:szCs w:val="32"/>
        </w:rPr>
      </w:pPr>
      <w:r>
        <w:rPr>
          <w:rFonts w:hint="eastAsia" w:ascii="仿宋" w:hAnsi="仿宋" w:eastAsia="仿宋"/>
          <w:sz w:val="32"/>
          <w:szCs w:val="32"/>
        </w:rPr>
        <w:t>按照《关于加强新时代民营经济统战工作协的意见》（中办发</w:t>
      </w:r>
      <w:r>
        <w:rPr>
          <w:rFonts w:ascii="仿宋" w:hAnsi="仿宋" w:eastAsia="仿宋"/>
          <w:sz w:val="32"/>
          <w:szCs w:val="32"/>
        </w:rPr>
        <w:t>〔2019〕57</w:t>
      </w:r>
      <w:r>
        <w:rPr>
          <w:rFonts w:hint="eastAsia" w:ascii="仿宋" w:hAnsi="仿宋" w:eastAsia="仿宋"/>
          <w:sz w:val="32"/>
          <w:szCs w:val="32"/>
        </w:rPr>
        <w:t>号）“各级党委要依托统一战线工作领导小组，建立完善民营经济统战工作协调机制”的要求，结合西区实际，成立西区民营经济统战工作协调机制，建立协调机制是贯彻落实中央和省、市委关于加强民营经济统战工作精神的重要举措，是形成工作合力的内在要求，是促进“两个健康”的现实需要，区工商联积极推动政策落地落实，支持民营企业用好用足金融、用工、纾困等扶持政策，让更多民营企业享受政策红利，实现高质量发展，积极搭建各类服务平台、产学研用对接平台，为民营企业提供融资、信息、法律、技术、培训、人才等服务，不断优化民营经济营商环境，加大对民营企业的融资支持力度，改善民营企业融资环境。</w:t>
      </w:r>
    </w:p>
    <w:p>
      <w:pPr>
        <w:spacing w:line="353" w:lineRule="auto"/>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年，区工商联定期召开非公企业座谈会，宣传党的声音，传达最新疫情防控要求，联合卫健、税务、市管、人社、经信等部门制作政策宣传手册发放到企业手中，截止</w:t>
      </w:r>
      <w:r>
        <w:rPr>
          <w:rFonts w:ascii="仿宋" w:hAnsi="仿宋" w:eastAsia="仿宋"/>
          <w:sz w:val="32"/>
          <w:szCs w:val="32"/>
        </w:rPr>
        <w:t>10</w:t>
      </w:r>
      <w:r>
        <w:rPr>
          <w:rFonts w:hint="eastAsia" w:ascii="仿宋" w:hAnsi="仿宋" w:eastAsia="仿宋"/>
          <w:sz w:val="32"/>
          <w:szCs w:val="32"/>
        </w:rPr>
        <w:t>月底累计召开非公企业座谈会</w:t>
      </w:r>
      <w:r>
        <w:rPr>
          <w:rFonts w:ascii="仿宋" w:hAnsi="仿宋" w:eastAsia="仿宋"/>
          <w:sz w:val="32"/>
          <w:szCs w:val="32"/>
        </w:rPr>
        <w:t>7</w:t>
      </w:r>
      <w:r>
        <w:rPr>
          <w:rFonts w:hint="eastAsia" w:ascii="仿宋" w:hAnsi="仿宋" w:eastAsia="仿宋"/>
          <w:sz w:val="32"/>
          <w:szCs w:val="32"/>
        </w:rPr>
        <w:t>次，下沉企业现场召开协调会</w:t>
      </w:r>
      <w:r>
        <w:rPr>
          <w:rFonts w:ascii="仿宋" w:hAnsi="仿宋" w:eastAsia="仿宋"/>
          <w:sz w:val="32"/>
          <w:szCs w:val="32"/>
        </w:rPr>
        <w:t>4</w:t>
      </w:r>
      <w:r>
        <w:rPr>
          <w:rFonts w:hint="eastAsia" w:ascii="仿宋" w:hAnsi="仿宋" w:eastAsia="仿宋"/>
          <w:sz w:val="32"/>
          <w:szCs w:val="32"/>
        </w:rPr>
        <w:t>次，深入非公企业调研项目建设情况</w:t>
      </w:r>
      <w:r>
        <w:rPr>
          <w:rFonts w:ascii="仿宋" w:hAnsi="仿宋" w:eastAsia="仿宋"/>
          <w:sz w:val="32"/>
          <w:szCs w:val="32"/>
        </w:rPr>
        <w:t>26</w:t>
      </w:r>
      <w:r>
        <w:rPr>
          <w:rFonts w:hint="eastAsia" w:ascii="仿宋" w:hAnsi="仿宋" w:eastAsia="仿宋"/>
          <w:sz w:val="32"/>
          <w:szCs w:val="32"/>
        </w:rPr>
        <w:t>次，发放各类宣传资料</w:t>
      </w:r>
      <w:r>
        <w:rPr>
          <w:rFonts w:ascii="仿宋" w:hAnsi="仿宋" w:eastAsia="仿宋"/>
          <w:sz w:val="32"/>
          <w:szCs w:val="32"/>
        </w:rPr>
        <w:t>3600</w:t>
      </w:r>
      <w:r>
        <w:rPr>
          <w:rFonts w:hint="eastAsia" w:ascii="仿宋" w:hAnsi="仿宋" w:eastAsia="仿宋"/>
          <w:sz w:val="32"/>
          <w:szCs w:val="32"/>
        </w:rPr>
        <w:t>份，宣传人数达</w:t>
      </w:r>
      <w:r>
        <w:rPr>
          <w:rFonts w:ascii="仿宋" w:hAnsi="仿宋" w:eastAsia="仿宋"/>
          <w:sz w:val="32"/>
          <w:szCs w:val="32"/>
        </w:rPr>
        <w:t>4000</w:t>
      </w:r>
      <w:r>
        <w:rPr>
          <w:rFonts w:hint="eastAsia" w:ascii="仿宋" w:hAnsi="仿宋" w:eastAsia="仿宋"/>
          <w:sz w:val="32"/>
          <w:szCs w:val="32"/>
        </w:rPr>
        <w:t>余人，通过宣传拉近了非公企业和政府的距离，营造了良好的宣传氛围，也提高了企业参政议政的热情。</w:t>
      </w:r>
    </w:p>
    <w:p>
      <w:pPr>
        <w:spacing w:line="353"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、严格推荐换届执委，做好非公经济代表人士的健康成长。</w:t>
      </w:r>
    </w:p>
    <w:p>
      <w:pPr>
        <w:spacing w:line="353" w:lineRule="auto"/>
        <w:ind w:firstLine="640" w:firstLineChars="200"/>
        <w:rPr>
          <w:rFonts w:ascii="仿宋" w:hAnsi="仿宋" w:eastAsia="仿宋"/>
          <w:sz w:val="32"/>
          <w:szCs w:val="32"/>
        </w:rPr>
      </w:pPr>
      <w:r>
        <w:rPr>
          <w:rFonts w:hint="eastAsia" w:ascii="仿宋" w:hAnsi="仿宋" w:eastAsia="仿宋"/>
          <w:sz w:val="32"/>
          <w:szCs w:val="32"/>
        </w:rPr>
        <w:t>今年是西区工商联（民间商会）换届年，按照《中共攀枝花市委办公室转发＜市委统战部关于县（区）工商联（地方商会）</w:t>
      </w:r>
      <w:r>
        <w:rPr>
          <w:rFonts w:ascii="仿宋" w:hAnsi="仿宋" w:eastAsia="仿宋"/>
          <w:sz w:val="32"/>
          <w:szCs w:val="32"/>
        </w:rPr>
        <w:t>2022</w:t>
      </w:r>
      <w:r>
        <w:rPr>
          <w:rFonts w:hint="eastAsia" w:ascii="仿宋" w:hAnsi="仿宋" w:eastAsia="仿宋"/>
          <w:sz w:val="32"/>
          <w:szCs w:val="32"/>
        </w:rPr>
        <w:t>年换届工作的意见&gt;的通知》（攀委办</w:t>
      </w:r>
      <w:r>
        <w:rPr>
          <w:rFonts w:ascii="仿宋" w:hAnsi="仿宋" w:eastAsia="仿宋"/>
          <w:sz w:val="32"/>
          <w:szCs w:val="32"/>
        </w:rPr>
        <w:t>〔2022〕6</w:t>
      </w:r>
      <w:r>
        <w:rPr>
          <w:rFonts w:hint="eastAsia" w:ascii="仿宋" w:hAnsi="仿宋" w:eastAsia="仿宋"/>
          <w:sz w:val="32"/>
          <w:szCs w:val="32"/>
        </w:rPr>
        <w:t>号）精神，区工商联提前谋划，积极做好对非公经济代表人士的政治安排，在充分协商基础上，提出西区工商联第七届执委会领导班子，设工商联主席</w:t>
      </w:r>
      <w:r>
        <w:rPr>
          <w:rFonts w:ascii="仿宋" w:hAnsi="仿宋" w:eastAsia="仿宋"/>
          <w:sz w:val="32"/>
          <w:szCs w:val="32"/>
        </w:rPr>
        <w:t>1名，常务副主席1名，专职副主席1名，兼职副主席4名，秘书长1名；区商会设会长1名，常务副会长1名，专职副会长1名，兼职副会长4名，秘书长1名。根据我区工作实际，分别提出了西区第七届工商联领导班子建议人选6名，预留1名；西区商会领导班子建议人选6名，预留1名；</w:t>
      </w:r>
      <w:r>
        <w:rPr>
          <w:rFonts w:hint="eastAsia" w:ascii="仿宋" w:hAnsi="仿宋" w:eastAsia="仿宋"/>
          <w:sz w:val="32"/>
          <w:szCs w:val="32"/>
        </w:rPr>
        <w:t>预留名额拟在届中进行补充，通过此次换届将行业代表性强、参政议政能力强、社会信誉好的企业推荐到工商联组织中来，为西区工商联充实新鲜血液。</w:t>
      </w:r>
    </w:p>
    <w:p>
      <w:pPr>
        <w:spacing w:line="353"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、加强正面激励和典型宣传。</w:t>
      </w:r>
    </w:p>
    <w:p>
      <w:pPr>
        <w:spacing w:line="353" w:lineRule="auto"/>
        <w:ind w:firstLine="640" w:firstLineChars="200"/>
        <w:rPr>
          <w:rFonts w:ascii="仿宋" w:hAnsi="仿宋" w:eastAsia="仿宋"/>
          <w:sz w:val="32"/>
          <w:szCs w:val="32"/>
        </w:rPr>
      </w:pPr>
      <w:r>
        <w:rPr>
          <w:rFonts w:hint="eastAsia" w:ascii="仿宋" w:hAnsi="仿宋" w:eastAsia="仿宋"/>
          <w:sz w:val="32"/>
          <w:szCs w:val="32"/>
        </w:rPr>
        <w:t>西区工商联注重做好非公经济人士先进典型评选、宣传工作，弘扬优秀企业家精神，积极推荐了一批思想政治强、行业代表性强、参政议政能力强、社会信誉好的非公经济企业，并获得了表彰。</w:t>
      </w:r>
      <w:r>
        <w:rPr>
          <w:rFonts w:ascii="仿宋" w:hAnsi="仿宋" w:eastAsia="仿宋"/>
          <w:sz w:val="32"/>
          <w:szCs w:val="32"/>
        </w:rPr>
        <w:t>2021</w:t>
      </w:r>
      <w:r>
        <w:rPr>
          <w:rFonts w:hint="eastAsia" w:ascii="仿宋" w:hAnsi="仿宋" w:eastAsia="仿宋"/>
          <w:sz w:val="32"/>
          <w:szCs w:val="32"/>
        </w:rPr>
        <w:t>年，全市“非公有制企业和非公有制经济人士”先进表彰中，攀枝花市路强工贸有限公司、攀枝花市龙达面粉有限公司、攀枝花市天永成工贸有限公司等企业获得表彰，鼓舞了我区民营企业坚定发展的信心。</w:t>
      </w:r>
    </w:p>
    <w:p>
      <w:pPr>
        <w:spacing w:line="353" w:lineRule="auto"/>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、履行社会责任 彰显责任担当。</w:t>
      </w:r>
    </w:p>
    <w:p>
      <w:pPr>
        <w:spacing w:line="353" w:lineRule="auto"/>
        <w:ind w:firstLine="640" w:firstLineChars="200"/>
        <w:rPr>
          <w:rFonts w:ascii="仿宋" w:hAnsi="仿宋" w:eastAsia="仿宋"/>
          <w:sz w:val="32"/>
          <w:szCs w:val="32"/>
        </w:rPr>
      </w:pPr>
      <w:r>
        <w:rPr>
          <w:rFonts w:hint="eastAsia" w:ascii="仿宋" w:hAnsi="仿宋" w:eastAsia="仿宋"/>
          <w:sz w:val="32"/>
          <w:szCs w:val="32"/>
        </w:rPr>
        <w:t>积极引导会员企业把自身企业的发展与西区经济的发展结合起来，把个人富裕与西区全体人民共同富裕结合起来，积极参与光彩事业及其他社会慈善事业，自觉履行社会责任，主动参与疫情防控、老旧小区改造等活动。</w:t>
      </w:r>
    </w:p>
    <w:p>
      <w:pPr>
        <w:spacing w:line="353" w:lineRule="auto"/>
        <w:ind w:firstLine="640" w:firstLineChars="200"/>
        <w:rPr>
          <w:rFonts w:ascii="仿宋" w:hAnsi="仿宋" w:eastAsia="仿宋"/>
          <w:sz w:val="32"/>
          <w:szCs w:val="32"/>
        </w:rPr>
      </w:pPr>
      <w:r>
        <w:rPr>
          <w:rFonts w:hint="eastAsia" w:ascii="仿宋" w:hAnsi="仿宋" w:eastAsia="仿宋"/>
          <w:sz w:val="32"/>
          <w:szCs w:val="32"/>
        </w:rPr>
        <w:t>具统计，</w:t>
      </w:r>
      <w:r>
        <w:rPr>
          <w:rFonts w:ascii="仿宋" w:hAnsi="仿宋" w:eastAsia="仿宋"/>
          <w:sz w:val="32"/>
          <w:szCs w:val="32"/>
        </w:rPr>
        <w:t>2022</w:t>
      </w:r>
      <w:r>
        <w:rPr>
          <w:rFonts w:hint="eastAsia" w:ascii="仿宋" w:hAnsi="仿宋" w:eastAsia="仿宋"/>
          <w:sz w:val="32"/>
          <w:szCs w:val="32"/>
        </w:rPr>
        <w:t>年攀枝花市迈动商业管理有限公司、攀枝花市泰能工贸有限责任公司、攀枝花市市泓岩科技有限公司等非公经济企业为西区提供就业共计</w:t>
      </w:r>
      <w:r>
        <w:rPr>
          <w:rFonts w:ascii="仿宋" w:hAnsi="仿宋" w:eastAsia="仿宋"/>
          <w:sz w:val="32"/>
          <w:szCs w:val="32"/>
        </w:rPr>
        <w:t>60</w:t>
      </w:r>
      <w:r>
        <w:rPr>
          <w:rFonts w:hint="eastAsia" w:ascii="仿宋" w:hAnsi="仿宋" w:eastAsia="仿宋"/>
          <w:sz w:val="32"/>
          <w:szCs w:val="32"/>
        </w:rPr>
        <w:t>余个；金凯达贸易有限公司对老旧小区电梯加装改造捐款</w:t>
      </w:r>
      <w:r>
        <w:rPr>
          <w:rFonts w:ascii="仿宋" w:hAnsi="仿宋" w:eastAsia="仿宋"/>
          <w:sz w:val="32"/>
          <w:szCs w:val="32"/>
        </w:rPr>
        <w:t>20</w:t>
      </w:r>
      <w:r>
        <w:rPr>
          <w:rFonts w:hint="eastAsia" w:ascii="仿宋" w:hAnsi="仿宋" w:eastAsia="仿宋"/>
          <w:sz w:val="32"/>
          <w:szCs w:val="32"/>
        </w:rPr>
        <w:t>万元，疫情防控捐款</w:t>
      </w:r>
      <w:r>
        <w:rPr>
          <w:rFonts w:ascii="仿宋" w:hAnsi="仿宋" w:eastAsia="仿宋"/>
          <w:sz w:val="32"/>
          <w:szCs w:val="32"/>
        </w:rPr>
        <w:t>20万元；星瑞商圈减免商家租金40</w:t>
      </w:r>
      <w:r>
        <w:rPr>
          <w:rFonts w:hint="eastAsia" w:ascii="仿宋" w:hAnsi="仿宋" w:eastAsia="仿宋"/>
          <w:sz w:val="32"/>
          <w:szCs w:val="32"/>
        </w:rPr>
        <w:t>万左。这些爱心企业为我区打赢疫情防控战役提供了坚强后盾和有力保障，充分彰显了企业家们高度的社会责任感和使命感。</w:t>
      </w:r>
    </w:p>
    <w:p>
      <w:pPr>
        <w:spacing w:line="353" w:lineRule="auto"/>
        <w:ind w:firstLine="640" w:firstLineChars="200"/>
        <w:rPr>
          <w:rFonts w:ascii="仿宋" w:hAnsi="仿宋" w:eastAsia="仿宋"/>
          <w:sz w:val="32"/>
          <w:szCs w:val="32"/>
        </w:rPr>
      </w:pPr>
      <w:r>
        <w:rPr>
          <w:rFonts w:hint="eastAsia" w:ascii="仿宋" w:hAnsi="仿宋" w:eastAsia="仿宋"/>
          <w:sz w:val="32"/>
          <w:szCs w:val="32"/>
        </w:rPr>
        <w:t>7、充分发挥非公经济代表人士参政议政作用。</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区政协副主席、区工商联主席姜泽先，区委统战部副部长、区工商联党组书记、常务副主席许茂寅等带队分别到嘉尔科技、午跃科技、嘉兆丰科技、路强工贸等企业走访调研。走访调研中，区工商联领导分别听取了相关企业的意见建议，围绕企业在项目建设、安全生产、疫情防控、森林草原防灭火、法律、融资等诸多方面问题进行面对面沟通、心贴心交流，认真征求非公经济人士对优化营商环境政策的意见建议，在充分调研的基础上，积极引导非公企业参政议政、建言献策，充分发挥非公经济代表人士参政议政的作用。今年来组织</w:t>
      </w:r>
      <w:r>
        <w:rPr>
          <w:rFonts w:ascii="仿宋" w:hAnsi="仿宋" w:eastAsia="仿宋"/>
          <w:sz w:val="32"/>
          <w:szCs w:val="32"/>
        </w:rPr>
        <w:t>6</w:t>
      </w:r>
      <w:r>
        <w:rPr>
          <w:rFonts w:hint="eastAsia" w:ascii="仿宋" w:hAnsi="仿宋" w:eastAsia="仿宋"/>
          <w:sz w:val="32"/>
          <w:szCs w:val="32"/>
        </w:rPr>
        <w:t>次，</w:t>
      </w:r>
      <w:r>
        <w:rPr>
          <w:rFonts w:ascii="仿宋" w:hAnsi="仿宋" w:eastAsia="仿宋"/>
          <w:sz w:val="32"/>
          <w:szCs w:val="32"/>
        </w:rPr>
        <w:t>14</w:t>
      </w:r>
      <w:r>
        <w:rPr>
          <w:rFonts w:hint="eastAsia" w:ascii="仿宋" w:hAnsi="仿宋" w:eastAsia="仿宋"/>
          <w:sz w:val="32"/>
          <w:szCs w:val="32"/>
        </w:rPr>
        <w:t>人深入格里坪特色产业园区，了解园区产业规划、园区基础设施建议等内容，完成《格里坪特色产业园区发展分析与建设路径调研报告》，为区委、区政府科学决策提供了依据。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ind w:firstLine="640" w:firstLineChars="200"/>
        <w:rPr>
          <w:lang w:val="zh-CN"/>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pStyle w:val="8"/>
        <w:tabs>
          <w:tab w:val="left" w:pos="5456"/>
        </w:tabs>
        <w:spacing w:line="600" w:lineRule="exact"/>
        <w:ind w:firstLine="640" w:firstLineChars="200"/>
        <w:jc w:val="left"/>
        <w:rPr>
          <w:rFonts w:ascii="Times New Roman" w:eastAsia="仿宋"/>
          <w:color w:val="000000"/>
          <w:spacing w:val="0"/>
        </w:rPr>
      </w:pPr>
      <w:r>
        <w:rPr>
          <w:rFonts w:hint="eastAsia" w:ascii="Times New Roman" w:eastAsia="仿宋"/>
          <w:color w:val="000000"/>
          <w:spacing w:val="0"/>
        </w:rPr>
        <w:t>西区工商联</w:t>
      </w:r>
      <w:r>
        <w:rPr>
          <w:rFonts w:ascii="Times New Roman" w:eastAsia="仿宋"/>
          <w:color w:val="000000"/>
          <w:spacing w:val="0"/>
        </w:rPr>
        <w:t>2022当年预算</w:t>
      </w:r>
      <w:r>
        <w:rPr>
          <w:rFonts w:hint="eastAsia" w:ascii="Times New Roman" w:eastAsia="仿宋"/>
          <w:color w:val="000000"/>
          <w:spacing w:val="0"/>
        </w:rPr>
        <w:t>收入100.17万元，其中：一般公共预算拨款收入89万元，占总收入88.85%；政府性基金预算财政拨款支出11.17万元，占总收入11.15%。</w:t>
      </w:r>
    </w:p>
    <w:p>
      <w:pPr>
        <w:pStyle w:val="8"/>
        <w:spacing w:line="560" w:lineRule="exact"/>
        <w:ind w:firstLine="640" w:firstLineChars="200"/>
        <w:rPr>
          <w:rFonts w:ascii="Times New Roman" w:eastAsia="仿宋"/>
          <w:color w:val="000000"/>
          <w:spacing w:val="0"/>
        </w:rPr>
      </w:pPr>
      <w:r>
        <w:rPr>
          <w:rFonts w:hint="eastAsia" w:ascii="Times New Roman" w:eastAsia="仿宋"/>
          <w:color w:val="000000"/>
          <w:spacing w:val="0"/>
        </w:rPr>
        <w:t>2022年列入项目绩效管理的项目有2个，共计11.17万元，分别是：换届选举、联系协调非公企业经费项目经费7.9万元、购买社会服务费经费3.27万元。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widowControl/>
        <w:adjustRightInd w:val="0"/>
        <w:snapToGrid w:val="0"/>
        <w:spacing w:line="580" w:lineRule="exact"/>
        <w:ind w:firstLine="640" w:firstLineChars="200"/>
        <w:contextualSpacing/>
        <w:jc w:val="left"/>
        <w:rPr>
          <w:rFonts w:eastAsia="仿宋"/>
          <w:color w:val="000000"/>
          <w:sz w:val="32"/>
          <w:szCs w:val="32"/>
        </w:rPr>
      </w:pPr>
      <w:r>
        <w:rPr>
          <w:rFonts w:hint="eastAsia" w:eastAsia="仿宋"/>
          <w:color w:val="000000"/>
          <w:sz w:val="32"/>
          <w:szCs w:val="32"/>
        </w:rPr>
        <w:t>西区工商联2022年支出预算100.17万元</w:t>
      </w:r>
      <w:r>
        <w:rPr>
          <w:rFonts w:eastAsia="仿宋"/>
          <w:color w:val="000000"/>
          <w:sz w:val="32"/>
          <w:szCs w:val="32"/>
        </w:rPr>
        <w:t>。</w:t>
      </w:r>
      <w:r>
        <w:rPr>
          <w:rFonts w:hint="eastAsia" w:eastAsia="仿宋"/>
          <w:color w:val="000000"/>
          <w:sz w:val="32"/>
          <w:szCs w:val="32"/>
        </w:rPr>
        <w:t>其中：基本支出89万元，占总支出88.85%；项目支出11.17万元，占总支出11.15%。</w:t>
      </w:r>
    </w:p>
    <w:p>
      <w:pPr>
        <w:widowControl/>
        <w:adjustRightInd w:val="0"/>
        <w:snapToGrid w:val="0"/>
        <w:spacing w:line="580" w:lineRule="exact"/>
        <w:ind w:firstLine="640" w:firstLineChars="200"/>
        <w:contextualSpacing/>
        <w:jc w:val="left"/>
        <w:rPr>
          <w:rFonts w:eastAsia="仿宋"/>
          <w:color w:val="000000"/>
          <w:sz w:val="32"/>
          <w:szCs w:val="32"/>
        </w:rPr>
      </w:pPr>
      <w:r>
        <w:rPr>
          <w:rFonts w:eastAsia="仿宋"/>
          <w:color w:val="000000"/>
          <w:sz w:val="32"/>
          <w:szCs w:val="32"/>
        </w:rPr>
        <w:t>2022</w:t>
      </w:r>
      <w:r>
        <w:rPr>
          <w:rFonts w:hint="eastAsia" w:eastAsia="仿宋"/>
          <w:color w:val="000000"/>
          <w:sz w:val="32"/>
          <w:szCs w:val="32"/>
        </w:rPr>
        <w:t>年度基本支出89万元，比年初预算减少4.23万元，增幅-4.54%，其中：人员经费支出82.43万元，比年初预算减少2.29万元，增幅-2.7%，主要为在职人员社保减少导致；日常公用经费支出6.57万元，比年初预算减少1.94万元，增幅-22.8%，主要是2022年度厉行节约减少了不必要开支。</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2022年项目支出决算数为11.27万元，比年初预算减少0.01万元。主要是2022年度厉行节约减少了不必要开支。</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2022年年末无结转和结余。</w:t>
      </w:r>
    </w:p>
    <w:p>
      <w:pPr>
        <w:widowControl/>
        <w:adjustRightInd w:val="0"/>
        <w:snapToGrid w:val="0"/>
        <w:spacing w:line="560" w:lineRule="exact"/>
        <w:ind w:firstLine="643" w:firstLineChars="200"/>
        <w:contextualSpacing/>
        <w:jc w:val="left"/>
        <w:rPr>
          <w:rFonts w:eastAsia="仿宋"/>
          <w:color w:val="000000"/>
          <w:sz w:val="32"/>
          <w:szCs w:val="32"/>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2022年财政拨款收入为100.17万元。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2022年财政拨款支出为100.17万元，年终预算执行进度达到100%。</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eastAsia="仿宋"/>
          <w:color w:val="000000"/>
          <w:sz w:val="32"/>
          <w:szCs w:val="32"/>
        </w:rPr>
      </w:pPr>
      <w:r>
        <w:rPr>
          <w:rFonts w:hint="eastAsia" w:eastAsia="仿宋"/>
          <w:color w:val="000000"/>
          <w:sz w:val="32"/>
          <w:szCs w:val="32"/>
        </w:rPr>
        <w:t>年末结转和结余资金均为零，各预算项目资金结余率均为零。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绩效目标制定要素完整，指标细化量准确，每年的绩效评价均列入党委会议讨论并审议；绩效目标分为人员类、运转类和特定目标类三类分类制定目标，根据目标分类跟踪考核。</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预算编制，实事求是，确保预算的准确性、及时性；专项预算项目按照程序严密、规划合理的原则实施、管理结果符合审计要求、项目分配科学、分配及时，没有违规记录等情况。</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rPr>
      </w:pPr>
      <w:r>
        <w:rPr>
          <w:rFonts w:ascii="仿宋" w:hAnsi="仿宋" w:eastAsia="仿宋"/>
          <w:sz w:val="32"/>
          <w:szCs w:val="32"/>
        </w:rPr>
        <w:t>2022年及时准确核算发放在职及退休人员的工资和各项待遇，共支出人员经费</w:t>
      </w:r>
      <w:r>
        <w:rPr>
          <w:rFonts w:hint="eastAsia" w:ascii="仿宋" w:hAnsi="仿宋" w:eastAsia="仿宋"/>
          <w:sz w:val="32"/>
          <w:szCs w:val="32"/>
        </w:rPr>
        <w:t>82.43</w:t>
      </w:r>
      <w:r>
        <w:rPr>
          <w:rFonts w:ascii="仿宋" w:hAnsi="仿宋" w:eastAsia="仿宋"/>
          <w:sz w:val="32"/>
          <w:szCs w:val="32"/>
        </w:rPr>
        <w:t>万元，主要包括：基本工资、津贴补贴、奖金、机关事业单位基本养老保险缴费、其他社会保障缴费、其他工资福利支出、生活补助、医疗费补助、奖励金、住房公积金支出等</w:t>
      </w:r>
      <w:r>
        <w:rPr>
          <w:rFonts w:hint="eastAsia" w:ascii="仿宋" w:hAnsi="仿宋" w:eastAsia="仿宋" w:cs="仿宋_GB2312"/>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2022年贯彻</w:t>
      </w:r>
      <w:r>
        <w:rPr>
          <w:rFonts w:hint="eastAsia" w:ascii="仿宋" w:hAnsi="仿宋" w:eastAsia="仿宋"/>
          <w:sz w:val="32"/>
          <w:szCs w:val="32"/>
        </w:rPr>
        <w:t>区</w:t>
      </w:r>
      <w:r>
        <w:rPr>
          <w:rFonts w:ascii="仿宋" w:hAnsi="仿宋" w:eastAsia="仿宋"/>
          <w:sz w:val="32"/>
          <w:szCs w:val="32"/>
        </w:rPr>
        <w:t>委、</w:t>
      </w:r>
      <w:r>
        <w:rPr>
          <w:rFonts w:hint="eastAsia" w:ascii="仿宋" w:hAnsi="仿宋" w:eastAsia="仿宋"/>
          <w:sz w:val="32"/>
          <w:szCs w:val="32"/>
        </w:rPr>
        <w:t>区</w:t>
      </w:r>
      <w:r>
        <w:rPr>
          <w:rFonts w:ascii="仿宋" w:hAnsi="仿宋" w:eastAsia="仿宋"/>
          <w:sz w:val="32"/>
          <w:szCs w:val="32"/>
        </w:rPr>
        <w:t>政府过紧日子要求，按照厉行节约原则，严格控制“三公经费”支出，强化支出及项目绩效管理，保证机关单位的正常运转，按照规定使用日常公用经费</w:t>
      </w:r>
      <w:r>
        <w:rPr>
          <w:rFonts w:hint="eastAsia" w:ascii="仿宋" w:hAnsi="仿宋" w:eastAsia="仿宋"/>
          <w:sz w:val="32"/>
          <w:szCs w:val="32"/>
        </w:rPr>
        <w:t>6.57</w:t>
      </w:r>
      <w:r>
        <w:rPr>
          <w:rFonts w:ascii="仿宋" w:hAnsi="仿宋" w:eastAsia="仿宋"/>
          <w:sz w:val="32"/>
          <w:szCs w:val="32"/>
        </w:rPr>
        <w:t>万元，主要包括：办公费、邮电费、差旅费、工会经费、福利费、其他交通费</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ascii="仿宋" w:hAnsi="仿宋" w:eastAsia="仿宋"/>
          <w:sz w:val="32"/>
          <w:szCs w:val="32"/>
        </w:rPr>
        <w:t>2022年特定目标类部门预算项目</w:t>
      </w:r>
      <w:r>
        <w:rPr>
          <w:rFonts w:hint="eastAsia" w:ascii="仿宋" w:hAnsi="仿宋" w:eastAsia="仿宋"/>
          <w:sz w:val="32"/>
          <w:szCs w:val="32"/>
        </w:rPr>
        <w:t>2</w:t>
      </w:r>
      <w:r>
        <w:rPr>
          <w:rFonts w:ascii="仿宋" w:hAnsi="仿宋" w:eastAsia="仿宋"/>
          <w:sz w:val="32"/>
          <w:szCs w:val="32"/>
        </w:rPr>
        <w:t>项，其中，2022年初安排项目预算</w:t>
      </w:r>
      <w:r>
        <w:rPr>
          <w:rFonts w:hint="eastAsia" w:ascii="仿宋" w:hAnsi="仿宋" w:eastAsia="仿宋"/>
          <w:sz w:val="32"/>
          <w:szCs w:val="32"/>
        </w:rPr>
        <w:t>11.97</w:t>
      </w:r>
      <w:r>
        <w:rPr>
          <w:rFonts w:ascii="仿宋" w:hAnsi="仿宋" w:eastAsia="仿宋"/>
          <w:sz w:val="32"/>
          <w:szCs w:val="32"/>
        </w:rPr>
        <w:t>元，实际支出</w:t>
      </w:r>
      <w:r>
        <w:rPr>
          <w:rFonts w:hint="eastAsia" w:ascii="仿宋" w:hAnsi="仿宋" w:eastAsia="仿宋"/>
          <w:sz w:val="32"/>
          <w:szCs w:val="32"/>
        </w:rPr>
        <w:t>11.97</w:t>
      </w:r>
      <w:r>
        <w:rPr>
          <w:rFonts w:ascii="仿宋" w:hAnsi="仿宋" w:eastAsia="仿宋"/>
          <w:sz w:val="32"/>
          <w:szCs w:val="32"/>
        </w:rPr>
        <w:t>万元。具体完成如下：</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换届选举、联系协调非公企业经费项目7.9</w:t>
      </w:r>
      <w:r>
        <w:rPr>
          <w:rFonts w:ascii="仿宋" w:hAnsi="仿宋" w:eastAsia="仿宋"/>
          <w:sz w:val="32"/>
          <w:szCs w:val="32"/>
        </w:rPr>
        <w:t>万元。</w:t>
      </w:r>
      <w:r>
        <w:rPr>
          <w:rFonts w:hint="eastAsia" w:ascii="仿宋" w:hAnsi="仿宋" w:eastAsia="仿宋"/>
          <w:sz w:val="32"/>
          <w:szCs w:val="32"/>
        </w:rPr>
        <w:t>圆满完成西区工商联、西区商会的换届选举工作；切实提高非公经济人士思想素质和参政议政能力，促进非公经济两个健康发展</w:t>
      </w:r>
      <w:r>
        <w:rPr>
          <w:rFonts w:ascii="仿宋" w:hAnsi="仿宋" w:eastAsia="仿宋"/>
          <w:sz w:val="32"/>
          <w:szCs w:val="32"/>
        </w:rPr>
        <w:t>。</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购买社会服务费3.27</w:t>
      </w:r>
      <w:r>
        <w:rPr>
          <w:rFonts w:ascii="仿宋" w:hAnsi="仿宋" w:eastAsia="仿宋"/>
          <w:sz w:val="32"/>
          <w:szCs w:val="32"/>
        </w:rPr>
        <w:t>万元，主要用于</w:t>
      </w:r>
      <w:r>
        <w:rPr>
          <w:rFonts w:hint="eastAsia" w:ascii="仿宋" w:hAnsi="仿宋" w:eastAsia="仿宋"/>
          <w:sz w:val="32"/>
          <w:szCs w:val="32"/>
        </w:rPr>
        <w:t>项目的实施，规范了内部控制。对机关内部的规范化起到了积极作用，产生了深远的社会影响，取得了良好的社会效果</w:t>
      </w:r>
      <w:r>
        <w:rPr>
          <w:rFonts w:ascii="仿宋" w:hAnsi="仿宋" w:eastAsia="仿宋"/>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eastAsia="仿宋"/>
          <w:sz w:val="32"/>
          <w:szCs w:val="32"/>
        </w:rPr>
        <w:t>预算编制及时、财务</w:t>
      </w:r>
      <w:r>
        <w:rPr>
          <w:rFonts w:eastAsia="仿宋"/>
          <w:color w:val="000000"/>
          <w:sz w:val="32"/>
          <w:szCs w:val="32"/>
        </w:rPr>
        <w:t>管理较为规范，财经纪律、财务制度执行情况良好。严格预算支出管理。在支出预算编制上，人员经费按照配置定额，逐人核定编制，公用经费分类分档，按定额编制</w:t>
      </w:r>
      <w:r>
        <w:rPr>
          <w:rFonts w:hint="eastAsia" w:ascii="仿宋" w:hAnsi="仿宋" w:eastAsia="仿宋" w:cs="仿宋_GB2312"/>
          <w:kern w:val="0"/>
          <w:sz w:val="32"/>
          <w:szCs w:val="32"/>
          <w:shd w:val="clear" w:color="auto" w:fill="FFFFFF"/>
          <w:lang w:val="zh-CN"/>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eastAsia="仿宋"/>
          <w:color w:val="000000"/>
          <w:sz w:val="32"/>
          <w:szCs w:val="32"/>
        </w:rPr>
        <w:t>严格对照项目支出绩效评价发现的问题，查找管理漏洞，强化结果应用，将评价结果于制定政策、完善内控管理制度，用于改进项目管理、财务管理和资金使用管理，用于调整预算安排方式、增减预算规模和优化支出结构，不断提高资金使用效益</w:t>
      </w:r>
      <w:r>
        <w:rPr>
          <w:rFonts w:hint="eastAsia" w:ascii="仿宋" w:hAnsi="仿宋" w:eastAsia="仿宋" w:cs="仿宋_GB2312"/>
          <w:kern w:val="0"/>
          <w:sz w:val="32"/>
          <w:szCs w:val="32"/>
          <w:shd w:val="clear" w:color="auto" w:fill="FFFFFF"/>
          <w:lang w:val="zh-CN"/>
        </w:rPr>
        <w:t>。</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rPr>
      </w:pPr>
      <w:r>
        <w:rPr>
          <w:rFonts w:hint="eastAsia" w:eastAsia="仿宋"/>
          <w:color w:val="000000"/>
          <w:sz w:val="32"/>
          <w:szCs w:val="32"/>
        </w:rPr>
        <w:t>整体支出自评客观公正，质量良好</w:t>
      </w:r>
      <w:r>
        <w:rPr>
          <w:rFonts w:hint="eastAsia" w:ascii="仿宋" w:hAnsi="仿宋" w:eastAsia="仿宋" w:cs="仿宋_GB2312"/>
          <w:kern w:val="0"/>
          <w:sz w:val="32"/>
          <w:szCs w:val="32"/>
          <w:shd w:val="clear" w:color="auto" w:fill="FFFFFF"/>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我单位支出绩效总体良好，各项目标基本达到了相应时期执行进度，使财政收支预算执行都得到了良好的制度保障和实施效果。</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自我评价得分：部门预算绩效管理64分，绩效结果应用10分，自评质量10分，合计93分。</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部分资金在使用上因财政资金支付困难，因此在资金支付上有进度滞后情况。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spacing w:line="580" w:lineRule="exact"/>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 xml:space="preserve">    1.我们将进一步重视预算的编制工作，加强财务管理制度建设，完善单位内部财务管理制度，增强可执行性；提高预算编制的精确度，提高财政资金使用效率，尽量减少预算执行调整、结转和结余情形。</w:t>
      </w:r>
    </w:p>
    <w:p>
      <w:pPr>
        <w:widowControl/>
        <w:adjustRightInd w:val="0"/>
        <w:snapToGrid w:val="0"/>
        <w:spacing w:line="580" w:lineRule="exact"/>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 xml:space="preserve">     2.加强资金的合理使用，提前做好资金使用规划，对资金使用和管理实施绩效管理、建立考核机制，实行动态管理，确保资金使用效益最大化。</w:t>
      </w:r>
    </w:p>
    <w:p>
      <w:pPr>
        <w:pStyle w:val="14"/>
        <w:spacing w:line="560" w:lineRule="exact"/>
        <w:ind w:left="0" w:leftChars="0" w:firstLine="640"/>
        <w:rPr>
          <w:rFonts w:ascii="仿宋" w:hAnsi="仿宋" w:eastAsia="仿宋" w:cs="仿宋"/>
          <w:kern w:val="0"/>
          <w:sz w:val="32"/>
        </w:rPr>
      </w:pPr>
      <w:r>
        <w:rPr>
          <w:rFonts w:hint="eastAsia" w:ascii="仿宋" w:hAnsi="仿宋" w:eastAsia="仿宋" w:cs="仿宋_GB2312"/>
          <w:sz w:val="32"/>
          <w:lang w:val="zh-CN"/>
        </w:rPr>
        <w:t>附表：</w:t>
      </w:r>
      <w:r>
        <w:rPr>
          <w:rFonts w:hint="eastAsia" w:ascii="仿宋" w:hAnsi="仿宋" w:eastAsia="仿宋" w:cs="仿宋_GB2312"/>
          <w:sz w:val="32"/>
        </w:rPr>
        <w:t>部门预算项目支出绩效自评表（2022年度）见附件</w:t>
      </w:r>
    </w:p>
    <w:p>
      <w:pPr>
        <w:pStyle w:val="35"/>
        <w:spacing w:line="578" w:lineRule="exact"/>
        <w:ind w:firstLine="640"/>
        <w:jc w:val="center"/>
        <w:rPr>
          <w:rFonts w:ascii="宋体" w:hAnsi="宋体"/>
          <w:color w:val="auto"/>
          <w:kern w:val="2"/>
          <w:sz w:val="32"/>
          <w:szCs w:val="32"/>
        </w:rPr>
      </w:pPr>
    </w:p>
    <w:p>
      <w:pPr>
        <w:pStyle w:val="35"/>
        <w:spacing w:line="578" w:lineRule="exact"/>
        <w:ind w:firstLine="640"/>
        <w:jc w:val="center"/>
        <w:rPr>
          <w:rFonts w:ascii="宋体" w:hAnsi="宋体"/>
          <w:color w:val="auto"/>
          <w:kern w:val="2"/>
          <w:sz w:val="32"/>
          <w:szCs w:val="32"/>
        </w:rPr>
      </w:pPr>
    </w:p>
    <w:p>
      <w:pPr>
        <w:pStyle w:val="35"/>
        <w:spacing w:line="578" w:lineRule="exact"/>
        <w:ind w:firstLine="640"/>
        <w:jc w:val="center"/>
        <w:rPr>
          <w:rFonts w:ascii="宋体" w:hAnsi="宋体"/>
          <w:color w:val="auto"/>
          <w:kern w:val="2"/>
          <w:sz w:val="32"/>
          <w:szCs w:val="32"/>
        </w:rPr>
      </w:pPr>
    </w:p>
    <w:p>
      <w:pPr>
        <w:widowControl/>
        <w:jc w:val="left"/>
        <w:rPr>
          <w:rStyle w:val="29"/>
          <w:rFonts w:ascii="黑体" w:hAnsi="黑体" w:eastAsia="黑体"/>
          <w:b w:val="0"/>
        </w:rPr>
      </w:pP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29"/>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0"/>
          <w:rFonts w:hint="eastAsia" w:ascii="仿宋" w:hAnsi="仿宋" w:eastAsia="仿宋"/>
          <w:b w:val="0"/>
          <w:bCs w:val="0"/>
        </w:rPr>
        <w:t>入决算表</w:t>
      </w:r>
      <w:bookmarkEnd w:id="55"/>
    </w:p>
    <w:p>
      <w:pPr>
        <w:pStyle w:val="4"/>
        <w:rPr>
          <w:rFonts w:ascii="仿宋" w:hAnsi="仿宋" w:eastAsia="仿宋"/>
        </w:rPr>
      </w:pPr>
      <w:bookmarkStart w:id="56"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7"/>
    </w:p>
    <w:p>
      <w:pPr>
        <w:pStyle w:val="4"/>
        <w:rPr>
          <w:rStyle w:val="30"/>
          <w:rFonts w:ascii="仿宋" w:hAnsi="仿宋" w:eastAsia="仿宋"/>
          <w:b w:val="0"/>
          <w:bCs w:val="0"/>
        </w:rPr>
      </w:pPr>
      <w:bookmarkStart w:id="58"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0"/>
          <w:rFonts w:hint="eastAsia" w:ascii="仿宋" w:hAnsi="仿宋" w:eastAsia="仿宋"/>
          <w:b w:val="0"/>
          <w:bCs w:val="0"/>
        </w:rPr>
        <w:t>十、</w:t>
      </w:r>
      <w:bookmarkEnd w:id="63"/>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0"/>
          <w:rFonts w:hint="eastAsia" w:ascii="仿宋" w:hAnsi="仿宋" w:eastAsia="仿宋"/>
          <w:b w:val="0"/>
          <w:bCs w:val="0"/>
        </w:rPr>
        <w:t>十一、</w:t>
      </w:r>
      <w:bookmarkEnd w:id="64"/>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0"/>
          <w:rFonts w:hint="eastAsia" w:ascii="仿宋" w:hAnsi="仿宋" w:eastAsia="仿宋"/>
          <w:b w:val="0"/>
          <w:bCs w:val="0"/>
        </w:rPr>
        <w:t>十二、</w:t>
      </w:r>
      <w:bookmarkEnd w:id="65"/>
      <w:r>
        <w:rPr>
          <w:rStyle w:val="30"/>
          <w:rFonts w:hint="eastAsia" w:ascii="仿宋" w:hAnsi="仿宋" w:eastAsia="仿宋"/>
          <w:b w:val="0"/>
          <w:bCs w:val="0"/>
        </w:rPr>
        <w:t>国有资本经营预算财政拨款支出决算表</w:t>
      </w:r>
    </w:p>
    <w:p>
      <w:pPr>
        <w:pStyle w:val="4"/>
        <w:rPr>
          <w:rFonts w:eastAsia="仿宋"/>
        </w:rPr>
      </w:pPr>
      <w:bookmarkStart w:id="66" w:name="_Toc15396631"/>
      <w:r>
        <w:rPr>
          <w:rStyle w:val="30"/>
          <w:rFonts w:hint="eastAsia" w:ascii="仿宋" w:hAnsi="仿宋" w:eastAsia="仿宋"/>
          <w:b w:val="0"/>
          <w:bCs w:val="0"/>
        </w:rPr>
        <w:t>十三、</w:t>
      </w:r>
      <w:bookmarkEnd w:id="66"/>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U4ZWMyNzRjNWRkODQwMDZiZGE1MWU4ZTU3OWEifQ=="/>
  </w:docVars>
  <w:rsids>
    <w:rsidRoot w:val="00F1361C"/>
    <w:rsid w:val="0000573B"/>
    <w:rsid w:val="000222C6"/>
    <w:rsid w:val="0002549F"/>
    <w:rsid w:val="00044B7E"/>
    <w:rsid w:val="000468DB"/>
    <w:rsid w:val="0006487A"/>
    <w:rsid w:val="00065F8F"/>
    <w:rsid w:val="00070A43"/>
    <w:rsid w:val="000768F2"/>
    <w:rsid w:val="00087F54"/>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492E"/>
    <w:rsid w:val="00294DC9"/>
    <w:rsid w:val="00295495"/>
    <w:rsid w:val="002A31DE"/>
    <w:rsid w:val="002B2613"/>
    <w:rsid w:val="002D6D05"/>
    <w:rsid w:val="002F1818"/>
    <w:rsid w:val="002F4DC0"/>
    <w:rsid w:val="002F567B"/>
    <w:rsid w:val="003216A9"/>
    <w:rsid w:val="00335A74"/>
    <w:rsid w:val="003537F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169C"/>
    <w:rsid w:val="00406254"/>
    <w:rsid w:val="004223DE"/>
    <w:rsid w:val="00434489"/>
    <w:rsid w:val="00437085"/>
    <w:rsid w:val="004370B8"/>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50283"/>
    <w:rsid w:val="005664BB"/>
    <w:rsid w:val="00566FFA"/>
    <w:rsid w:val="0057481D"/>
    <w:rsid w:val="0058486E"/>
    <w:rsid w:val="00585B33"/>
    <w:rsid w:val="00586F76"/>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24CF"/>
    <w:rsid w:val="006440E4"/>
    <w:rsid w:val="0066343B"/>
    <w:rsid w:val="00664777"/>
    <w:rsid w:val="00667CD0"/>
    <w:rsid w:val="0067280B"/>
    <w:rsid w:val="006748A4"/>
    <w:rsid w:val="00681A31"/>
    <w:rsid w:val="00683E73"/>
    <w:rsid w:val="006A3141"/>
    <w:rsid w:val="006A5E34"/>
    <w:rsid w:val="006B2422"/>
    <w:rsid w:val="006B2B9A"/>
    <w:rsid w:val="006C1937"/>
    <w:rsid w:val="006F020C"/>
    <w:rsid w:val="007063D2"/>
    <w:rsid w:val="0071071A"/>
    <w:rsid w:val="007127B7"/>
    <w:rsid w:val="0071798E"/>
    <w:rsid w:val="007416B6"/>
    <w:rsid w:val="00746F48"/>
    <w:rsid w:val="0075404D"/>
    <w:rsid w:val="0076182A"/>
    <w:rsid w:val="00767B7E"/>
    <w:rsid w:val="00773C19"/>
    <w:rsid w:val="007770C3"/>
    <w:rsid w:val="00784D24"/>
    <w:rsid w:val="00785FBA"/>
    <w:rsid w:val="00786E4A"/>
    <w:rsid w:val="007875EB"/>
    <w:rsid w:val="007925E1"/>
    <w:rsid w:val="0079426B"/>
    <w:rsid w:val="007D1682"/>
    <w:rsid w:val="007D312A"/>
    <w:rsid w:val="007D3F19"/>
    <w:rsid w:val="007E23B0"/>
    <w:rsid w:val="007E23E5"/>
    <w:rsid w:val="007F1991"/>
    <w:rsid w:val="007F2C2F"/>
    <w:rsid w:val="007F55FC"/>
    <w:rsid w:val="007F5665"/>
    <w:rsid w:val="00800112"/>
    <w:rsid w:val="008012DE"/>
    <w:rsid w:val="00813348"/>
    <w:rsid w:val="008253BB"/>
    <w:rsid w:val="0083706E"/>
    <w:rsid w:val="008408F6"/>
    <w:rsid w:val="008423A5"/>
    <w:rsid w:val="00850625"/>
    <w:rsid w:val="00850CA2"/>
    <w:rsid w:val="00853718"/>
    <w:rsid w:val="00855221"/>
    <w:rsid w:val="00860645"/>
    <w:rsid w:val="00861840"/>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676"/>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AF1325"/>
    <w:rsid w:val="00B03C9D"/>
    <w:rsid w:val="00B060AE"/>
    <w:rsid w:val="00B10517"/>
    <w:rsid w:val="00B14E76"/>
    <w:rsid w:val="00B161B8"/>
    <w:rsid w:val="00B2048C"/>
    <w:rsid w:val="00B23AA7"/>
    <w:rsid w:val="00B310B9"/>
    <w:rsid w:val="00B35F3F"/>
    <w:rsid w:val="00B36CBB"/>
    <w:rsid w:val="00B425E0"/>
    <w:rsid w:val="00B440AA"/>
    <w:rsid w:val="00B44B70"/>
    <w:rsid w:val="00B53C56"/>
    <w:rsid w:val="00B57DAF"/>
    <w:rsid w:val="00B7352B"/>
    <w:rsid w:val="00B77EA6"/>
    <w:rsid w:val="00B81598"/>
    <w:rsid w:val="00B841F1"/>
    <w:rsid w:val="00B944D6"/>
    <w:rsid w:val="00BB2E2F"/>
    <w:rsid w:val="00BB4DF0"/>
    <w:rsid w:val="00BC289F"/>
    <w:rsid w:val="00BC2D50"/>
    <w:rsid w:val="00BC5361"/>
    <w:rsid w:val="00BC5460"/>
    <w:rsid w:val="00BC6B50"/>
    <w:rsid w:val="00BD0E25"/>
    <w:rsid w:val="00BF5BD6"/>
    <w:rsid w:val="00BF6B9C"/>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448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57F9"/>
    <w:rsid w:val="00D36AFE"/>
    <w:rsid w:val="00D4145D"/>
    <w:rsid w:val="00D51276"/>
    <w:rsid w:val="00D7035F"/>
    <w:rsid w:val="00D95577"/>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25CF5"/>
    <w:rsid w:val="00E331A1"/>
    <w:rsid w:val="00E33202"/>
    <w:rsid w:val="00E336A9"/>
    <w:rsid w:val="00E37600"/>
    <w:rsid w:val="00E472B1"/>
    <w:rsid w:val="00E50624"/>
    <w:rsid w:val="00E5285B"/>
    <w:rsid w:val="00E568DF"/>
    <w:rsid w:val="00E64269"/>
    <w:rsid w:val="00E747EB"/>
    <w:rsid w:val="00E82267"/>
    <w:rsid w:val="00E853CE"/>
    <w:rsid w:val="00E867B6"/>
    <w:rsid w:val="00EA010F"/>
    <w:rsid w:val="00ED1B63"/>
    <w:rsid w:val="00ED3C1F"/>
    <w:rsid w:val="00ED4085"/>
    <w:rsid w:val="00ED420E"/>
    <w:rsid w:val="00ED6FBE"/>
    <w:rsid w:val="00EE2F57"/>
    <w:rsid w:val="00EF39C0"/>
    <w:rsid w:val="00EF4C34"/>
    <w:rsid w:val="00EF71C5"/>
    <w:rsid w:val="00EF77C6"/>
    <w:rsid w:val="00F05438"/>
    <w:rsid w:val="00F10C07"/>
    <w:rsid w:val="00F1361C"/>
    <w:rsid w:val="00F156F0"/>
    <w:rsid w:val="00F160C7"/>
    <w:rsid w:val="00F2408F"/>
    <w:rsid w:val="00F240E9"/>
    <w:rsid w:val="00F36D8F"/>
    <w:rsid w:val="00F417B1"/>
    <w:rsid w:val="00F45853"/>
    <w:rsid w:val="00F45917"/>
    <w:rsid w:val="00F602DF"/>
    <w:rsid w:val="00F754A1"/>
    <w:rsid w:val="00F81FD9"/>
    <w:rsid w:val="00F841AA"/>
    <w:rsid w:val="00F84A94"/>
    <w:rsid w:val="00F87E96"/>
    <w:rsid w:val="00FA23E8"/>
    <w:rsid w:val="00FA69F6"/>
    <w:rsid w:val="00FD3683"/>
    <w:rsid w:val="00FD3CC1"/>
    <w:rsid w:val="00FF1E02"/>
    <w:rsid w:val="00FF30B4"/>
    <w:rsid w:val="015975B8"/>
    <w:rsid w:val="01CB578C"/>
    <w:rsid w:val="02143E91"/>
    <w:rsid w:val="066E0107"/>
    <w:rsid w:val="07996F6E"/>
    <w:rsid w:val="0A2032A3"/>
    <w:rsid w:val="0F98263C"/>
    <w:rsid w:val="101860EC"/>
    <w:rsid w:val="10C055FF"/>
    <w:rsid w:val="118107EC"/>
    <w:rsid w:val="13D50BC4"/>
    <w:rsid w:val="16BB723D"/>
    <w:rsid w:val="1AD515F6"/>
    <w:rsid w:val="1BE8440E"/>
    <w:rsid w:val="1D155CEE"/>
    <w:rsid w:val="1EC7098C"/>
    <w:rsid w:val="1FF35744"/>
    <w:rsid w:val="23860B96"/>
    <w:rsid w:val="240371BF"/>
    <w:rsid w:val="29FD04D3"/>
    <w:rsid w:val="2C8A61B5"/>
    <w:rsid w:val="2DF04E50"/>
    <w:rsid w:val="2F040D46"/>
    <w:rsid w:val="2F1464CC"/>
    <w:rsid w:val="319F7F4E"/>
    <w:rsid w:val="3304709D"/>
    <w:rsid w:val="36AA5135"/>
    <w:rsid w:val="376D39B2"/>
    <w:rsid w:val="37E16F03"/>
    <w:rsid w:val="387A4724"/>
    <w:rsid w:val="38D469F0"/>
    <w:rsid w:val="3D98207C"/>
    <w:rsid w:val="3E78745D"/>
    <w:rsid w:val="43F065A0"/>
    <w:rsid w:val="44E268DA"/>
    <w:rsid w:val="4A627F82"/>
    <w:rsid w:val="4B0E749A"/>
    <w:rsid w:val="4B4F25DA"/>
    <w:rsid w:val="4BE068DB"/>
    <w:rsid w:val="4D577224"/>
    <w:rsid w:val="4EAB630A"/>
    <w:rsid w:val="4ECE2238"/>
    <w:rsid w:val="537E6D0A"/>
    <w:rsid w:val="56CC541F"/>
    <w:rsid w:val="5AF92295"/>
    <w:rsid w:val="5CD71FC4"/>
    <w:rsid w:val="6037173E"/>
    <w:rsid w:val="677C1166"/>
    <w:rsid w:val="6C4A05C8"/>
    <w:rsid w:val="6D8276B5"/>
    <w:rsid w:val="6E7E3605"/>
    <w:rsid w:val="6FF5CC65"/>
    <w:rsid w:val="715C0E4B"/>
    <w:rsid w:val="72734D90"/>
    <w:rsid w:val="73AD73D5"/>
    <w:rsid w:val="73B6EB34"/>
    <w:rsid w:val="744731E5"/>
    <w:rsid w:val="76E3355F"/>
    <w:rsid w:val="7736FC5D"/>
    <w:rsid w:val="778769C8"/>
    <w:rsid w:val="79EE5BA4"/>
    <w:rsid w:val="7A894339"/>
    <w:rsid w:val="7D692A0D"/>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1"/>
    <w:qFormat/>
    <w:uiPriority w:val="0"/>
    <w:rPr>
      <w:rFonts w:ascii="仿宋_GB2312" w:eastAsia="仿宋_GB2312"/>
      <w:spacing w:val="-70"/>
      <w:sz w:val="32"/>
      <w:szCs w:val="32"/>
    </w:rPr>
  </w:style>
  <w:style w:type="paragraph" w:styleId="9">
    <w:name w:val="Balloon Text"/>
    <w:basedOn w:val="1"/>
    <w:link w:val="32"/>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unhideWhenUsed/>
    <w:qFormat/>
    <w:uiPriority w:val="99"/>
    <w:rPr>
      <w:color w:val="954F72"/>
      <w:u w:val="single"/>
    </w:rPr>
  </w:style>
  <w:style w:type="character" w:styleId="19">
    <w:name w:val="Hyperlink"/>
    <w:basedOn w:val="16"/>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纯文本 Char"/>
    <w:basedOn w:val="16"/>
    <w:link w:val="8"/>
    <w:qFormat/>
    <w:uiPriority w:val="0"/>
    <w:rPr>
      <w:rFonts w:ascii="仿宋_GB2312" w:hAnsi="Times New Roman" w:eastAsia="仿宋_GB2312" w:cs="Times New Roman"/>
      <w:spacing w:val="-70"/>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29</Pages>
  <Words>1756</Words>
  <Characters>10015</Characters>
  <Lines>83</Lines>
  <Paragraphs>23</Paragraphs>
  <TotalTime>3</TotalTime>
  <ScaleCrop>false</ScaleCrop>
  <LinksUpToDate>false</LinksUpToDate>
  <CharactersWithSpaces>11748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孙博</cp:lastModifiedBy>
  <cp:lastPrinted>2023-07-31T10:35:00Z</cp:lastPrinted>
  <dcterms:modified xsi:type="dcterms:W3CDTF">2024-05-15T07:39:23Z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