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攀枝花市西区</w:t>
      </w:r>
    </w:p>
    <w:p>
      <w:pPr>
        <w:spacing w:line="0" w:lineRule="atLeas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 w:cs="Times New Roman"/>
          <w:sz w:val="44"/>
          <w:szCs w:val="44"/>
        </w:rPr>
        <w:t>年“三公”经费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预算安排</w:t>
      </w:r>
      <w:r>
        <w:rPr>
          <w:rFonts w:ascii="Times New Roman" w:hAnsi="Times New Roman" w:eastAsia="方正小标宋_GBK" w:cs="Times New Roman"/>
          <w:sz w:val="44"/>
          <w:szCs w:val="44"/>
        </w:rPr>
        <w:t>情况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说明</w:t>
      </w:r>
    </w:p>
    <w:p>
      <w:pPr>
        <w:spacing w:line="0" w:lineRule="atLeas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根据《中华人民共和国预算法》和《国务院关于深化预算管理制度改革的决定》（国发〔2014〕45号）的有关规定，为进一步规范“三公”经费的管理，严控“三公”经费开支，根据中央八项规定要求，202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西</w:t>
      </w:r>
      <w:r>
        <w:rPr>
          <w:rFonts w:ascii="Times New Roman" w:hAnsi="Times New Roman" w:eastAsia="仿宋_GB2312" w:cs="Times New Roman"/>
          <w:sz w:val="32"/>
          <w:szCs w:val="32"/>
        </w:rPr>
        <w:t>区“三公”经费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预算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安排419.9038</w:t>
      </w:r>
      <w:r>
        <w:rPr>
          <w:rFonts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同比减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0.18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万元，下降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0.04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%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，其中：因公出国（境）支出0万元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，与上年持平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；公务用车购置及运行维护支出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355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与上年持平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；公务接待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64.9038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同比减少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0.18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万元，下降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0.28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%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小标宋_GBK" w:cs="Times New Roman"/>
          <w:sz w:val="32"/>
          <w:szCs w:val="32"/>
        </w:rPr>
        <w:t>年“三公”经费</w:t>
      </w: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预算安排</w:t>
      </w:r>
      <w:r>
        <w:rPr>
          <w:rFonts w:ascii="Times New Roman" w:hAnsi="Times New Roman" w:eastAsia="方正小标宋_GBK" w:cs="Times New Roman"/>
          <w:sz w:val="32"/>
          <w:szCs w:val="32"/>
        </w:rPr>
        <w:t>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200"/>
        <w:jc w:val="right"/>
        <w:textAlignment w:val="auto"/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2"/>
          <w:szCs w:val="22"/>
          <w:lang w:val="en-US" w:eastAsia="zh-CN"/>
        </w:rPr>
        <w:t>单位：万元</w:t>
      </w:r>
    </w:p>
    <w:tbl>
      <w:tblPr>
        <w:tblStyle w:val="5"/>
        <w:tblW w:w="881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8"/>
        <w:gridCol w:w="33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2"/>
              </w:rPr>
              <w:t>项  目</w:t>
            </w:r>
          </w:p>
        </w:tc>
        <w:tc>
          <w:tcPr>
            <w:tcW w:w="33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2"/>
                <w:lang w:val="en-US" w:eastAsia="zh-CN"/>
              </w:rPr>
              <w:t>预  算 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“三公”经费支出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419.9038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1．因公出国（境）费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2．公务用车购置及运行维护费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（1）公务用车购置费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（2）公务用车运行维护费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3．公务接待费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4.9038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（1）国内接待费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/>
              </w:rPr>
              <w:t>4.9038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     其中：外事接待费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4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     （2）国（境）外接待费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40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</w:tbl>
    <w:p>
      <w:pPr>
        <w:spacing w:line="353" w:lineRule="auto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756008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MjI0ZmYzZTBiN2Q5ZWI5ZjBmMTY5ZmE1MmRmMDQifQ=="/>
  </w:docVars>
  <w:rsids>
    <w:rsidRoot w:val="006312C6"/>
    <w:rsid w:val="006312C6"/>
    <w:rsid w:val="006801AC"/>
    <w:rsid w:val="008D6096"/>
    <w:rsid w:val="00B04FC4"/>
    <w:rsid w:val="03B10672"/>
    <w:rsid w:val="08271DCD"/>
    <w:rsid w:val="3FE910DB"/>
    <w:rsid w:val="470E236D"/>
    <w:rsid w:val="631A3A17"/>
    <w:rsid w:val="7A151D36"/>
    <w:rsid w:val="7A9B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324</Words>
  <Characters>393</Characters>
  <Lines>4</Lines>
  <Paragraphs>1</Paragraphs>
  <TotalTime>276</TotalTime>
  <ScaleCrop>false</ScaleCrop>
  <LinksUpToDate>false</LinksUpToDate>
  <CharactersWithSpaces>450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2021-12-05T08:28:00Z</dcterms:created>
  <dc:creator>林珍宇</dc:creator>
  <cp:lastModifiedBy>test</cp:lastModifiedBy>
  <dcterms:modified xsi:type="dcterms:W3CDTF">2024-04-12T08:33:33Z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DC6EC10E08B747869C7D94B9D307FC5A_13</vt:lpwstr>
  </property>
</Properties>
</file>