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Times New Roman" w:hAnsi="Times New Roman" w:eastAsia="方正小标宋_GBK" w:cs="Times New Roman"/>
          <w:b w:val="0"/>
          <w:bCs/>
          <w:color w:val="000000"/>
          <w:sz w:val="44"/>
          <w:szCs w:val="44"/>
        </w:rPr>
      </w:pPr>
      <w:r>
        <w:rPr>
          <w:rFonts w:hint="default" w:ascii="Times New Roman" w:hAnsi="Times New Roman" w:eastAsia="方正小标宋_GBK" w:cs="Times New Roman"/>
          <w:b w:val="0"/>
          <w:bCs/>
          <w:color w:val="000000"/>
          <w:sz w:val="44"/>
          <w:szCs w:val="44"/>
        </w:rPr>
        <w:t>攀枝花市西区</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rPr>
          <w:rFonts w:hint="default" w:ascii="Times New Roman" w:hAnsi="Times New Roman" w:eastAsia="方正小标宋_GBK" w:cs="Times New Roman"/>
          <w:b w:val="0"/>
          <w:bCs/>
          <w:color w:val="000000"/>
          <w:sz w:val="38"/>
          <w:szCs w:val="38"/>
        </w:rPr>
      </w:pPr>
      <w:r>
        <w:rPr>
          <w:rFonts w:hint="default" w:ascii="Times New Roman" w:hAnsi="Times New Roman" w:eastAsia="方正小标宋_GBK" w:cs="Times New Roman"/>
          <w:b w:val="0"/>
          <w:bCs/>
          <w:color w:val="000000"/>
          <w:sz w:val="44"/>
          <w:szCs w:val="44"/>
        </w:rPr>
        <w:t>202</w:t>
      </w:r>
      <w:r>
        <w:rPr>
          <w:rFonts w:hint="eastAsia" w:ascii="Times New Roman" w:hAnsi="Times New Roman" w:eastAsia="方正小标宋_GBK" w:cs="Times New Roman"/>
          <w:b w:val="0"/>
          <w:bCs/>
          <w:color w:val="000000"/>
          <w:sz w:val="44"/>
          <w:szCs w:val="44"/>
          <w:lang w:val="en-US" w:eastAsia="zh-CN"/>
        </w:rPr>
        <w:t>3</w:t>
      </w:r>
      <w:r>
        <w:rPr>
          <w:rFonts w:hint="default" w:ascii="Times New Roman" w:hAnsi="Times New Roman" w:eastAsia="方正小标宋_GBK" w:cs="Times New Roman"/>
          <w:b w:val="0"/>
          <w:bCs/>
          <w:color w:val="000000"/>
          <w:sz w:val="44"/>
          <w:szCs w:val="44"/>
        </w:rPr>
        <w:t>年</w:t>
      </w:r>
      <w:r>
        <w:rPr>
          <w:rFonts w:hint="eastAsia" w:ascii="Times New Roman" w:hAnsi="Times New Roman" w:eastAsia="方正小标宋_GBK" w:cs="Times New Roman"/>
          <w:b w:val="0"/>
          <w:bCs/>
          <w:color w:val="000000"/>
          <w:sz w:val="44"/>
          <w:szCs w:val="44"/>
          <w:lang w:val="en-US" w:eastAsia="zh-CN"/>
        </w:rPr>
        <w:t>整体</w:t>
      </w:r>
      <w:r>
        <w:rPr>
          <w:rFonts w:hint="default" w:ascii="Times New Roman" w:hAnsi="Times New Roman" w:eastAsia="方正小标宋_GBK" w:cs="Times New Roman"/>
          <w:b w:val="0"/>
          <w:bCs/>
          <w:color w:val="000000"/>
          <w:sz w:val="44"/>
          <w:szCs w:val="44"/>
        </w:rPr>
        <w:t>和项目</w:t>
      </w:r>
      <w:r>
        <w:rPr>
          <w:rFonts w:hint="eastAsia" w:ascii="Times New Roman" w:hAnsi="Times New Roman" w:eastAsia="方正小标宋_GBK" w:cs="Times New Roman"/>
          <w:b w:val="0"/>
          <w:bCs/>
          <w:color w:val="000000"/>
          <w:sz w:val="44"/>
          <w:szCs w:val="44"/>
          <w:lang w:eastAsia="zh-CN"/>
        </w:rPr>
        <w:t>（</w:t>
      </w:r>
      <w:r>
        <w:rPr>
          <w:rFonts w:hint="default" w:ascii="Times New Roman" w:hAnsi="Times New Roman" w:eastAsia="方正小标宋_GBK" w:cs="Times New Roman"/>
          <w:b w:val="0"/>
          <w:bCs/>
          <w:color w:val="000000"/>
          <w:sz w:val="44"/>
          <w:szCs w:val="44"/>
        </w:rPr>
        <w:t>政策</w:t>
      </w:r>
      <w:r>
        <w:rPr>
          <w:rFonts w:hint="eastAsia" w:ascii="Times New Roman" w:hAnsi="Times New Roman" w:eastAsia="方正小标宋_GBK" w:cs="Times New Roman"/>
          <w:b w:val="0"/>
          <w:bCs/>
          <w:color w:val="000000"/>
          <w:sz w:val="44"/>
          <w:szCs w:val="44"/>
          <w:lang w:eastAsia="zh-CN"/>
        </w:rPr>
        <w:t>）</w:t>
      </w:r>
      <w:r>
        <w:rPr>
          <w:rFonts w:hint="default" w:ascii="Times New Roman" w:hAnsi="Times New Roman" w:eastAsia="方正小标宋_GBK" w:cs="Times New Roman"/>
          <w:b w:val="0"/>
          <w:bCs/>
          <w:color w:val="000000"/>
          <w:sz w:val="44"/>
          <w:szCs w:val="44"/>
        </w:rPr>
        <w:t>绩效评价报告</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760" w:firstLineChars="200"/>
        <w:jc w:val="both"/>
        <w:rPr>
          <w:rFonts w:hint="default" w:ascii="Times New Roman" w:hAnsi="Times New Roman" w:eastAsia="方正小标宋_GBK" w:cs="Times New Roman"/>
          <w:b w:val="0"/>
          <w:bCs/>
          <w:color w:val="000000"/>
          <w:sz w:val="38"/>
          <w:szCs w:val="38"/>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53" w:lineRule="auto"/>
        <w:ind w:left="0" w:leftChars="0" w:firstLine="640" w:firstLineChars="200"/>
        <w:jc w:val="both"/>
        <w:textAlignment w:val="auto"/>
        <w:rPr>
          <w:rFonts w:ascii="Times New Roman" w:hAnsi="Times New Roman" w:eastAsia="仿宋_GB2312" w:cs="Times New Roman"/>
          <w:sz w:val="32"/>
          <w:szCs w:val="33"/>
          <w:highlight w:val="none"/>
        </w:rPr>
      </w:pPr>
      <w:r>
        <w:rPr>
          <w:rFonts w:ascii="Times New Roman" w:hAnsi="Times New Roman" w:eastAsia="仿宋_GB2312" w:cs="Times New Roman"/>
          <w:kern w:val="2"/>
          <w:sz w:val="32"/>
          <w:szCs w:val="33"/>
          <w:lang w:bidi="ar"/>
        </w:rPr>
        <w:t>为贯彻落实《中共四川省委 四川省人民政府关于全面实施预算绩效管理的实施意见》（川委发〔2019〕8号）和《攀枝花市财政局关于开展</w:t>
      </w:r>
      <w:r>
        <w:rPr>
          <w:rFonts w:ascii="Times New Roman" w:hAnsi="Times New Roman" w:eastAsia="仿宋_GB2312" w:cs="Times New Roman"/>
          <w:kern w:val="2"/>
          <w:sz w:val="32"/>
          <w:szCs w:val="33"/>
          <w:highlight w:val="none"/>
          <w:lang w:bidi="ar"/>
        </w:rPr>
        <w:t>202</w:t>
      </w:r>
      <w:r>
        <w:rPr>
          <w:rFonts w:hint="eastAsia" w:ascii="Times New Roman" w:hAnsi="Times New Roman" w:eastAsia="仿宋_GB2312" w:cs="Times New Roman"/>
          <w:kern w:val="2"/>
          <w:sz w:val="32"/>
          <w:szCs w:val="33"/>
          <w:highlight w:val="none"/>
          <w:lang w:bidi="ar"/>
        </w:rPr>
        <w:t>3</w:t>
      </w:r>
      <w:r>
        <w:rPr>
          <w:rFonts w:ascii="Times New Roman" w:hAnsi="Times New Roman" w:eastAsia="仿宋_GB2312" w:cs="Times New Roman"/>
          <w:kern w:val="2"/>
          <w:sz w:val="32"/>
          <w:szCs w:val="33"/>
          <w:highlight w:val="none"/>
          <w:lang w:bidi="ar"/>
        </w:rPr>
        <w:t>年度财政重点项目（政策）支出绩效评价</w:t>
      </w:r>
      <w:r>
        <w:rPr>
          <w:rFonts w:hint="eastAsia" w:ascii="Times New Roman" w:hAnsi="Times New Roman" w:eastAsia="仿宋_GB2312" w:cs="Times New Roman"/>
          <w:kern w:val="2"/>
          <w:sz w:val="32"/>
          <w:szCs w:val="33"/>
          <w:highlight w:val="none"/>
          <w:lang w:bidi="ar"/>
        </w:rPr>
        <w:t>和部门整体支出绩效评价</w:t>
      </w:r>
      <w:r>
        <w:rPr>
          <w:rFonts w:ascii="Times New Roman" w:hAnsi="Times New Roman" w:eastAsia="仿宋_GB2312" w:cs="Times New Roman"/>
          <w:kern w:val="2"/>
          <w:sz w:val="32"/>
          <w:szCs w:val="33"/>
          <w:highlight w:val="none"/>
          <w:lang w:bidi="ar"/>
        </w:rPr>
        <w:t>工作的通知》</w:t>
      </w:r>
      <w:r>
        <w:rPr>
          <w:rFonts w:hint="eastAsia" w:ascii="Times New Roman" w:hAnsi="Times New Roman" w:eastAsia="仿宋_GB2312" w:cs="Times New Roman"/>
          <w:kern w:val="2"/>
          <w:sz w:val="32"/>
          <w:szCs w:val="33"/>
          <w:highlight w:val="none"/>
          <w:lang w:bidi="ar"/>
        </w:rPr>
        <w:t>（攀财绩</w:t>
      </w:r>
      <w:r>
        <w:rPr>
          <w:rFonts w:ascii="Times New Roman" w:hAnsi="Times New Roman" w:eastAsia="仿宋_GB2312" w:cs="Times New Roman"/>
          <w:kern w:val="2"/>
          <w:sz w:val="32"/>
          <w:szCs w:val="33"/>
          <w:highlight w:val="none"/>
          <w:lang w:bidi="ar"/>
        </w:rPr>
        <w:t>〔</w:t>
      </w:r>
      <w:r>
        <w:rPr>
          <w:rFonts w:hint="eastAsia" w:ascii="Times New Roman" w:hAnsi="Times New Roman" w:eastAsia="仿宋_GB2312" w:cs="Times New Roman"/>
          <w:kern w:val="2"/>
          <w:sz w:val="32"/>
          <w:szCs w:val="33"/>
          <w:highlight w:val="none"/>
          <w:lang w:bidi="ar"/>
        </w:rPr>
        <w:t>2023</w:t>
      </w:r>
      <w:r>
        <w:rPr>
          <w:rFonts w:ascii="Times New Roman" w:hAnsi="Times New Roman" w:eastAsia="仿宋_GB2312" w:cs="Times New Roman"/>
          <w:kern w:val="2"/>
          <w:sz w:val="32"/>
          <w:szCs w:val="33"/>
          <w:highlight w:val="none"/>
          <w:lang w:bidi="ar"/>
        </w:rPr>
        <w:t>〕</w:t>
      </w:r>
      <w:r>
        <w:rPr>
          <w:rFonts w:hint="eastAsia" w:ascii="Times New Roman" w:hAnsi="Times New Roman" w:eastAsia="仿宋_GB2312" w:cs="Times New Roman"/>
          <w:kern w:val="2"/>
          <w:sz w:val="32"/>
          <w:szCs w:val="33"/>
          <w:highlight w:val="none"/>
          <w:lang w:bidi="ar"/>
        </w:rPr>
        <w:t>7</w:t>
      </w:r>
      <w:r>
        <w:rPr>
          <w:rFonts w:ascii="Times New Roman" w:hAnsi="Times New Roman" w:eastAsia="仿宋_GB2312" w:cs="Times New Roman"/>
          <w:kern w:val="2"/>
          <w:sz w:val="32"/>
          <w:szCs w:val="33"/>
          <w:highlight w:val="none"/>
          <w:lang w:bidi="ar"/>
        </w:rPr>
        <w:t>号</w:t>
      </w:r>
      <w:r>
        <w:rPr>
          <w:rFonts w:hint="eastAsia" w:ascii="Times New Roman" w:hAnsi="Times New Roman" w:eastAsia="仿宋_GB2312" w:cs="Times New Roman"/>
          <w:kern w:val="2"/>
          <w:sz w:val="32"/>
          <w:szCs w:val="33"/>
          <w:highlight w:val="none"/>
          <w:lang w:bidi="ar"/>
        </w:rPr>
        <w:t>）</w:t>
      </w:r>
      <w:r>
        <w:rPr>
          <w:rFonts w:ascii="Times New Roman" w:hAnsi="Times New Roman" w:eastAsia="仿宋_GB2312" w:cs="Times New Roman"/>
          <w:kern w:val="2"/>
          <w:sz w:val="32"/>
          <w:szCs w:val="33"/>
          <w:highlight w:val="none"/>
          <w:lang w:bidi="ar"/>
        </w:rPr>
        <w:t>精神，区政府高度重视，积极组织开展财政支出绩效评价工作，现将西区202</w:t>
      </w:r>
      <w:r>
        <w:rPr>
          <w:rFonts w:hint="eastAsia" w:ascii="Times New Roman" w:hAnsi="Times New Roman" w:eastAsia="仿宋_GB2312" w:cs="Times New Roman"/>
          <w:kern w:val="2"/>
          <w:sz w:val="32"/>
          <w:szCs w:val="33"/>
          <w:highlight w:val="none"/>
          <w:lang w:bidi="ar"/>
        </w:rPr>
        <w:t>2</w:t>
      </w:r>
      <w:r>
        <w:rPr>
          <w:rFonts w:ascii="Times New Roman" w:hAnsi="Times New Roman" w:eastAsia="仿宋_GB2312" w:cs="Times New Roman"/>
          <w:kern w:val="2"/>
          <w:sz w:val="32"/>
          <w:szCs w:val="33"/>
          <w:highlight w:val="none"/>
          <w:lang w:bidi="ar"/>
        </w:rPr>
        <w:t>年</w:t>
      </w:r>
      <w:r>
        <w:rPr>
          <w:rFonts w:hint="eastAsia" w:ascii="Times New Roman" w:hAnsi="Times New Roman" w:eastAsia="仿宋_GB2312" w:cs="Times New Roman"/>
          <w:kern w:val="2"/>
          <w:sz w:val="32"/>
          <w:szCs w:val="33"/>
          <w:highlight w:val="none"/>
          <w:lang w:bidi="ar"/>
        </w:rPr>
        <w:t>度</w:t>
      </w:r>
      <w:r>
        <w:rPr>
          <w:rFonts w:ascii="Times New Roman" w:hAnsi="Times New Roman" w:eastAsia="仿宋_GB2312" w:cs="Times New Roman"/>
          <w:kern w:val="2"/>
          <w:sz w:val="32"/>
          <w:szCs w:val="33"/>
          <w:highlight w:val="none"/>
          <w:lang w:bidi="ar"/>
        </w:rPr>
        <w:t>重点财政资金绩效评价工作报告如下。</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53" w:lineRule="auto"/>
        <w:ind w:left="0" w:leftChars="0" w:firstLine="640" w:firstLineChars="200"/>
        <w:jc w:val="both"/>
        <w:textAlignment w:val="auto"/>
        <w:rPr>
          <w:rFonts w:ascii="Times New Roman" w:hAnsi="Times New Roman" w:eastAsia="黑体" w:cs="Times New Roman"/>
          <w:sz w:val="32"/>
          <w:szCs w:val="33"/>
          <w:highlight w:val="none"/>
        </w:rPr>
      </w:pPr>
      <w:r>
        <w:rPr>
          <w:rFonts w:ascii="Times New Roman" w:hAnsi="Times New Roman" w:eastAsia="黑体" w:cs="Times New Roman"/>
          <w:sz w:val="32"/>
          <w:szCs w:val="33"/>
          <w:highlight w:val="none"/>
        </w:rPr>
        <w:t>一、绩效评价基本情况</w:t>
      </w:r>
    </w:p>
    <w:p>
      <w:pPr>
        <w:keepNext w:val="0"/>
        <w:keepLines w:val="0"/>
        <w:pageBreakBefore w:val="0"/>
        <w:widowControl w:val="0"/>
        <w:kinsoku/>
        <w:wordWrap/>
        <w:overflowPunct/>
        <w:topLinePunct w:val="0"/>
        <w:autoSpaceDE/>
        <w:autoSpaceDN/>
        <w:bidi w:val="0"/>
        <w:adjustRightInd/>
        <w:snapToGrid/>
        <w:spacing w:line="353" w:lineRule="auto"/>
        <w:ind w:left="0" w:leftChars="0" w:firstLine="640" w:firstLineChars="200"/>
        <w:textAlignment w:val="auto"/>
        <w:rPr>
          <w:rFonts w:ascii="Times New Roman" w:hAnsi="Times New Roman" w:eastAsia="仿宋_GB2312"/>
          <w:sz w:val="32"/>
          <w:szCs w:val="33"/>
          <w:lang w:bidi="ar"/>
        </w:rPr>
      </w:pPr>
      <w:r>
        <w:rPr>
          <w:rFonts w:hint="eastAsia" w:ascii="Times New Roman" w:hAnsi="Times New Roman" w:eastAsia="仿宋_GB2312"/>
          <w:sz w:val="32"/>
          <w:szCs w:val="33"/>
          <w:highlight w:val="none"/>
          <w:lang w:bidi="ar"/>
        </w:rPr>
        <w:t>为加强财政资金支出管理，推进西区财政支出绩效评价工作，按照</w:t>
      </w:r>
      <w:r>
        <w:rPr>
          <w:rFonts w:hint="eastAsia" w:ascii="Times New Roman" w:hAnsi="Times New Roman" w:eastAsia="仿宋_GB2312"/>
          <w:sz w:val="32"/>
          <w:szCs w:val="33"/>
          <w:highlight w:val="none"/>
          <w:lang w:eastAsia="zh-CN" w:bidi="ar"/>
        </w:rPr>
        <w:t>有</w:t>
      </w:r>
      <w:r>
        <w:rPr>
          <w:rFonts w:hint="eastAsia" w:ascii="Times New Roman" w:hAnsi="Times New Roman" w:eastAsia="仿宋_GB2312"/>
          <w:sz w:val="32"/>
          <w:szCs w:val="33"/>
          <w:highlight w:val="none"/>
          <w:lang w:bidi="ar"/>
        </w:rPr>
        <w:t>关文件要求，</w:t>
      </w:r>
      <w:r>
        <w:rPr>
          <w:rFonts w:hint="eastAsia" w:ascii="Times New Roman" w:hAnsi="Times New Roman" w:eastAsia="仿宋_GB2312"/>
          <w:sz w:val="32"/>
          <w:szCs w:val="33"/>
          <w:highlight w:val="none"/>
          <w:lang w:eastAsia="zh-CN" w:bidi="ar"/>
        </w:rPr>
        <w:t>印发</w:t>
      </w:r>
      <w:r>
        <w:rPr>
          <w:rFonts w:hint="eastAsia" w:ascii="Times New Roman" w:hAnsi="Times New Roman" w:eastAsia="仿宋_GB2312"/>
          <w:sz w:val="32"/>
          <w:szCs w:val="33"/>
          <w:highlight w:val="none"/>
          <w:lang w:bidi="ar"/>
        </w:rPr>
        <w:t>《关于开展2022年度预算绩效自评工作的通知》（攀西财〔2023〕40号）、《关于开展2023年度财政重点项目（政策）支出绩效评价和部门整体支出绩效评价》（攀西财〔2023〕58号）通知，对2022年度区级财</w:t>
      </w:r>
      <w:r>
        <w:rPr>
          <w:rFonts w:hint="eastAsia" w:ascii="Times New Roman" w:hAnsi="Times New Roman" w:eastAsia="仿宋_GB2312"/>
          <w:sz w:val="32"/>
          <w:szCs w:val="33"/>
          <w:lang w:bidi="ar"/>
        </w:rPr>
        <w:t>政支出绩效评价工作进行</w:t>
      </w:r>
      <w:r>
        <w:rPr>
          <w:rFonts w:hint="eastAsia" w:ascii="Times New Roman" w:hAnsi="Times New Roman" w:eastAsia="仿宋_GB2312"/>
          <w:sz w:val="32"/>
          <w:szCs w:val="33"/>
          <w:lang w:eastAsia="zh-CN" w:bidi="ar"/>
        </w:rPr>
        <w:t>安排</w:t>
      </w:r>
      <w:r>
        <w:rPr>
          <w:rFonts w:hint="eastAsia" w:ascii="Times New Roman" w:hAnsi="Times New Roman" w:eastAsia="仿宋_GB2312"/>
          <w:sz w:val="32"/>
          <w:szCs w:val="33"/>
          <w:lang w:bidi="ar"/>
        </w:rPr>
        <w:t>，明确具体要求。区级各预算单位（除涉密单位外）均开展了2022年部门整体支出绩效自评工作，自评参与率为100%。重点抽取区教育和体育局、区民政局、区水利局、区卫生健康局、区应急管理局、区经济合作局、区机关事务服务中心、区工商联、玉泉街办、区公共卫生服务中心共10家单位进行整体绩效评价，对评价中发现的问题，要求部门及时整改、完善，并对下一步工作提出建议，评价结果将作为次年预算编制和资金安排的重要依据。</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53" w:lineRule="auto"/>
        <w:ind w:left="0" w:leftChars="0" w:firstLine="640" w:firstLineChars="200"/>
        <w:jc w:val="both"/>
        <w:textAlignment w:val="auto"/>
        <w:rPr>
          <w:rFonts w:ascii="Times New Roman" w:hAnsi="Times New Roman" w:eastAsia="黑体" w:cs="Times New Roman"/>
          <w:sz w:val="32"/>
          <w:szCs w:val="33"/>
        </w:rPr>
      </w:pPr>
      <w:r>
        <w:rPr>
          <w:rFonts w:hint="eastAsia" w:ascii="Times New Roman" w:hAnsi="Times New Roman" w:eastAsia="黑体" w:cs="Times New Roman"/>
          <w:sz w:val="32"/>
          <w:szCs w:val="33"/>
        </w:rPr>
        <w:t>二、部门资金总体情况</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53" w:lineRule="auto"/>
        <w:ind w:left="0" w:leftChars="0" w:firstLine="643" w:firstLineChars="200"/>
        <w:jc w:val="both"/>
        <w:textAlignment w:val="auto"/>
        <w:rPr>
          <w:rFonts w:ascii="Times New Roman" w:hAnsi="Times New Roman" w:eastAsia="仿宋_GB2312"/>
          <w:sz w:val="32"/>
          <w:szCs w:val="33"/>
          <w:lang w:bidi="ar"/>
        </w:rPr>
      </w:pPr>
      <w:r>
        <w:rPr>
          <w:rFonts w:hint="eastAsia" w:ascii="Times New Roman" w:hAnsi="Times New Roman" w:eastAsia="楷体_GB2312" w:cs="Times New Roman"/>
          <w:b/>
          <w:bCs/>
          <w:sz w:val="32"/>
          <w:szCs w:val="33"/>
        </w:rPr>
        <w:t>（一）年度预算安排情况</w:t>
      </w:r>
      <w:r>
        <w:rPr>
          <w:rFonts w:hint="eastAsia" w:ascii="Times New Roman" w:hAnsi="Times New Roman" w:eastAsia="楷体_GB2312" w:cs="Times New Roman"/>
          <w:b/>
          <w:bCs/>
          <w:sz w:val="32"/>
          <w:szCs w:val="33"/>
          <w:lang w:eastAsia="zh-CN"/>
        </w:rPr>
        <w:t>。</w:t>
      </w:r>
      <w:r>
        <w:rPr>
          <w:rFonts w:ascii="Times New Roman" w:hAnsi="Times New Roman" w:eastAsia="仿宋_GB2312"/>
          <w:sz w:val="32"/>
          <w:szCs w:val="33"/>
          <w:lang w:bidi="ar"/>
        </w:rPr>
        <w:t>2022</w:t>
      </w:r>
      <w:r>
        <w:rPr>
          <w:rFonts w:hint="eastAsia" w:ascii="Times New Roman" w:hAnsi="Times New Roman" w:eastAsia="仿宋_GB2312"/>
          <w:sz w:val="32"/>
          <w:szCs w:val="33"/>
          <w:lang w:bidi="ar"/>
        </w:rPr>
        <w:t>年，区级部门预算总体安排</w:t>
      </w:r>
      <w:r>
        <w:rPr>
          <w:rFonts w:ascii="Times New Roman" w:hAnsi="Times New Roman" w:eastAsia="仿宋_GB2312"/>
          <w:sz w:val="32"/>
          <w:szCs w:val="33"/>
          <w:lang w:bidi="ar"/>
        </w:rPr>
        <w:t>126433</w:t>
      </w:r>
      <w:r>
        <w:rPr>
          <w:rFonts w:hint="eastAsia" w:ascii="Times New Roman" w:hAnsi="Times New Roman" w:eastAsia="仿宋_GB2312"/>
          <w:sz w:val="32"/>
          <w:szCs w:val="33"/>
          <w:lang w:val="en-US" w:eastAsia="zh-CN" w:bidi="ar"/>
        </w:rPr>
        <w:t>.</w:t>
      </w:r>
      <w:r>
        <w:rPr>
          <w:rFonts w:ascii="Times New Roman" w:hAnsi="Times New Roman" w:eastAsia="仿宋_GB2312"/>
          <w:sz w:val="32"/>
          <w:szCs w:val="33"/>
          <w:lang w:bidi="ar"/>
        </w:rPr>
        <w:t>38</w:t>
      </w:r>
      <w:r>
        <w:rPr>
          <w:rFonts w:hint="eastAsia" w:ascii="Times New Roman" w:hAnsi="Times New Roman" w:eastAsia="仿宋_GB2312"/>
          <w:sz w:val="32"/>
          <w:szCs w:val="33"/>
          <w:lang w:bidi="ar"/>
        </w:rPr>
        <w:t>万元，其中，年初预算50192.26万元、追加预算76241.12万元。选取10家预算单位开展整体绩效重点评价，涉及财政资金14482.31万元，其中，年初预算8857.33万元、追加预算5624.98万元。选取15个项目开展项目绩效重点评价，涉及财政资金2794.39万元。</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53" w:lineRule="auto"/>
        <w:ind w:left="0" w:leftChars="0" w:firstLine="643" w:firstLineChars="200"/>
        <w:jc w:val="both"/>
        <w:textAlignment w:val="auto"/>
        <w:rPr>
          <w:rFonts w:ascii="Times New Roman" w:hAnsi="Times New Roman" w:eastAsia="仿宋_GB2312"/>
          <w:sz w:val="32"/>
          <w:szCs w:val="33"/>
          <w:lang w:bidi="ar"/>
        </w:rPr>
      </w:pPr>
      <w:r>
        <w:rPr>
          <w:rFonts w:hint="eastAsia" w:ascii="Times New Roman" w:hAnsi="Times New Roman" w:eastAsia="楷体_GB2312" w:cs="Times New Roman"/>
          <w:b/>
          <w:bCs/>
          <w:sz w:val="32"/>
          <w:szCs w:val="33"/>
        </w:rPr>
        <w:t>（二）年度预算支出情况</w:t>
      </w:r>
      <w:r>
        <w:rPr>
          <w:rFonts w:hint="eastAsia" w:ascii="Times New Roman" w:hAnsi="Times New Roman" w:eastAsia="楷体_GB2312" w:cs="Times New Roman"/>
          <w:b/>
          <w:bCs/>
          <w:sz w:val="32"/>
          <w:szCs w:val="33"/>
          <w:lang w:eastAsia="zh-CN"/>
        </w:rPr>
        <w:t>。</w:t>
      </w:r>
      <w:r>
        <w:rPr>
          <w:rFonts w:ascii="Times New Roman" w:hAnsi="Times New Roman" w:eastAsia="仿宋_GB2312"/>
          <w:sz w:val="32"/>
          <w:szCs w:val="33"/>
          <w:lang w:bidi="ar"/>
        </w:rPr>
        <w:t>2022</w:t>
      </w:r>
      <w:r>
        <w:rPr>
          <w:rFonts w:hint="eastAsia" w:ascii="Times New Roman" w:hAnsi="Times New Roman" w:eastAsia="仿宋_GB2312"/>
          <w:sz w:val="32"/>
          <w:szCs w:val="33"/>
          <w:lang w:bidi="ar"/>
        </w:rPr>
        <w:t>年，区级部门总体支出</w:t>
      </w:r>
      <w:r>
        <w:rPr>
          <w:rFonts w:ascii="Times New Roman" w:hAnsi="Times New Roman" w:eastAsia="仿宋_GB2312"/>
          <w:sz w:val="32"/>
          <w:szCs w:val="33"/>
          <w:lang w:bidi="ar"/>
        </w:rPr>
        <w:t>85767.37</w:t>
      </w:r>
      <w:r>
        <w:rPr>
          <w:rFonts w:hint="eastAsia" w:ascii="Times New Roman" w:hAnsi="Times New Roman" w:eastAsia="仿宋_GB2312"/>
          <w:sz w:val="32"/>
          <w:szCs w:val="33"/>
          <w:lang w:bidi="ar"/>
        </w:rPr>
        <w:t>万元，其中，年初预算支出</w:t>
      </w:r>
      <w:r>
        <w:rPr>
          <w:rFonts w:ascii="Times New Roman" w:hAnsi="Times New Roman" w:eastAsia="仿宋_GB2312"/>
          <w:sz w:val="32"/>
          <w:szCs w:val="33"/>
          <w:lang w:bidi="ar"/>
        </w:rPr>
        <w:t>42021.27</w:t>
      </w:r>
      <w:r>
        <w:rPr>
          <w:rFonts w:hint="eastAsia" w:ascii="Times New Roman" w:hAnsi="Times New Roman" w:eastAsia="仿宋_GB2312"/>
          <w:sz w:val="32"/>
          <w:szCs w:val="33"/>
          <w:lang w:bidi="ar"/>
        </w:rPr>
        <w:t>万元，追加预算</w:t>
      </w:r>
      <w:r>
        <w:rPr>
          <w:rFonts w:hint="eastAsia" w:ascii="Times New Roman" w:hAnsi="Times New Roman" w:eastAsia="仿宋_GB2312"/>
          <w:sz w:val="32"/>
          <w:szCs w:val="33"/>
          <w:lang w:eastAsia="zh-CN" w:bidi="ar"/>
        </w:rPr>
        <w:t>支出</w:t>
      </w:r>
      <w:r>
        <w:rPr>
          <w:rFonts w:ascii="Times New Roman" w:hAnsi="Times New Roman" w:eastAsia="仿宋_GB2312"/>
          <w:sz w:val="32"/>
          <w:szCs w:val="33"/>
          <w:lang w:bidi="ar"/>
        </w:rPr>
        <w:t>43746.1</w:t>
      </w:r>
      <w:r>
        <w:rPr>
          <w:rFonts w:hint="eastAsia" w:ascii="Times New Roman" w:hAnsi="Times New Roman" w:eastAsia="仿宋_GB2312"/>
          <w:sz w:val="32"/>
          <w:szCs w:val="33"/>
          <w:lang w:bidi="ar"/>
        </w:rPr>
        <w:t>万元。重点绩效评价涉及10个单位，支出10446.86万元。重点绩效评价涉及15个项目，支出2632.19万元。</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53" w:lineRule="auto"/>
        <w:ind w:left="0" w:leftChars="0" w:firstLine="643" w:firstLineChars="200"/>
        <w:jc w:val="both"/>
        <w:textAlignment w:val="auto"/>
        <w:rPr>
          <w:rFonts w:ascii="Times New Roman" w:hAnsi="Times New Roman" w:eastAsia="仿宋_GB2312"/>
          <w:kern w:val="0"/>
          <w:sz w:val="32"/>
          <w:szCs w:val="33"/>
        </w:rPr>
      </w:pPr>
      <w:r>
        <w:rPr>
          <w:rFonts w:hint="eastAsia" w:ascii="Times New Roman" w:hAnsi="Times New Roman" w:eastAsia="楷体_GB2312" w:cs="Times New Roman"/>
          <w:b/>
          <w:bCs/>
          <w:sz w:val="32"/>
          <w:szCs w:val="33"/>
        </w:rPr>
        <w:t>（三）以前年度结转结余使用情况</w:t>
      </w:r>
      <w:r>
        <w:rPr>
          <w:rFonts w:hint="eastAsia" w:ascii="Times New Roman" w:hAnsi="Times New Roman" w:eastAsia="楷体_GB2312" w:cs="Times New Roman"/>
          <w:b/>
          <w:bCs/>
          <w:sz w:val="32"/>
          <w:szCs w:val="33"/>
          <w:lang w:eastAsia="zh-CN"/>
        </w:rPr>
        <w:t>。</w:t>
      </w:r>
      <w:r>
        <w:rPr>
          <w:rFonts w:hint="eastAsia" w:ascii="Times New Roman" w:hAnsi="Times New Roman" w:eastAsia="仿宋_GB2312"/>
          <w:sz w:val="32"/>
          <w:szCs w:val="33"/>
          <w:lang w:bidi="ar"/>
        </w:rPr>
        <w:t>2022年</w:t>
      </w:r>
      <w:r>
        <w:rPr>
          <w:rFonts w:hint="eastAsia" w:ascii="Times New Roman" w:hAnsi="Times New Roman" w:eastAsia="仿宋_GB2312"/>
          <w:sz w:val="32"/>
          <w:szCs w:val="33"/>
          <w:highlight w:val="none"/>
          <w:lang w:bidi="ar"/>
        </w:rPr>
        <w:t>，累计结转结</w:t>
      </w:r>
      <w:r>
        <w:rPr>
          <w:rFonts w:hint="eastAsia" w:ascii="Times New Roman" w:hAnsi="Times New Roman" w:eastAsia="仿宋_GB2312"/>
          <w:sz w:val="32"/>
          <w:szCs w:val="33"/>
          <w:lang w:bidi="ar"/>
        </w:rPr>
        <w:t>余资金11143.22万元，支出4049.01万元。重点绩效评价涉及10个</w:t>
      </w:r>
      <w:r>
        <w:rPr>
          <w:rFonts w:hint="eastAsia" w:ascii="Times New Roman" w:hAnsi="Times New Roman" w:eastAsia="仿宋_GB2312"/>
          <w:sz w:val="32"/>
          <w:szCs w:val="33"/>
          <w:highlight w:val="none"/>
          <w:lang w:bidi="ar"/>
        </w:rPr>
        <w:t>单位，累计结</w:t>
      </w:r>
      <w:r>
        <w:rPr>
          <w:rFonts w:hint="eastAsia" w:ascii="Times New Roman" w:hAnsi="Times New Roman" w:eastAsia="仿宋_GB2312"/>
          <w:sz w:val="32"/>
          <w:szCs w:val="33"/>
          <w:lang w:bidi="ar"/>
        </w:rPr>
        <w:t>转结余资金2388.04万元，支出1012.24万元。</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53" w:lineRule="auto"/>
        <w:ind w:left="0" w:leftChars="0" w:firstLine="640" w:firstLineChars="200"/>
        <w:jc w:val="both"/>
        <w:textAlignment w:val="auto"/>
        <w:rPr>
          <w:rFonts w:ascii="Times New Roman" w:hAnsi="Times New Roman" w:eastAsia="黑体" w:cs="Times New Roman"/>
          <w:sz w:val="32"/>
          <w:szCs w:val="33"/>
        </w:rPr>
      </w:pPr>
      <w:r>
        <w:rPr>
          <w:rFonts w:hint="eastAsia" w:ascii="Times New Roman" w:hAnsi="Times New Roman" w:eastAsia="黑体" w:cs="Times New Roman"/>
          <w:sz w:val="32"/>
          <w:szCs w:val="33"/>
        </w:rPr>
        <w:t>三、财政支出管理情况</w:t>
      </w:r>
    </w:p>
    <w:p>
      <w:pPr>
        <w:keepNext w:val="0"/>
        <w:keepLines w:val="0"/>
        <w:pageBreakBefore w:val="0"/>
        <w:widowControl w:val="0"/>
        <w:kinsoku/>
        <w:wordWrap/>
        <w:overflowPunct/>
        <w:topLinePunct w:val="0"/>
        <w:autoSpaceDE/>
        <w:autoSpaceDN/>
        <w:bidi w:val="0"/>
        <w:adjustRightInd/>
        <w:snapToGrid/>
        <w:spacing w:line="353" w:lineRule="auto"/>
        <w:ind w:left="0" w:leftChars="0" w:firstLine="643" w:firstLineChars="200"/>
        <w:textAlignment w:val="auto"/>
        <w:rPr>
          <w:rFonts w:ascii="Times New Roman" w:hAnsi="Times New Roman" w:eastAsia="仿宋_GB2312"/>
          <w:sz w:val="32"/>
          <w:szCs w:val="33"/>
          <w:lang w:bidi="ar"/>
        </w:rPr>
      </w:pPr>
      <w:r>
        <w:rPr>
          <w:rFonts w:hint="eastAsia" w:ascii="方正楷体_GBK" w:hAnsi="方正楷体_GBK" w:eastAsia="楷体_GB2312" w:cs="方正楷体_GBK"/>
          <w:b/>
          <w:bCs/>
          <w:color w:val="000000"/>
          <w:kern w:val="0"/>
          <w:sz w:val="32"/>
          <w:szCs w:val="33"/>
          <w:lang w:bidi="ar"/>
        </w:rPr>
        <w:t>（一</w:t>
      </w:r>
      <w:r>
        <w:rPr>
          <w:rFonts w:hint="eastAsia" w:ascii="方正楷体_GBK" w:hAnsi="方正楷体_GBK" w:eastAsia="楷体_GB2312" w:cs="方正楷体_GBK"/>
          <w:b/>
          <w:bCs/>
          <w:color w:val="000000"/>
          <w:kern w:val="0"/>
          <w:sz w:val="32"/>
          <w:szCs w:val="33"/>
          <w:lang w:eastAsia="zh-CN" w:bidi="ar"/>
        </w:rPr>
        <w:t>）</w:t>
      </w:r>
      <w:r>
        <w:rPr>
          <w:rFonts w:hint="eastAsia" w:ascii="方正楷体_GBK" w:hAnsi="方正楷体_GBK" w:eastAsia="楷体_GB2312" w:cs="方正楷体_GBK"/>
          <w:b/>
          <w:bCs/>
          <w:color w:val="000000"/>
          <w:kern w:val="0"/>
          <w:sz w:val="32"/>
          <w:szCs w:val="33"/>
          <w:lang w:bidi="ar"/>
        </w:rPr>
        <w:t>专项资金分配情况</w:t>
      </w:r>
      <w:r>
        <w:rPr>
          <w:rFonts w:hint="eastAsia" w:ascii="方正楷体_GBK" w:hAnsi="方正楷体_GBK" w:eastAsia="楷体_GB2312" w:cs="方正楷体_GBK"/>
          <w:b/>
          <w:bCs/>
          <w:color w:val="000000"/>
          <w:kern w:val="0"/>
          <w:sz w:val="32"/>
          <w:szCs w:val="33"/>
          <w:lang w:eastAsia="zh-CN" w:bidi="ar"/>
        </w:rPr>
        <w:t>。</w:t>
      </w:r>
      <w:r>
        <w:rPr>
          <w:rFonts w:hint="eastAsia" w:ascii="Times New Roman" w:hAnsi="Times New Roman" w:eastAsia="仿宋_GB2312"/>
          <w:sz w:val="32"/>
          <w:szCs w:val="33"/>
          <w:lang w:bidi="ar"/>
        </w:rPr>
        <w:t>2022年，上级专款下达39116.05万元，支出18785.95万元。重点绩效评价涉及10个单位，上级专款下达10370.71万元，支出7276.99</w:t>
      </w:r>
      <w:r>
        <w:rPr>
          <w:rFonts w:hint="eastAsia" w:ascii="Times New Roman" w:hAnsi="Times New Roman" w:eastAsia="仿宋_GB2312"/>
          <w:sz w:val="32"/>
          <w:szCs w:val="33"/>
          <w:lang w:eastAsia="zh-CN" w:bidi="ar"/>
        </w:rPr>
        <w:t>万</w:t>
      </w:r>
      <w:r>
        <w:rPr>
          <w:rFonts w:hint="eastAsia" w:ascii="Times New Roman" w:hAnsi="Times New Roman" w:eastAsia="仿宋_GB2312"/>
          <w:sz w:val="32"/>
          <w:szCs w:val="33"/>
          <w:lang w:bidi="ar"/>
        </w:rPr>
        <w:t>元。</w:t>
      </w:r>
    </w:p>
    <w:p>
      <w:pPr>
        <w:keepNext w:val="0"/>
        <w:keepLines w:val="0"/>
        <w:pageBreakBefore w:val="0"/>
        <w:widowControl w:val="0"/>
        <w:kinsoku/>
        <w:wordWrap/>
        <w:overflowPunct/>
        <w:topLinePunct w:val="0"/>
        <w:autoSpaceDE/>
        <w:autoSpaceDN/>
        <w:bidi w:val="0"/>
        <w:adjustRightInd/>
        <w:snapToGrid/>
        <w:spacing w:line="353" w:lineRule="auto"/>
        <w:ind w:left="0" w:leftChars="0" w:firstLine="643" w:firstLineChars="200"/>
        <w:textAlignment w:val="auto"/>
        <w:rPr>
          <w:rFonts w:ascii="Times New Roman" w:hAnsi="Times New Roman" w:eastAsia="仿宋_GB2312"/>
          <w:kern w:val="0"/>
          <w:sz w:val="32"/>
          <w:szCs w:val="33"/>
        </w:rPr>
      </w:pPr>
      <w:r>
        <w:rPr>
          <w:rFonts w:hint="eastAsia" w:ascii="方正楷体_GBK" w:hAnsi="方正楷体_GBK" w:eastAsia="楷体_GB2312" w:cs="方正楷体_GBK"/>
          <w:b/>
          <w:bCs/>
          <w:color w:val="000000"/>
          <w:kern w:val="0"/>
          <w:sz w:val="32"/>
          <w:szCs w:val="33"/>
          <w:lang w:bidi="ar"/>
        </w:rPr>
        <w:t>（二）资产管理</w:t>
      </w:r>
      <w:r>
        <w:rPr>
          <w:rFonts w:hint="eastAsia" w:ascii="方正楷体_GBK" w:hAnsi="方正楷体_GBK" w:eastAsia="楷体_GB2312" w:cs="方正楷体_GBK"/>
          <w:b/>
          <w:bCs/>
          <w:color w:val="000000"/>
          <w:kern w:val="0"/>
          <w:sz w:val="32"/>
          <w:szCs w:val="33"/>
          <w:lang w:eastAsia="zh-CN" w:bidi="ar"/>
        </w:rPr>
        <w:t>。</w:t>
      </w:r>
      <w:r>
        <w:rPr>
          <w:rFonts w:ascii="Times New Roman" w:hAnsi="Times New Roman" w:eastAsia="仿宋_GB2312"/>
          <w:sz w:val="32"/>
          <w:szCs w:val="33"/>
          <w:lang w:bidi="ar"/>
        </w:rPr>
        <w:t>截至202</w:t>
      </w:r>
      <w:r>
        <w:rPr>
          <w:rFonts w:hint="eastAsia" w:ascii="Times New Roman" w:hAnsi="Times New Roman" w:eastAsia="仿宋_GB2312"/>
          <w:sz w:val="32"/>
          <w:szCs w:val="33"/>
          <w:lang w:bidi="ar"/>
        </w:rPr>
        <w:t>2</w:t>
      </w:r>
      <w:r>
        <w:rPr>
          <w:rFonts w:ascii="Times New Roman" w:hAnsi="Times New Roman" w:eastAsia="仿宋_GB2312"/>
          <w:sz w:val="32"/>
          <w:szCs w:val="33"/>
          <w:lang w:bidi="ar"/>
        </w:rPr>
        <w:t>年12月31日，西区资产总计（账面净值，下同）161194.</w:t>
      </w:r>
      <w:r>
        <w:rPr>
          <w:rFonts w:ascii="Times New Roman" w:hAnsi="Times New Roman" w:eastAsia="仿宋_GB2312"/>
          <w:sz w:val="32"/>
          <w:szCs w:val="33"/>
          <w:highlight w:val="none"/>
          <w:lang w:bidi="ar"/>
        </w:rPr>
        <w:t>09万元，较上年增长1.30%；负债总计44875.15万元</w:t>
      </w:r>
      <w:r>
        <w:rPr>
          <w:rFonts w:hint="eastAsia" w:ascii="Times New Roman" w:hAnsi="Times New Roman" w:eastAsia="仿宋_GB2312"/>
          <w:sz w:val="32"/>
          <w:szCs w:val="33"/>
          <w:highlight w:val="none"/>
          <w:lang w:bidi="ar"/>
        </w:rPr>
        <w:t>，</w:t>
      </w:r>
      <w:r>
        <w:rPr>
          <w:rFonts w:ascii="Times New Roman" w:hAnsi="Times New Roman" w:eastAsia="仿宋_GB2312"/>
          <w:sz w:val="32"/>
          <w:szCs w:val="33"/>
          <w:highlight w:val="none"/>
          <w:lang w:bidi="ar"/>
        </w:rPr>
        <w:t>较上年增长0.75%。净资产116318.94万元</w:t>
      </w:r>
      <w:r>
        <w:rPr>
          <w:rFonts w:hint="eastAsia" w:ascii="Times New Roman" w:hAnsi="Times New Roman" w:eastAsia="仿宋_GB2312"/>
          <w:sz w:val="32"/>
          <w:szCs w:val="33"/>
          <w:highlight w:val="none"/>
          <w:lang w:bidi="ar"/>
        </w:rPr>
        <w:t>，</w:t>
      </w:r>
      <w:r>
        <w:rPr>
          <w:rFonts w:ascii="Times New Roman" w:hAnsi="Times New Roman" w:eastAsia="仿宋_GB2312"/>
          <w:sz w:val="32"/>
          <w:szCs w:val="33"/>
          <w:highlight w:val="none"/>
          <w:lang w:bidi="ar"/>
        </w:rPr>
        <w:t>较上年增长1.5</w:t>
      </w:r>
      <w:r>
        <w:rPr>
          <w:rFonts w:ascii="Times New Roman" w:hAnsi="Times New Roman" w:eastAsia="仿宋_GB2312"/>
          <w:sz w:val="32"/>
          <w:szCs w:val="33"/>
          <w:lang w:bidi="ar"/>
        </w:rPr>
        <w:t>1%。</w:t>
      </w:r>
    </w:p>
    <w:p>
      <w:pPr>
        <w:keepNext w:val="0"/>
        <w:keepLines w:val="0"/>
        <w:pageBreakBefore w:val="0"/>
        <w:widowControl w:val="0"/>
        <w:kinsoku/>
        <w:wordWrap/>
        <w:overflowPunct/>
        <w:topLinePunct w:val="0"/>
        <w:autoSpaceDE/>
        <w:autoSpaceDN/>
        <w:bidi w:val="0"/>
        <w:adjustRightInd/>
        <w:snapToGrid/>
        <w:spacing w:line="353" w:lineRule="auto"/>
        <w:ind w:left="0" w:leftChars="0" w:firstLine="643" w:firstLineChars="200"/>
        <w:textAlignment w:val="auto"/>
        <w:rPr>
          <w:rFonts w:ascii="Times New Roman" w:hAnsi="Times New Roman" w:eastAsia="仿宋_GB2312"/>
          <w:sz w:val="32"/>
          <w:szCs w:val="33"/>
          <w:lang w:bidi="ar"/>
        </w:rPr>
      </w:pPr>
      <w:r>
        <w:rPr>
          <w:rFonts w:ascii="Times New Roman" w:hAnsi="Times New Roman" w:eastAsia="仿宋_GB2312"/>
          <w:b/>
          <w:bCs/>
          <w:sz w:val="32"/>
          <w:szCs w:val="33"/>
          <w:lang w:bidi="ar"/>
        </w:rPr>
        <w:t>1.资产</w:t>
      </w:r>
      <w:r>
        <w:rPr>
          <w:rFonts w:hint="eastAsia" w:ascii="Times New Roman" w:hAnsi="Times New Roman" w:eastAsia="仿宋_GB2312"/>
          <w:b/>
          <w:bCs/>
          <w:sz w:val="32"/>
          <w:szCs w:val="33"/>
          <w:lang w:bidi="ar"/>
        </w:rPr>
        <w:t>分布</w:t>
      </w:r>
      <w:r>
        <w:rPr>
          <w:rFonts w:ascii="Times New Roman" w:hAnsi="Times New Roman" w:eastAsia="仿宋_GB2312"/>
          <w:b/>
          <w:bCs/>
          <w:sz w:val="32"/>
          <w:szCs w:val="33"/>
          <w:lang w:bidi="ar"/>
        </w:rPr>
        <w:t>情况。</w:t>
      </w:r>
      <w:r>
        <w:rPr>
          <w:rFonts w:ascii="Times New Roman" w:hAnsi="Times New Roman" w:eastAsia="仿宋_GB2312"/>
          <w:sz w:val="32"/>
          <w:szCs w:val="33"/>
          <w:lang w:bidi="ar"/>
        </w:rPr>
        <w:t>西区行政单位国有资产98136.9</w:t>
      </w:r>
      <w:r>
        <w:rPr>
          <w:rFonts w:hint="eastAsia" w:ascii="Times New Roman" w:hAnsi="Times New Roman" w:eastAsia="仿宋_GB2312"/>
          <w:sz w:val="32"/>
          <w:szCs w:val="33"/>
          <w:lang w:val="en-US" w:eastAsia="zh-CN" w:bidi="ar"/>
        </w:rPr>
        <w:t>7</w:t>
      </w:r>
      <w:r>
        <w:rPr>
          <w:rFonts w:ascii="Times New Roman" w:hAnsi="Times New Roman" w:eastAsia="仿宋_GB2312"/>
          <w:sz w:val="32"/>
          <w:szCs w:val="33"/>
          <w:lang w:bidi="ar"/>
        </w:rPr>
        <w:t>万元，占资产总额</w:t>
      </w:r>
      <w:r>
        <w:rPr>
          <w:rFonts w:hint="eastAsia" w:ascii="Times New Roman" w:hAnsi="Times New Roman" w:eastAsia="仿宋_GB2312"/>
          <w:sz w:val="32"/>
          <w:szCs w:val="33"/>
          <w:lang w:eastAsia="zh-CN" w:bidi="ar"/>
        </w:rPr>
        <w:t>的</w:t>
      </w:r>
      <w:r>
        <w:rPr>
          <w:rFonts w:ascii="Times New Roman" w:hAnsi="Times New Roman" w:eastAsia="仿宋_GB2312"/>
          <w:sz w:val="32"/>
          <w:szCs w:val="33"/>
          <w:lang w:bidi="ar"/>
        </w:rPr>
        <w:t>60.88%；事业单位国有资产63057.12万元，占资产总额</w:t>
      </w:r>
      <w:r>
        <w:rPr>
          <w:rFonts w:hint="eastAsia" w:ascii="Times New Roman" w:hAnsi="Times New Roman" w:eastAsia="仿宋_GB2312"/>
          <w:sz w:val="32"/>
          <w:szCs w:val="33"/>
          <w:lang w:eastAsia="zh-CN" w:bidi="ar"/>
        </w:rPr>
        <w:t>的</w:t>
      </w:r>
      <w:r>
        <w:rPr>
          <w:rFonts w:ascii="Times New Roman" w:hAnsi="Times New Roman" w:eastAsia="仿宋_GB2312"/>
          <w:sz w:val="32"/>
          <w:szCs w:val="33"/>
          <w:lang w:bidi="ar"/>
        </w:rPr>
        <w:t>39.12%</w:t>
      </w:r>
      <w:r>
        <w:rPr>
          <w:rFonts w:hint="eastAsia" w:ascii="Times New Roman" w:hAnsi="Times New Roman" w:eastAsia="仿宋_GB2312"/>
          <w:sz w:val="32"/>
          <w:szCs w:val="33"/>
          <w:lang w:bidi="ar"/>
        </w:rPr>
        <w:t>。</w:t>
      </w:r>
    </w:p>
    <w:p>
      <w:pPr>
        <w:keepNext w:val="0"/>
        <w:keepLines w:val="0"/>
        <w:pageBreakBefore w:val="0"/>
        <w:widowControl w:val="0"/>
        <w:kinsoku/>
        <w:wordWrap/>
        <w:overflowPunct/>
        <w:topLinePunct w:val="0"/>
        <w:autoSpaceDE/>
        <w:autoSpaceDN/>
        <w:bidi w:val="0"/>
        <w:adjustRightInd/>
        <w:snapToGrid/>
        <w:spacing w:line="353" w:lineRule="auto"/>
        <w:ind w:left="0" w:leftChars="0" w:firstLine="643" w:firstLineChars="200"/>
        <w:textAlignment w:val="auto"/>
        <w:rPr>
          <w:rFonts w:ascii="Times New Roman" w:hAnsi="Times New Roman" w:eastAsia="仿宋_GB2312"/>
          <w:kern w:val="0"/>
          <w:sz w:val="32"/>
          <w:szCs w:val="33"/>
        </w:rPr>
      </w:pPr>
      <w:r>
        <w:rPr>
          <w:rFonts w:hint="eastAsia" w:ascii="Times New Roman" w:hAnsi="Times New Roman" w:eastAsia="仿宋_GB2312"/>
          <w:b/>
          <w:bCs/>
          <w:sz w:val="32"/>
          <w:szCs w:val="33"/>
          <w:lang w:bidi="ar"/>
        </w:rPr>
        <w:t>2.</w:t>
      </w:r>
      <w:r>
        <w:rPr>
          <w:rFonts w:ascii="Times New Roman" w:hAnsi="Times New Roman" w:eastAsia="仿宋_GB2312"/>
          <w:b/>
          <w:bCs/>
          <w:sz w:val="32"/>
          <w:szCs w:val="33"/>
          <w:lang w:bidi="ar"/>
        </w:rPr>
        <w:t>资产构成情况。</w:t>
      </w:r>
      <w:r>
        <w:rPr>
          <w:rFonts w:ascii="Times New Roman" w:hAnsi="Times New Roman" w:eastAsia="仿宋_GB2312"/>
          <w:sz w:val="32"/>
          <w:szCs w:val="33"/>
          <w:lang w:bidi="ar"/>
        </w:rPr>
        <w:t>流动资产47974.71万元，较上年增长3.90%，占资产总额</w:t>
      </w:r>
      <w:r>
        <w:rPr>
          <w:rFonts w:hint="eastAsia" w:ascii="Times New Roman" w:hAnsi="Times New Roman" w:eastAsia="仿宋_GB2312"/>
          <w:sz w:val="32"/>
          <w:szCs w:val="33"/>
          <w:lang w:eastAsia="zh-CN" w:bidi="ar"/>
        </w:rPr>
        <w:t>的</w:t>
      </w:r>
      <w:r>
        <w:rPr>
          <w:rFonts w:ascii="Times New Roman" w:hAnsi="Times New Roman" w:eastAsia="仿宋_GB2312"/>
          <w:sz w:val="32"/>
          <w:szCs w:val="33"/>
          <w:lang w:bidi="ar"/>
        </w:rPr>
        <w:t>29.76%；固定资产19773.84万元，较上年增长5.15%，占资产总额</w:t>
      </w:r>
      <w:r>
        <w:rPr>
          <w:rFonts w:hint="eastAsia" w:ascii="Times New Roman" w:hAnsi="Times New Roman" w:eastAsia="仿宋_GB2312"/>
          <w:sz w:val="32"/>
          <w:szCs w:val="33"/>
          <w:lang w:eastAsia="zh-CN" w:bidi="ar"/>
        </w:rPr>
        <w:t>的</w:t>
      </w:r>
      <w:r>
        <w:rPr>
          <w:rFonts w:ascii="Times New Roman" w:hAnsi="Times New Roman" w:eastAsia="仿宋_GB2312"/>
          <w:sz w:val="32"/>
          <w:szCs w:val="33"/>
          <w:lang w:bidi="ar"/>
        </w:rPr>
        <w:t>12.2</w:t>
      </w:r>
      <w:r>
        <w:rPr>
          <w:rFonts w:hint="eastAsia" w:ascii="Times New Roman" w:hAnsi="Times New Roman" w:eastAsia="仿宋_GB2312"/>
          <w:sz w:val="32"/>
          <w:szCs w:val="33"/>
          <w:lang w:val="en-US" w:eastAsia="zh-CN" w:bidi="ar"/>
        </w:rPr>
        <w:t>6</w:t>
      </w:r>
      <w:r>
        <w:rPr>
          <w:rFonts w:ascii="Times New Roman" w:hAnsi="Times New Roman" w:eastAsia="仿宋_GB2312"/>
          <w:sz w:val="32"/>
          <w:szCs w:val="33"/>
          <w:lang w:bidi="ar"/>
        </w:rPr>
        <w:t>%；在建工程45541.37万元，较上年</w:t>
      </w:r>
      <w:r>
        <w:rPr>
          <w:rFonts w:hint="eastAsia" w:ascii="Times New Roman" w:hAnsi="Times New Roman" w:eastAsia="仿宋_GB2312"/>
          <w:sz w:val="32"/>
          <w:szCs w:val="33"/>
          <w:lang w:bidi="ar"/>
        </w:rPr>
        <w:t>下降</w:t>
      </w:r>
      <w:r>
        <w:rPr>
          <w:rFonts w:ascii="Times New Roman" w:hAnsi="Times New Roman" w:eastAsia="仿宋_GB2312"/>
          <w:sz w:val="32"/>
          <w:szCs w:val="33"/>
          <w:lang w:bidi="ar"/>
        </w:rPr>
        <w:t>3.67%，占资产总额</w:t>
      </w:r>
      <w:r>
        <w:rPr>
          <w:rFonts w:hint="eastAsia" w:ascii="Times New Roman" w:hAnsi="Times New Roman" w:eastAsia="仿宋_GB2312"/>
          <w:sz w:val="32"/>
          <w:szCs w:val="33"/>
          <w:lang w:eastAsia="zh-CN" w:bidi="ar"/>
        </w:rPr>
        <w:t>的</w:t>
      </w:r>
      <w:r>
        <w:rPr>
          <w:rFonts w:ascii="Times New Roman" w:hAnsi="Times New Roman" w:eastAsia="仿宋_GB2312"/>
          <w:sz w:val="32"/>
          <w:szCs w:val="33"/>
          <w:lang w:bidi="ar"/>
        </w:rPr>
        <w:t>28.25%；无形资产363.82万元，较上年增13.52%，占资产总额</w:t>
      </w:r>
      <w:r>
        <w:rPr>
          <w:rFonts w:hint="eastAsia" w:ascii="Times New Roman" w:hAnsi="Times New Roman" w:eastAsia="仿宋_GB2312"/>
          <w:sz w:val="32"/>
          <w:szCs w:val="33"/>
          <w:lang w:eastAsia="zh-CN" w:bidi="ar"/>
        </w:rPr>
        <w:t>的</w:t>
      </w:r>
      <w:r>
        <w:rPr>
          <w:rFonts w:ascii="Times New Roman" w:hAnsi="Times New Roman" w:eastAsia="仿宋_GB2312"/>
          <w:sz w:val="32"/>
          <w:szCs w:val="33"/>
          <w:lang w:bidi="ar"/>
        </w:rPr>
        <w:t>0.23%；公共基础设施46841.05万元，占资产总额</w:t>
      </w:r>
      <w:r>
        <w:rPr>
          <w:rFonts w:hint="eastAsia" w:ascii="Times New Roman" w:hAnsi="Times New Roman" w:eastAsia="仿宋_GB2312"/>
          <w:sz w:val="32"/>
          <w:szCs w:val="33"/>
          <w:lang w:eastAsia="zh-CN" w:bidi="ar"/>
        </w:rPr>
        <w:t>的</w:t>
      </w:r>
      <w:r>
        <w:rPr>
          <w:rFonts w:ascii="Times New Roman" w:hAnsi="Times New Roman" w:eastAsia="仿宋_GB2312"/>
          <w:sz w:val="32"/>
          <w:szCs w:val="33"/>
          <w:lang w:bidi="ar"/>
        </w:rPr>
        <w:t>29.06%；政府储备物资298.46万元，占资产总额</w:t>
      </w:r>
      <w:r>
        <w:rPr>
          <w:rFonts w:hint="eastAsia" w:ascii="Times New Roman" w:hAnsi="Times New Roman" w:eastAsia="仿宋_GB2312"/>
          <w:sz w:val="32"/>
          <w:szCs w:val="33"/>
          <w:lang w:eastAsia="zh-CN" w:bidi="ar"/>
        </w:rPr>
        <w:t>的</w:t>
      </w:r>
      <w:r>
        <w:rPr>
          <w:rFonts w:ascii="Times New Roman" w:hAnsi="Times New Roman" w:eastAsia="仿宋_GB2312"/>
          <w:sz w:val="32"/>
          <w:szCs w:val="33"/>
          <w:lang w:bidi="ar"/>
        </w:rPr>
        <w:t>0.19%</w:t>
      </w:r>
      <w:r>
        <w:rPr>
          <w:rFonts w:hint="eastAsia" w:ascii="Times New Roman" w:hAnsi="Times New Roman" w:eastAsia="仿宋_GB2312"/>
          <w:sz w:val="32"/>
          <w:szCs w:val="33"/>
          <w:lang w:bidi="ar"/>
        </w:rPr>
        <w:t>；其他资产400.84万元，占资产总额</w:t>
      </w:r>
      <w:r>
        <w:rPr>
          <w:rFonts w:hint="eastAsia" w:ascii="Times New Roman" w:hAnsi="Times New Roman" w:eastAsia="仿宋_GB2312"/>
          <w:sz w:val="32"/>
          <w:szCs w:val="33"/>
          <w:lang w:eastAsia="zh-CN" w:bidi="ar"/>
        </w:rPr>
        <w:t>的</w:t>
      </w:r>
      <w:r>
        <w:rPr>
          <w:rFonts w:hint="eastAsia" w:ascii="Times New Roman" w:hAnsi="Times New Roman" w:eastAsia="仿宋_GB2312"/>
          <w:sz w:val="32"/>
          <w:szCs w:val="33"/>
          <w:lang w:bidi="ar"/>
        </w:rPr>
        <w:t>0.25%。</w:t>
      </w:r>
    </w:p>
    <w:p>
      <w:pPr>
        <w:keepNext w:val="0"/>
        <w:keepLines w:val="0"/>
        <w:pageBreakBefore w:val="0"/>
        <w:widowControl w:val="0"/>
        <w:kinsoku/>
        <w:wordWrap/>
        <w:overflowPunct/>
        <w:topLinePunct w:val="0"/>
        <w:autoSpaceDE/>
        <w:autoSpaceDN/>
        <w:bidi w:val="0"/>
        <w:adjustRightInd/>
        <w:snapToGrid/>
        <w:spacing w:line="353" w:lineRule="auto"/>
        <w:ind w:left="0" w:leftChars="0" w:firstLine="643" w:firstLineChars="200"/>
        <w:textAlignment w:val="auto"/>
        <w:rPr>
          <w:rFonts w:ascii="Times New Roman" w:hAnsi="Times New Roman" w:eastAsia="仿宋_GB2312"/>
          <w:sz w:val="32"/>
          <w:szCs w:val="33"/>
          <w:lang w:bidi="ar"/>
        </w:rPr>
      </w:pPr>
      <w:r>
        <w:rPr>
          <w:rFonts w:hint="eastAsia" w:ascii="Times New Roman" w:hAnsi="Times New Roman" w:eastAsia="仿宋_GB2312"/>
          <w:b/>
          <w:bCs/>
          <w:sz w:val="32"/>
          <w:szCs w:val="33"/>
          <w:lang w:bidi="ar"/>
        </w:rPr>
        <w:t>3.</w:t>
      </w:r>
      <w:r>
        <w:rPr>
          <w:rFonts w:ascii="Times New Roman" w:hAnsi="Times New Roman" w:eastAsia="仿宋_GB2312"/>
          <w:b/>
          <w:bCs/>
          <w:sz w:val="32"/>
          <w:szCs w:val="33"/>
          <w:lang w:bidi="ar"/>
        </w:rPr>
        <w:t>固定资产构成情况。</w:t>
      </w:r>
      <w:r>
        <w:rPr>
          <w:rFonts w:ascii="Times New Roman" w:hAnsi="Times New Roman" w:eastAsia="仿宋_GB2312"/>
          <w:sz w:val="32"/>
          <w:szCs w:val="33"/>
          <w:lang w:bidi="ar"/>
        </w:rPr>
        <w:t>土地、房屋及构筑物12212.3</w:t>
      </w:r>
      <w:r>
        <w:rPr>
          <w:rFonts w:hint="eastAsia" w:ascii="Times New Roman" w:hAnsi="Times New Roman" w:eastAsia="仿宋_GB2312"/>
          <w:sz w:val="32"/>
          <w:szCs w:val="33"/>
          <w:lang w:val="en-US" w:eastAsia="zh-CN" w:bidi="ar"/>
        </w:rPr>
        <w:t>3</w:t>
      </w:r>
      <w:r>
        <w:rPr>
          <w:rFonts w:ascii="Times New Roman" w:hAnsi="Times New Roman" w:eastAsia="仿宋_GB2312"/>
          <w:sz w:val="32"/>
          <w:szCs w:val="33"/>
          <w:lang w:bidi="ar"/>
        </w:rPr>
        <w:t>万元，占固定资产的61.76%（其中，房屋12091.75万元，占固定资产的61.15%</w:t>
      </w:r>
      <w:r>
        <w:rPr>
          <w:rFonts w:hint="eastAsia" w:ascii="Times New Roman" w:hAnsi="Times New Roman" w:eastAsia="仿宋_GB2312"/>
          <w:sz w:val="32"/>
          <w:szCs w:val="33"/>
          <w:lang w:bidi="ar"/>
        </w:rPr>
        <w:t>）</w:t>
      </w:r>
      <w:r>
        <w:rPr>
          <w:rFonts w:ascii="Times New Roman" w:hAnsi="Times New Roman" w:eastAsia="仿宋_GB2312"/>
          <w:sz w:val="32"/>
          <w:szCs w:val="33"/>
          <w:lang w:bidi="ar"/>
        </w:rPr>
        <w:t>；通用设备6133.26万元，占固定资产的31.02%（其</w:t>
      </w:r>
      <w:r>
        <w:rPr>
          <w:rFonts w:ascii="Times New Roman" w:hAnsi="Times New Roman" w:eastAsia="仿宋_GB2312"/>
          <w:sz w:val="32"/>
          <w:szCs w:val="33"/>
          <w:highlight w:val="none"/>
          <w:lang w:bidi="ar"/>
        </w:rPr>
        <w:t>中</w:t>
      </w:r>
      <w:r>
        <w:rPr>
          <w:rFonts w:hint="eastAsia" w:ascii="Times New Roman" w:hAnsi="Times New Roman" w:eastAsia="仿宋_GB2312"/>
          <w:sz w:val="32"/>
          <w:szCs w:val="33"/>
          <w:highlight w:val="none"/>
          <w:lang w:bidi="ar"/>
        </w:rPr>
        <w:t>，</w:t>
      </w:r>
      <w:r>
        <w:rPr>
          <w:rFonts w:ascii="Times New Roman" w:hAnsi="Times New Roman" w:eastAsia="仿宋_GB2312"/>
          <w:sz w:val="32"/>
          <w:szCs w:val="33"/>
          <w:highlight w:val="none"/>
          <w:lang w:bidi="ar"/>
        </w:rPr>
        <w:t>车辆</w:t>
      </w:r>
      <w:r>
        <w:rPr>
          <w:rFonts w:ascii="Times New Roman" w:hAnsi="Times New Roman" w:eastAsia="仿宋_GB2312"/>
          <w:sz w:val="32"/>
          <w:szCs w:val="33"/>
          <w:lang w:bidi="ar"/>
        </w:rPr>
        <w:t>1158.14万元，占固定资产的5.86%</w:t>
      </w:r>
      <w:r>
        <w:rPr>
          <w:rFonts w:hint="eastAsia" w:ascii="Times New Roman" w:hAnsi="Times New Roman" w:eastAsia="仿宋_GB2312"/>
          <w:sz w:val="32"/>
          <w:szCs w:val="33"/>
          <w:lang w:bidi="ar"/>
        </w:rPr>
        <w:t>，单价100万（含）以上（不含车辆）设备1810.44万元，占</w:t>
      </w:r>
      <w:r>
        <w:rPr>
          <w:rFonts w:ascii="Times New Roman" w:hAnsi="Times New Roman" w:eastAsia="仿宋_GB2312"/>
          <w:sz w:val="32"/>
          <w:szCs w:val="33"/>
          <w:lang w:bidi="ar"/>
        </w:rPr>
        <w:t>固定资产的</w:t>
      </w:r>
      <w:r>
        <w:rPr>
          <w:rFonts w:hint="eastAsia" w:ascii="Times New Roman" w:hAnsi="Times New Roman" w:eastAsia="仿宋_GB2312"/>
          <w:sz w:val="32"/>
          <w:szCs w:val="33"/>
          <w:lang w:bidi="ar"/>
        </w:rPr>
        <w:t>9.16%）；文物和陈列品1.28万元，占</w:t>
      </w:r>
      <w:r>
        <w:rPr>
          <w:rFonts w:ascii="Times New Roman" w:hAnsi="Times New Roman" w:eastAsia="仿宋_GB2312"/>
          <w:sz w:val="32"/>
          <w:szCs w:val="33"/>
          <w:lang w:bidi="ar"/>
        </w:rPr>
        <w:t>固定资产的</w:t>
      </w:r>
      <w:r>
        <w:rPr>
          <w:rFonts w:hint="eastAsia" w:ascii="Times New Roman" w:hAnsi="Times New Roman" w:eastAsia="仿宋_GB2312"/>
          <w:sz w:val="32"/>
          <w:szCs w:val="33"/>
          <w:lang w:bidi="ar"/>
        </w:rPr>
        <w:t>0.01%；图书档案487.31万元，占</w:t>
      </w:r>
      <w:r>
        <w:rPr>
          <w:rFonts w:ascii="Times New Roman" w:hAnsi="Times New Roman" w:eastAsia="仿宋_GB2312"/>
          <w:sz w:val="32"/>
          <w:szCs w:val="33"/>
          <w:lang w:bidi="ar"/>
        </w:rPr>
        <w:t>固定资产的</w:t>
      </w:r>
      <w:r>
        <w:rPr>
          <w:rFonts w:hint="eastAsia" w:ascii="Times New Roman" w:hAnsi="Times New Roman" w:eastAsia="仿宋_GB2312"/>
          <w:sz w:val="32"/>
          <w:szCs w:val="33"/>
          <w:lang w:bidi="ar"/>
        </w:rPr>
        <w:t>2.46%；家具、用具939.66万元，占</w:t>
      </w:r>
      <w:r>
        <w:rPr>
          <w:rFonts w:ascii="Times New Roman" w:hAnsi="Times New Roman" w:eastAsia="仿宋_GB2312"/>
          <w:sz w:val="32"/>
          <w:szCs w:val="33"/>
          <w:lang w:bidi="ar"/>
        </w:rPr>
        <w:t>固定资产的</w:t>
      </w:r>
      <w:r>
        <w:rPr>
          <w:rFonts w:hint="eastAsia" w:ascii="Times New Roman" w:hAnsi="Times New Roman" w:eastAsia="仿宋_GB2312"/>
          <w:sz w:val="32"/>
          <w:szCs w:val="33"/>
          <w:lang w:bidi="ar"/>
        </w:rPr>
        <w:t>4.75%。</w:t>
      </w:r>
    </w:p>
    <w:p>
      <w:pPr>
        <w:keepNext w:val="0"/>
        <w:keepLines w:val="0"/>
        <w:pageBreakBefore w:val="0"/>
        <w:widowControl w:val="0"/>
        <w:kinsoku/>
        <w:wordWrap/>
        <w:overflowPunct/>
        <w:topLinePunct w:val="0"/>
        <w:autoSpaceDE/>
        <w:autoSpaceDN/>
        <w:bidi w:val="0"/>
        <w:adjustRightInd/>
        <w:snapToGrid/>
        <w:spacing w:line="353" w:lineRule="auto"/>
        <w:ind w:left="0" w:leftChars="0" w:firstLine="643" w:firstLineChars="200"/>
        <w:textAlignment w:val="auto"/>
        <w:rPr>
          <w:spacing w:val="0"/>
        </w:rPr>
      </w:pPr>
      <w:r>
        <w:rPr>
          <w:rFonts w:hint="eastAsia" w:ascii="方正楷体_GBK" w:hAnsi="方正楷体_GBK" w:eastAsia="楷体_GB2312" w:cs="方正楷体_GBK"/>
          <w:b/>
          <w:bCs/>
          <w:color w:val="000000"/>
          <w:kern w:val="0"/>
          <w:sz w:val="32"/>
          <w:szCs w:val="33"/>
          <w:lang w:bidi="ar"/>
        </w:rPr>
        <w:t>（三）内控制度管理</w:t>
      </w:r>
      <w:r>
        <w:rPr>
          <w:rFonts w:hint="eastAsia" w:ascii="方正楷体_GBK" w:hAnsi="方正楷体_GBK" w:eastAsia="楷体_GB2312" w:cs="方正楷体_GBK"/>
          <w:b/>
          <w:bCs/>
          <w:color w:val="000000"/>
          <w:kern w:val="0"/>
          <w:sz w:val="32"/>
          <w:szCs w:val="33"/>
          <w:lang w:eastAsia="zh-CN" w:bidi="ar"/>
        </w:rPr>
        <w:t>。</w:t>
      </w:r>
      <w:r>
        <w:rPr>
          <w:rFonts w:ascii="Times New Roman" w:hAnsi="Times New Roman" w:eastAsia="仿宋_GB2312"/>
          <w:b/>
          <w:bCs/>
          <w:sz w:val="32"/>
          <w:szCs w:val="33"/>
        </w:rPr>
        <w:t>一是</w:t>
      </w:r>
      <w:r>
        <w:rPr>
          <w:rFonts w:hint="eastAsia" w:ascii="Times New Roman" w:hAnsi="Times New Roman" w:eastAsia="仿宋_GB2312"/>
          <w:b/>
          <w:bCs/>
          <w:sz w:val="32"/>
          <w:szCs w:val="33"/>
        </w:rPr>
        <w:t>提高政治站位。</w:t>
      </w:r>
      <w:r>
        <w:rPr>
          <w:rFonts w:hint="eastAsia" w:ascii="Times New Roman" w:hAnsi="Times New Roman" w:eastAsia="仿宋_GB2312"/>
          <w:sz w:val="32"/>
          <w:szCs w:val="33"/>
        </w:rPr>
        <w:t>始终从讲政治的高度抓牢抓实内控工作，为财政监管保驾护航。持续开展相关政策、制度学习研讨，以学习促提升，使内控工作成为防范风险的</w:t>
      </w:r>
      <w:r>
        <w:rPr>
          <w:rFonts w:hint="eastAsia" w:ascii="Times New Roman" w:hAnsi="Times New Roman" w:eastAsia="仿宋_GB2312"/>
          <w:sz w:val="32"/>
          <w:szCs w:val="33"/>
          <w:lang w:eastAsia="zh-CN"/>
        </w:rPr>
        <w:t>“</w:t>
      </w:r>
      <w:r>
        <w:rPr>
          <w:rFonts w:hint="eastAsia" w:ascii="Times New Roman" w:hAnsi="Times New Roman" w:eastAsia="仿宋_GB2312"/>
          <w:sz w:val="32"/>
          <w:szCs w:val="33"/>
        </w:rPr>
        <w:t>显微镜</w:t>
      </w:r>
      <w:r>
        <w:rPr>
          <w:rFonts w:hint="eastAsia" w:ascii="Times New Roman" w:hAnsi="Times New Roman" w:eastAsia="仿宋_GB2312"/>
          <w:sz w:val="32"/>
          <w:szCs w:val="33"/>
          <w:lang w:eastAsia="zh-CN"/>
        </w:rPr>
        <w:t>”</w:t>
      </w:r>
      <w:r>
        <w:rPr>
          <w:rFonts w:hint="eastAsia" w:ascii="Times New Roman" w:hAnsi="Times New Roman" w:eastAsia="仿宋_GB2312"/>
          <w:sz w:val="32"/>
          <w:szCs w:val="33"/>
        </w:rPr>
        <w:t>和</w:t>
      </w:r>
      <w:r>
        <w:rPr>
          <w:rFonts w:hint="eastAsia" w:ascii="Times New Roman" w:hAnsi="Times New Roman" w:eastAsia="仿宋_GB2312"/>
          <w:sz w:val="32"/>
          <w:szCs w:val="33"/>
          <w:lang w:eastAsia="zh-CN"/>
        </w:rPr>
        <w:t>“</w:t>
      </w:r>
      <w:r>
        <w:rPr>
          <w:rFonts w:hint="eastAsia" w:ascii="Times New Roman" w:hAnsi="Times New Roman" w:eastAsia="仿宋_GB2312"/>
          <w:sz w:val="32"/>
          <w:szCs w:val="33"/>
        </w:rPr>
        <w:t>放大镜</w:t>
      </w:r>
      <w:r>
        <w:rPr>
          <w:rFonts w:hint="eastAsia" w:ascii="Times New Roman" w:hAnsi="Times New Roman" w:eastAsia="仿宋_GB2312"/>
          <w:sz w:val="32"/>
          <w:szCs w:val="33"/>
          <w:lang w:eastAsia="zh-CN"/>
        </w:rPr>
        <w:t>”</w:t>
      </w:r>
      <w:r>
        <w:rPr>
          <w:rFonts w:hint="eastAsia" w:ascii="Times New Roman" w:hAnsi="Times New Roman" w:eastAsia="仿宋_GB2312"/>
          <w:sz w:val="32"/>
          <w:szCs w:val="33"/>
        </w:rPr>
        <w:t>。</w:t>
      </w:r>
      <w:r>
        <w:rPr>
          <w:rFonts w:ascii="Times New Roman" w:hAnsi="Times New Roman" w:eastAsia="仿宋_GB2312"/>
          <w:b/>
          <w:bCs/>
          <w:sz w:val="32"/>
          <w:szCs w:val="33"/>
        </w:rPr>
        <w:t>二是</w:t>
      </w:r>
      <w:r>
        <w:rPr>
          <w:rFonts w:hint="eastAsia" w:ascii="Times New Roman" w:hAnsi="Times New Roman" w:eastAsia="仿宋_GB2312"/>
          <w:b/>
          <w:bCs/>
          <w:sz w:val="32"/>
          <w:szCs w:val="33"/>
        </w:rPr>
        <w:t>注重建章立制。</w:t>
      </w:r>
      <w:r>
        <w:rPr>
          <w:rFonts w:hint="eastAsia" w:ascii="Times New Roman" w:hAnsi="Times New Roman" w:eastAsia="仿宋_GB2312"/>
          <w:sz w:val="32"/>
          <w:szCs w:val="33"/>
        </w:rPr>
        <w:t>夯实制度基础，不断提高内控制度的实时性、针对性和有效性，持续加强风险防控能力</w:t>
      </w:r>
      <w:r>
        <w:rPr>
          <w:rFonts w:ascii="Times New Roman" w:hAnsi="Times New Roman" w:eastAsia="仿宋_GB2312"/>
          <w:sz w:val="32"/>
          <w:szCs w:val="33"/>
        </w:rPr>
        <w:t>。</w:t>
      </w:r>
      <w:r>
        <w:rPr>
          <w:rFonts w:ascii="Times New Roman" w:hAnsi="Times New Roman" w:eastAsia="仿宋_GB2312"/>
          <w:b/>
          <w:bCs/>
          <w:sz w:val="32"/>
          <w:szCs w:val="33"/>
        </w:rPr>
        <w:t>三是</w:t>
      </w:r>
      <w:r>
        <w:rPr>
          <w:rFonts w:hint="eastAsia" w:ascii="Times New Roman" w:hAnsi="Times New Roman" w:eastAsia="仿宋_GB2312"/>
          <w:b/>
          <w:bCs/>
          <w:sz w:val="32"/>
          <w:szCs w:val="33"/>
        </w:rPr>
        <w:t>突出务实高效。</w:t>
      </w:r>
      <w:r>
        <w:rPr>
          <w:rFonts w:hint="eastAsia" w:ascii="Times New Roman" w:hAnsi="Times New Roman" w:eastAsia="仿宋_GB2312"/>
          <w:spacing w:val="-6"/>
          <w:sz w:val="32"/>
          <w:szCs w:val="33"/>
        </w:rPr>
        <w:t>不断强化内控执行力度，紧盯财政监管行权用权，健全内控责任追究和成果利用机制，激励干部增强贯彻落实内控制度的思想自觉、政治自觉、行动自觉</w:t>
      </w:r>
      <w:r>
        <w:rPr>
          <w:rFonts w:ascii="Times New Roman" w:hAnsi="Times New Roman" w:eastAsia="仿宋_GB2312"/>
          <w:spacing w:val="-6"/>
          <w:sz w:val="32"/>
          <w:szCs w:val="33"/>
        </w:rPr>
        <w:t>。202</w:t>
      </w:r>
      <w:r>
        <w:rPr>
          <w:rFonts w:hint="eastAsia" w:ascii="Times New Roman" w:hAnsi="Times New Roman" w:eastAsia="仿宋_GB2312"/>
          <w:spacing w:val="-6"/>
          <w:sz w:val="32"/>
          <w:szCs w:val="33"/>
        </w:rPr>
        <w:t>2</w:t>
      </w:r>
      <w:r>
        <w:rPr>
          <w:rFonts w:ascii="Times New Roman" w:hAnsi="Times New Roman" w:eastAsia="仿宋_GB2312"/>
          <w:spacing w:val="-6"/>
          <w:sz w:val="32"/>
          <w:szCs w:val="33"/>
        </w:rPr>
        <w:t>年，全区</w:t>
      </w:r>
      <w:r>
        <w:rPr>
          <w:rFonts w:hint="eastAsia" w:ascii="Times New Roman" w:hAnsi="Times New Roman" w:eastAsia="仿宋_GB2312"/>
          <w:spacing w:val="-6"/>
          <w:sz w:val="32"/>
          <w:szCs w:val="33"/>
        </w:rPr>
        <w:t>共</w:t>
      </w:r>
      <w:r>
        <w:rPr>
          <w:rFonts w:ascii="Times New Roman" w:hAnsi="Times New Roman" w:eastAsia="仿宋_GB2312"/>
          <w:spacing w:val="-6"/>
          <w:sz w:val="32"/>
          <w:szCs w:val="33"/>
        </w:rPr>
        <w:t>8</w:t>
      </w:r>
      <w:r>
        <w:rPr>
          <w:rFonts w:hint="eastAsia" w:ascii="Times New Roman" w:hAnsi="Times New Roman" w:eastAsia="仿宋_GB2312"/>
          <w:spacing w:val="-6"/>
          <w:sz w:val="32"/>
          <w:szCs w:val="33"/>
        </w:rPr>
        <w:t>8</w:t>
      </w:r>
      <w:r>
        <w:rPr>
          <w:rFonts w:ascii="Times New Roman" w:hAnsi="Times New Roman" w:eastAsia="仿宋_GB2312"/>
          <w:spacing w:val="-6"/>
          <w:sz w:val="32"/>
          <w:szCs w:val="33"/>
        </w:rPr>
        <w:t>家预算单位</w:t>
      </w:r>
      <w:r>
        <w:rPr>
          <w:rFonts w:hint="eastAsia" w:ascii="Times New Roman" w:hAnsi="Times New Roman" w:eastAsia="仿宋_GB2312"/>
          <w:spacing w:val="-6"/>
          <w:sz w:val="32"/>
          <w:szCs w:val="33"/>
        </w:rPr>
        <w:t>开展</w:t>
      </w:r>
      <w:r>
        <w:rPr>
          <w:rFonts w:ascii="Times New Roman" w:hAnsi="Times New Roman" w:eastAsia="仿宋_GB2312"/>
          <w:spacing w:val="-6"/>
          <w:sz w:val="32"/>
          <w:szCs w:val="33"/>
        </w:rPr>
        <w:t>了内控建设工作，切实</w:t>
      </w:r>
      <w:r>
        <w:rPr>
          <w:rFonts w:hint="eastAsia" w:ascii="Times New Roman" w:hAnsi="Times New Roman" w:eastAsia="仿宋_GB2312"/>
          <w:spacing w:val="-6"/>
          <w:sz w:val="32"/>
          <w:szCs w:val="33"/>
        </w:rPr>
        <w:t>提升</w:t>
      </w:r>
      <w:r>
        <w:rPr>
          <w:rFonts w:ascii="Times New Roman" w:hAnsi="Times New Roman" w:eastAsia="仿宋_GB2312"/>
          <w:spacing w:val="-6"/>
          <w:sz w:val="32"/>
          <w:szCs w:val="33"/>
        </w:rPr>
        <w:t>行政事业单位</w:t>
      </w:r>
      <w:r>
        <w:rPr>
          <w:rFonts w:hint="eastAsia" w:ascii="Times New Roman" w:hAnsi="Times New Roman" w:eastAsia="仿宋_GB2312"/>
          <w:spacing w:val="-6"/>
          <w:sz w:val="32"/>
          <w:szCs w:val="33"/>
        </w:rPr>
        <w:t>内控管理</w:t>
      </w:r>
      <w:r>
        <w:rPr>
          <w:rFonts w:ascii="Times New Roman" w:hAnsi="Times New Roman" w:eastAsia="仿宋_GB2312"/>
          <w:spacing w:val="-6"/>
          <w:sz w:val="32"/>
          <w:szCs w:val="33"/>
        </w:rPr>
        <w:t>成效，有效防范各类风险的发生</w:t>
      </w:r>
      <w:r>
        <w:rPr>
          <w:rFonts w:ascii="Times New Roman" w:hAnsi="Times New Roman" w:eastAsia="仿宋_GB2312"/>
          <w:spacing w:val="0"/>
          <w:sz w:val="32"/>
          <w:szCs w:val="33"/>
        </w:rPr>
        <w:t>。</w:t>
      </w:r>
    </w:p>
    <w:p>
      <w:pPr>
        <w:keepNext w:val="0"/>
        <w:keepLines w:val="0"/>
        <w:pageBreakBefore w:val="0"/>
        <w:widowControl w:val="0"/>
        <w:kinsoku/>
        <w:wordWrap/>
        <w:overflowPunct/>
        <w:topLinePunct w:val="0"/>
        <w:autoSpaceDE/>
        <w:autoSpaceDN/>
        <w:bidi w:val="0"/>
        <w:adjustRightInd/>
        <w:snapToGrid/>
        <w:spacing w:line="353" w:lineRule="auto"/>
        <w:ind w:left="0" w:leftChars="0" w:firstLine="643" w:firstLineChars="200"/>
        <w:textAlignment w:val="auto"/>
        <w:rPr>
          <w:rFonts w:ascii="Times New Roman" w:hAnsi="Times New Roman" w:eastAsia="仿宋_GB2312"/>
          <w:kern w:val="0"/>
          <w:sz w:val="32"/>
          <w:szCs w:val="33"/>
        </w:rPr>
      </w:pPr>
      <w:r>
        <w:rPr>
          <w:rFonts w:hint="eastAsia" w:ascii="方正楷体_GBK" w:hAnsi="方正楷体_GBK" w:eastAsia="楷体_GB2312" w:cs="方正楷体_GBK"/>
          <w:b/>
          <w:bCs/>
          <w:color w:val="000000"/>
          <w:kern w:val="0"/>
          <w:sz w:val="32"/>
          <w:szCs w:val="33"/>
          <w:lang w:bidi="ar"/>
        </w:rPr>
        <w:t>（四）绩效监控</w:t>
      </w:r>
      <w:r>
        <w:rPr>
          <w:rFonts w:hint="eastAsia" w:ascii="方正楷体_GBK" w:hAnsi="方正楷体_GBK" w:eastAsia="楷体_GB2312" w:cs="方正楷体_GBK"/>
          <w:b/>
          <w:bCs/>
          <w:color w:val="000000"/>
          <w:kern w:val="0"/>
          <w:sz w:val="32"/>
          <w:szCs w:val="33"/>
          <w:lang w:eastAsia="zh-CN" w:bidi="ar"/>
        </w:rPr>
        <w:t>。</w:t>
      </w:r>
      <w:r>
        <w:rPr>
          <w:rFonts w:hint="eastAsia" w:ascii="Times New Roman" w:hAnsi="Times New Roman" w:eastAsia="仿宋_GB2312"/>
          <w:sz w:val="32"/>
          <w:szCs w:val="33"/>
          <w:lang w:bidi="ar"/>
        </w:rPr>
        <w:t>西区深入推进事中绩效监控，对2022年纳入监控范围内财政资金的支出进度、绩效目标的运行情况、拨付使用情况等进行跟踪，实现监控自评全覆盖。在此基础上，参考单位项目实施进度</w:t>
      </w:r>
      <w:r>
        <w:rPr>
          <w:rFonts w:hint="eastAsia" w:ascii="Times New Roman" w:hAnsi="Times New Roman" w:eastAsia="仿宋_GB2312"/>
          <w:sz w:val="32"/>
          <w:szCs w:val="33"/>
          <w:lang w:eastAsia="zh-CN" w:bidi="ar"/>
        </w:rPr>
        <w:t>、</w:t>
      </w:r>
      <w:r>
        <w:rPr>
          <w:rFonts w:hint="eastAsia" w:ascii="Times New Roman" w:hAnsi="Times New Roman" w:eastAsia="仿宋_GB2312"/>
          <w:sz w:val="32"/>
          <w:szCs w:val="33"/>
          <w:lang w:bidi="ar"/>
        </w:rPr>
        <w:t>往年资金结转结余</w:t>
      </w:r>
      <w:r>
        <w:rPr>
          <w:rFonts w:hint="eastAsia" w:ascii="Times New Roman" w:hAnsi="Times New Roman" w:eastAsia="仿宋_GB2312"/>
          <w:sz w:val="32"/>
          <w:szCs w:val="33"/>
          <w:lang w:eastAsia="zh-CN" w:bidi="ar"/>
        </w:rPr>
        <w:t>情况</w:t>
      </w:r>
      <w:r>
        <w:rPr>
          <w:rFonts w:hint="eastAsia" w:ascii="Times New Roman" w:hAnsi="Times New Roman" w:eastAsia="仿宋_GB2312"/>
          <w:sz w:val="32"/>
          <w:szCs w:val="33"/>
          <w:lang w:bidi="ar"/>
        </w:rPr>
        <w:t>等因素开展区级重点事中监控，及时查找薄弱环节，纠正执行偏差。</w:t>
      </w:r>
      <w:r>
        <w:rPr>
          <w:rFonts w:hint="eastAsia" w:ascii="方正仿宋_GBK" w:hAnsi="方正仿宋_GBK" w:eastAsia="方正仿宋_GBK" w:cs="方正仿宋_GBK"/>
          <w:b/>
          <w:bCs/>
          <w:color w:val="000000"/>
          <w:kern w:val="0"/>
          <w:szCs w:val="32"/>
          <w:lang w:bidi="ar"/>
        </w:rPr>
        <w:t>一是主管单位自评。</w:t>
      </w:r>
      <w:r>
        <w:rPr>
          <w:rFonts w:hint="eastAsia" w:ascii="Times New Roman" w:hAnsi="Times New Roman" w:eastAsia="仿宋_GB2312"/>
          <w:sz w:val="32"/>
          <w:szCs w:val="33"/>
          <w:lang w:bidi="ar"/>
        </w:rPr>
        <w:t>区级各主管部门（单位）对本部门及下属二级预算单位1—8月预算绩效执行情况实施监控，填报绩效监控表，形成绩效监控自评报告，</w:t>
      </w:r>
      <w:r>
        <w:rPr>
          <w:rFonts w:hint="eastAsia" w:ascii="Times New Roman" w:hAnsi="Times New Roman" w:eastAsia="仿宋_GB2312"/>
          <w:sz w:val="32"/>
          <w:szCs w:val="33"/>
          <w:lang w:eastAsia="zh-CN" w:bidi="ar"/>
        </w:rPr>
        <w:t>事中绩效监控共</w:t>
      </w:r>
      <w:r>
        <w:rPr>
          <w:rFonts w:hint="eastAsia" w:ascii="Times New Roman" w:hAnsi="Times New Roman" w:eastAsia="仿宋_GB2312"/>
          <w:sz w:val="32"/>
          <w:szCs w:val="33"/>
          <w:lang w:bidi="ar"/>
        </w:rPr>
        <w:t>涉及财政资金121955.31万元，自评率100%。</w:t>
      </w:r>
      <w:r>
        <w:rPr>
          <w:rFonts w:hint="eastAsia" w:ascii="方正仿宋_GBK" w:hAnsi="方正仿宋_GBK" w:eastAsia="方正仿宋_GBK" w:cs="方正仿宋_GBK"/>
          <w:b/>
          <w:bCs/>
          <w:color w:val="000000"/>
          <w:kern w:val="0"/>
          <w:szCs w:val="32"/>
          <w:lang w:bidi="ar"/>
        </w:rPr>
        <w:t>二是财政部门监控。</w:t>
      </w:r>
      <w:r>
        <w:rPr>
          <w:rFonts w:hint="eastAsia" w:ascii="Times New Roman" w:hAnsi="Times New Roman" w:eastAsia="仿宋_GB2312"/>
          <w:sz w:val="32"/>
          <w:szCs w:val="33"/>
          <w:lang w:eastAsia="zh-CN" w:bidi="ar"/>
        </w:rPr>
        <w:t>在</w:t>
      </w:r>
      <w:r>
        <w:rPr>
          <w:rFonts w:hint="eastAsia" w:ascii="Times New Roman" w:hAnsi="Times New Roman" w:eastAsia="仿宋_GB2312"/>
          <w:sz w:val="32"/>
          <w:szCs w:val="33"/>
          <w:lang w:bidi="ar"/>
        </w:rPr>
        <w:t>单位自评</w:t>
      </w:r>
      <w:r>
        <w:rPr>
          <w:rFonts w:hint="eastAsia" w:ascii="Times New Roman" w:hAnsi="Times New Roman" w:eastAsia="仿宋_GB2312"/>
          <w:sz w:val="32"/>
          <w:szCs w:val="33"/>
          <w:lang w:eastAsia="zh-CN" w:bidi="ar"/>
        </w:rPr>
        <w:t>基础上，区财政局</w:t>
      </w:r>
      <w:r>
        <w:rPr>
          <w:rFonts w:hint="eastAsia" w:ascii="Times New Roman" w:hAnsi="Times New Roman" w:eastAsia="仿宋_GB2312"/>
          <w:sz w:val="32"/>
          <w:szCs w:val="33"/>
          <w:lang w:bidi="ar"/>
        </w:rPr>
        <w:t>对1—8月财政资金进行重点绩效监控，西区基本经费支出占年度</w:t>
      </w:r>
      <w:r>
        <w:rPr>
          <w:rFonts w:hint="eastAsia" w:ascii="Times New Roman" w:hAnsi="Times New Roman" w:eastAsia="仿宋_GB2312"/>
          <w:sz w:val="32"/>
          <w:szCs w:val="33"/>
          <w:lang w:eastAsia="zh-CN" w:bidi="ar"/>
        </w:rPr>
        <w:t>预算</w:t>
      </w:r>
      <w:r>
        <w:rPr>
          <w:rFonts w:hint="eastAsia" w:ascii="Times New Roman" w:hAnsi="Times New Roman" w:eastAsia="仿宋_GB2312"/>
          <w:sz w:val="32"/>
          <w:szCs w:val="33"/>
          <w:lang w:bidi="ar"/>
        </w:rPr>
        <w:t>安排的81.5%，高于目标进度；项目经费支出占年度</w:t>
      </w:r>
      <w:r>
        <w:rPr>
          <w:rFonts w:hint="eastAsia" w:ascii="Times New Roman" w:hAnsi="Times New Roman" w:eastAsia="仿宋_GB2312"/>
          <w:sz w:val="32"/>
          <w:szCs w:val="33"/>
          <w:lang w:eastAsia="zh-CN" w:bidi="ar"/>
        </w:rPr>
        <w:t>预算</w:t>
      </w:r>
      <w:r>
        <w:rPr>
          <w:rFonts w:hint="eastAsia" w:ascii="Times New Roman" w:hAnsi="Times New Roman" w:eastAsia="仿宋_GB2312"/>
          <w:sz w:val="32"/>
          <w:szCs w:val="33"/>
          <w:lang w:bidi="ar"/>
        </w:rPr>
        <w:t>安排的34.42%，低于目标进度，主要原因是部分项目为年底统一结算</w:t>
      </w:r>
      <w:r>
        <w:rPr>
          <w:rFonts w:hint="eastAsia" w:ascii="Times New Roman" w:hAnsi="Times New Roman" w:eastAsia="仿宋_GB2312"/>
          <w:sz w:val="32"/>
          <w:szCs w:val="33"/>
          <w:lang w:eastAsia="zh-CN" w:bidi="ar"/>
        </w:rPr>
        <w:t>的</w:t>
      </w:r>
      <w:r>
        <w:rPr>
          <w:rFonts w:hint="eastAsia" w:ascii="Times New Roman" w:hAnsi="Times New Roman" w:eastAsia="仿宋_GB2312"/>
          <w:sz w:val="32"/>
          <w:szCs w:val="33"/>
          <w:lang w:bidi="ar"/>
        </w:rPr>
        <w:t>工程类项目</w:t>
      </w:r>
      <w:r>
        <w:rPr>
          <w:rFonts w:hint="eastAsia" w:ascii="Times New Roman" w:hAnsi="Times New Roman" w:eastAsia="仿宋_GB2312"/>
          <w:sz w:val="32"/>
          <w:szCs w:val="33"/>
          <w:lang w:eastAsia="zh-CN" w:bidi="ar"/>
        </w:rPr>
        <w:t>，</w:t>
      </w:r>
      <w:r>
        <w:rPr>
          <w:rFonts w:hint="eastAsia" w:ascii="Times New Roman" w:hAnsi="Times New Roman" w:eastAsia="仿宋_GB2312"/>
          <w:sz w:val="32"/>
          <w:szCs w:val="33"/>
          <w:lang w:bidi="ar"/>
        </w:rPr>
        <w:t>需审核后拨付资金。</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53" w:lineRule="auto"/>
        <w:ind w:left="0" w:leftChars="0" w:firstLine="640" w:firstLineChars="200"/>
        <w:jc w:val="both"/>
        <w:textAlignment w:val="auto"/>
        <w:rPr>
          <w:rFonts w:ascii="Times New Roman" w:hAnsi="Times New Roman" w:eastAsia="黑体" w:cs="Times New Roman"/>
          <w:sz w:val="32"/>
          <w:szCs w:val="33"/>
        </w:rPr>
      </w:pPr>
      <w:r>
        <w:rPr>
          <w:rFonts w:hint="eastAsia" w:ascii="Times New Roman" w:hAnsi="Times New Roman" w:eastAsia="黑体" w:cs="Times New Roman"/>
          <w:sz w:val="32"/>
          <w:szCs w:val="33"/>
        </w:rPr>
        <w:t>四、重点绩效评价项目完成情况</w:t>
      </w:r>
    </w:p>
    <w:p>
      <w:pPr>
        <w:keepNext w:val="0"/>
        <w:keepLines w:val="0"/>
        <w:pageBreakBefore w:val="0"/>
        <w:widowControl w:val="0"/>
        <w:kinsoku/>
        <w:wordWrap/>
        <w:overflowPunct/>
        <w:topLinePunct w:val="0"/>
        <w:autoSpaceDE/>
        <w:autoSpaceDN/>
        <w:bidi w:val="0"/>
        <w:adjustRightInd/>
        <w:snapToGrid/>
        <w:spacing w:line="353" w:lineRule="auto"/>
        <w:ind w:left="0" w:leftChars="0" w:firstLine="643" w:firstLineChars="200"/>
        <w:textAlignment w:val="auto"/>
        <w:rPr>
          <w:rFonts w:ascii="Times New Roman" w:hAnsi="Times New Roman" w:eastAsia="仿宋_GB2312"/>
          <w:kern w:val="0"/>
          <w:sz w:val="32"/>
          <w:szCs w:val="33"/>
        </w:rPr>
      </w:pPr>
      <w:r>
        <w:rPr>
          <w:rFonts w:hint="eastAsia" w:ascii="方正楷体_GBK" w:hAnsi="方正楷体_GBK" w:eastAsia="楷体_GB2312" w:cs="方正楷体_GBK"/>
          <w:b/>
          <w:bCs/>
          <w:color w:val="000000"/>
          <w:kern w:val="0"/>
          <w:sz w:val="32"/>
          <w:szCs w:val="33"/>
          <w:lang w:bidi="ar"/>
        </w:rPr>
        <w:t>（一）区级项目完成情况</w:t>
      </w:r>
      <w:r>
        <w:rPr>
          <w:rFonts w:hint="eastAsia" w:ascii="方正楷体_GBK" w:hAnsi="方正楷体_GBK" w:eastAsia="楷体_GB2312" w:cs="方正楷体_GBK"/>
          <w:b/>
          <w:bCs/>
          <w:color w:val="000000"/>
          <w:kern w:val="0"/>
          <w:sz w:val="32"/>
          <w:szCs w:val="33"/>
          <w:lang w:eastAsia="zh-CN" w:bidi="ar"/>
        </w:rPr>
        <w:t>。</w:t>
      </w:r>
      <w:r>
        <w:rPr>
          <w:rFonts w:hint="eastAsia" w:ascii="Times New Roman" w:hAnsi="Times New Roman" w:eastAsia="仿宋_GB2312"/>
          <w:sz w:val="32"/>
          <w:szCs w:val="33"/>
          <w:lang w:bidi="ar"/>
        </w:rPr>
        <w:t>2022年，重点绩效评价10家单位，涉及区级项目136个，涉及资金7235.16万元，完成126个，完成率92.65%。</w:t>
      </w:r>
    </w:p>
    <w:p>
      <w:pPr>
        <w:keepNext w:val="0"/>
        <w:keepLines w:val="0"/>
        <w:pageBreakBefore w:val="0"/>
        <w:widowControl w:val="0"/>
        <w:kinsoku/>
        <w:wordWrap/>
        <w:overflowPunct/>
        <w:topLinePunct w:val="0"/>
        <w:autoSpaceDE/>
        <w:autoSpaceDN/>
        <w:bidi w:val="0"/>
        <w:adjustRightInd/>
        <w:snapToGrid/>
        <w:spacing w:line="353" w:lineRule="auto"/>
        <w:ind w:left="0" w:leftChars="0" w:firstLine="643" w:firstLineChars="200"/>
        <w:textAlignment w:val="auto"/>
        <w:rPr>
          <w:rFonts w:ascii="Times New Roman" w:hAnsi="Times New Roman" w:eastAsia="仿宋_GB2312"/>
          <w:kern w:val="0"/>
          <w:sz w:val="32"/>
          <w:szCs w:val="33"/>
        </w:rPr>
      </w:pPr>
      <w:r>
        <w:rPr>
          <w:rFonts w:hint="eastAsia" w:ascii="方正楷体_GBK" w:hAnsi="方正楷体_GBK" w:eastAsia="楷体_GB2312" w:cs="方正楷体_GBK"/>
          <w:b/>
          <w:bCs/>
          <w:color w:val="000000"/>
          <w:kern w:val="0"/>
          <w:sz w:val="32"/>
          <w:szCs w:val="33"/>
          <w:lang w:bidi="ar"/>
        </w:rPr>
        <w:t>（二）上级专项完成情况</w:t>
      </w:r>
      <w:r>
        <w:rPr>
          <w:rFonts w:hint="eastAsia" w:ascii="方正楷体_GBK" w:hAnsi="方正楷体_GBK" w:eastAsia="楷体_GB2312" w:cs="方正楷体_GBK"/>
          <w:b/>
          <w:bCs/>
          <w:color w:val="000000"/>
          <w:kern w:val="0"/>
          <w:sz w:val="32"/>
          <w:szCs w:val="33"/>
          <w:lang w:eastAsia="zh-CN" w:bidi="ar"/>
        </w:rPr>
        <w:t>。</w:t>
      </w:r>
      <w:r>
        <w:rPr>
          <w:rFonts w:hint="eastAsia" w:ascii="Times New Roman" w:hAnsi="Times New Roman" w:eastAsia="仿宋_GB2312"/>
          <w:kern w:val="0"/>
          <w:sz w:val="32"/>
          <w:szCs w:val="33"/>
        </w:rPr>
        <w:t>2022年，重点绩效评价10家单位，涉及中央、省、市级项目共29个，涉及资金10100.18万元，完成27个，完成率93.1%。</w:t>
      </w:r>
    </w:p>
    <w:p>
      <w:pPr>
        <w:keepNext w:val="0"/>
        <w:keepLines w:val="0"/>
        <w:pageBreakBefore w:val="0"/>
        <w:widowControl w:val="0"/>
        <w:kinsoku/>
        <w:wordWrap/>
        <w:overflowPunct/>
        <w:topLinePunct w:val="0"/>
        <w:autoSpaceDE/>
        <w:autoSpaceDN/>
        <w:bidi w:val="0"/>
        <w:adjustRightInd/>
        <w:snapToGrid/>
        <w:spacing w:line="353" w:lineRule="auto"/>
        <w:ind w:left="0" w:leftChars="0" w:firstLine="643" w:firstLineChars="200"/>
        <w:textAlignment w:val="auto"/>
        <w:rPr>
          <w:rFonts w:ascii="Times New Roman" w:hAnsi="Times New Roman" w:eastAsia="仿宋_GB2312"/>
          <w:kern w:val="0"/>
          <w:sz w:val="32"/>
          <w:szCs w:val="33"/>
        </w:rPr>
      </w:pPr>
      <w:r>
        <w:rPr>
          <w:rFonts w:hint="eastAsia" w:ascii="方正楷体_GBK" w:hAnsi="方正楷体_GBK" w:eastAsia="楷体_GB2312" w:cs="方正楷体_GBK"/>
          <w:b/>
          <w:bCs/>
          <w:color w:val="000000"/>
          <w:kern w:val="0"/>
          <w:sz w:val="32"/>
          <w:szCs w:val="33"/>
          <w:lang w:bidi="ar"/>
        </w:rPr>
        <w:t>（三）上年结转项目完成情况</w:t>
      </w:r>
      <w:r>
        <w:rPr>
          <w:rFonts w:hint="eastAsia" w:ascii="方正楷体_GBK" w:hAnsi="方正楷体_GBK" w:eastAsia="楷体_GB2312" w:cs="方正楷体_GBK"/>
          <w:b/>
          <w:bCs/>
          <w:color w:val="000000"/>
          <w:kern w:val="0"/>
          <w:sz w:val="32"/>
          <w:szCs w:val="33"/>
          <w:lang w:eastAsia="zh-CN" w:bidi="ar"/>
        </w:rPr>
        <w:t>。</w:t>
      </w:r>
      <w:r>
        <w:rPr>
          <w:rFonts w:hint="eastAsia" w:ascii="Times New Roman" w:hAnsi="Times New Roman" w:eastAsia="仿宋_GB2312"/>
          <w:kern w:val="0"/>
          <w:sz w:val="32"/>
          <w:szCs w:val="33"/>
        </w:rPr>
        <w:t>2022年，重点绩效评价10家单位，上年结转项目41个，涉及资金2390.04万元，完成38个，完成率92.68%。</w:t>
      </w:r>
    </w:p>
    <w:p>
      <w:pPr>
        <w:keepNext w:val="0"/>
        <w:keepLines w:val="0"/>
        <w:pageBreakBefore w:val="0"/>
        <w:widowControl w:val="0"/>
        <w:kinsoku/>
        <w:wordWrap/>
        <w:overflowPunct/>
        <w:topLinePunct w:val="0"/>
        <w:autoSpaceDE/>
        <w:autoSpaceDN/>
        <w:bidi w:val="0"/>
        <w:adjustRightInd/>
        <w:snapToGrid/>
        <w:spacing w:line="353" w:lineRule="auto"/>
        <w:ind w:left="0" w:leftChars="0" w:firstLine="640" w:firstLineChars="200"/>
        <w:textAlignment w:val="auto"/>
        <w:rPr>
          <w:rFonts w:ascii="方正仿宋_GBK" w:hAnsi="方正仿宋_GBK" w:eastAsia="方正仿宋_GBK" w:cs="方正仿宋_GBK"/>
          <w:szCs w:val="32"/>
        </w:rPr>
      </w:pPr>
      <w:r>
        <w:rPr>
          <w:rFonts w:hint="eastAsia" w:ascii="Times New Roman" w:hAnsi="Times New Roman" w:eastAsia="黑体"/>
          <w:kern w:val="0"/>
          <w:sz w:val="32"/>
          <w:szCs w:val="33"/>
        </w:rPr>
        <w:t>五、评价结论</w:t>
      </w:r>
    </w:p>
    <w:p>
      <w:pPr>
        <w:keepNext w:val="0"/>
        <w:keepLines w:val="0"/>
        <w:pageBreakBefore w:val="0"/>
        <w:widowControl w:val="0"/>
        <w:kinsoku/>
        <w:wordWrap/>
        <w:overflowPunct/>
        <w:topLinePunct w:val="0"/>
        <w:autoSpaceDE/>
        <w:autoSpaceDN/>
        <w:bidi w:val="0"/>
        <w:adjustRightInd/>
        <w:snapToGrid/>
        <w:spacing w:line="353" w:lineRule="auto"/>
        <w:ind w:left="0" w:leftChars="0" w:firstLine="640" w:firstLineChars="200"/>
        <w:textAlignment w:val="auto"/>
        <w:rPr>
          <w:rFonts w:ascii="Times New Roman" w:hAnsi="Times New Roman" w:eastAsia="仿宋_GB2312"/>
          <w:sz w:val="32"/>
          <w:szCs w:val="33"/>
        </w:rPr>
      </w:pPr>
      <w:r>
        <w:rPr>
          <w:rFonts w:ascii="Times New Roman" w:hAnsi="Times New Roman" w:eastAsia="仿宋_GB2312"/>
          <w:sz w:val="32"/>
          <w:szCs w:val="33"/>
        </w:rPr>
        <w:t>202</w:t>
      </w:r>
      <w:r>
        <w:rPr>
          <w:rFonts w:hint="eastAsia" w:ascii="Times New Roman" w:hAnsi="Times New Roman" w:eastAsia="仿宋_GB2312"/>
          <w:sz w:val="32"/>
          <w:szCs w:val="33"/>
        </w:rPr>
        <w:t>2</w:t>
      </w:r>
      <w:r>
        <w:rPr>
          <w:rFonts w:ascii="Times New Roman" w:hAnsi="Times New Roman" w:eastAsia="仿宋_GB2312"/>
          <w:sz w:val="32"/>
          <w:szCs w:val="33"/>
        </w:rPr>
        <w:t>年重点绩效目标完成情况较好，切实保障各单位人员基本支出及各项工作平稳运行。</w:t>
      </w:r>
      <w:r>
        <w:rPr>
          <w:rFonts w:hint="eastAsia" w:ascii="Times New Roman" w:hAnsi="Times New Roman" w:eastAsia="仿宋_GB2312"/>
          <w:sz w:val="32"/>
          <w:szCs w:val="33"/>
        </w:rPr>
        <w:t>区教育和体育局深化平安校园建设，积极推进义务教育均衡发展，开展学前教育奖补，实施学生资助，切实做好教育教学管理工作。区民政局推动城乡基层群众自治建设和社区治理政策落实，推进殡葬改革，强化基本民生保障职能，为困难群众、孤老孤残孤儿等特殊群体提供基本社会服务。区水利局全力抓好防汛减灾</w:t>
      </w:r>
      <w:r>
        <w:rPr>
          <w:rFonts w:hint="eastAsia" w:ascii="Times New Roman" w:hAnsi="Times New Roman" w:eastAsia="仿宋_GB2312"/>
          <w:sz w:val="32"/>
          <w:szCs w:val="33"/>
          <w:lang w:eastAsia="zh-CN"/>
        </w:rPr>
        <w:t>，</w:t>
      </w:r>
      <w:r>
        <w:rPr>
          <w:rFonts w:hint="eastAsia" w:ascii="Times New Roman" w:hAnsi="Times New Roman" w:eastAsia="仿宋_GB2312"/>
          <w:sz w:val="32"/>
          <w:szCs w:val="33"/>
        </w:rPr>
        <w:t>深入开展河湖</w:t>
      </w:r>
      <w:r>
        <w:rPr>
          <w:rFonts w:hint="eastAsia" w:ascii="Times New Roman" w:hAnsi="Times New Roman" w:eastAsia="仿宋_GB2312"/>
          <w:sz w:val="32"/>
          <w:szCs w:val="33"/>
          <w:lang w:eastAsia="zh-CN"/>
        </w:rPr>
        <w:t>“</w:t>
      </w:r>
      <w:r>
        <w:rPr>
          <w:rFonts w:hint="eastAsia" w:ascii="Times New Roman" w:hAnsi="Times New Roman" w:eastAsia="仿宋_GB2312"/>
          <w:sz w:val="32"/>
          <w:szCs w:val="33"/>
        </w:rPr>
        <w:t>清四乱</w:t>
      </w:r>
      <w:r>
        <w:rPr>
          <w:rFonts w:hint="eastAsia" w:ascii="Times New Roman" w:hAnsi="Times New Roman" w:eastAsia="仿宋_GB2312"/>
          <w:sz w:val="32"/>
          <w:szCs w:val="33"/>
          <w:lang w:eastAsia="zh-CN"/>
        </w:rPr>
        <w:t>”</w:t>
      </w:r>
      <w:r>
        <w:rPr>
          <w:rFonts w:hint="eastAsia" w:ascii="Times New Roman" w:hAnsi="Times New Roman" w:eastAsia="仿宋_GB2312"/>
          <w:sz w:val="32"/>
          <w:szCs w:val="33"/>
        </w:rPr>
        <w:t>专项行动，加快推进国有水管单位的水利工程管理与保护范围划定工作</w:t>
      </w:r>
      <w:r>
        <w:rPr>
          <w:rFonts w:hint="eastAsia" w:ascii="Times New Roman" w:hAnsi="Times New Roman" w:eastAsia="仿宋_GB2312"/>
          <w:sz w:val="32"/>
          <w:szCs w:val="33"/>
          <w:lang w:eastAsia="zh-CN"/>
        </w:rPr>
        <w:t>，</w:t>
      </w:r>
      <w:r>
        <w:rPr>
          <w:rFonts w:hint="eastAsia" w:ascii="Times New Roman" w:hAnsi="Times New Roman" w:eastAsia="仿宋_GB2312"/>
          <w:sz w:val="32"/>
          <w:szCs w:val="33"/>
        </w:rPr>
        <w:t>积极做好水资源配置</w:t>
      </w:r>
      <w:r>
        <w:rPr>
          <w:rFonts w:hint="eastAsia" w:ascii="Times New Roman" w:hAnsi="Times New Roman" w:eastAsia="仿宋_GB2312"/>
          <w:sz w:val="32"/>
          <w:szCs w:val="33"/>
          <w:lang w:eastAsia="zh-CN"/>
        </w:rPr>
        <w:t>，</w:t>
      </w:r>
      <w:r>
        <w:rPr>
          <w:rFonts w:hint="eastAsia" w:ascii="Times New Roman" w:hAnsi="Times New Roman" w:eastAsia="仿宋_GB2312"/>
          <w:sz w:val="32"/>
          <w:szCs w:val="33"/>
        </w:rPr>
        <w:t>夯实水利保障基础。区卫生健康局推动实施健康西区战略，加强爱国卫生运动</w:t>
      </w:r>
      <w:r>
        <w:rPr>
          <w:rFonts w:hint="eastAsia" w:ascii="Times New Roman" w:hAnsi="Times New Roman" w:eastAsia="仿宋_GB2312"/>
          <w:sz w:val="32"/>
          <w:szCs w:val="33"/>
          <w:lang w:eastAsia="zh-CN"/>
        </w:rPr>
        <w:t>、</w:t>
      </w:r>
      <w:r>
        <w:rPr>
          <w:rFonts w:hint="eastAsia" w:ascii="Times New Roman" w:hAnsi="Times New Roman" w:eastAsia="仿宋_GB2312"/>
          <w:sz w:val="32"/>
          <w:szCs w:val="33"/>
        </w:rPr>
        <w:t>预防控制重大疾病工作，积极应对人口老龄化，健全卫生健康服务体系，推动建设高质量健康服务基地和中医药强区。区应急管理局压实各部门安全生产监督职责，共同促进辖区安全生产形势稳定，确保应急管理、安全生产、森林防火、防灾减灾等工作顺利开展。区经济合作局优化精准招商、产业链招商、集群招商路径和方式，提升开放合作平台影响力，提高招商引资质量，发展壮大重点产业。区机关事务服务中心</w:t>
      </w:r>
      <w:r>
        <w:rPr>
          <w:rFonts w:hint="eastAsia" w:ascii="Times New Roman" w:hAnsi="Times New Roman" w:eastAsia="仿宋_GB2312"/>
          <w:sz w:val="32"/>
          <w:szCs w:val="33"/>
          <w:lang w:eastAsia="zh-CN"/>
        </w:rPr>
        <w:t>主要</w:t>
      </w:r>
      <w:r>
        <w:rPr>
          <w:rFonts w:hint="eastAsia" w:ascii="Times New Roman" w:hAnsi="Times New Roman" w:eastAsia="仿宋_GB2312"/>
          <w:sz w:val="32"/>
          <w:szCs w:val="33"/>
        </w:rPr>
        <w:t>承担全区机关后勤服务性、事务性工作</w:t>
      </w:r>
      <w:r>
        <w:rPr>
          <w:rFonts w:hint="eastAsia" w:ascii="Times New Roman" w:hAnsi="Times New Roman" w:eastAsia="仿宋_GB2312"/>
          <w:sz w:val="32"/>
          <w:szCs w:val="33"/>
          <w:lang w:eastAsia="zh-CN"/>
        </w:rPr>
        <w:t>，对政府办公楼进行运行维护、安保</w:t>
      </w:r>
      <w:r>
        <w:rPr>
          <w:rFonts w:hint="eastAsia" w:ascii="Times New Roman" w:hAnsi="Times New Roman" w:eastAsia="仿宋_GB2312"/>
          <w:sz w:val="32"/>
          <w:szCs w:val="33"/>
        </w:rPr>
        <w:t>执勤</w:t>
      </w:r>
      <w:r>
        <w:rPr>
          <w:rFonts w:hint="eastAsia" w:ascii="Times New Roman" w:hAnsi="Times New Roman" w:eastAsia="仿宋_GB2312"/>
          <w:sz w:val="32"/>
          <w:szCs w:val="33"/>
          <w:lang w:eastAsia="zh-CN"/>
        </w:rPr>
        <w:t>、</w:t>
      </w:r>
      <w:r>
        <w:rPr>
          <w:rFonts w:hint="eastAsia" w:ascii="Times New Roman" w:hAnsi="Times New Roman" w:eastAsia="仿宋_GB2312"/>
          <w:sz w:val="32"/>
          <w:szCs w:val="33"/>
        </w:rPr>
        <w:t>水电运维</w:t>
      </w:r>
      <w:r>
        <w:rPr>
          <w:rFonts w:hint="eastAsia" w:ascii="Times New Roman" w:hAnsi="Times New Roman" w:eastAsia="仿宋_GB2312"/>
          <w:sz w:val="32"/>
          <w:szCs w:val="33"/>
          <w:lang w:eastAsia="zh-CN"/>
        </w:rPr>
        <w:t>，</w:t>
      </w:r>
      <w:r>
        <w:rPr>
          <w:rFonts w:hint="eastAsia" w:ascii="Times New Roman" w:hAnsi="Times New Roman" w:eastAsia="仿宋_GB2312"/>
          <w:sz w:val="32"/>
          <w:szCs w:val="33"/>
        </w:rPr>
        <w:t>保障了公务用车正常运行</w:t>
      </w:r>
      <w:r>
        <w:rPr>
          <w:rFonts w:hint="eastAsia" w:ascii="Times New Roman" w:hAnsi="Times New Roman" w:eastAsia="仿宋_GB2312"/>
          <w:sz w:val="32"/>
          <w:szCs w:val="33"/>
          <w:lang w:eastAsia="zh-CN"/>
        </w:rPr>
        <w:t>，</w:t>
      </w:r>
      <w:r>
        <w:rPr>
          <w:rFonts w:hint="eastAsia" w:ascii="Times New Roman" w:hAnsi="Times New Roman" w:eastAsia="仿宋_GB2312"/>
          <w:sz w:val="32"/>
          <w:szCs w:val="33"/>
        </w:rPr>
        <w:t>解决了职工的就餐</w:t>
      </w:r>
      <w:r>
        <w:rPr>
          <w:rFonts w:hint="eastAsia" w:ascii="Times New Roman" w:hAnsi="Times New Roman" w:eastAsia="仿宋_GB2312"/>
          <w:sz w:val="32"/>
          <w:szCs w:val="33"/>
          <w:lang w:eastAsia="zh-CN"/>
        </w:rPr>
        <w:t>问题。</w:t>
      </w:r>
      <w:r>
        <w:rPr>
          <w:rFonts w:hint="eastAsia" w:ascii="Times New Roman" w:hAnsi="Times New Roman" w:eastAsia="仿宋_GB2312"/>
          <w:sz w:val="32"/>
          <w:szCs w:val="33"/>
        </w:rPr>
        <w:t>区工商联做好工商界代表人士政治安排的推荐工作，指导同业公会和行业商会等专业组织的工作。玉泉街办积极构建公共服务均等化体系，促进社会事业发展，建立健全群众办事一次办结机制，优化便民服务质量。开展爱国卫生</w:t>
      </w:r>
      <w:r>
        <w:rPr>
          <w:rFonts w:hint="eastAsia" w:ascii="Times New Roman" w:hAnsi="Times New Roman" w:eastAsia="仿宋_GB2312"/>
          <w:sz w:val="32"/>
          <w:szCs w:val="33"/>
          <w:lang w:eastAsia="zh-CN"/>
        </w:rPr>
        <w:t>活动，</w:t>
      </w:r>
      <w:r>
        <w:rPr>
          <w:rFonts w:hint="eastAsia" w:ascii="Times New Roman" w:hAnsi="Times New Roman" w:eastAsia="仿宋_GB2312"/>
          <w:sz w:val="32"/>
          <w:szCs w:val="33"/>
        </w:rPr>
        <w:t>营造良好发展环境。建立社会矛盾纠纷排查调处机制，维护社会和谐稳定。区公共卫生服务中心推进家庭医生签约服务和乡村医生相关管理工作，探索社区卫生服务机构</w:t>
      </w:r>
      <w:r>
        <w:rPr>
          <w:rFonts w:hint="eastAsia" w:ascii="Times New Roman" w:hAnsi="Times New Roman" w:eastAsia="仿宋_GB2312"/>
          <w:sz w:val="32"/>
          <w:szCs w:val="33"/>
          <w:lang w:eastAsia="zh-CN"/>
        </w:rPr>
        <w:t>“</w:t>
      </w:r>
      <w:r>
        <w:rPr>
          <w:rFonts w:hint="eastAsia" w:ascii="Times New Roman" w:hAnsi="Times New Roman" w:eastAsia="仿宋_GB2312"/>
          <w:sz w:val="32"/>
          <w:szCs w:val="33"/>
        </w:rPr>
        <w:t>收支两条线</w:t>
      </w:r>
      <w:r>
        <w:rPr>
          <w:rFonts w:hint="eastAsia" w:ascii="Times New Roman" w:hAnsi="Times New Roman" w:eastAsia="仿宋_GB2312"/>
          <w:sz w:val="32"/>
          <w:szCs w:val="33"/>
          <w:lang w:eastAsia="zh-CN"/>
        </w:rPr>
        <w:t>”“</w:t>
      </w:r>
      <w:r>
        <w:rPr>
          <w:rFonts w:hint="eastAsia" w:ascii="Times New Roman" w:hAnsi="Times New Roman" w:eastAsia="仿宋_GB2312"/>
          <w:sz w:val="32"/>
          <w:szCs w:val="33"/>
        </w:rPr>
        <w:t>首诊制</w:t>
      </w:r>
      <w:r>
        <w:rPr>
          <w:rFonts w:hint="eastAsia" w:ascii="Times New Roman" w:hAnsi="Times New Roman" w:eastAsia="仿宋_GB2312"/>
          <w:sz w:val="32"/>
          <w:szCs w:val="33"/>
          <w:lang w:eastAsia="zh-CN"/>
        </w:rPr>
        <w:t>”“</w:t>
      </w:r>
      <w:r>
        <w:rPr>
          <w:rFonts w:hint="eastAsia" w:ascii="Times New Roman" w:hAnsi="Times New Roman" w:eastAsia="仿宋_GB2312"/>
          <w:sz w:val="32"/>
          <w:szCs w:val="33"/>
        </w:rPr>
        <w:t>药品零利率</w:t>
      </w:r>
      <w:r>
        <w:rPr>
          <w:rFonts w:hint="eastAsia" w:ascii="Times New Roman" w:hAnsi="Times New Roman" w:eastAsia="仿宋_GB2312"/>
          <w:sz w:val="32"/>
          <w:szCs w:val="33"/>
          <w:lang w:eastAsia="zh-CN"/>
        </w:rPr>
        <w:t>”</w:t>
      </w:r>
      <w:r>
        <w:rPr>
          <w:rFonts w:hint="eastAsia" w:ascii="Times New Roman" w:hAnsi="Times New Roman" w:eastAsia="仿宋_GB2312"/>
          <w:sz w:val="32"/>
          <w:szCs w:val="33"/>
        </w:rPr>
        <w:t>等运行机制，组织建立分级诊疗制度，切实推动基层卫生健康服务体系建设。</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53" w:lineRule="auto"/>
        <w:ind w:left="0" w:leftChars="0" w:firstLine="640" w:firstLineChars="200"/>
        <w:jc w:val="both"/>
        <w:textAlignment w:val="auto"/>
        <w:rPr>
          <w:rFonts w:ascii="Times New Roman" w:hAnsi="Times New Roman" w:eastAsia="仿宋_GB2312" w:cs="Times New Roman"/>
          <w:sz w:val="32"/>
          <w:szCs w:val="33"/>
        </w:rPr>
      </w:pPr>
      <w:r>
        <w:rPr>
          <w:rFonts w:ascii="Times New Roman" w:hAnsi="Times New Roman" w:eastAsia="仿宋_GB2312" w:cs="Times New Roman"/>
          <w:sz w:val="32"/>
          <w:szCs w:val="33"/>
        </w:rPr>
        <w:t>肯定成绩的同时，也存在一些问题：</w:t>
      </w:r>
      <w:r>
        <w:rPr>
          <w:rFonts w:ascii="Times New Roman" w:hAnsi="Times New Roman" w:eastAsia="仿宋_GB2312" w:cs="Times New Roman"/>
          <w:b/>
          <w:bCs/>
          <w:sz w:val="32"/>
          <w:szCs w:val="33"/>
        </w:rPr>
        <w:t>一是部门</w:t>
      </w:r>
      <w:r>
        <w:rPr>
          <w:rFonts w:hint="eastAsia" w:ascii="Times New Roman" w:hAnsi="Times New Roman" w:eastAsia="仿宋_GB2312" w:cs="Times New Roman"/>
          <w:b/>
          <w:bCs/>
          <w:sz w:val="32"/>
          <w:szCs w:val="33"/>
          <w:lang w:eastAsia="zh-CN"/>
        </w:rPr>
        <w:t>（单位）</w:t>
      </w:r>
      <w:r>
        <w:rPr>
          <w:rFonts w:ascii="Times New Roman" w:hAnsi="Times New Roman" w:eastAsia="仿宋_GB2312" w:cs="Times New Roman"/>
          <w:b/>
          <w:bCs/>
          <w:sz w:val="32"/>
          <w:szCs w:val="33"/>
        </w:rPr>
        <w:t>内部</w:t>
      </w:r>
      <w:r>
        <w:rPr>
          <w:rFonts w:hint="eastAsia" w:ascii="Times New Roman" w:hAnsi="Times New Roman" w:eastAsia="仿宋_GB2312" w:cs="Times New Roman"/>
          <w:b/>
          <w:bCs/>
          <w:sz w:val="32"/>
          <w:szCs w:val="33"/>
          <w:lang w:eastAsia="zh-CN"/>
        </w:rPr>
        <w:t>预算</w:t>
      </w:r>
      <w:r>
        <w:rPr>
          <w:rFonts w:ascii="Times New Roman" w:hAnsi="Times New Roman" w:eastAsia="仿宋_GB2312" w:cs="Times New Roman"/>
          <w:b/>
          <w:bCs/>
          <w:sz w:val="32"/>
          <w:szCs w:val="33"/>
        </w:rPr>
        <w:t>绩效管理机制不健全。</w:t>
      </w:r>
      <w:r>
        <w:rPr>
          <w:rFonts w:hint="eastAsia" w:ascii="Times New Roman" w:hAnsi="Times New Roman" w:eastAsia="仿宋_GB2312" w:cs="Times New Roman"/>
          <w:sz w:val="32"/>
          <w:szCs w:val="33"/>
        </w:rPr>
        <w:t>部分</w:t>
      </w:r>
      <w:r>
        <w:rPr>
          <w:rFonts w:ascii="Times New Roman" w:hAnsi="Times New Roman" w:eastAsia="仿宋_GB2312" w:cs="Times New Roman"/>
          <w:sz w:val="32"/>
          <w:szCs w:val="33"/>
        </w:rPr>
        <w:t>部门（单位）</w:t>
      </w:r>
      <w:r>
        <w:rPr>
          <w:rFonts w:hint="eastAsia" w:ascii="Times New Roman" w:hAnsi="Times New Roman" w:eastAsia="仿宋_GB2312" w:cs="Times New Roman"/>
          <w:sz w:val="32"/>
          <w:szCs w:val="33"/>
        </w:rPr>
        <w:t>绩效管理基础相对薄弱，主动性不强，主体责任履行不到位，没有按照</w:t>
      </w:r>
      <w:r>
        <w:rPr>
          <w:rFonts w:hint="eastAsia" w:ascii="Times New Roman" w:hAnsi="Times New Roman" w:eastAsia="仿宋_GB2312" w:cs="Times New Roman"/>
          <w:sz w:val="32"/>
          <w:szCs w:val="33"/>
          <w:lang w:eastAsia="zh-CN"/>
        </w:rPr>
        <w:t>“</w:t>
      </w:r>
      <w:r>
        <w:rPr>
          <w:rFonts w:hint="eastAsia" w:ascii="Times New Roman" w:hAnsi="Times New Roman" w:eastAsia="仿宋_GB2312" w:cs="Times New Roman"/>
          <w:sz w:val="32"/>
          <w:szCs w:val="33"/>
        </w:rPr>
        <w:t>谁花钱，谁负责</w:t>
      </w:r>
      <w:r>
        <w:rPr>
          <w:rFonts w:hint="eastAsia" w:ascii="Times New Roman" w:hAnsi="Times New Roman" w:eastAsia="仿宋_GB2312" w:cs="Times New Roman"/>
          <w:sz w:val="32"/>
          <w:szCs w:val="33"/>
          <w:lang w:eastAsia="zh-CN"/>
        </w:rPr>
        <w:t>”</w:t>
      </w:r>
      <w:r>
        <w:rPr>
          <w:rFonts w:hint="eastAsia" w:ascii="Times New Roman" w:hAnsi="Times New Roman" w:eastAsia="仿宋_GB2312" w:cs="Times New Roman"/>
          <w:sz w:val="32"/>
          <w:szCs w:val="33"/>
        </w:rPr>
        <w:t>的原则压实预算绩效管理责任。</w:t>
      </w:r>
      <w:r>
        <w:rPr>
          <w:rFonts w:ascii="Times New Roman" w:hAnsi="Times New Roman" w:eastAsia="仿宋_GB2312" w:cs="Times New Roman"/>
          <w:b/>
          <w:bCs/>
          <w:sz w:val="32"/>
          <w:szCs w:val="33"/>
        </w:rPr>
        <w:t>二是</w:t>
      </w:r>
      <w:r>
        <w:rPr>
          <w:rFonts w:hint="eastAsia" w:ascii="Times New Roman" w:hAnsi="Times New Roman" w:eastAsia="仿宋_GB2312" w:cs="Times New Roman"/>
          <w:b/>
          <w:bCs/>
          <w:sz w:val="32"/>
          <w:szCs w:val="33"/>
          <w:lang w:eastAsia="zh-CN"/>
        </w:rPr>
        <w:t>预算</w:t>
      </w:r>
      <w:r>
        <w:rPr>
          <w:rFonts w:hint="eastAsia" w:ascii="Times New Roman" w:hAnsi="Times New Roman" w:eastAsia="仿宋_GB2312" w:cs="Times New Roman"/>
          <w:b/>
          <w:bCs/>
          <w:sz w:val="32"/>
          <w:szCs w:val="33"/>
        </w:rPr>
        <w:t>绩效管理的理念共识尚未形成。</w:t>
      </w:r>
      <w:r>
        <w:rPr>
          <w:rFonts w:hint="eastAsia" w:ascii="Times New Roman" w:hAnsi="Times New Roman" w:eastAsia="仿宋_GB2312" w:cs="Times New Roman"/>
          <w:sz w:val="32"/>
          <w:szCs w:val="33"/>
        </w:rPr>
        <w:t>部分</w:t>
      </w:r>
      <w:r>
        <w:rPr>
          <w:rFonts w:ascii="Times New Roman" w:hAnsi="Times New Roman" w:eastAsia="仿宋_GB2312" w:cs="Times New Roman"/>
          <w:sz w:val="32"/>
          <w:szCs w:val="33"/>
        </w:rPr>
        <w:t>部门（单位）</w:t>
      </w:r>
      <w:r>
        <w:rPr>
          <w:rFonts w:hint="eastAsia" w:ascii="Times New Roman" w:hAnsi="Times New Roman" w:eastAsia="仿宋_GB2312" w:cs="Times New Roman"/>
          <w:sz w:val="32"/>
          <w:szCs w:val="33"/>
        </w:rPr>
        <w:t>在创新工作方式、提高工作成效等方面缺乏内生动力，把</w:t>
      </w:r>
      <w:r>
        <w:rPr>
          <w:rFonts w:hint="eastAsia" w:ascii="Times New Roman" w:hAnsi="Times New Roman" w:eastAsia="仿宋_GB2312" w:cs="Times New Roman"/>
          <w:sz w:val="32"/>
          <w:szCs w:val="33"/>
          <w:lang w:eastAsia="zh-CN"/>
        </w:rPr>
        <w:t>预算</w:t>
      </w:r>
      <w:r>
        <w:rPr>
          <w:rFonts w:hint="eastAsia" w:ascii="Times New Roman" w:hAnsi="Times New Roman" w:eastAsia="仿宋_GB2312" w:cs="Times New Roman"/>
          <w:sz w:val="32"/>
          <w:szCs w:val="33"/>
        </w:rPr>
        <w:t>绩效管理当成</w:t>
      </w:r>
      <w:r>
        <w:rPr>
          <w:rFonts w:hint="eastAsia" w:ascii="Times New Roman" w:hAnsi="Times New Roman" w:eastAsia="仿宋_GB2312" w:cs="Times New Roman"/>
          <w:sz w:val="32"/>
          <w:szCs w:val="33"/>
          <w:lang w:eastAsia="zh-CN"/>
        </w:rPr>
        <w:t>“</w:t>
      </w:r>
      <w:r>
        <w:rPr>
          <w:rFonts w:hint="eastAsia" w:ascii="Times New Roman" w:hAnsi="Times New Roman" w:eastAsia="仿宋_GB2312" w:cs="Times New Roman"/>
          <w:sz w:val="32"/>
          <w:szCs w:val="33"/>
        </w:rPr>
        <w:t>花架子</w:t>
      </w:r>
      <w:r>
        <w:rPr>
          <w:rFonts w:hint="eastAsia" w:ascii="Times New Roman" w:hAnsi="Times New Roman" w:eastAsia="仿宋_GB2312" w:cs="Times New Roman"/>
          <w:sz w:val="32"/>
          <w:szCs w:val="33"/>
          <w:lang w:eastAsia="zh-CN"/>
        </w:rPr>
        <w:t>”</w:t>
      </w:r>
      <w:r>
        <w:rPr>
          <w:rFonts w:hint="eastAsia" w:ascii="Times New Roman" w:hAnsi="Times New Roman" w:eastAsia="仿宋_GB2312" w:cs="Times New Roman"/>
          <w:sz w:val="32"/>
          <w:szCs w:val="33"/>
        </w:rPr>
        <w:t>，落实绩效要求</w:t>
      </w:r>
      <w:r>
        <w:rPr>
          <w:rFonts w:hint="eastAsia" w:ascii="Times New Roman" w:hAnsi="Times New Roman" w:eastAsia="仿宋_GB2312" w:cs="Times New Roman"/>
          <w:sz w:val="32"/>
          <w:szCs w:val="33"/>
          <w:lang w:eastAsia="zh-CN"/>
        </w:rPr>
        <w:t>“</w:t>
      </w:r>
      <w:r>
        <w:rPr>
          <w:rFonts w:hint="eastAsia" w:ascii="Times New Roman" w:hAnsi="Times New Roman" w:eastAsia="仿宋_GB2312" w:cs="Times New Roman"/>
          <w:sz w:val="32"/>
          <w:szCs w:val="33"/>
        </w:rPr>
        <w:t>走样子</w:t>
      </w:r>
      <w:r>
        <w:rPr>
          <w:rFonts w:hint="eastAsia" w:ascii="Times New Roman" w:hAnsi="Times New Roman" w:eastAsia="仿宋_GB2312" w:cs="Times New Roman"/>
          <w:sz w:val="32"/>
          <w:szCs w:val="33"/>
          <w:lang w:eastAsia="zh-CN"/>
        </w:rPr>
        <w:t>”，</w:t>
      </w:r>
      <w:r>
        <w:rPr>
          <w:rFonts w:ascii="Times New Roman" w:hAnsi="Times New Roman" w:eastAsia="仿宋_GB2312" w:cs="Times New Roman"/>
          <w:sz w:val="32"/>
          <w:szCs w:val="33"/>
        </w:rPr>
        <w:t>没有充分认识到财政资金绩效目标的科学设定对于部门（单位）预算管理的重要性，存在着应付了事、走形式的情况。</w:t>
      </w:r>
      <w:r>
        <w:rPr>
          <w:rFonts w:ascii="Times New Roman" w:hAnsi="Times New Roman" w:eastAsia="仿宋_GB2312" w:cs="Times New Roman"/>
          <w:b/>
          <w:bCs/>
          <w:sz w:val="32"/>
          <w:szCs w:val="33"/>
        </w:rPr>
        <w:t>三是</w:t>
      </w:r>
      <w:r>
        <w:rPr>
          <w:rFonts w:hint="eastAsia" w:ascii="Times New Roman" w:hAnsi="Times New Roman" w:eastAsia="仿宋_GB2312" w:cs="Times New Roman"/>
          <w:b/>
          <w:bCs/>
          <w:sz w:val="32"/>
          <w:szCs w:val="33"/>
          <w:lang w:eastAsia="zh-CN"/>
        </w:rPr>
        <w:t>预算</w:t>
      </w:r>
      <w:r>
        <w:rPr>
          <w:rFonts w:ascii="Times New Roman" w:hAnsi="Times New Roman" w:eastAsia="仿宋_GB2312" w:cs="Times New Roman"/>
          <w:b/>
          <w:bCs/>
          <w:sz w:val="32"/>
          <w:szCs w:val="33"/>
        </w:rPr>
        <w:t>绩效管理</w:t>
      </w:r>
      <w:r>
        <w:rPr>
          <w:rFonts w:hint="eastAsia" w:ascii="Times New Roman" w:hAnsi="Times New Roman" w:eastAsia="仿宋_GB2312" w:cs="Times New Roman"/>
          <w:b/>
          <w:bCs/>
          <w:sz w:val="32"/>
          <w:szCs w:val="33"/>
          <w:lang w:eastAsia="zh-CN"/>
        </w:rPr>
        <w:t>人员</w:t>
      </w:r>
      <w:r>
        <w:rPr>
          <w:rFonts w:ascii="Times New Roman" w:hAnsi="Times New Roman" w:eastAsia="仿宋_GB2312" w:cs="Times New Roman"/>
          <w:b/>
          <w:bCs/>
          <w:sz w:val="32"/>
          <w:szCs w:val="33"/>
        </w:rPr>
        <w:t>专业</w:t>
      </w:r>
      <w:r>
        <w:rPr>
          <w:rFonts w:hint="eastAsia" w:ascii="Times New Roman" w:hAnsi="Times New Roman" w:eastAsia="仿宋_GB2312" w:cs="Times New Roman"/>
          <w:b/>
          <w:bCs/>
          <w:sz w:val="32"/>
          <w:szCs w:val="33"/>
          <w:lang w:eastAsia="zh-CN"/>
        </w:rPr>
        <w:t>性不强</w:t>
      </w:r>
      <w:r>
        <w:rPr>
          <w:rFonts w:ascii="Times New Roman" w:hAnsi="Times New Roman" w:eastAsia="仿宋_GB2312" w:cs="Times New Roman"/>
          <w:b/>
          <w:bCs/>
          <w:sz w:val="32"/>
          <w:szCs w:val="33"/>
        </w:rPr>
        <w:t>。</w:t>
      </w:r>
      <w:r>
        <w:rPr>
          <w:rFonts w:hint="eastAsia" w:ascii="Times New Roman" w:hAnsi="Times New Roman" w:eastAsia="仿宋_GB2312" w:cs="Times New Roman"/>
          <w:sz w:val="32"/>
          <w:szCs w:val="33"/>
          <w:lang w:eastAsia="zh-CN"/>
        </w:rPr>
        <w:t>预算绩效</w:t>
      </w:r>
      <w:r>
        <w:rPr>
          <w:rFonts w:ascii="Times New Roman" w:hAnsi="Times New Roman" w:eastAsia="仿宋_GB2312" w:cs="Times New Roman"/>
          <w:sz w:val="32"/>
          <w:szCs w:val="33"/>
        </w:rPr>
        <w:t>管理是一项专业性较强的工作，</w:t>
      </w:r>
      <w:r>
        <w:rPr>
          <w:rFonts w:hint="eastAsia" w:ascii="Times New Roman" w:hAnsi="Times New Roman" w:eastAsia="仿宋_GB2312" w:cs="Times New Roman"/>
          <w:sz w:val="32"/>
          <w:szCs w:val="33"/>
          <w:lang w:eastAsia="zh-CN"/>
        </w:rPr>
        <w:t>预算</w:t>
      </w:r>
      <w:r>
        <w:rPr>
          <w:rFonts w:ascii="Times New Roman" w:hAnsi="Times New Roman" w:eastAsia="仿宋_GB2312" w:cs="Times New Roman"/>
          <w:sz w:val="32"/>
          <w:szCs w:val="33"/>
        </w:rPr>
        <w:t>绩效管理工作</w:t>
      </w:r>
      <w:r>
        <w:rPr>
          <w:rFonts w:hint="eastAsia" w:ascii="Times New Roman" w:hAnsi="Times New Roman" w:eastAsia="仿宋_GB2312" w:cs="Times New Roman"/>
          <w:sz w:val="32"/>
          <w:szCs w:val="33"/>
          <w:lang w:eastAsia="zh-CN"/>
        </w:rPr>
        <w:t>人员</w:t>
      </w:r>
      <w:r>
        <w:rPr>
          <w:rFonts w:ascii="Times New Roman" w:hAnsi="Times New Roman" w:eastAsia="仿宋_GB2312" w:cs="Times New Roman"/>
          <w:sz w:val="32"/>
          <w:szCs w:val="33"/>
        </w:rPr>
        <w:t>既需要具备基本的财务知识，</w:t>
      </w:r>
      <w:r>
        <w:rPr>
          <w:rFonts w:hint="eastAsia" w:ascii="Times New Roman" w:hAnsi="Times New Roman" w:eastAsia="仿宋_GB2312" w:cs="Times New Roman"/>
          <w:sz w:val="32"/>
          <w:szCs w:val="33"/>
        </w:rPr>
        <w:t>又</w:t>
      </w:r>
      <w:r>
        <w:rPr>
          <w:rFonts w:hint="eastAsia" w:ascii="Times New Roman" w:hAnsi="Times New Roman" w:eastAsia="仿宋_GB2312" w:cs="Times New Roman"/>
          <w:sz w:val="32"/>
          <w:szCs w:val="33"/>
          <w:lang w:eastAsia="zh-CN"/>
        </w:rPr>
        <w:t>必须</w:t>
      </w:r>
      <w:r>
        <w:rPr>
          <w:rFonts w:ascii="Times New Roman" w:hAnsi="Times New Roman" w:eastAsia="仿宋_GB2312" w:cs="Times New Roman"/>
          <w:sz w:val="32"/>
          <w:szCs w:val="33"/>
        </w:rPr>
        <w:t>对其项目或相关业务非常熟悉</w:t>
      </w:r>
      <w:r>
        <w:rPr>
          <w:rFonts w:hint="eastAsia" w:ascii="Times New Roman" w:hAnsi="Times New Roman" w:eastAsia="仿宋_GB2312" w:cs="Times New Roman"/>
          <w:sz w:val="32"/>
          <w:szCs w:val="33"/>
          <w:lang w:eastAsia="zh-CN"/>
        </w:rPr>
        <w:t>，但</w:t>
      </w:r>
      <w:r>
        <w:rPr>
          <w:rFonts w:hint="eastAsia" w:ascii="Times New Roman" w:hAnsi="Times New Roman" w:eastAsia="仿宋_GB2312" w:cs="Times New Roman"/>
          <w:sz w:val="32"/>
          <w:szCs w:val="33"/>
        </w:rPr>
        <w:t>预算单位</w:t>
      </w:r>
      <w:r>
        <w:rPr>
          <w:rFonts w:ascii="Times New Roman" w:hAnsi="Times New Roman" w:eastAsia="仿宋_GB2312" w:cs="Times New Roman"/>
          <w:sz w:val="32"/>
          <w:szCs w:val="33"/>
        </w:rPr>
        <w:t>绩效评价工作往往是财务部门负责，</w:t>
      </w:r>
      <w:r>
        <w:rPr>
          <w:rFonts w:hint="eastAsia" w:ascii="Times New Roman" w:hAnsi="Times New Roman" w:eastAsia="仿宋_GB2312" w:cs="Times New Roman"/>
          <w:sz w:val="32"/>
          <w:szCs w:val="33"/>
          <w:lang w:eastAsia="zh-CN"/>
        </w:rPr>
        <w:t>单靠</w:t>
      </w:r>
      <w:r>
        <w:rPr>
          <w:rFonts w:ascii="Times New Roman" w:hAnsi="Times New Roman" w:eastAsia="仿宋_GB2312" w:cs="Times New Roman"/>
          <w:sz w:val="32"/>
          <w:szCs w:val="33"/>
        </w:rPr>
        <w:t>财务人员难以对绩效目标等绩效评价的核心内容作出较为合理的判断，与预算绩效管理工作要求存在一定差距。</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53" w:lineRule="auto"/>
        <w:ind w:left="0" w:leftChars="0" w:firstLine="640" w:firstLineChars="200"/>
        <w:jc w:val="both"/>
        <w:textAlignment w:val="auto"/>
        <w:rPr>
          <w:rFonts w:ascii="Times New Roman" w:hAnsi="Times New Roman" w:eastAsia="黑体" w:cs="Times New Roman"/>
          <w:sz w:val="32"/>
          <w:szCs w:val="33"/>
        </w:rPr>
      </w:pPr>
      <w:r>
        <w:rPr>
          <w:rFonts w:hint="eastAsia" w:ascii="Times New Roman" w:hAnsi="Times New Roman" w:eastAsia="黑体" w:cs="Times New Roman"/>
          <w:sz w:val="32"/>
          <w:szCs w:val="33"/>
        </w:rPr>
        <w:t>六</w:t>
      </w:r>
      <w:r>
        <w:rPr>
          <w:rFonts w:ascii="Times New Roman" w:hAnsi="Times New Roman" w:eastAsia="黑体" w:cs="Times New Roman"/>
          <w:sz w:val="32"/>
          <w:szCs w:val="33"/>
        </w:rPr>
        <w:t>、下一步工作</w:t>
      </w:r>
    </w:p>
    <w:p>
      <w:pPr>
        <w:keepNext w:val="0"/>
        <w:keepLines w:val="0"/>
        <w:pageBreakBefore w:val="0"/>
        <w:widowControl w:val="0"/>
        <w:kinsoku/>
        <w:wordWrap/>
        <w:overflowPunct/>
        <w:topLinePunct w:val="0"/>
        <w:autoSpaceDE/>
        <w:autoSpaceDN/>
        <w:bidi w:val="0"/>
        <w:adjustRightInd/>
        <w:snapToGrid/>
        <w:spacing w:line="353" w:lineRule="auto"/>
        <w:ind w:left="0" w:leftChars="0" w:firstLine="643" w:firstLineChars="200"/>
        <w:textAlignment w:val="auto"/>
        <w:rPr>
          <w:rFonts w:hint="eastAsia" w:ascii="方正楷体_GBK" w:hAnsi="方正楷体_GBK" w:eastAsia="楷体_GB2312" w:cs="方正楷体_GBK"/>
          <w:b/>
          <w:bCs/>
          <w:color w:val="000000"/>
          <w:kern w:val="0"/>
          <w:sz w:val="32"/>
          <w:szCs w:val="33"/>
          <w:lang w:bidi="ar"/>
        </w:rPr>
      </w:pPr>
      <w:r>
        <w:rPr>
          <w:rFonts w:hint="eastAsia" w:ascii="方正楷体_GBK" w:hAnsi="方正楷体_GBK" w:eastAsia="楷体_GB2312" w:cs="方正楷体_GBK"/>
          <w:b/>
          <w:bCs/>
          <w:color w:val="000000"/>
          <w:kern w:val="0"/>
          <w:sz w:val="32"/>
          <w:szCs w:val="33"/>
          <w:lang w:bidi="ar"/>
        </w:rPr>
        <w:t>（一）加强预算绩效管理基础保障</w:t>
      </w:r>
    </w:p>
    <w:p>
      <w:pPr>
        <w:keepNext w:val="0"/>
        <w:keepLines w:val="0"/>
        <w:pageBreakBefore w:val="0"/>
        <w:widowControl w:val="0"/>
        <w:kinsoku/>
        <w:wordWrap/>
        <w:overflowPunct/>
        <w:topLinePunct w:val="0"/>
        <w:autoSpaceDE/>
        <w:autoSpaceDN/>
        <w:bidi w:val="0"/>
        <w:adjustRightInd/>
        <w:snapToGrid/>
        <w:spacing w:line="353" w:lineRule="auto"/>
        <w:ind w:left="0" w:leftChars="0" w:firstLine="643" w:firstLineChars="200"/>
        <w:textAlignment w:val="auto"/>
        <w:rPr>
          <w:rFonts w:ascii="Times New Roman" w:hAnsi="Times New Roman" w:eastAsia="仿宋_GB2312"/>
          <w:kern w:val="0"/>
          <w:sz w:val="32"/>
          <w:szCs w:val="33"/>
        </w:rPr>
      </w:pPr>
      <w:r>
        <w:rPr>
          <w:rFonts w:hint="eastAsia" w:ascii="Times New Roman" w:hAnsi="Times New Roman" w:eastAsia="仿宋_GB2312"/>
          <w:b/>
          <w:bCs/>
          <w:kern w:val="0"/>
          <w:sz w:val="32"/>
          <w:szCs w:val="33"/>
        </w:rPr>
        <w:t>一是健全预算绩效管理制度体系，夯实预算管理基础。</w:t>
      </w:r>
      <w:r>
        <w:rPr>
          <w:rFonts w:hint="eastAsia" w:ascii="Times New Roman" w:hAnsi="Times New Roman" w:eastAsia="仿宋_GB2312"/>
          <w:kern w:val="0"/>
          <w:sz w:val="32"/>
          <w:szCs w:val="33"/>
        </w:rPr>
        <w:t>财政部门加快建立健全绩效管理制度，在绩效各环节建立明确工作方向与流程指导的相关细则。各预算单位要加快完善本单位预算绩效管理配套制度，细化本部门预算绩效管理操作规范和实施细则，加强协调配合，凝聚工作合力。</w:t>
      </w:r>
      <w:r>
        <w:rPr>
          <w:rFonts w:hint="eastAsia" w:ascii="Times New Roman" w:hAnsi="Times New Roman" w:eastAsia="仿宋_GB2312"/>
          <w:b/>
          <w:bCs/>
          <w:kern w:val="0"/>
          <w:sz w:val="32"/>
          <w:szCs w:val="33"/>
        </w:rPr>
        <w:t>二是加强业务培训，提升绩效工作人员能力。</w:t>
      </w:r>
      <w:r>
        <w:rPr>
          <w:rFonts w:hint="eastAsia" w:ascii="Times New Roman" w:hAnsi="Times New Roman" w:eastAsia="仿宋_GB2312"/>
          <w:kern w:val="0"/>
          <w:sz w:val="32"/>
          <w:szCs w:val="33"/>
        </w:rPr>
        <w:t>扩大培训范围，通过</w:t>
      </w:r>
      <w:r>
        <w:rPr>
          <w:rFonts w:hint="eastAsia" w:ascii="Times New Roman" w:hAnsi="Times New Roman" w:eastAsia="仿宋_GB2312"/>
          <w:kern w:val="0"/>
          <w:sz w:val="32"/>
          <w:szCs w:val="33"/>
          <w:lang w:eastAsia="zh-CN"/>
        </w:rPr>
        <w:t>“</w:t>
      </w:r>
      <w:r>
        <w:rPr>
          <w:rFonts w:hint="eastAsia" w:ascii="Times New Roman" w:hAnsi="Times New Roman" w:eastAsia="仿宋_GB2312"/>
          <w:kern w:val="0"/>
          <w:sz w:val="32"/>
          <w:szCs w:val="33"/>
        </w:rPr>
        <w:t>请进来、走出去</w:t>
      </w:r>
      <w:r>
        <w:rPr>
          <w:rFonts w:hint="eastAsia" w:ascii="Times New Roman" w:hAnsi="Times New Roman" w:eastAsia="仿宋_GB2312"/>
          <w:kern w:val="0"/>
          <w:sz w:val="32"/>
          <w:szCs w:val="33"/>
          <w:lang w:eastAsia="zh-CN"/>
        </w:rPr>
        <w:t>”</w:t>
      </w:r>
      <w:r>
        <w:rPr>
          <w:rFonts w:hint="eastAsia" w:ascii="Times New Roman" w:hAnsi="Times New Roman" w:eastAsia="仿宋_GB2312"/>
          <w:kern w:val="0"/>
          <w:sz w:val="32"/>
          <w:szCs w:val="33"/>
        </w:rPr>
        <w:t>等方式</w:t>
      </w:r>
      <w:r>
        <w:rPr>
          <w:rFonts w:hint="eastAsia" w:ascii="Times New Roman" w:hAnsi="Times New Roman" w:eastAsia="仿宋_GB2312"/>
          <w:kern w:val="0"/>
          <w:sz w:val="32"/>
          <w:szCs w:val="33"/>
          <w:lang w:eastAsia="zh-CN"/>
        </w:rPr>
        <w:t>开展培训</w:t>
      </w:r>
      <w:r>
        <w:rPr>
          <w:rFonts w:hint="eastAsia" w:ascii="Times New Roman" w:hAnsi="Times New Roman" w:eastAsia="仿宋_GB2312"/>
          <w:kern w:val="0"/>
          <w:sz w:val="32"/>
          <w:szCs w:val="33"/>
        </w:rPr>
        <w:t>，利用</w:t>
      </w:r>
      <w:r>
        <w:rPr>
          <w:rFonts w:hint="eastAsia" w:ascii="Times New Roman" w:hAnsi="Times New Roman" w:eastAsia="仿宋_GB2312"/>
          <w:kern w:val="0"/>
          <w:sz w:val="32"/>
          <w:szCs w:val="33"/>
          <w:lang w:eastAsia="zh-CN"/>
        </w:rPr>
        <w:t>“</w:t>
      </w:r>
      <w:r>
        <w:rPr>
          <w:rFonts w:hint="eastAsia" w:ascii="Times New Roman" w:hAnsi="Times New Roman" w:eastAsia="仿宋_GB2312"/>
          <w:kern w:val="0"/>
          <w:sz w:val="32"/>
          <w:szCs w:val="33"/>
        </w:rPr>
        <w:t>网络学习+资格考试</w:t>
      </w:r>
      <w:r>
        <w:rPr>
          <w:rFonts w:hint="eastAsia" w:ascii="Times New Roman" w:hAnsi="Times New Roman" w:eastAsia="仿宋_GB2312"/>
          <w:kern w:val="0"/>
          <w:sz w:val="32"/>
          <w:szCs w:val="33"/>
          <w:lang w:eastAsia="zh-CN"/>
        </w:rPr>
        <w:t>”检验培训质量</w:t>
      </w:r>
      <w:r>
        <w:rPr>
          <w:rFonts w:hint="eastAsia" w:ascii="Times New Roman" w:hAnsi="Times New Roman" w:eastAsia="仿宋_GB2312"/>
          <w:kern w:val="0"/>
          <w:sz w:val="32"/>
          <w:szCs w:val="33"/>
        </w:rPr>
        <w:t>，不断</w:t>
      </w:r>
      <w:r>
        <w:rPr>
          <w:rFonts w:hint="eastAsia" w:ascii="Times New Roman" w:hAnsi="Times New Roman" w:eastAsia="仿宋_GB2312"/>
          <w:kern w:val="0"/>
          <w:sz w:val="32"/>
          <w:szCs w:val="33"/>
          <w:lang w:eastAsia="zh-CN"/>
        </w:rPr>
        <w:t>提高</w:t>
      </w:r>
      <w:r>
        <w:rPr>
          <w:rFonts w:hint="eastAsia" w:ascii="Times New Roman" w:hAnsi="Times New Roman" w:eastAsia="仿宋_GB2312"/>
          <w:kern w:val="0"/>
          <w:sz w:val="32"/>
          <w:szCs w:val="33"/>
        </w:rPr>
        <w:t>绩效管理人员</w:t>
      </w:r>
      <w:r>
        <w:rPr>
          <w:rFonts w:hint="eastAsia" w:ascii="Times New Roman" w:hAnsi="Times New Roman" w:eastAsia="仿宋_GB2312"/>
          <w:kern w:val="0"/>
          <w:sz w:val="32"/>
          <w:szCs w:val="33"/>
          <w:lang w:eastAsia="zh-CN"/>
        </w:rPr>
        <w:t>管理水平</w:t>
      </w:r>
      <w:r>
        <w:rPr>
          <w:rFonts w:hint="eastAsia" w:ascii="Times New Roman" w:hAnsi="Times New Roman" w:eastAsia="仿宋_GB2312"/>
          <w:kern w:val="0"/>
          <w:sz w:val="32"/>
          <w:szCs w:val="33"/>
        </w:rPr>
        <w:t>。</w:t>
      </w:r>
    </w:p>
    <w:p>
      <w:pPr>
        <w:keepNext w:val="0"/>
        <w:keepLines w:val="0"/>
        <w:pageBreakBefore w:val="0"/>
        <w:widowControl w:val="0"/>
        <w:kinsoku/>
        <w:wordWrap/>
        <w:overflowPunct/>
        <w:topLinePunct w:val="0"/>
        <w:autoSpaceDE/>
        <w:autoSpaceDN/>
        <w:bidi w:val="0"/>
        <w:adjustRightInd/>
        <w:snapToGrid/>
        <w:spacing w:line="353" w:lineRule="auto"/>
        <w:ind w:left="0" w:leftChars="0" w:firstLine="643" w:firstLineChars="200"/>
        <w:textAlignment w:val="auto"/>
        <w:rPr>
          <w:rFonts w:hint="eastAsia" w:ascii="方正楷体_GBK" w:hAnsi="方正楷体_GBK" w:eastAsia="楷体_GB2312" w:cs="方正楷体_GBK"/>
          <w:b/>
          <w:bCs/>
          <w:color w:val="000000"/>
          <w:kern w:val="0"/>
          <w:sz w:val="32"/>
          <w:szCs w:val="33"/>
          <w:lang w:bidi="ar"/>
        </w:rPr>
      </w:pPr>
      <w:r>
        <w:rPr>
          <w:rFonts w:hint="eastAsia" w:ascii="方正楷体_GBK" w:hAnsi="方正楷体_GBK" w:eastAsia="楷体_GB2312" w:cs="方正楷体_GBK"/>
          <w:b/>
          <w:bCs/>
          <w:color w:val="000000"/>
          <w:kern w:val="0"/>
          <w:sz w:val="32"/>
          <w:szCs w:val="33"/>
          <w:lang w:bidi="ar"/>
        </w:rPr>
        <w:t>（二）规范预算绩效管理工作流程</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53" w:lineRule="auto"/>
        <w:ind w:left="0" w:leftChars="0" w:firstLine="640" w:firstLineChars="200"/>
        <w:jc w:val="both"/>
        <w:textAlignment w:val="auto"/>
        <w:rPr>
          <w:rFonts w:ascii="Times New Roman" w:hAnsi="Times New Roman" w:eastAsia="仿宋_GB2312" w:cs="Times New Roman"/>
          <w:sz w:val="32"/>
          <w:szCs w:val="33"/>
        </w:rPr>
      </w:pPr>
      <w:r>
        <w:rPr>
          <w:rFonts w:hint="eastAsia" w:ascii="Times New Roman" w:hAnsi="Times New Roman" w:eastAsia="仿宋_GB2312" w:cs="Times New Roman"/>
          <w:sz w:val="32"/>
          <w:szCs w:val="33"/>
        </w:rPr>
        <w:t>以全面实施预算绩效管理中的</w:t>
      </w:r>
      <w:r>
        <w:rPr>
          <w:rFonts w:hint="eastAsia" w:ascii="Times New Roman" w:hAnsi="Times New Roman" w:eastAsia="仿宋_GB2312" w:cs="Times New Roman"/>
          <w:sz w:val="32"/>
          <w:szCs w:val="33"/>
          <w:lang w:eastAsia="zh-CN"/>
        </w:rPr>
        <w:t>“</w:t>
      </w:r>
      <w:r>
        <w:rPr>
          <w:rFonts w:hint="eastAsia" w:ascii="Times New Roman" w:hAnsi="Times New Roman" w:eastAsia="仿宋_GB2312" w:cs="Times New Roman"/>
          <w:sz w:val="32"/>
          <w:szCs w:val="33"/>
        </w:rPr>
        <w:t>全过程</w:t>
      </w:r>
      <w:r>
        <w:rPr>
          <w:rFonts w:hint="eastAsia" w:ascii="Times New Roman" w:hAnsi="Times New Roman" w:eastAsia="仿宋_GB2312" w:cs="Times New Roman"/>
          <w:sz w:val="32"/>
          <w:szCs w:val="33"/>
          <w:lang w:eastAsia="zh-CN"/>
        </w:rPr>
        <w:t>”</w:t>
      </w:r>
      <w:r>
        <w:rPr>
          <w:rFonts w:hint="eastAsia" w:ascii="Times New Roman" w:hAnsi="Times New Roman" w:eastAsia="仿宋_GB2312" w:cs="Times New Roman"/>
          <w:sz w:val="32"/>
          <w:szCs w:val="33"/>
        </w:rPr>
        <w:t>为重点，坚持问题导向，补齐工作短板。</w:t>
      </w:r>
      <w:r>
        <w:rPr>
          <w:rFonts w:hint="eastAsia" w:ascii="Times New Roman" w:hAnsi="Times New Roman" w:eastAsia="仿宋_GB2312" w:cs="Times New Roman"/>
          <w:b/>
          <w:bCs/>
          <w:sz w:val="32"/>
          <w:szCs w:val="33"/>
        </w:rPr>
        <w:t>一是用好信息化平台，推动预算决策科学精准。</w:t>
      </w:r>
      <w:r>
        <w:rPr>
          <w:rFonts w:hint="eastAsia" w:ascii="Times New Roman" w:hAnsi="Times New Roman" w:eastAsia="仿宋_GB2312" w:cs="Times New Roman"/>
          <w:sz w:val="32"/>
          <w:szCs w:val="33"/>
        </w:rPr>
        <w:t>依托财政预算管理一体化平台系统，将事前评估、绩效目标、绩效监控、绩效自评管理模块融入预算编制，实现在申报项目预算时，同步编制绩效目标；在开展绩效管理工作时，将绩效目标、绩效监控、绩效评价等不同环节串联起来，形成全过程绩效管理与预算编制的有机融合，提高绩效管理工作的质量和规范性，加强预算绩效信息智能汇总分析和深度挖掘利用，推动预算决策科学精准。</w:t>
      </w:r>
      <w:r>
        <w:rPr>
          <w:rFonts w:hint="eastAsia" w:ascii="Times New Roman" w:hAnsi="Times New Roman" w:eastAsia="仿宋_GB2312" w:cs="Times New Roman"/>
          <w:b/>
          <w:bCs/>
          <w:sz w:val="32"/>
          <w:szCs w:val="33"/>
        </w:rPr>
        <w:t>二是紧抓绩效目标管理，切实提高绩效质量。</w:t>
      </w:r>
      <w:r>
        <w:rPr>
          <w:rFonts w:hint="eastAsia" w:ascii="Times New Roman" w:hAnsi="Times New Roman" w:eastAsia="仿宋_GB2312" w:cs="Times New Roman"/>
          <w:b w:val="0"/>
          <w:bCs w:val="0"/>
          <w:sz w:val="32"/>
          <w:szCs w:val="33"/>
          <w:lang w:eastAsia="zh-CN"/>
        </w:rPr>
        <w:t>在</w:t>
      </w:r>
      <w:r>
        <w:rPr>
          <w:rFonts w:hint="eastAsia" w:ascii="Times New Roman" w:hAnsi="Times New Roman" w:eastAsia="仿宋_GB2312" w:cs="Times New Roman"/>
          <w:b w:val="0"/>
          <w:bCs w:val="0"/>
          <w:sz w:val="32"/>
          <w:szCs w:val="33"/>
        </w:rPr>
        <w:t>预</w:t>
      </w:r>
      <w:r>
        <w:rPr>
          <w:rFonts w:hint="eastAsia" w:ascii="Times New Roman" w:hAnsi="Times New Roman" w:eastAsia="仿宋_GB2312" w:cs="Times New Roman"/>
          <w:sz w:val="32"/>
          <w:szCs w:val="33"/>
        </w:rPr>
        <w:t>算</w:t>
      </w:r>
      <w:r>
        <w:rPr>
          <w:rFonts w:hint="eastAsia" w:ascii="Times New Roman" w:hAnsi="Times New Roman" w:eastAsia="仿宋_GB2312" w:cs="Times New Roman"/>
          <w:sz w:val="32"/>
          <w:szCs w:val="33"/>
          <w:lang w:eastAsia="zh-CN"/>
        </w:rPr>
        <w:t>管理</w:t>
      </w:r>
      <w:r>
        <w:rPr>
          <w:rFonts w:hint="eastAsia" w:ascii="Times New Roman" w:hAnsi="Times New Roman" w:eastAsia="仿宋_GB2312" w:cs="Times New Roman"/>
          <w:sz w:val="32"/>
          <w:szCs w:val="33"/>
        </w:rPr>
        <w:t>一体化系统</w:t>
      </w:r>
      <w:r>
        <w:rPr>
          <w:rFonts w:hint="eastAsia" w:ascii="Times New Roman" w:hAnsi="Times New Roman" w:eastAsia="仿宋_GB2312" w:cs="Times New Roman"/>
          <w:sz w:val="32"/>
          <w:szCs w:val="33"/>
          <w:lang w:eastAsia="zh-CN"/>
        </w:rPr>
        <w:t>中</w:t>
      </w:r>
      <w:r>
        <w:rPr>
          <w:rFonts w:hint="eastAsia" w:ascii="Times New Roman" w:hAnsi="Times New Roman" w:eastAsia="仿宋_GB2312" w:cs="Times New Roman"/>
          <w:sz w:val="32"/>
          <w:szCs w:val="33"/>
        </w:rPr>
        <w:t>定期细化更新绩效评价指标库，规范绩效目标的编制</w:t>
      </w:r>
      <w:r>
        <w:rPr>
          <w:rFonts w:hint="eastAsia" w:ascii="Times New Roman" w:hAnsi="Times New Roman" w:eastAsia="仿宋_GB2312" w:cs="Times New Roman"/>
          <w:sz w:val="32"/>
          <w:szCs w:val="33"/>
          <w:lang w:eastAsia="zh-CN"/>
        </w:rPr>
        <w:t>。</w:t>
      </w:r>
      <w:r>
        <w:rPr>
          <w:rFonts w:hint="eastAsia" w:ascii="Times New Roman" w:hAnsi="Times New Roman" w:eastAsia="仿宋_GB2312" w:cs="Times New Roman"/>
          <w:sz w:val="32"/>
          <w:szCs w:val="33"/>
        </w:rPr>
        <w:t>加强绩效目标辅导、审核工作</w:t>
      </w:r>
      <w:r>
        <w:rPr>
          <w:rFonts w:hint="eastAsia" w:ascii="Times New Roman" w:hAnsi="Times New Roman" w:eastAsia="仿宋_GB2312" w:cs="Times New Roman"/>
          <w:sz w:val="32"/>
          <w:szCs w:val="33"/>
          <w:lang w:eastAsia="zh-CN"/>
        </w:rPr>
        <w:t>，</w:t>
      </w:r>
      <w:r>
        <w:rPr>
          <w:rFonts w:hint="eastAsia" w:ascii="Times New Roman" w:hAnsi="Times New Roman" w:eastAsia="仿宋_GB2312" w:cs="Times New Roman"/>
          <w:sz w:val="32"/>
          <w:szCs w:val="33"/>
        </w:rPr>
        <w:t>科学合理设置预算单位和财政部门绩效目标审核流程，压实绩效目标主体审核责任。</w:t>
      </w:r>
    </w:p>
    <w:p>
      <w:pPr>
        <w:keepNext w:val="0"/>
        <w:keepLines w:val="0"/>
        <w:pageBreakBefore w:val="0"/>
        <w:widowControl w:val="0"/>
        <w:kinsoku/>
        <w:wordWrap/>
        <w:overflowPunct/>
        <w:topLinePunct w:val="0"/>
        <w:autoSpaceDE/>
        <w:autoSpaceDN/>
        <w:bidi w:val="0"/>
        <w:adjustRightInd/>
        <w:snapToGrid/>
        <w:spacing w:line="353" w:lineRule="auto"/>
        <w:ind w:left="0" w:leftChars="0" w:firstLine="643" w:firstLineChars="200"/>
        <w:textAlignment w:val="auto"/>
        <w:rPr>
          <w:rFonts w:hint="eastAsia" w:ascii="方正楷体_GBK" w:hAnsi="方正楷体_GBK" w:eastAsia="楷体_GB2312" w:cs="方正楷体_GBK"/>
          <w:b/>
          <w:bCs/>
          <w:color w:val="000000"/>
          <w:kern w:val="0"/>
          <w:sz w:val="32"/>
          <w:szCs w:val="33"/>
          <w:lang w:bidi="ar"/>
        </w:rPr>
      </w:pPr>
      <w:r>
        <w:rPr>
          <w:rFonts w:hint="eastAsia" w:ascii="方正楷体_GBK" w:hAnsi="方正楷体_GBK" w:eastAsia="楷体_GB2312" w:cs="方正楷体_GBK"/>
          <w:b/>
          <w:bCs/>
          <w:color w:val="000000"/>
          <w:kern w:val="0"/>
          <w:sz w:val="32"/>
          <w:szCs w:val="33"/>
          <w:lang w:bidi="ar"/>
        </w:rPr>
        <w:t>（三）强化预算绩效管理工作实效</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53" w:lineRule="auto"/>
        <w:ind w:left="0" w:leftChars="0" w:firstLine="640" w:firstLineChars="200"/>
        <w:jc w:val="both"/>
        <w:textAlignment w:val="auto"/>
        <w:rPr>
          <w:rFonts w:ascii="Times New Roman" w:hAnsi="Times New Roman" w:eastAsia="仿宋_GB2312" w:cs="Times New Roman"/>
          <w:sz w:val="32"/>
          <w:szCs w:val="33"/>
        </w:rPr>
      </w:pPr>
      <w:r>
        <w:rPr>
          <w:rFonts w:hint="eastAsia" w:ascii="Times New Roman" w:hAnsi="Times New Roman" w:eastAsia="仿宋_GB2312" w:cs="Times New Roman"/>
          <w:sz w:val="32"/>
          <w:szCs w:val="33"/>
        </w:rPr>
        <w:t>在强化绩效评价结果的应用上下功夫。</w:t>
      </w:r>
      <w:r>
        <w:rPr>
          <w:rFonts w:hint="eastAsia" w:ascii="Times New Roman" w:hAnsi="Times New Roman" w:eastAsia="仿宋_GB2312" w:cs="Times New Roman"/>
          <w:b/>
          <w:bCs/>
          <w:sz w:val="32"/>
          <w:szCs w:val="33"/>
        </w:rPr>
        <w:t>一是实行</w:t>
      </w:r>
      <w:r>
        <w:rPr>
          <w:rFonts w:hint="eastAsia" w:ascii="Times New Roman" w:hAnsi="Times New Roman" w:eastAsia="仿宋_GB2312" w:cs="Times New Roman"/>
          <w:b/>
          <w:bCs/>
          <w:sz w:val="32"/>
          <w:szCs w:val="33"/>
          <w:lang w:eastAsia="zh-CN"/>
        </w:rPr>
        <w:t>“</w:t>
      </w:r>
      <w:r>
        <w:rPr>
          <w:rFonts w:hint="eastAsia" w:ascii="Times New Roman" w:hAnsi="Times New Roman" w:eastAsia="仿宋_GB2312" w:cs="Times New Roman"/>
          <w:b/>
          <w:bCs/>
          <w:sz w:val="32"/>
          <w:szCs w:val="33"/>
        </w:rPr>
        <w:t>两书一函</w:t>
      </w:r>
      <w:r>
        <w:rPr>
          <w:rFonts w:hint="eastAsia" w:ascii="Times New Roman" w:hAnsi="Times New Roman" w:eastAsia="仿宋_GB2312" w:cs="Times New Roman"/>
          <w:b/>
          <w:bCs/>
          <w:sz w:val="32"/>
          <w:szCs w:val="33"/>
          <w:lang w:eastAsia="zh-CN"/>
        </w:rPr>
        <w:t>”</w:t>
      </w:r>
      <w:r>
        <w:rPr>
          <w:rFonts w:hint="eastAsia" w:ascii="Times New Roman" w:hAnsi="Times New Roman" w:eastAsia="仿宋_GB2312" w:cs="Times New Roman"/>
          <w:b/>
          <w:bCs/>
          <w:sz w:val="32"/>
          <w:szCs w:val="33"/>
        </w:rPr>
        <w:t>制度，推动绩效整改落到实处。</w:t>
      </w:r>
      <w:r>
        <w:rPr>
          <w:rFonts w:hint="eastAsia" w:ascii="Times New Roman" w:hAnsi="Times New Roman" w:eastAsia="仿宋_GB2312" w:cs="Times New Roman"/>
          <w:sz w:val="32"/>
          <w:szCs w:val="33"/>
        </w:rPr>
        <w:t>对重视不够、举措不实、推动不力的部门，发出整改通知书、提醒敦促函。对问题特别突出的部门，发出约谈通知书，督促部门限期完成整改工作。</w:t>
      </w:r>
      <w:r>
        <w:rPr>
          <w:rFonts w:hint="eastAsia" w:ascii="Times New Roman" w:hAnsi="Times New Roman" w:eastAsia="仿宋_GB2312" w:cs="Times New Roman"/>
          <w:b/>
          <w:bCs/>
          <w:sz w:val="32"/>
          <w:szCs w:val="33"/>
        </w:rPr>
        <w:t>二是突出绩效评价重点，充分发挥财政资金效益。</w:t>
      </w:r>
      <w:r>
        <w:rPr>
          <w:rFonts w:hint="eastAsia" w:ascii="Times New Roman" w:hAnsi="Times New Roman" w:eastAsia="仿宋_GB2312" w:cs="Times New Roman"/>
          <w:sz w:val="32"/>
          <w:szCs w:val="33"/>
        </w:rPr>
        <w:t>聚力聚焦共同富裕、民生工程等中央、省委、市委、区委重大决策部署，选择重点项目、政策开展绩效评价，在评价分析的基础上，研究提出</w:t>
      </w:r>
      <w:r>
        <w:rPr>
          <w:rFonts w:hint="eastAsia" w:ascii="Times New Roman" w:hAnsi="Times New Roman" w:eastAsia="仿宋_GB2312" w:cs="Times New Roman"/>
          <w:sz w:val="32"/>
          <w:szCs w:val="33"/>
          <w:lang w:eastAsia="zh-CN"/>
        </w:rPr>
        <w:t>意见</w:t>
      </w:r>
      <w:r>
        <w:rPr>
          <w:rFonts w:hint="eastAsia" w:ascii="Times New Roman" w:hAnsi="Times New Roman" w:eastAsia="仿宋_GB2312" w:cs="Times New Roman"/>
          <w:sz w:val="32"/>
          <w:szCs w:val="33"/>
        </w:rPr>
        <w:t>建议，将有限的财力用在</w:t>
      </w:r>
      <w:r>
        <w:rPr>
          <w:rFonts w:hint="eastAsia" w:ascii="Times New Roman" w:hAnsi="Times New Roman" w:eastAsia="仿宋_GB2312" w:cs="Times New Roman"/>
          <w:sz w:val="32"/>
          <w:szCs w:val="33"/>
          <w:lang w:eastAsia="zh-CN"/>
        </w:rPr>
        <w:t>“</w:t>
      </w:r>
      <w:r>
        <w:rPr>
          <w:rFonts w:hint="eastAsia" w:ascii="Times New Roman" w:hAnsi="Times New Roman" w:eastAsia="仿宋_GB2312" w:cs="Times New Roman"/>
          <w:sz w:val="32"/>
          <w:szCs w:val="33"/>
        </w:rPr>
        <w:t>刀刃上</w:t>
      </w:r>
      <w:r>
        <w:rPr>
          <w:rFonts w:hint="eastAsia" w:ascii="Times New Roman" w:hAnsi="Times New Roman" w:eastAsia="仿宋_GB2312" w:cs="Times New Roman"/>
          <w:sz w:val="32"/>
          <w:szCs w:val="33"/>
          <w:lang w:eastAsia="zh-CN"/>
        </w:rPr>
        <w:t>”</w:t>
      </w:r>
      <w:r>
        <w:rPr>
          <w:rFonts w:hint="eastAsia" w:ascii="Times New Roman" w:hAnsi="Times New Roman" w:eastAsia="仿宋_GB2312" w:cs="Times New Roman"/>
          <w:sz w:val="32"/>
          <w:szCs w:val="33"/>
        </w:rPr>
        <w:t>，充分体现</w:t>
      </w:r>
      <w:r>
        <w:rPr>
          <w:rFonts w:hint="eastAsia" w:ascii="Times New Roman" w:hAnsi="Times New Roman" w:eastAsia="仿宋_GB2312" w:cs="Times New Roman"/>
          <w:sz w:val="32"/>
          <w:szCs w:val="33"/>
          <w:lang w:eastAsia="zh-CN"/>
        </w:rPr>
        <w:t>“</w:t>
      </w:r>
      <w:r>
        <w:rPr>
          <w:rFonts w:hint="eastAsia" w:ascii="Times New Roman" w:hAnsi="Times New Roman" w:eastAsia="仿宋_GB2312" w:cs="Times New Roman"/>
          <w:sz w:val="32"/>
          <w:szCs w:val="33"/>
        </w:rPr>
        <w:t>财</w:t>
      </w:r>
      <w:r>
        <w:rPr>
          <w:rFonts w:hint="eastAsia" w:ascii="Times New Roman" w:hAnsi="Times New Roman" w:eastAsia="仿宋_GB2312" w:cs="Times New Roman"/>
          <w:sz w:val="32"/>
          <w:szCs w:val="33"/>
          <w:lang w:eastAsia="zh-CN"/>
        </w:rPr>
        <w:t>”</w:t>
      </w:r>
      <w:r>
        <w:rPr>
          <w:rFonts w:hint="eastAsia" w:ascii="Times New Roman" w:hAnsi="Times New Roman" w:eastAsia="仿宋_GB2312" w:cs="Times New Roman"/>
          <w:sz w:val="32"/>
          <w:szCs w:val="33"/>
        </w:rPr>
        <w:t>为</w:t>
      </w:r>
      <w:r>
        <w:rPr>
          <w:rFonts w:hint="eastAsia" w:ascii="Times New Roman" w:hAnsi="Times New Roman" w:eastAsia="仿宋_GB2312" w:cs="Times New Roman"/>
          <w:sz w:val="32"/>
          <w:szCs w:val="33"/>
          <w:lang w:eastAsia="zh-CN"/>
        </w:rPr>
        <w:t>“</w:t>
      </w:r>
      <w:r>
        <w:rPr>
          <w:rFonts w:hint="eastAsia" w:ascii="Times New Roman" w:hAnsi="Times New Roman" w:eastAsia="仿宋_GB2312" w:cs="Times New Roman"/>
          <w:sz w:val="32"/>
          <w:szCs w:val="33"/>
        </w:rPr>
        <w:t>政</w:t>
      </w:r>
      <w:r>
        <w:rPr>
          <w:rFonts w:hint="eastAsia" w:ascii="Times New Roman" w:hAnsi="Times New Roman" w:eastAsia="仿宋_GB2312" w:cs="Times New Roman"/>
          <w:sz w:val="32"/>
          <w:szCs w:val="33"/>
          <w:lang w:eastAsia="zh-CN"/>
        </w:rPr>
        <w:t>”</w:t>
      </w:r>
      <w:r>
        <w:rPr>
          <w:rFonts w:hint="eastAsia" w:ascii="Times New Roman" w:hAnsi="Times New Roman" w:eastAsia="仿宋_GB2312" w:cs="Times New Roman"/>
          <w:sz w:val="32"/>
          <w:szCs w:val="33"/>
        </w:rPr>
        <w:t>服务的鲜明导向。</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53" w:lineRule="auto"/>
        <w:ind w:left="0" w:leftChars="0" w:firstLine="640" w:firstLineChars="200"/>
        <w:jc w:val="both"/>
        <w:textAlignment w:val="auto"/>
        <w:rPr>
          <w:rFonts w:ascii="Times New Roman" w:hAnsi="Times New Roman" w:eastAsia="仿宋_GB2312" w:cs="Times New Roman"/>
          <w:sz w:val="32"/>
          <w:szCs w:val="33"/>
        </w:rPr>
      </w:pPr>
      <w:r>
        <w:rPr>
          <w:rFonts w:hint="eastAsia" w:ascii="Times New Roman" w:hAnsi="Times New Roman" w:eastAsia="仿宋_GB2312" w:cs="Times New Roman"/>
          <w:sz w:val="32"/>
          <w:szCs w:val="33"/>
        </w:rPr>
        <w:t>全面实施预算绩效管理是政府治理方式的深刻变革，是国家治理体系和治理能力现代化的重要标志，是削减低效无效支出、缓解财政收支矛盾、提高政府治理水平的有效工具，越是在财政困难时期，越要实施预算绩效管理改革。</w:t>
      </w:r>
      <w:r>
        <w:rPr>
          <w:rFonts w:hint="eastAsia" w:ascii="Times New Roman" w:hAnsi="Times New Roman" w:eastAsia="仿宋_GB2312" w:cs="Times New Roman"/>
          <w:sz w:val="32"/>
          <w:szCs w:val="33"/>
          <w:lang w:eastAsia="zh-CN"/>
        </w:rPr>
        <w:t>下一步，将</w:t>
      </w:r>
      <w:r>
        <w:rPr>
          <w:rFonts w:hint="eastAsia" w:ascii="Times New Roman" w:hAnsi="Times New Roman" w:eastAsia="仿宋_GB2312" w:cs="Times New Roman"/>
          <w:sz w:val="32"/>
          <w:szCs w:val="33"/>
        </w:rPr>
        <w:t>紧扣</w:t>
      </w:r>
      <w:r>
        <w:rPr>
          <w:rFonts w:hint="eastAsia" w:ascii="Times New Roman" w:hAnsi="Times New Roman" w:eastAsia="仿宋_GB2312" w:cs="Times New Roman"/>
          <w:sz w:val="32"/>
          <w:szCs w:val="33"/>
          <w:lang w:eastAsia="zh-CN"/>
        </w:rPr>
        <w:t>“</w:t>
      </w:r>
      <w:r>
        <w:rPr>
          <w:rFonts w:hint="eastAsia" w:ascii="Times New Roman" w:hAnsi="Times New Roman" w:eastAsia="仿宋_GB2312" w:cs="Times New Roman"/>
          <w:sz w:val="32"/>
          <w:szCs w:val="33"/>
        </w:rPr>
        <w:t>一区一城</w:t>
      </w:r>
      <w:r>
        <w:rPr>
          <w:rFonts w:hint="eastAsia" w:ascii="Times New Roman" w:hAnsi="Times New Roman" w:eastAsia="仿宋_GB2312" w:cs="Times New Roman"/>
          <w:sz w:val="32"/>
          <w:szCs w:val="33"/>
          <w:lang w:eastAsia="zh-CN"/>
        </w:rPr>
        <w:t>”</w:t>
      </w:r>
      <w:r>
        <w:rPr>
          <w:rFonts w:hint="eastAsia" w:ascii="Times New Roman" w:hAnsi="Times New Roman" w:eastAsia="仿宋_GB2312" w:cs="Times New Roman"/>
          <w:sz w:val="32"/>
          <w:szCs w:val="33"/>
        </w:rPr>
        <w:t>建设目标，把握症结、精准发力，持续推动提升预算绩效管理水平，努力使每一笔财政资金分配合理、使用到位、发挥效益</w:t>
      </w:r>
      <w:r>
        <w:rPr>
          <w:rFonts w:hint="eastAsia" w:ascii="Times New Roman" w:hAnsi="Times New Roman" w:eastAsia="仿宋_GB2312" w:cs="Times New Roman"/>
          <w:sz w:val="32"/>
          <w:szCs w:val="33"/>
          <w:lang w:eastAsia="zh-CN"/>
        </w:rPr>
        <w:t>，</w:t>
      </w:r>
      <w:r>
        <w:rPr>
          <w:rFonts w:hint="eastAsia" w:ascii="Times New Roman" w:hAnsi="Times New Roman" w:eastAsia="仿宋_GB2312" w:cs="Times New Roman"/>
          <w:sz w:val="32"/>
          <w:szCs w:val="33"/>
        </w:rPr>
        <w:t>以更大力度、更实举措推进各项工作。</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53" w:lineRule="auto"/>
        <w:ind w:left="0" w:leftChars="0" w:firstLine="640" w:firstLineChars="200"/>
        <w:jc w:val="both"/>
        <w:textAlignment w:val="auto"/>
        <w:rPr>
          <w:rFonts w:ascii="Times New Roman" w:hAnsi="Times New Roman" w:eastAsia="仿宋_GB2312" w:cs="Times New Roman"/>
          <w:sz w:val="32"/>
          <w:szCs w:val="33"/>
        </w:rPr>
      </w:pPr>
      <w:r>
        <w:rPr>
          <w:rFonts w:ascii="Times New Roman" w:hAnsi="Times New Roman" w:eastAsia="仿宋_GB2312" w:cs="Times New Roman"/>
          <w:sz w:val="32"/>
          <w:szCs w:val="33"/>
        </w:rPr>
        <w:t>附件：</w:t>
      </w:r>
      <w:r>
        <w:rPr>
          <w:rFonts w:hint="eastAsia" w:ascii="Times New Roman" w:hAnsi="Times New Roman" w:eastAsia="仿宋_GB2312" w:cs="Times New Roman"/>
          <w:sz w:val="32"/>
          <w:szCs w:val="33"/>
        </w:rPr>
        <w:t>1.</w:t>
      </w:r>
      <w:r>
        <w:rPr>
          <w:rFonts w:hint="eastAsia" w:ascii="Times New Roman" w:hAnsi="Times New Roman" w:eastAsia="仿宋_GB2312" w:cs="Times New Roman"/>
          <w:spacing w:val="-6"/>
          <w:sz w:val="32"/>
          <w:szCs w:val="33"/>
        </w:rPr>
        <w:t>2022年办案工作经费绩效评价报告</w:t>
      </w:r>
    </w:p>
    <w:p>
      <w:pPr>
        <w:pStyle w:val="11"/>
        <w:keepNext w:val="0"/>
        <w:keepLines w:val="0"/>
        <w:pageBreakBefore w:val="0"/>
        <w:widowControl w:val="0"/>
        <w:tabs>
          <w:tab w:val="left" w:pos="1920"/>
        </w:tabs>
        <w:kinsoku/>
        <w:wordWrap/>
        <w:overflowPunct/>
        <w:topLinePunct w:val="0"/>
        <w:autoSpaceDE/>
        <w:autoSpaceDN/>
        <w:bidi w:val="0"/>
        <w:adjustRightInd/>
        <w:snapToGrid/>
        <w:spacing w:before="0" w:beforeAutospacing="0" w:after="0" w:afterAutospacing="0" w:line="353" w:lineRule="auto"/>
        <w:ind w:left="0" w:leftChars="0" w:firstLine="1600" w:firstLineChars="500"/>
        <w:jc w:val="both"/>
        <w:textAlignment w:val="auto"/>
        <w:rPr>
          <w:rFonts w:ascii="Times New Roman" w:hAnsi="Times New Roman" w:eastAsia="仿宋_GB2312" w:cs="Times New Roman"/>
          <w:sz w:val="32"/>
          <w:szCs w:val="33"/>
        </w:rPr>
      </w:pPr>
      <w:r>
        <w:rPr>
          <w:rFonts w:hint="eastAsia" w:ascii="Times New Roman" w:hAnsi="Times New Roman" w:eastAsia="仿宋_GB2312" w:cs="Times New Roman"/>
          <w:sz w:val="32"/>
          <w:szCs w:val="33"/>
        </w:rPr>
        <w:t>2.2022年平安建设专项经费绩效评价报告</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53" w:lineRule="auto"/>
        <w:ind w:left="0" w:leftChars="0" w:firstLine="1600" w:firstLineChars="500"/>
        <w:jc w:val="both"/>
        <w:textAlignment w:val="auto"/>
        <w:rPr>
          <w:rFonts w:ascii="Times New Roman" w:hAnsi="Times New Roman" w:eastAsia="仿宋_GB2312" w:cs="Times New Roman"/>
          <w:sz w:val="32"/>
          <w:szCs w:val="33"/>
        </w:rPr>
      </w:pPr>
      <w:r>
        <w:rPr>
          <w:rFonts w:hint="eastAsia" w:ascii="Times New Roman" w:hAnsi="Times New Roman" w:eastAsia="仿宋_GB2312" w:cs="Times New Roman"/>
          <w:sz w:val="32"/>
          <w:szCs w:val="33"/>
        </w:rPr>
        <w:t>3.2022年高龄长寿补贴</w:t>
      </w:r>
      <w:r>
        <w:rPr>
          <w:rFonts w:hint="eastAsia" w:ascii="Times New Roman" w:hAnsi="Times New Roman" w:eastAsia="仿宋_GB2312" w:cs="Times New Roman"/>
          <w:sz w:val="32"/>
          <w:szCs w:val="33"/>
          <w:lang w:eastAsia="zh-CN"/>
        </w:rPr>
        <w:t>专项经费</w:t>
      </w:r>
      <w:r>
        <w:rPr>
          <w:rFonts w:hint="eastAsia" w:ascii="Times New Roman" w:hAnsi="Times New Roman" w:eastAsia="仿宋_GB2312" w:cs="Times New Roman"/>
          <w:sz w:val="32"/>
          <w:szCs w:val="33"/>
        </w:rPr>
        <w:t>绩效评价报告</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53" w:lineRule="auto"/>
        <w:ind w:left="320" w:leftChars="100" w:firstLine="1280" w:firstLineChars="400"/>
        <w:jc w:val="both"/>
        <w:textAlignment w:val="auto"/>
        <w:rPr>
          <w:rFonts w:ascii="Times New Roman" w:hAnsi="Times New Roman" w:eastAsia="仿宋_GB2312" w:cs="Times New Roman"/>
          <w:sz w:val="32"/>
          <w:szCs w:val="33"/>
        </w:rPr>
      </w:pPr>
      <w:r>
        <w:rPr>
          <w:rFonts w:hint="eastAsia" w:ascii="Times New Roman" w:hAnsi="Times New Roman" w:eastAsia="仿宋_GB2312" w:cs="Times New Roman"/>
          <w:sz w:val="32"/>
          <w:szCs w:val="33"/>
        </w:rPr>
        <w:t>4.2022年</w:t>
      </w:r>
      <w:r>
        <w:rPr>
          <w:rFonts w:hint="eastAsia" w:ascii="方正仿宋_GBK" w:hAnsi="方正仿宋_GBK" w:eastAsia="仿宋_GB2312" w:cs="方正仿宋_GBK"/>
          <w:sz w:val="32"/>
          <w:szCs w:val="33"/>
        </w:rPr>
        <w:t>农业保险政策</w:t>
      </w:r>
      <w:r>
        <w:rPr>
          <w:rFonts w:hint="eastAsia" w:ascii="Times New Roman" w:hAnsi="Times New Roman" w:eastAsia="仿宋_GB2312" w:cs="Times New Roman"/>
          <w:sz w:val="32"/>
          <w:szCs w:val="33"/>
        </w:rPr>
        <w:t>绩效评价报告</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53" w:lineRule="auto"/>
        <w:ind w:left="317" w:leftChars="99" w:firstLine="1308" w:firstLineChars="409"/>
        <w:jc w:val="both"/>
        <w:textAlignment w:val="auto"/>
        <w:rPr>
          <w:rFonts w:ascii="Times New Roman" w:hAnsi="Times New Roman" w:eastAsia="仿宋_GB2312" w:cs="Times New Roman"/>
          <w:w w:val="95"/>
          <w:sz w:val="32"/>
          <w:szCs w:val="33"/>
        </w:rPr>
      </w:pPr>
      <w:r>
        <w:rPr>
          <w:rFonts w:hint="eastAsia" w:ascii="Times New Roman" w:hAnsi="Times New Roman" w:eastAsia="仿宋_GB2312" w:cs="Times New Roman"/>
          <w:sz w:val="32"/>
          <w:szCs w:val="33"/>
        </w:rPr>
        <w:t>5.</w:t>
      </w:r>
      <w:r>
        <w:rPr>
          <w:rFonts w:hint="eastAsia" w:ascii="Times New Roman" w:hAnsi="Times New Roman" w:eastAsia="仿宋_GB2312" w:cs="Times New Roman"/>
          <w:w w:val="95"/>
          <w:sz w:val="32"/>
          <w:szCs w:val="33"/>
        </w:rPr>
        <w:t>2022年森林草原防灭火</w:t>
      </w:r>
      <w:r>
        <w:rPr>
          <w:rFonts w:hint="eastAsia" w:ascii="Times New Roman" w:hAnsi="Times New Roman" w:eastAsia="仿宋_GB2312" w:cs="Times New Roman"/>
          <w:w w:val="95"/>
          <w:sz w:val="32"/>
          <w:szCs w:val="33"/>
          <w:lang w:eastAsia="zh-CN"/>
        </w:rPr>
        <w:t>专项经费</w:t>
      </w:r>
      <w:r>
        <w:rPr>
          <w:rFonts w:hint="eastAsia" w:ascii="Times New Roman" w:hAnsi="Times New Roman" w:eastAsia="仿宋_GB2312" w:cs="Times New Roman"/>
          <w:w w:val="95"/>
          <w:sz w:val="32"/>
          <w:szCs w:val="33"/>
        </w:rPr>
        <w:t>绩效评价报告</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53" w:lineRule="auto"/>
        <w:ind w:left="320" w:leftChars="100" w:firstLine="1280" w:firstLineChars="400"/>
        <w:jc w:val="both"/>
        <w:textAlignment w:val="auto"/>
        <w:rPr>
          <w:rFonts w:ascii="Times New Roman" w:hAnsi="Times New Roman" w:eastAsia="仿宋_GB2312" w:cs="Times New Roman"/>
          <w:sz w:val="32"/>
          <w:szCs w:val="33"/>
        </w:rPr>
      </w:pPr>
      <w:r>
        <w:rPr>
          <w:rFonts w:hint="eastAsia" w:ascii="Times New Roman" w:hAnsi="Times New Roman" w:eastAsia="仿宋_GB2312" w:cs="Times New Roman"/>
          <w:sz w:val="32"/>
          <w:szCs w:val="33"/>
        </w:rPr>
        <w:t>6.2022年</w:t>
      </w:r>
      <w:r>
        <w:rPr>
          <w:rFonts w:hint="eastAsia" w:ascii="方正仿宋_GBK" w:hAnsi="方正仿宋_GBK" w:eastAsia="仿宋_GB2312" w:cs="方正仿宋_GBK"/>
          <w:sz w:val="32"/>
          <w:szCs w:val="33"/>
        </w:rPr>
        <w:t>食堂运行经费</w:t>
      </w:r>
      <w:r>
        <w:rPr>
          <w:rFonts w:hint="eastAsia" w:ascii="Times New Roman" w:hAnsi="Times New Roman" w:eastAsia="仿宋_GB2312" w:cs="Times New Roman"/>
          <w:sz w:val="32"/>
          <w:szCs w:val="33"/>
        </w:rPr>
        <w:t>绩效评价报告</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53" w:lineRule="auto"/>
        <w:ind w:left="1920" w:leftChars="500" w:hanging="320" w:hangingChars="100"/>
        <w:jc w:val="both"/>
        <w:textAlignment w:val="auto"/>
        <w:rPr>
          <w:rFonts w:ascii="Times New Roman" w:hAnsi="Times New Roman" w:eastAsia="仿宋_GB2312" w:cs="Times New Roman"/>
          <w:spacing w:val="-34"/>
          <w:sz w:val="32"/>
          <w:szCs w:val="33"/>
        </w:rPr>
      </w:pPr>
      <w:r>
        <w:rPr>
          <w:rFonts w:hint="eastAsia" w:ascii="Times New Roman" w:hAnsi="Times New Roman" w:eastAsia="仿宋_GB2312" w:cs="Times New Roman"/>
          <w:sz w:val="32"/>
          <w:szCs w:val="33"/>
        </w:rPr>
        <w:t>7.</w:t>
      </w:r>
      <w:r>
        <w:rPr>
          <w:rFonts w:hint="eastAsia" w:ascii="Times New Roman" w:hAnsi="Times New Roman" w:eastAsia="仿宋_GB2312" w:cs="Times New Roman"/>
          <w:spacing w:val="-34"/>
          <w:sz w:val="32"/>
          <w:szCs w:val="33"/>
        </w:rPr>
        <w:t>2022年火红年华廉洁</w:t>
      </w:r>
      <w:r>
        <w:rPr>
          <w:rFonts w:hint="eastAsia" w:ascii="Times New Roman" w:hAnsi="Times New Roman" w:eastAsia="仿宋_GB2312" w:cs="Times New Roman"/>
          <w:spacing w:val="-34"/>
          <w:sz w:val="32"/>
          <w:szCs w:val="33"/>
          <w:lang w:eastAsia="zh-CN"/>
        </w:rPr>
        <w:t>文化</w:t>
      </w:r>
      <w:r>
        <w:rPr>
          <w:rFonts w:hint="eastAsia" w:ascii="Times New Roman" w:hAnsi="Times New Roman" w:eastAsia="仿宋_GB2312" w:cs="Times New Roman"/>
          <w:spacing w:val="-34"/>
          <w:sz w:val="32"/>
          <w:szCs w:val="33"/>
        </w:rPr>
        <w:t>教育基地</w:t>
      </w:r>
      <w:r>
        <w:rPr>
          <w:rFonts w:hint="eastAsia" w:ascii="Times New Roman" w:hAnsi="Times New Roman" w:eastAsia="仿宋_GB2312" w:cs="Times New Roman"/>
          <w:spacing w:val="-34"/>
          <w:sz w:val="32"/>
          <w:szCs w:val="33"/>
          <w:lang w:eastAsia="zh-CN"/>
        </w:rPr>
        <w:t>建设项目</w:t>
      </w:r>
      <w:r>
        <w:rPr>
          <w:rFonts w:hint="eastAsia" w:ascii="Times New Roman" w:hAnsi="Times New Roman" w:eastAsia="仿宋_GB2312" w:cs="Times New Roman"/>
          <w:spacing w:val="-34"/>
          <w:sz w:val="32"/>
          <w:szCs w:val="33"/>
        </w:rPr>
        <w:t>经费</w:t>
      </w:r>
      <w:r>
        <w:rPr>
          <w:rFonts w:hint="eastAsia" w:ascii="Times New Roman" w:hAnsi="Times New Roman" w:eastAsia="仿宋_GB2312" w:cs="Times New Roman"/>
          <w:spacing w:val="-34"/>
          <w:w w:val="95"/>
          <w:sz w:val="32"/>
          <w:szCs w:val="33"/>
        </w:rPr>
        <w:t>绩效评价报告</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53" w:lineRule="auto"/>
        <w:ind w:left="320" w:leftChars="100" w:firstLine="1280" w:firstLineChars="400"/>
        <w:jc w:val="both"/>
        <w:textAlignment w:val="auto"/>
        <w:rPr>
          <w:rFonts w:ascii="Times New Roman" w:hAnsi="Times New Roman" w:eastAsia="仿宋_GB2312" w:cs="Times New Roman"/>
          <w:sz w:val="32"/>
          <w:szCs w:val="33"/>
        </w:rPr>
      </w:pPr>
      <w:r>
        <w:rPr>
          <w:rFonts w:hint="eastAsia" w:ascii="Times New Roman" w:hAnsi="Times New Roman" w:eastAsia="仿宋_GB2312" w:cs="Times New Roman"/>
          <w:sz w:val="32"/>
          <w:szCs w:val="33"/>
        </w:rPr>
        <w:t>8.2022年核酸检测</w:t>
      </w:r>
      <w:r>
        <w:rPr>
          <w:rFonts w:hint="eastAsia" w:ascii="Times New Roman" w:hAnsi="Times New Roman" w:eastAsia="仿宋_GB2312" w:cs="Times New Roman"/>
          <w:sz w:val="32"/>
          <w:szCs w:val="33"/>
          <w:lang w:eastAsia="zh-CN"/>
        </w:rPr>
        <w:t>专项</w:t>
      </w:r>
      <w:r>
        <w:rPr>
          <w:rFonts w:hint="eastAsia" w:ascii="Times New Roman" w:hAnsi="Times New Roman" w:eastAsia="仿宋_GB2312" w:cs="Times New Roman"/>
          <w:sz w:val="32"/>
          <w:szCs w:val="33"/>
        </w:rPr>
        <w:t>经费绩效评价报告</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53" w:lineRule="auto"/>
        <w:ind w:left="1920" w:leftChars="500" w:hanging="320" w:hangingChars="100"/>
        <w:jc w:val="both"/>
        <w:textAlignment w:val="auto"/>
        <w:rPr>
          <w:rFonts w:ascii="Times New Roman" w:hAnsi="Times New Roman" w:eastAsia="仿宋_GB2312" w:cs="Times New Roman"/>
          <w:sz w:val="32"/>
          <w:szCs w:val="33"/>
        </w:rPr>
      </w:pPr>
      <w:r>
        <w:rPr>
          <w:rFonts w:hint="eastAsia" w:ascii="Times New Roman" w:hAnsi="Times New Roman" w:eastAsia="仿宋_GB2312" w:cs="Times New Roman"/>
          <w:sz w:val="32"/>
          <w:szCs w:val="33"/>
        </w:rPr>
        <w:t>9.</w:t>
      </w:r>
      <w:r>
        <w:rPr>
          <w:rFonts w:hint="eastAsia" w:ascii="Times New Roman" w:hAnsi="Times New Roman" w:eastAsia="仿宋_GB2312" w:cs="Times New Roman"/>
          <w:spacing w:val="-11"/>
          <w:sz w:val="32"/>
          <w:szCs w:val="33"/>
        </w:rPr>
        <w:t>2022年</w:t>
      </w:r>
      <w:r>
        <w:rPr>
          <w:rFonts w:hint="eastAsia" w:ascii="Times New Roman" w:hAnsi="Times New Roman" w:eastAsia="仿宋_GB2312" w:cs="Times New Roman"/>
          <w:spacing w:val="-11"/>
          <w:sz w:val="32"/>
          <w:szCs w:val="33"/>
          <w:lang w:eastAsia="zh-CN"/>
        </w:rPr>
        <w:t>国家</w:t>
      </w:r>
      <w:r>
        <w:rPr>
          <w:rFonts w:hint="eastAsia" w:ascii="Times New Roman" w:hAnsi="Times New Roman" w:eastAsia="仿宋_GB2312" w:cs="Times New Roman"/>
          <w:spacing w:val="-11"/>
          <w:sz w:val="32"/>
          <w:szCs w:val="33"/>
        </w:rPr>
        <w:t>基本公共卫生服务项目</w:t>
      </w:r>
      <w:r>
        <w:rPr>
          <w:rFonts w:hint="eastAsia" w:ascii="Times New Roman" w:hAnsi="Times New Roman" w:eastAsia="仿宋_GB2312" w:cs="Times New Roman"/>
          <w:spacing w:val="-11"/>
          <w:sz w:val="32"/>
          <w:szCs w:val="33"/>
          <w:lang w:eastAsia="zh-CN"/>
        </w:rPr>
        <w:t>经费</w:t>
      </w:r>
      <w:r>
        <w:rPr>
          <w:rFonts w:hint="eastAsia" w:ascii="Times New Roman" w:hAnsi="Times New Roman" w:eastAsia="仿宋_GB2312" w:cs="Times New Roman"/>
          <w:spacing w:val="-11"/>
          <w:sz w:val="32"/>
          <w:szCs w:val="33"/>
        </w:rPr>
        <w:t>绩效评价报告</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53" w:lineRule="auto"/>
        <w:ind w:left="1280" w:leftChars="400" w:firstLine="320" w:firstLineChars="100"/>
        <w:jc w:val="both"/>
        <w:textAlignment w:val="auto"/>
        <w:rPr>
          <w:rFonts w:ascii="Times New Roman" w:hAnsi="Times New Roman" w:eastAsia="仿宋_GB2312" w:cs="Times New Roman"/>
          <w:sz w:val="32"/>
          <w:szCs w:val="33"/>
        </w:rPr>
      </w:pPr>
      <w:r>
        <w:rPr>
          <w:rFonts w:hint="eastAsia" w:ascii="Times New Roman" w:hAnsi="Times New Roman" w:eastAsia="仿宋_GB2312" w:cs="Times New Roman"/>
          <w:sz w:val="32"/>
          <w:szCs w:val="33"/>
        </w:rPr>
        <w:t>10.2022年西区环卫生产经费绩效评价报告</w:t>
      </w:r>
    </w:p>
    <w:p>
      <w:pPr>
        <w:rPr>
          <w:rFonts w:ascii="Times New Roman" w:hAnsi="Times New Roman" w:eastAsia="黑体" w:cs="Times New Roman"/>
          <w:sz w:val="32"/>
          <w:szCs w:val="33"/>
        </w:rPr>
      </w:pPr>
      <w:r>
        <w:rPr>
          <w:rFonts w:ascii="Times New Roman" w:hAnsi="Times New Roman" w:eastAsia="黑体" w:cs="Times New Roman"/>
          <w:sz w:val="32"/>
          <w:szCs w:val="33"/>
        </w:rPr>
        <w:br w:type="page"/>
      </w:r>
    </w:p>
    <w:p>
      <w:pPr>
        <w:pStyle w:val="11"/>
        <w:widowControl w:val="0"/>
        <w:spacing w:before="0" w:beforeAutospacing="0" w:after="0" w:afterAutospacing="0"/>
        <w:jc w:val="both"/>
        <w:rPr>
          <w:rFonts w:ascii="Times New Roman" w:hAnsi="Times New Roman" w:eastAsia="黑体" w:cs="Times New Roman"/>
          <w:sz w:val="32"/>
          <w:szCs w:val="33"/>
        </w:rPr>
      </w:pPr>
      <w:r>
        <w:rPr>
          <w:rFonts w:ascii="Times New Roman" w:hAnsi="Times New Roman" w:eastAsia="黑体" w:cs="Times New Roman"/>
          <w:sz w:val="32"/>
          <w:szCs w:val="33"/>
        </w:rPr>
        <w:t>附件1</w:t>
      </w:r>
    </w:p>
    <w:p>
      <w:pPr>
        <w:pStyle w:val="8"/>
        <w:jc w:val="center"/>
        <w:rPr>
          <w:rFonts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rPr>
        <w:t>2022年办案工作经费绩效评价报告</w:t>
      </w:r>
    </w:p>
    <w:p>
      <w:pPr>
        <w:pStyle w:val="2"/>
        <w:keepNext w:val="0"/>
        <w:keepLines w:val="0"/>
        <w:pageBreakBefore w:val="0"/>
        <w:widowControl w:val="0"/>
        <w:kinsoku/>
        <w:wordWrap/>
        <w:overflowPunct/>
        <w:topLinePunct w:val="0"/>
        <w:autoSpaceDE/>
        <w:autoSpaceDN/>
        <w:bidi w:val="0"/>
        <w:adjustRightInd/>
        <w:snapToGrid/>
        <w:spacing w:before="157" w:beforeLines="50" w:line="540" w:lineRule="exact"/>
        <w:ind w:left="0" w:firstLine="640" w:firstLineChars="200"/>
        <w:textAlignment w:val="baseline"/>
      </w:pPr>
      <w:bookmarkStart w:id="0" w:name="_GoBack"/>
      <w:bookmarkEnd w:id="0"/>
      <w:r>
        <w:rPr>
          <w:rFonts w:ascii="Times New Roman" w:hAnsi="Times New Roman" w:eastAsia="仿宋_GB2312"/>
          <w:sz w:val="32"/>
          <w:szCs w:val="33"/>
        </w:rPr>
        <w:t>根据《中华人民共和国预算法》《中共四川省委 四川省人民政府关于全面实施预算绩效管理的实施意见》以及市第十届人大常委会第四次会议提出的</w:t>
      </w:r>
      <w:r>
        <w:rPr>
          <w:rFonts w:hint="eastAsia" w:ascii="Times New Roman" w:hAnsi="Times New Roman" w:eastAsia="仿宋_GB2312"/>
          <w:sz w:val="32"/>
          <w:szCs w:val="33"/>
          <w:lang w:eastAsia="zh-CN"/>
        </w:rPr>
        <w:t>“</w:t>
      </w:r>
      <w:r>
        <w:rPr>
          <w:rFonts w:ascii="Times New Roman" w:hAnsi="Times New Roman" w:eastAsia="仿宋_GB2312"/>
          <w:sz w:val="32"/>
          <w:szCs w:val="33"/>
        </w:rPr>
        <w:t>进一步完善财政支出绩效评价制度，尤其是对评价结果的运用制度</w:t>
      </w:r>
      <w:r>
        <w:rPr>
          <w:rFonts w:hint="eastAsia" w:ascii="Times New Roman" w:hAnsi="Times New Roman" w:eastAsia="仿宋_GB2312"/>
          <w:sz w:val="32"/>
          <w:szCs w:val="33"/>
          <w:lang w:eastAsia="zh-CN"/>
        </w:rPr>
        <w:t>”</w:t>
      </w:r>
      <w:r>
        <w:rPr>
          <w:rFonts w:ascii="Times New Roman" w:hAnsi="Times New Roman" w:eastAsia="仿宋_GB2312"/>
          <w:sz w:val="32"/>
          <w:szCs w:val="33"/>
        </w:rPr>
        <w:t>等要求，于20</w:t>
      </w:r>
      <w:r>
        <w:rPr>
          <w:rFonts w:hint="eastAsia" w:ascii="Times New Roman" w:hAnsi="Times New Roman" w:eastAsia="仿宋_GB2312"/>
          <w:sz w:val="32"/>
          <w:szCs w:val="33"/>
        </w:rPr>
        <w:t>2</w:t>
      </w:r>
      <w:r>
        <w:rPr>
          <w:rFonts w:ascii="Times New Roman" w:hAnsi="Times New Roman" w:eastAsia="仿宋_GB2312"/>
          <w:sz w:val="32"/>
          <w:szCs w:val="33"/>
        </w:rPr>
        <w:t>3年6月至7月对</w:t>
      </w:r>
      <w:r>
        <w:rPr>
          <w:rFonts w:hint="eastAsia" w:ascii="Times New Roman" w:hAnsi="Times New Roman" w:eastAsia="仿宋_GB2312"/>
          <w:sz w:val="32"/>
          <w:szCs w:val="33"/>
        </w:rPr>
        <w:t>2022年办案工作经费</w:t>
      </w:r>
      <w:r>
        <w:rPr>
          <w:rFonts w:ascii="Times New Roman" w:hAnsi="Times New Roman" w:eastAsia="仿宋_GB2312"/>
          <w:sz w:val="32"/>
          <w:szCs w:val="33"/>
        </w:rPr>
        <w:t>开展了绩效评价，现将有关情况报告如下。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Times New Roman" w:hAnsi="Times New Roman" w:eastAsia="黑体"/>
          <w:sz w:val="32"/>
          <w:szCs w:val="33"/>
        </w:rPr>
      </w:pPr>
      <w:r>
        <w:rPr>
          <w:rFonts w:ascii="Times New Roman" w:hAnsi="Times New Roman" w:eastAsia="黑体"/>
          <w:sz w:val="32"/>
          <w:szCs w:val="33"/>
        </w:rPr>
        <w:t>一、基本情况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rPr>
          <w:rFonts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（一）项目概况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Times New Roman" w:hAnsi="Times New Roman" w:eastAsia="仿宋_GB2312"/>
          <w:sz w:val="32"/>
          <w:szCs w:val="33"/>
          <w:lang w:val="en-US" w:eastAsia="zh-CN"/>
        </w:rPr>
      </w:pPr>
      <w:r>
        <w:rPr>
          <w:rFonts w:hint="eastAsia" w:ascii="Times New Roman" w:hAnsi="Times New Roman" w:eastAsia="仿宋_GB2312"/>
          <w:sz w:val="32"/>
          <w:szCs w:val="33"/>
        </w:rPr>
        <w:t>2022年办</w:t>
      </w:r>
      <w:r>
        <w:rPr>
          <w:rFonts w:hint="eastAsia" w:ascii="Times New Roman" w:hAnsi="Times New Roman" w:eastAsia="仿宋_GB2312" w:cs="Times New Roman"/>
          <w:kern w:val="2"/>
          <w:sz w:val="32"/>
          <w:szCs w:val="33"/>
          <w:lang w:val="en-US" w:eastAsia="zh-CN" w:bidi="ar-SA"/>
        </w:rPr>
        <w:t>案工作经费，</w:t>
      </w:r>
      <w:r>
        <w:rPr>
          <w:rFonts w:hint="eastAsia" w:ascii="Times New Roman" w:hAnsi="Times New Roman" w:eastAsia="仿宋_GB2312"/>
          <w:sz w:val="32"/>
          <w:szCs w:val="33"/>
          <w:lang w:val="en-US" w:eastAsia="zh-CN"/>
        </w:rPr>
        <w:t>主要用于区纪委监委第一至第四纪检监察室强化监督、执纪审查、调查处置及相关案件办理工作。2022年办案工作经费为153万元，截至2022年12月31日，该项目资金已支付141.13万元，支付率为92.24%。</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rPr>
          <w:rFonts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（二）项目绩效目标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Times New Roman" w:hAnsi="Times New Roman" w:eastAsia="仿宋_GB2312"/>
          <w:sz w:val="32"/>
          <w:szCs w:val="33"/>
          <w:highlight w:val="none"/>
          <w:lang w:eastAsia="zh-CN"/>
        </w:rPr>
      </w:pPr>
      <w:r>
        <w:rPr>
          <w:rFonts w:hint="eastAsia" w:ascii="Times New Roman" w:hAnsi="Times New Roman" w:eastAsia="仿宋_GB2312"/>
          <w:sz w:val="32"/>
          <w:szCs w:val="33"/>
          <w:highlight w:val="none"/>
        </w:rPr>
        <w:t>强化反腐工作力度，促进党风政风持续好转</w:t>
      </w:r>
      <w:r>
        <w:rPr>
          <w:rFonts w:hint="eastAsia" w:ascii="Times New Roman" w:hAnsi="Times New Roman" w:eastAsia="仿宋_GB2312"/>
          <w:sz w:val="32"/>
          <w:szCs w:val="33"/>
          <w:highlight w:val="none"/>
          <w:lang w:eastAsia="zh-CN"/>
        </w:rPr>
        <w:t>，</w:t>
      </w:r>
      <w:r>
        <w:rPr>
          <w:rFonts w:hint="eastAsia" w:ascii="Times New Roman" w:hAnsi="Times New Roman" w:eastAsia="仿宋_GB2312"/>
          <w:sz w:val="32"/>
          <w:szCs w:val="33"/>
          <w:highlight w:val="none"/>
        </w:rPr>
        <w:t>坚持有腐必反、有贪必肃，保持正风肃纪反腐高压态势，强化监督、执纪审查、调查处置等工作，以实际行动体现</w:t>
      </w:r>
      <w:r>
        <w:rPr>
          <w:rFonts w:hint="eastAsia" w:ascii="Times New Roman" w:hAnsi="Times New Roman" w:eastAsia="仿宋_GB2312"/>
          <w:sz w:val="32"/>
          <w:szCs w:val="33"/>
          <w:highlight w:val="none"/>
          <w:lang w:eastAsia="zh-CN"/>
        </w:rPr>
        <w:t>“</w:t>
      </w:r>
      <w:r>
        <w:rPr>
          <w:rFonts w:hint="eastAsia" w:ascii="Times New Roman" w:hAnsi="Times New Roman" w:eastAsia="仿宋_GB2312"/>
          <w:sz w:val="32"/>
          <w:szCs w:val="33"/>
          <w:highlight w:val="none"/>
        </w:rPr>
        <w:t>四个意识</w:t>
      </w:r>
      <w:r>
        <w:rPr>
          <w:rFonts w:hint="eastAsia" w:ascii="Times New Roman" w:hAnsi="Times New Roman" w:eastAsia="仿宋_GB2312"/>
          <w:sz w:val="32"/>
          <w:szCs w:val="33"/>
          <w:highlight w:val="none"/>
          <w:lang w:eastAsia="zh-CN"/>
        </w:rPr>
        <w:t>”。</w:t>
      </w:r>
      <w:r>
        <w:rPr>
          <w:rFonts w:hint="eastAsia" w:ascii="Times New Roman" w:hAnsi="Times New Roman" w:eastAsia="仿宋_GB2312"/>
          <w:sz w:val="32"/>
          <w:szCs w:val="33"/>
          <w:highlight w:val="none"/>
          <w:lang w:val="zh-CN"/>
        </w:rPr>
        <w:t>预计完成党纪政务立案60件（人），其中，留置案件10件（人），普通党纪政务案件立案50件（人）。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Times New Roman" w:hAnsi="Times New Roman" w:eastAsia="黑体"/>
          <w:sz w:val="32"/>
          <w:szCs w:val="33"/>
        </w:rPr>
      </w:pPr>
      <w:r>
        <w:rPr>
          <w:rFonts w:ascii="Times New Roman" w:hAnsi="Times New Roman" w:eastAsia="黑体"/>
          <w:sz w:val="32"/>
          <w:szCs w:val="33"/>
        </w:rPr>
        <w:t>二、绩效评价工作开展情况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rPr>
          <w:rFonts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（一）绩效评价目的、对象和范围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3"/>
        </w:rPr>
      </w:pPr>
      <w:r>
        <w:rPr>
          <w:rFonts w:hint="eastAsia" w:ascii="Times New Roman" w:hAnsi="Times New Roman" w:eastAsia="仿宋_GB2312"/>
          <w:sz w:val="32"/>
          <w:szCs w:val="33"/>
        </w:rPr>
        <w:t>从决策、过程、产出、效益、满意度等维度对2022年办案工作经费</w:t>
      </w:r>
      <w:r>
        <w:rPr>
          <w:rFonts w:ascii="Times New Roman" w:hAnsi="Times New Roman" w:eastAsia="仿宋_GB2312"/>
          <w:sz w:val="32"/>
          <w:szCs w:val="33"/>
        </w:rPr>
        <w:t>项目</w:t>
      </w:r>
      <w:r>
        <w:rPr>
          <w:rFonts w:hint="eastAsia" w:ascii="Times New Roman" w:hAnsi="Times New Roman" w:eastAsia="仿宋_GB2312"/>
          <w:sz w:val="32"/>
          <w:szCs w:val="33"/>
        </w:rPr>
        <w:t>的管理、审核和目标达成情况进行绩效评价，旨在总结工作成绩，发现实施管理中存在的问题和不足，提出改进意见和建议，强化项目管理，提高财政资金使用效益。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_GBK" w:hAnsi="方正楷体_GBK" w:eastAsia="楷体_GB2312" w:cs="方正楷体_GBK"/>
          <w:sz w:val="32"/>
          <w:szCs w:val="33"/>
        </w:rPr>
      </w:pPr>
      <w:r>
        <w:rPr>
          <w:rFonts w:hint="eastAsia" w:ascii="方正楷体_GBK" w:hAnsi="方正楷体_GBK" w:eastAsia="楷体_GB2312" w:cs="方正楷体_GBK"/>
          <w:b/>
          <w:bCs/>
          <w:sz w:val="32"/>
          <w:szCs w:val="33"/>
        </w:rPr>
        <w:t>（二）年度绩效评价原则、评价指标体系、评价方法、评价标准等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olor w:val="000000"/>
          <w:szCs w:val="32"/>
        </w:rPr>
      </w:pPr>
      <w:r>
        <w:rPr>
          <w:rFonts w:hint="eastAsia" w:ascii="Times New Roman" w:hAnsi="Times New Roman" w:eastAsia="仿宋_GB2312"/>
          <w:sz w:val="32"/>
          <w:szCs w:val="33"/>
        </w:rPr>
        <w:t>本次绩效评价秉承科学公正、统筹兼顾、公开透明等原则，坚持定量与定性相结合的方式，综合运用成本效益分析法、比较法、因素分析法、公众评判法、标杆管理法等，分别依据计划标准、行业标准、历史标准等评价标准，对2022年办案工作经费进行全面绩效评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hAnsi="楷体_GB2312" w:eastAsia="楷体_GB2312" w:cs="楷体_GB2312"/>
          <w:b/>
          <w:bCs/>
          <w:sz w:val="32"/>
          <w:szCs w:val="33"/>
        </w:rPr>
      </w:pPr>
      <w:r>
        <w:rPr>
          <w:rFonts w:hint="eastAsia" w:ascii="方正楷体_GBK" w:hAnsi="方正楷体_GBK" w:eastAsia="楷体_GB2312" w:cs="方正楷体_GBK"/>
          <w:b/>
          <w:bCs/>
          <w:sz w:val="32"/>
          <w:szCs w:val="33"/>
        </w:rPr>
        <w:t>（三）绩效评价方法及过程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3"/>
        </w:rPr>
      </w:pPr>
      <w:r>
        <w:rPr>
          <w:rFonts w:hint="eastAsia" w:ascii="Times New Roman" w:hAnsi="Times New Roman" w:eastAsia="仿宋_GB2312"/>
          <w:sz w:val="32"/>
          <w:szCs w:val="33"/>
        </w:rPr>
        <w:t>区财政局根据财政支出绩效评价指标体系及项目的实际情况设计指标体系进行评价，组织相关人员对该项目进行评价检查。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33"/>
        </w:rPr>
      </w:pPr>
      <w:r>
        <w:rPr>
          <w:rFonts w:hint="eastAsia" w:ascii="Times New Roman" w:hAnsi="Times New Roman" w:eastAsia="仿宋_GB2312"/>
          <w:b/>
          <w:bCs/>
          <w:sz w:val="32"/>
          <w:szCs w:val="33"/>
        </w:rPr>
        <w:t>1.资料收集。</w:t>
      </w:r>
      <w:r>
        <w:rPr>
          <w:rFonts w:hint="eastAsia" w:ascii="Times New Roman" w:hAnsi="Times New Roman" w:eastAsia="仿宋_GB2312"/>
          <w:spacing w:val="-6"/>
          <w:sz w:val="32"/>
          <w:szCs w:val="33"/>
        </w:rPr>
        <w:t>梳理项目资料，核实项目情况，统计项目数据。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33"/>
          <w:highlight w:val="none"/>
        </w:rPr>
      </w:pPr>
      <w:r>
        <w:rPr>
          <w:rFonts w:hint="eastAsia" w:ascii="Times New Roman" w:hAnsi="Times New Roman" w:eastAsia="仿宋_GB2312"/>
          <w:b/>
          <w:bCs/>
          <w:sz w:val="32"/>
          <w:szCs w:val="33"/>
        </w:rPr>
        <w:t>2.绩效评价。</w:t>
      </w:r>
      <w:r>
        <w:rPr>
          <w:rFonts w:hint="eastAsia" w:ascii="Times New Roman" w:hAnsi="Times New Roman" w:eastAsia="仿宋_GB2312"/>
          <w:sz w:val="32"/>
          <w:szCs w:val="33"/>
        </w:rPr>
        <w:t>根据资料收集的情况，按照支出绩效评价指标体系，以定量与定性相结合的方式，对项目绩效情况进行判断，对项目存在的问题进行分析，</w:t>
      </w:r>
      <w:r>
        <w:rPr>
          <w:rFonts w:hint="eastAsia" w:ascii="Times New Roman" w:hAnsi="Times New Roman" w:eastAsia="仿宋_GB2312"/>
          <w:sz w:val="32"/>
          <w:szCs w:val="33"/>
          <w:highlight w:val="none"/>
        </w:rPr>
        <w:t>对各项考评指标进行</w:t>
      </w:r>
      <w:r>
        <w:rPr>
          <w:rFonts w:hint="eastAsia" w:ascii="Times New Roman" w:hAnsi="Times New Roman" w:eastAsia="仿宋_GB2312"/>
          <w:sz w:val="32"/>
          <w:szCs w:val="33"/>
          <w:highlight w:val="none"/>
          <w:lang w:eastAsia="zh-CN"/>
        </w:rPr>
        <w:t>评价</w:t>
      </w:r>
      <w:r>
        <w:rPr>
          <w:rFonts w:hint="eastAsia" w:ascii="Times New Roman" w:hAnsi="Times New Roman" w:eastAsia="仿宋_GB2312"/>
          <w:sz w:val="32"/>
          <w:szCs w:val="33"/>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33"/>
        </w:rPr>
      </w:pPr>
      <w:r>
        <w:rPr>
          <w:rFonts w:hint="eastAsia" w:ascii="Times New Roman" w:hAnsi="Times New Roman" w:eastAsia="仿宋_GB2312"/>
          <w:b/>
          <w:bCs/>
          <w:sz w:val="32"/>
          <w:szCs w:val="33"/>
        </w:rPr>
        <w:t>3.撰写报告。</w:t>
      </w:r>
      <w:r>
        <w:rPr>
          <w:rFonts w:hint="eastAsia" w:ascii="Times New Roman" w:hAnsi="Times New Roman" w:eastAsia="仿宋_GB2312"/>
          <w:sz w:val="32"/>
          <w:szCs w:val="33"/>
        </w:rPr>
        <w:t>结合项目定性与定量评价分析，得出评价结论，并撰写评价报告。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3"/>
        </w:rPr>
      </w:pPr>
      <w:r>
        <w:rPr>
          <w:rFonts w:ascii="Times New Roman" w:hAnsi="Times New Roman" w:eastAsia="黑体"/>
          <w:sz w:val="32"/>
          <w:szCs w:val="33"/>
        </w:rPr>
        <w:t>三、综合评价情况及评价结论（附相关评分表）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3"/>
        </w:rPr>
      </w:pPr>
      <w:r>
        <w:rPr>
          <w:rFonts w:ascii="Times New Roman" w:hAnsi="Times New Roman" w:eastAsia="仿宋_GB2312"/>
          <w:sz w:val="32"/>
          <w:szCs w:val="33"/>
        </w:rPr>
        <w:t>总体来看</w:t>
      </w:r>
      <w:r>
        <w:rPr>
          <w:rFonts w:hint="eastAsia" w:ascii="Times New Roman" w:hAnsi="Times New Roman" w:eastAsia="仿宋_GB2312"/>
          <w:sz w:val="32"/>
          <w:szCs w:val="33"/>
        </w:rPr>
        <w:t>，2022年办案工作经费</w:t>
      </w:r>
      <w:r>
        <w:rPr>
          <w:rFonts w:hint="eastAsia" w:ascii="Times New Roman" w:hAnsi="Times New Roman" w:eastAsia="仿宋_GB2312"/>
          <w:sz w:val="32"/>
          <w:szCs w:val="33"/>
          <w:highlight w:val="none"/>
          <w:lang w:eastAsia="zh-CN"/>
        </w:rPr>
        <w:t>在</w:t>
      </w:r>
      <w:r>
        <w:rPr>
          <w:rFonts w:hint="eastAsia" w:ascii="Times New Roman" w:hAnsi="Times New Roman" w:eastAsia="仿宋_GB2312"/>
          <w:sz w:val="32"/>
          <w:szCs w:val="33"/>
          <w:highlight w:val="none"/>
        </w:rPr>
        <w:t>分配方法制定、分配要素设定等方面较为科学合理，财务管理制度</w:t>
      </w:r>
      <w:r>
        <w:rPr>
          <w:rFonts w:hint="eastAsia" w:ascii="Times New Roman" w:hAnsi="Times New Roman" w:eastAsia="仿宋_GB2312"/>
          <w:sz w:val="32"/>
          <w:szCs w:val="33"/>
          <w:highlight w:val="none"/>
          <w:lang w:eastAsia="zh-CN"/>
        </w:rPr>
        <w:t>完善，</w:t>
      </w:r>
      <w:r>
        <w:rPr>
          <w:rFonts w:hint="eastAsia" w:ascii="Times New Roman" w:hAnsi="Times New Roman" w:eastAsia="仿宋_GB2312"/>
          <w:sz w:val="32"/>
          <w:szCs w:val="33"/>
          <w:highlight w:val="none"/>
        </w:rPr>
        <w:t>分配结果公平合理。项目开展</w:t>
      </w:r>
      <w:r>
        <w:rPr>
          <w:rFonts w:hint="eastAsia" w:ascii="Times New Roman" w:hAnsi="Times New Roman" w:eastAsia="仿宋_GB2312"/>
          <w:sz w:val="32"/>
          <w:szCs w:val="33"/>
        </w:rPr>
        <w:t>后</w:t>
      </w:r>
      <w:r>
        <w:rPr>
          <w:rFonts w:hint="eastAsia" w:ascii="Times New Roman" w:hAnsi="Times New Roman" w:eastAsia="仿宋_GB2312"/>
          <w:sz w:val="32"/>
          <w:szCs w:val="33"/>
          <w:lang w:eastAsia="zh-CN"/>
        </w:rPr>
        <w:t>，</w:t>
      </w:r>
      <w:r>
        <w:rPr>
          <w:rFonts w:hint="eastAsia" w:ascii="Times New Roman" w:hAnsi="Times New Roman" w:eastAsia="仿宋_GB2312"/>
          <w:sz w:val="32"/>
          <w:szCs w:val="33"/>
          <w:lang w:val="zh-CN"/>
        </w:rPr>
        <w:t>党风政风持续向好，充分发挥了案件的震慑作用</w:t>
      </w:r>
      <w:r>
        <w:rPr>
          <w:rFonts w:hint="eastAsia" w:ascii="Times New Roman" w:hAnsi="Times New Roman" w:eastAsia="仿宋_GB2312"/>
          <w:sz w:val="32"/>
          <w:szCs w:val="33"/>
        </w:rPr>
        <w:t>，工作开展成效明显，资金使用绩效较好。评价得分98.5分。</w:t>
      </w:r>
    </w:p>
    <w:p>
      <w:pPr>
        <w:adjustRightInd w:val="0"/>
        <w:snapToGrid w:val="0"/>
        <w:spacing w:before="93" w:beforeLines="30" w:after="93" w:afterLines="30"/>
        <w:jc w:val="center"/>
        <w:rPr>
          <w:rFonts w:ascii="Times New Roman" w:hAnsi="Times New Roman"/>
          <w:szCs w:val="32"/>
        </w:rPr>
      </w:pPr>
      <w:r>
        <w:rPr>
          <w:rFonts w:hint="eastAsia" w:ascii="Times New Roman" w:hAnsi="Times New Roman"/>
          <w:b/>
          <w:sz w:val="24"/>
          <w:szCs w:val="32"/>
          <w:lang w:val="zh-CN"/>
        </w:rPr>
        <w:t>2022年办案工作经费项目资金</w:t>
      </w:r>
      <w:r>
        <w:rPr>
          <w:rFonts w:ascii="Times New Roman" w:hAnsi="Times New Roman"/>
          <w:b/>
          <w:sz w:val="24"/>
          <w:szCs w:val="32"/>
          <w:lang w:val="zh-CN"/>
        </w:rPr>
        <w:t>绩效得分表</w:t>
      </w:r>
    </w:p>
    <w:tbl>
      <w:tblPr>
        <w:tblStyle w:val="12"/>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1724"/>
        <w:gridCol w:w="2460"/>
        <w:gridCol w:w="1361"/>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Align w:val="center"/>
          </w:tcPr>
          <w:p>
            <w:pPr>
              <w:adjustRightInd w:val="0"/>
              <w:snapToGrid w:val="0"/>
              <w:jc w:val="center"/>
              <w:rPr>
                <w:rFonts w:ascii="Times New Roman" w:hAnsi="Times New Roman"/>
                <w:b/>
                <w:sz w:val="20"/>
                <w:szCs w:val="20"/>
              </w:rPr>
            </w:pPr>
            <w:r>
              <w:rPr>
                <w:rFonts w:ascii="Times New Roman" w:hAnsi="Times New Roman"/>
                <w:b/>
                <w:sz w:val="20"/>
                <w:szCs w:val="20"/>
              </w:rPr>
              <w:t>一级指标</w:t>
            </w:r>
            <w:r>
              <w:rPr>
                <w:rFonts w:ascii="Times New Roman" w:hAnsi="Times New Roman"/>
                <w:b/>
                <w:sz w:val="20"/>
                <w:szCs w:val="20"/>
              </w:rPr>
              <mc:AlternateContent>
                <mc:Choice Requires="wps">
                  <w:drawing>
                    <wp:anchor distT="0" distB="0" distL="114300" distR="114300" simplePos="0" relativeHeight="251673600"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21" name="直接连接符 2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73600;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kgDltUAAAAJAQAADwAAAAAAAAABACAAAAAiAAAAZHJzL2Rvd25yZXYueG1sUEsBAhQAFAAAAAgA&#10;h07iQMVkQBjvAQAA5AMAAA4AAAAAAAAAAQAgAAAAJAEAAGRycy9lMm9Eb2MueG1sUEsFBgAAAAAG&#10;AAYAWQEAAIUFAAAAAA==&#10;">
                      <v:fill on="f" focussize="0,0"/>
                      <v:stroke color="#000000" joinstyle="round"/>
                      <v:imagedata o:title=""/>
                      <o:lock v:ext="edit" aspectratio="f"/>
                    </v:line>
                  </w:pict>
                </mc:Fallback>
              </mc:AlternateContent>
            </w:r>
            <w:r>
              <w:rPr>
                <w:rFonts w:ascii="Times New Roman" w:hAnsi="Times New Roman"/>
                <w:b/>
                <w:sz w:val="20"/>
                <w:szCs w:val="20"/>
              </w:rPr>
              <mc:AlternateContent>
                <mc:Choice Requires="wps">
                  <w:drawing>
                    <wp:anchor distT="0" distB="0" distL="114300" distR="114300" simplePos="0" relativeHeight="251674624"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74624;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kgDl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ascii="Times New Roman" w:hAnsi="Times New Roman"/>
                <w:b/>
                <w:sz w:val="20"/>
                <w:szCs w:val="20"/>
              </w:rPr>
              <mc:AlternateContent>
                <mc:Choice Requires="wps">
                  <w:drawing>
                    <wp:anchor distT="0" distB="0" distL="114300" distR="114300" simplePos="0" relativeHeight="251675648"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23" name="直接连接符 2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75648;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kgDltUAAAAJAQAADwAAAAAAAAABACAAAAAiAAAAZHJzL2Rvd25yZXYueG1sUEsBAhQAFAAAAAgA&#10;h07iQLRxZ3PvAQAA5AMAAA4AAAAAAAAAAQAgAAAAJAEAAGRycy9lMm9Eb2MueG1sUEsFBgAAAAAG&#10;AAYAWQEAAIUFAAAAAA==&#10;">
                      <v:fill on="f" focussize="0,0"/>
                      <v:stroke color="#000000" joinstyle="round"/>
                      <v:imagedata o:title=""/>
                      <o:lock v:ext="edit" aspectratio="f"/>
                    </v:line>
                  </w:pict>
                </mc:Fallback>
              </mc:AlternateContent>
            </w:r>
            <w:r>
              <w:rPr>
                <w:rFonts w:ascii="Times New Roman" w:hAnsi="Times New Roman"/>
                <w:b/>
                <w:sz w:val="20"/>
                <w:szCs w:val="20"/>
              </w:rPr>
              <mc:AlternateContent>
                <mc:Choice Requires="wps">
                  <w:drawing>
                    <wp:anchor distT="0" distB="0" distL="114300" distR="114300" simplePos="0" relativeHeight="251676672"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24" name="直接连接符 2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76672;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kgDltUAAAAJAQAADwAAAAAAAAABACAAAAAiAAAAZHJzL2Rvd25yZXYueG1sUEsBAhQAFAAAAAgA&#10;h07iQL9HJRbvAQAA5AMAAA4AAAAAAAAAAQAgAAAAJAEAAGRycy9lMm9Eb2MueG1sUEsFBgAAAAAG&#10;AAYAWQEAAIUFAAAAAA==&#10;">
                      <v:fill on="f" focussize="0,0"/>
                      <v:stroke color="#000000" joinstyle="round"/>
                      <v:imagedata o:title=""/>
                      <o:lock v:ext="edit" aspectratio="f"/>
                    </v:line>
                  </w:pict>
                </mc:Fallback>
              </mc:AlternateContent>
            </w:r>
          </w:p>
        </w:tc>
        <w:tc>
          <w:tcPr>
            <w:tcW w:w="1724" w:type="dxa"/>
            <w:vAlign w:val="center"/>
          </w:tcPr>
          <w:p>
            <w:pPr>
              <w:adjustRightInd w:val="0"/>
              <w:snapToGrid w:val="0"/>
              <w:jc w:val="center"/>
              <w:rPr>
                <w:rFonts w:ascii="Times New Roman" w:hAnsi="Times New Roman"/>
                <w:b/>
                <w:sz w:val="20"/>
                <w:szCs w:val="20"/>
              </w:rPr>
            </w:pPr>
            <w:r>
              <w:rPr>
                <w:rFonts w:ascii="Times New Roman" w:hAnsi="Times New Roman"/>
                <w:b/>
                <w:sz w:val="20"/>
                <w:szCs w:val="20"/>
              </w:rPr>
              <w:t>二级指标</w:t>
            </w:r>
          </w:p>
        </w:tc>
        <w:tc>
          <w:tcPr>
            <w:tcW w:w="2460" w:type="dxa"/>
            <w:vAlign w:val="center"/>
          </w:tcPr>
          <w:p>
            <w:pPr>
              <w:adjustRightInd w:val="0"/>
              <w:snapToGrid w:val="0"/>
              <w:jc w:val="center"/>
              <w:rPr>
                <w:rFonts w:ascii="Times New Roman" w:hAnsi="Times New Roman"/>
                <w:b/>
                <w:sz w:val="20"/>
                <w:szCs w:val="20"/>
              </w:rPr>
            </w:pPr>
            <w:r>
              <w:rPr>
                <w:rFonts w:ascii="Times New Roman" w:hAnsi="Times New Roman"/>
                <w:b/>
                <w:sz w:val="20"/>
                <w:szCs w:val="20"/>
              </w:rPr>
              <w:t>三级指标</w:t>
            </w:r>
          </w:p>
        </w:tc>
        <w:tc>
          <w:tcPr>
            <w:tcW w:w="1361" w:type="dxa"/>
            <w:vAlign w:val="center"/>
          </w:tcPr>
          <w:p>
            <w:pPr>
              <w:adjustRightInd w:val="0"/>
              <w:snapToGrid w:val="0"/>
              <w:jc w:val="center"/>
              <w:rPr>
                <w:rFonts w:ascii="Times New Roman" w:hAnsi="Times New Roman"/>
                <w:b/>
                <w:sz w:val="20"/>
                <w:szCs w:val="20"/>
              </w:rPr>
            </w:pPr>
            <w:r>
              <w:rPr>
                <w:rFonts w:ascii="Times New Roman" w:hAnsi="Times New Roman"/>
                <w:b/>
                <w:sz w:val="20"/>
                <w:szCs w:val="20"/>
              </w:rPr>
              <w:t>分值</w:t>
            </w:r>
          </w:p>
        </w:tc>
        <w:tc>
          <w:tcPr>
            <w:tcW w:w="1155" w:type="dxa"/>
            <w:vAlign w:val="center"/>
          </w:tcPr>
          <w:p>
            <w:pPr>
              <w:adjustRightInd w:val="0"/>
              <w:snapToGrid w:val="0"/>
              <w:jc w:val="center"/>
              <w:rPr>
                <w:rFonts w:ascii="Times New Roman" w:hAnsi="Times New Roman"/>
                <w:b/>
                <w:sz w:val="20"/>
                <w:szCs w:val="20"/>
              </w:rPr>
            </w:pPr>
            <w:r>
              <w:rPr>
                <w:rFonts w:ascii="Times New Roman" w:hAnsi="Times New Roman"/>
                <w:b/>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restart"/>
            <w:vAlign w:val="center"/>
          </w:tcPr>
          <w:p>
            <w:pPr>
              <w:adjustRightInd w:val="0"/>
              <w:snapToGrid w:val="0"/>
              <w:spacing w:line="260" w:lineRule="exact"/>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项目决策</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（20分）</w:t>
            </w:r>
          </w:p>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p>
          <w:p>
            <w:pPr>
              <w:adjustRightInd w:val="0"/>
              <w:snapToGrid w:val="0"/>
              <w:spacing w:line="260" w:lineRule="exact"/>
              <w:rPr>
                <w:rFonts w:ascii="Times New Roman" w:hAnsi="Times New Roman"/>
                <w:sz w:val="20"/>
                <w:szCs w:val="20"/>
              </w:rPr>
            </w:pPr>
          </w:p>
        </w:tc>
        <w:tc>
          <w:tcPr>
            <w:tcW w:w="1724" w:type="dxa"/>
            <w:vMerge w:val="restart"/>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绩效目标</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（6分）</w:t>
            </w: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目标内容</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进度计划</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hint="eastAsia"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目标匹配</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restart"/>
            <w:vAlign w:val="center"/>
          </w:tcPr>
          <w:p>
            <w:pPr>
              <w:adjustRightInd w:val="0"/>
              <w:snapToGrid w:val="0"/>
              <w:spacing w:line="260" w:lineRule="exact"/>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决策依据</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（10分）</w:t>
            </w:r>
          </w:p>
          <w:p>
            <w:pPr>
              <w:adjustRightInd w:val="0"/>
              <w:snapToGrid w:val="0"/>
              <w:spacing w:line="260" w:lineRule="exact"/>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政策依据</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程序严密</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结果符合</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实施规划</w:t>
            </w:r>
          </w:p>
        </w:tc>
        <w:tc>
          <w:tcPr>
            <w:tcW w:w="1361" w:type="dxa"/>
            <w:vAlign w:val="center"/>
          </w:tcPr>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4</w:t>
            </w:r>
          </w:p>
        </w:tc>
        <w:tc>
          <w:tcPr>
            <w:tcW w:w="1155" w:type="dxa"/>
            <w:vAlign w:val="center"/>
          </w:tcPr>
          <w:p>
            <w:pPr>
              <w:spacing w:line="260" w:lineRule="exact"/>
              <w:jc w:val="center"/>
              <w:rPr>
                <w:rFonts w:ascii="Times New Roman" w:hAnsi="Times New Roman"/>
                <w:color w:val="000000"/>
                <w:sz w:val="20"/>
                <w:szCs w:val="20"/>
              </w:rPr>
            </w:pPr>
            <w:r>
              <w:rPr>
                <w:rFonts w:hint="eastAsia" w:ascii="Times New Roman" w:hAnsi="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restart"/>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分配结果</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（4分）</w:t>
            </w: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分配过程</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审核把关</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restart"/>
            <w:vAlign w:val="center"/>
          </w:tcPr>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项目管理</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（15分）</w:t>
            </w:r>
          </w:p>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p>
        </w:tc>
        <w:tc>
          <w:tcPr>
            <w:tcW w:w="1724" w:type="dxa"/>
            <w:vMerge w:val="restart"/>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资金到位</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（4分）</w:t>
            </w: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分配时效</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hint="eastAsia"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资金拨付</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hint="eastAsia" w:ascii="Times New Roman" w:hAnsi="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restart"/>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资金管理</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（3分）</w:t>
            </w: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使用范围</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支付依据</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开支标准</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restart"/>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财务管理</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（4分）</w:t>
            </w: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财务制度</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会计核算</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restart"/>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组织实施</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（4分）</w:t>
            </w: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项目调整</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投资变更</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制度执行</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restart"/>
            <w:vAlign w:val="center"/>
          </w:tcPr>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p>
          <w:p>
            <w:pPr>
              <w:pStyle w:val="2"/>
              <w:spacing w:line="260" w:lineRule="exact"/>
              <w:rPr>
                <w:rFonts w:ascii="Times New Roman" w:hAnsi="Times New Roman"/>
                <w:sz w:val="20"/>
                <w:szCs w:val="20"/>
              </w:rPr>
            </w:pPr>
          </w:p>
          <w:p>
            <w:pPr>
              <w:pStyle w:val="3"/>
              <w:spacing w:line="260" w:lineRule="exact"/>
            </w:pP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项目绩效</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（特性指标65分）</w:t>
            </w:r>
          </w:p>
          <w:p>
            <w:pPr>
              <w:adjustRightInd w:val="0"/>
              <w:snapToGrid w:val="0"/>
              <w:spacing w:line="260" w:lineRule="exact"/>
              <w:jc w:val="center"/>
              <w:rPr>
                <w:rFonts w:ascii="Times New Roman" w:hAnsi="Times New Roman"/>
                <w:sz w:val="20"/>
                <w:szCs w:val="20"/>
              </w:rPr>
            </w:pPr>
          </w:p>
          <w:p>
            <w:pPr>
              <w:pStyle w:val="2"/>
              <w:spacing w:line="260" w:lineRule="exact"/>
              <w:rPr>
                <w:rFonts w:ascii="Times New Roman" w:hAnsi="Times New Roman"/>
                <w:sz w:val="20"/>
                <w:szCs w:val="20"/>
              </w:rPr>
            </w:pPr>
          </w:p>
          <w:p>
            <w:pPr>
              <w:adjustRightInd w:val="0"/>
              <w:snapToGrid w:val="0"/>
              <w:spacing w:line="260" w:lineRule="exact"/>
              <w:rPr>
                <w:rFonts w:ascii="Times New Roman" w:hAnsi="Times New Roman"/>
                <w:sz w:val="20"/>
                <w:szCs w:val="20"/>
              </w:rPr>
            </w:pPr>
          </w:p>
        </w:tc>
        <w:tc>
          <w:tcPr>
            <w:tcW w:w="1724" w:type="dxa"/>
            <w:vMerge w:val="restart"/>
            <w:vAlign w:val="center"/>
          </w:tcPr>
          <w:p>
            <w:pPr>
              <w:adjustRightInd w:val="0"/>
              <w:snapToGrid w:val="0"/>
              <w:spacing w:line="260" w:lineRule="exact"/>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项目完成</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（20分）</w:t>
            </w:r>
          </w:p>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完成数量</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完成质量</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完成时效</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完成成本</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违规纪律</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restart"/>
            <w:vAlign w:val="center"/>
          </w:tcPr>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项目效益</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（40分）</w:t>
            </w:r>
          </w:p>
          <w:p>
            <w:pPr>
              <w:adjustRightInd w:val="0"/>
              <w:snapToGrid w:val="0"/>
              <w:spacing w:line="260" w:lineRule="exact"/>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经济效益</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10</w:t>
            </w:r>
          </w:p>
        </w:tc>
        <w:tc>
          <w:tcPr>
            <w:tcW w:w="1155" w:type="dxa"/>
            <w:vAlign w:val="center"/>
          </w:tcPr>
          <w:p>
            <w:pPr>
              <w:spacing w:line="260" w:lineRule="exact"/>
              <w:jc w:val="center"/>
              <w:rPr>
                <w:rFonts w:ascii="Times New Roman" w:hAnsi="Times New Roman"/>
                <w:color w:val="000000"/>
                <w:sz w:val="20"/>
                <w:szCs w:val="20"/>
              </w:rPr>
            </w:pPr>
            <w:r>
              <w:rPr>
                <w:rFonts w:hint="eastAsia" w:ascii="Times New Roman" w:hAnsi="Times New Roman"/>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社会效益</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10</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生态效益</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10</w:t>
            </w:r>
          </w:p>
        </w:tc>
        <w:tc>
          <w:tcPr>
            <w:tcW w:w="1155" w:type="dxa"/>
            <w:vAlign w:val="center"/>
          </w:tcPr>
          <w:p>
            <w:pPr>
              <w:spacing w:line="260" w:lineRule="exact"/>
              <w:jc w:val="center"/>
              <w:rPr>
                <w:rFonts w:ascii="Times New Roman" w:hAnsi="Times New Roman"/>
                <w:color w:val="000000"/>
                <w:sz w:val="20"/>
                <w:szCs w:val="20"/>
              </w:rPr>
            </w:pPr>
            <w:r>
              <w:rPr>
                <w:rFonts w:hint="eastAsia" w:ascii="Times New Roman" w:hAnsi="Times New Roman"/>
                <w:color w:val="000000"/>
                <w:sz w:val="20"/>
                <w:szCs w:val="20"/>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可持续效益</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10</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满意度</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（5分）</w:t>
            </w: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服务对象满意度</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5</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122" w:type="dxa"/>
            <w:gridSpan w:val="3"/>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合　　　　计</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100</w:t>
            </w:r>
          </w:p>
        </w:tc>
        <w:tc>
          <w:tcPr>
            <w:tcW w:w="1155" w:type="dxa"/>
            <w:vAlign w:val="center"/>
          </w:tcPr>
          <w:p>
            <w:pPr>
              <w:widowControl/>
              <w:spacing w:line="260" w:lineRule="exact"/>
              <w:jc w:val="center"/>
              <w:textAlignment w:val="center"/>
              <w:rPr>
                <w:rFonts w:ascii="Times New Roman" w:hAnsi="Times New Roman"/>
                <w:sz w:val="20"/>
                <w:szCs w:val="20"/>
              </w:rPr>
            </w:pPr>
            <w:r>
              <w:rPr>
                <w:rFonts w:hint="eastAsia" w:ascii="Times New Roman" w:hAnsi="Times New Roman"/>
                <w:sz w:val="20"/>
                <w:szCs w:val="20"/>
              </w:rPr>
              <w:t>98.5</w:t>
            </w:r>
          </w:p>
        </w:tc>
      </w:tr>
    </w:tbl>
    <w:p>
      <w:pPr>
        <w:keepNext w:val="0"/>
        <w:keepLines w:val="0"/>
        <w:pageBreakBefore w:val="0"/>
        <w:kinsoku/>
        <w:wordWrap/>
        <w:overflowPunct/>
        <w:topLinePunct w:val="0"/>
        <w:autoSpaceDE/>
        <w:autoSpaceDN/>
        <w:bidi w:val="0"/>
        <w:spacing w:line="540" w:lineRule="exact"/>
        <w:ind w:firstLine="640" w:firstLineChars="200"/>
        <w:rPr>
          <w:rFonts w:ascii="Times New Roman" w:hAnsi="Times New Roman" w:eastAsia="黑体"/>
          <w:sz w:val="32"/>
          <w:szCs w:val="33"/>
        </w:rPr>
      </w:pPr>
      <w:r>
        <w:rPr>
          <w:rFonts w:hint="eastAsia" w:ascii="Times New Roman" w:hAnsi="Times New Roman" w:eastAsia="黑体"/>
          <w:sz w:val="32"/>
          <w:szCs w:val="33"/>
        </w:rPr>
        <w:t>四、</w:t>
      </w:r>
      <w:r>
        <w:rPr>
          <w:rFonts w:ascii="Times New Roman" w:hAnsi="Times New Roman" w:eastAsia="黑体"/>
          <w:sz w:val="32"/>
          <w:szCs w:val="33"/>
        </w:rPr>
        <w:t>绩效评价指标分析</w:t>
      </w:r>
    </w:p>
    <w:p>
      <w:pPr>
        <w:keepNext w:val="0"/>
        <w:keepLines w:val="0"/>
        <w:pageBreakBefore w:val="0"/>
        <w:kinsoku/>
        <w:wordWrap/>
        <w:overflowPunct/>
        <w:topLinePunct w:val="0"/>
        <w:autoSpaceDE/>
        <w:autoSpaceDN/>
        <w:bidi w:val="0"/>
        <w:spacing w:line="540" w:lineRule="exact"/>
        <w:ind w:firstLine="643" w:firstLineChars="200"/>
        <w:rPr>
          <w:rFonts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（一）项目决策情况</w:t>
      </w:r>
    </w:p>
    <w:p>
      <w:pPr>
        <w:keepNext w:val="0"/>
        <w:keepLines w:val="0"/>
        <w:pageBreakBefore w:val="0"/>
        <w:kinsoku/>
        <w:wordWrap/>
        <w:overflowPunct/>
        <w:topLinePunct w:val="0"/>
        <w:autoSpaceDE/>
        <w:autoSpaceDN/>
        <w:bidi w:val="0"/>
        <w:spacing w:line="540" w:lineRule="exact"/>
        <w:ind w:firstLine="640" w:firstLineChars="200"/>
        <w:rPr>
          <w:rFonts w:ascii="Times New Roman" w:hAnsi="Times New Roman" w:eastAsia="仿宋_GB2312"/>
          <w:sz w:val="32"/>
          <w:szCs w:val="33"/>
        </w:rPr>
      </w:pPr>
      <w:r>
        <w:rPr>
          <w:rFonts w:hint="eastAsia" w:ascii="Times New Roman" w:hAnsi="Times New Roman" w:eastAsia="仿宋_GB2312"/>
          <w:sz w:val="32"/>
          <w:szCs w:val="33"/>
        </w:rPr>
        <w:t>2022年初，结合</w:t>
      </w:r>
      <w:r>
        <w:rPr>
          <w:rFonts w:hint="eastAsia" w:ascii="Times New Roman" w:hAnsi="Times New Roman" w:eastAsia="仿宋_GB2312"/>
          <w:sz w:val="32"/>
          <w:szCs w:val="33"/>
          <w:highlight w:val="none"/>
        </w:rPr>
        <w:t>市纪委监察下达的2022年办理案件考核目标任务及2021年案件办理项目绩效情况，区纪委监委机关编制2022年办案工作经费预算报区财政</w:t>
      </w:r>
      <w:r>
        <w:rPr>
          <w:rFonts w:hint="eastAsia" w:ascii="Times New Roman" w:hAnsi="Times New Roman" w:eastAsia="仿宋_GB2312"/>
          <w:sz w:val="32"/>
          <w:szCs w:val="33"/>
          <w:highlight w:val="none"/>
          <w:lang w:eastAsia="zh-CN"/>
        </w:rPr>
        <w:t>局</w:t>
      </w:r>
      <w:r>
        <w:rPr>
          <w:rFonts w:hint="eastAsia" w:ascii="Times New Roman" w:hAnsi="Times New Roman" w:eastAsia="仿宋_GB2312"/>
          <w:sz w:val="32"/>
          <w:szCs w:val="33"/>
          <w:highlight w:val="none"/>
        </w:rPr>
        <w:t>审</w:t>
      </w:r>
      <w:r>
        <w:rPr>
          <w:rFonts w:hint="eastAsia" w:ascii="Times New Roman" w:hAnsi="Times New Roman" w:eastAsia="仿宋_GB2312"/>
          <w:sz w:val="32"/>
          <w:szCs w:val="33"/>
        </w:rPr>
        <w:t>批，区财政</w:t>
      </w:r>
      <w:r>
        <w:rPr>
          <w:rFonts w:hint="eastAsia" w:ascii="Times New Roman" w:hAnsi="Times New Roman" w:eastAsia="仿宋_GB2312"/>
          <w:sz w:val="32"/>
          <w:szCs w:val="33"/>
          <w:lang w:eastAsia="zh-CN"/>
        </w:rPr>
        <w:t>局</w:t>
      </w:r>
      <w:r>
        <w:rPr>
          <w:rFonts w:hint="eastAsia" w:ascii="Times New Roman" w:hAnsi="Times New Roman" w:eastAsia="仿宋_GB2312"/>
          <w:sz w:val="32"/>
          <w:szCs w:val="33"/>
        </w:rPr>
        <w:t>于2022年2月</w:t>
      </w:r>
      <w:r>
        <w:rPr>
          <w:rFonts w:hint="eastAsia" w:ascii="Times New Roman" w:hAnsi="Times New Roman" w:eastAsia="仿宋_GB2312"/>
          <w:sz w:val="32"/>
          <w:szCs w:val="33"/>
          <w:lang w:eastAsia="zh-CN"/>
        </w:rPr>
        <w:t>完成</w:t>
      </w:r>
      <w:r>
        <w:rPr>
          <w:rFonts w:hint="eastAsia" w:ascii="Times New Roman" w:hAnsi="Times New Roman" w:eastAsia="仿宋_GB2312"/>
          <w:sz w:val="32"/>
          <w:szCs w:val="33"/>
        </w:rPr>
        <w:t>该项目批复。</w:t>
      </w:r>
    </w:p>
    <w:p>
      <w:pPr>
        <w:keepNext w:val="0"/>
        <w:keepLines w:val="0"/>
        <w:pageBreakBefore w:val="0"/>
        <w:kinsoku/>
        <w:wordWrap/>
        <w:overflowPunct/>
        <w:topLinePunct w:val="0"/>
        <w:autoSpaceDE/>
        <w:autoSpaceDN/>
        <w:bidi w:val="0"/>
        <w:spacing w:line="540" w:lineRule="exact"/>
        <w:ind w:firstLine="643" w:firstLineChars="200"/>
        <w:rPr>
          <w:rFonts w:ascii="楷体_GB2312" w:hAnsi="楷体_GB2312" w:eastAsia="楷体_GB2312" w:cs="楷体_GB2312"/>
          <w:b/>
          <w:bCs/>
          <w:sz w:val="32"/>
          <w:szCs w:val="33"/>
        </w:rPr>
      </w:pPr>
      <w:r>
        <w:rPr>
          <w:rFonts w:hint="eastAsia" w:ascii="方正楷体_GBK" w:hAnsi="方正楷体_GBK" w:eastAsia="楷体_GB2312" w:cs="方正楷体_GBK"/>
          <w:b/>
          <w:bCs/>
          <w:sz w:val="32"/>
          <w:szCs w:val="33"/>
        </w:rPr>
        <w:t>（二）项目过程情况</w:t>
      </w:r>
    </w:p>
    <w:p>
      <w:pPr>
        <w:keepNext w:val="0"/>
        <w:keepLines w:val="0"/>
        <w:pageBreakBefore w:val="0"/>
        <w:kinsoku/>
        <w:wordWrap/>
        <w:overflowPunct/>
        <w:topLinePunct w:val="0"/>
        <w:autoSpaceDE/>
        <w:autoSpaceDN/>
        <w:bidi w:val="0"/>
        <w:spacing w:line="540" w:lineRule="exact"/>
        <w:ind w:firstLine="640" w:firstLineChars="200"/>
        <w:rPr>
          <w:rFonts w:ascii="Times New Roman" w:hAnsi="Times New Roman" w:eastAsia="仿宋_GB2312"/>
          <w:sz w:val="32"/>
          <w:szCs w:val="33"/>
        </w:rPr>
      </w:pPr>
      <w:r>
        <w:rPr>
          <w:rFonts w:hint="eastAsia" w:ascii="Times New Roman" w:hAnsi="Times New Roman" w:eastAsia="仿宋_GB2312"/>
          <w:sz w:val="32"/>
          <w:szCs w:val="33"/>
        </w:rPr>
        <w:t>2022年办案工作</w:t>
      </w:r>
      <w:r>
        <w:rPr>
          <w:rFonts w:hint="eastAsia" w:ascii="Times New Roman" w:hAnsi="Times New Roman" w:eastAsia="仿宋_GB2312"/>
          <w:sz w:val="32"/>
          <w:szCs w:val="33"/>
          <w:lang w:eastAsia="zh-CN"/>
        </w:rPr>
        <w:t>实际</w:t>
      </w:r>
      <w:r>
        <w:rPr>
          <w:rFonts w:hint="eastAsia" w:ascii="Times New Roman" w:hAnsi="Times New Roman" w:eastAsia="仿宋_GB2312"/>
          <w:sz w:val="32"/>
          <w:szCs w:val="33"/>
        </w:rPr>
        <w:t>完成线索核查95人次，立案60件62人，其中</w:t>
      </w:r>
      <w:r>
        <w:rPr>
          <w:rFonts w:hint="eastAsia" w:ascii="Times New Roman" w:hAnsi="Times New Roman" w:eastAsia="仿宋_GB2312"/>
          <w:sz w:val="32"/>
          <w:szCs w:val="33"/>
          <w:lang w:eastAsia="zh-CN"/>
        </w:rPr>
        <w:t>，</w:t>
      </w:r>
      <w:r>
        <w:rPr>
          <w:rFonts w:hint="eastAsia" w:ascii="Times New Roman" w:hAnsi="Times New Roman" w:eastAsia="仿宋_GB2312"/>
          <w:sz w:val="32"/>
          <w:szCs w:val="33"/>
        </w:rPr>
        <w:t>留置案件10件10人，结案42件42人，移送司法机关6人，收缴涉案款1106万元。运用监督执纪</w:t>
      </w:r>
      <w:r>
        <w:rPr>
          <w:rFonts w:hint="eastAsia" w:ascii="Times New Roman" w:hAnsi="Times New Roman" w:eastAsia="仿宋_GB2312"/>
          <w:sz w:val="32"/>
          <w:szCs w:val="33"/>
          <w:lang w:eastAsia="zh-CN"/>
        </w:rPr>
        <w:t>“</w:t>
      </w:r>
      <w:r>
        <w:rPr>
          <w:rFonts w:hint="eastAsia" w:ascii="Times New Roman" w:hAnsi="Times New Roman" w:eastAsia="仿宋_GB2312"/>
          <w:sz w:val="32"/>
          <w:szCs w:val="33"/>
        </w:rPr>
        <w:t>四种形态</w:t>
      </w:r>
      <w:r>
        <w:rPr>
          <w:rFonts w:hint="eastAsia" w:ascii="Times New Roman" w:hAnsi="Times New Roman" w:eastAsia="仿宋_GB2312"/>
          <w:sz w:val="32"/>
          <w:szCs w:val="33"/>
          <w:lang w:eastAsia="zh-CN"/>
        </w:rPr>
        <w:t>”</w:t>
      </w:r>
      <w:r>
        <w:rPr>
          <w:rFonts w:hint="eastAsia" w:ascii="Times New Roman" w:hAnsi="Times New Roman" w:eastAsia="仿宋_GB2312"/>
          <w:sz w:val="32"/>
          <w:szCs w:val="33"/>
        </w:rPr>
        <w:t>处理</w:t>
      </w:r>
      <w:r>
        <w:rPr>
          <w:rFonts w:hint="eastAsia" w:ascii="Times New Roman" w:hAnsi="Times New Roman" w:eastAsia="仿宋_GB2312"/>
          <w:sz w:val="32"/>
          <w:szCs w:val="33"/>
          <w:lang w:val="en-US" w:eastAsia="zh-CN"/>
        </w:rPr>
        <w:t>61</w:t>
      </w:r>
      <w:r>
        <w:rPr>
          <w:rFonts w:hint="eastAsia" w:ascii="Times New Roman" w:hAnsi="Times New Roman" w:eastAsia="仿宋_GB2312"/>
          <w:sz w:val="32"/>
          <w:szCs w:val="33"/>
        </w:rPr>
        <w:t>人次，其中，第一种形态20人次；第二种形态18人次；第三种形态7人次；第四种形态16人次。</w:t>
      </w:r>
    </w:p>
    <w:p>
      <w:pPr>
        <w:keepNext w:val="0"/>
        <w:keepLines w:val="0"/>
        <w:pageBreakBefore w:val="0"/>
        <w:kinsoku/>
        <w:wordWrap/>
        <w:overflowPunct/>
        <w:topLinePunct w:val="0"/>
        <w:autoSpaceDE/>
        <w:autoSpaceDN/>
        <w:bidi w:val="0"/>
        <w:spacing w:line="540" w:lineRule="exact"/>
        <w:ind w:firstLine="643" w:firstLineChars="200"/>
        <w:rPr>
          <w:rFonts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（三）项目产出情况</w:t>
      </w:r>
    </w:p>
    <w:p>
      <w:pPr>
        <w:keepNext w:val="0"/>
        <w:keepLines w:val="0"/>
        <w:pageBreakBefore w:val="0"/>
        <w:kinsoku/>
        <w:wordWrap/>
        <w:overflowPunct/>
        <w:topLinePunct w:val="0"/>
        <w:autoSpaceDE/>
        <w:autoSpaceDN/>
        <w:bidi w:val="0"/>
        <w:spacing w:line="540" w:lineRule="exact"/>
        <w:ind w:firstLine="640" w:firstLineChars="200"/>
        <w:rPr>
          <w:rFonts w:ascii="Times New Roman" w:hAnsi="Times New Roman" w:eastAsia="仿宋_GB2312"/>
          <w:sz w:val="32"/>
          <w:szCs w:val="33"/>
        </w:rPr>
      </w:pPr>
      <w:r>
        <w:rPr>
          <w:rFonts w:hint="eastAsia" w:ascii="Times New Roman" w:hAnsi="Times New Roman" w:eastAsia="仿宋_GB2312"/>
          <w:sz w:val="32"/>
          <w:szCs w:val="33"/>
        </w:rPr>
        <w:t>2022年，超额完成全年目标任务，强化专项资金管理，全年支出141.13万元</w:t>
      </w:r>
      <w:r>
        <w:rPr>
          <w:rFonts w:hint="eastAsia" w:ascii="Times New Roman" w:hAnsi="Times New Roman" w:eastAsia="仿宋_GB2312"/>
          <w:sz w:val="32"/>
          <w:szCs w:val="33"/>
          <w:lang w:eastAsia="zh-CN"/>
        </w:rPr>
        <w:t>，结余资金</w:t>
      </w:r>
      <w:r>
        <w:rPr>
          <w:rFonts w:hint="eastAsia" w:ascii="Times New Roman" w:hAnsi="Times New Roman" w:eastAsia="仿宋_GB2312"/>
          <w:sz w:val="32"/>
          <w:szCs w:val="33"/>
          <w:lang w:val="en-US" w:eastAsia="zh-CN"/>
        </w:rPr>
        <w:t>8.87万元</w:t>
      </w:r>
      <w:r>
        <w:rPr>
          <w:rFonts w:hint="eastAsia" w:ascii="Times New Roman" w:hAnsi="Times New Roman" w:eastAsia="仿宋_GB2312"/>
          <w:sz w:val="32"/>
          <w:szCs w:val="33"/>
        </w:rPr>
        <w:t>。</w:t>
      </w:r>
    </w:p>
    <w:p>
      <w:pPr>
        <w:keepNext w:val="0"/>
        <w:keepLines w:val="0"/>
        <w:pageBreakBefore w:val="0"/>
        <w:kinsoku/>
        <w:wordWrap/>
        <w:overflowPunct/>
        <w:topLinePunct w:val="0"/>
        <w:autoSpaceDE/>
        <w:autoSpaceDN/>
        <w:bidi w:val="0"/>
        <w:spacing w:line="540" w:lineRule="exact"/>
        <w:ind w:firstLine="643" w:firstLineChars="200"/>
        <w:rPr>
          <w:rFonts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（四）项目效益情况</w:t>
      </w:r>
    </w:p>
    <w:p>
      <w:pPr>
        <w:keepNext w:val="0"/>
        <w:keepLines w:val="0"/>
        <w:pageBreakBefore w:val="0"/>
        <w:kinsoku/>
        <w:wordWrap/>
        <w:overflowPunct/>
        <w:topLinePunct w:val="0"/>
        <w:autoSpaceDE/>
        <w:autoSpaceDN/>
        <w:bidi w:val="0"/>
        <w:spacing w:line="540" w:lineRule="exact"/>
        <w:ind w:firstLine="640" w:firstLineChars="200"/>
        <w:rPr>
          <w:rFonts w:ascii="Times New Roman" w:hAnsi="Times New Roman" w:eastAsia="仿宋_GB2312"/>
          <w:sz w:val="32"/>
          <w:szCs w:val="33"/>
        </w:rPr>
      </w:pPr>
      <w:r>
        <w:rPr>
          <w:rFonts w:hint="eastAsia" w:ascii="Times New Roman" w:hAnsi="Times New Roman" w:eastAsia="仿宋_GB2312"/>
          <w:sz w:val="32"/>
          <w:szCs w:val="33"/>
        </w:rPr>
        <w:t>强化反腐工作力度，促进党风政风持续</w:t>
      </w:r>
      <w:r>
        <w:rPr>
          <w:rFonts w:hint="eastAsia" w:ascii="Times New Roman" w:hAnsi="Times New Roman" w:eastAsia="仿宋_GB2312"/>
          <w:sz w:val="32"/>
          <w:szCs w:val="33"/>
          <w:lang w:eastAsia="zh-CN"/>
        </w:rPr>
        <w:t>向</w:t>
      </w:r>
      <w:r>
        <w:rPr>
          <w:rFonts w:hint="eastAsia" w:ascii="Times New Roman" w:hAnsi="Times New Roman" w:eastAsia="仿宋_GB2312"/>
          <w:sz w:val="32"/>
          <w:szCs w:val="33"/>
        </w:rPr>
        <w:t>好。2022年涉案定性资金1106万元全部</w:t>
      </w:r>
      <w:r>
        <w:rPr>
          <w:rFonts w:hint="eastAsia" w:ascii="Times New Roman" w:hAnsi="Times New Roman" w:eastAsia="仿宋_GB2312"/>
          <w:sz w:val="32"/>
          <w:szCs w:val="33"/>
          <w:lang w:eastAsia="zh-CN"/>
        </w:rPr>
        <w:t>缴入</w:t>
      </w:r>
      <w:r>
        <w:rPr>
          <w:rFonts w:hint="eastAsia" w:ascii="Times New Roman" w:hAnsi="Times New Roman" w:eastAsia="仿宋_GB2312"/>
          <w:sz w:val="32"/>
          <w:szCs w:val="33"/>
        </w:rPr>
        <w:t>财政国库，发挥了案件的震慑作用，以案警示，以案促改，用身边事教育警醒身边人，辖区群众满意。</w:t>
      </w:r>
    </w:p>
    <w:p>
      <w:pPr>
        <w:keepNext w:val="0"/>
        <w:keepLines w:val="0"/>
        <w:pageBreakBefore w:val="0"/>
        <w:kinsoku/>
        <w:wordWrap/>
        <w:overflowPunct/>
        <w:topLinePunct w:val="0"/>
        <w:autoSpaceDE/>
        <w:autoSpaceDN/>
        <w:bidi w:val="0"/>
        <w:spacing w:line="540" w:lineRule="exact"/>
        <w:ind w:firstLine="640" w:firstLineChars="200"/>
        <w:rPr>
          <w:rFonts w:ascii="Times New Roman" w:hAnsi="Times New Roman" w:eastAsia="黑体"/>
          <w:sz w:val="32"/>
          <w:szCs w:val="33"/>
        </w:rPr>
      </w:pPr>
      <w:r>
        <w:rPr>
          <w:rFonts w:hint="eastAsia" w:ascii="Times New Roman" w:hAnsi="Times New Roman" w:eastAsia="黑体"/>
          <w:sz w:val="32"/>
          <w:szCs w:val="33"/>
        </w:rPr>
        <w:t>五、主要经验及做法、存在的问题及原因分析</w:t>
      </w:r>
    </w:p>
    <w:p>
      <w:pPr>
        <w:keepNext w:val="0"/>
        <w:keepLines w:val="0"/>
        <w:pageBreakBefore w:val="0"/>
        <w:kinsoku/>
        <w:wordWrap/>
        <w:overflowPunct/>
        <w:topLinePunct w:val="0"/>
        <w:autoSpaceDE/>
        <w:autoSpaceDN/>
        <w:bidi w:val="0"/>
        <w:spacing w:line="540" w:lineRule="exact"/>
        <w:ind w:firstLine="643" w:firstLineChars="200"/>
        <w:rPr>
          <w:rFonts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（一）主要经验</w:t>
      </w:r>
    </w:p>
    <w:p>
      <w:pPr>
        <w:keepNext w:val="0"/>
        <w:keepLines w:val="0"/>
        <w:pageBreakBefore w:val="0"/>
        <w:kinsoku/>
        <w:wordWrap/>
        <w:overflowPunct/>
        <w:topLinePunct w:val="0"/>
        <w:autoSpaceDE/>
        <w:autoSpaceDN/>
        <w:bidi w:val="0"/>
        <w:spacing w:line="540" w:lineRule="exact"/>
        <w:ind w:firstLine="640" w:firstLineChars="200"/>
        <w:rPr>
          <w:rFonts w:ascii="Times New Roman" w:hAnsi="Times New Roman" w:eastAsia="仿宋_GB2312"/>
          <w:sz w:val="32"/>
          <w:szCs w:val="33"/>
        </w:rPr>
      </w:pPr>
      <w:r>
        <w:rPr>
          <w:rFonts w:hint="eastAsia" w:ascii="Times New Roman" w:hAnsi="Times New Roman" w:eastAsia="仿宋_GB2312"/>
          <w:sz w:val="32"/>
          <w:szCs w:val="33"/>
        </w:rPr>
        <w:t>坚持厉行节约原则，强化项目资金监管。凡支出金额超2000元需事前审批，无审批不报销；凡支出金额超20000元需上区纪委常委会审议。加强陪护人员、医护人员和办案工作人员考勤管理，严格公杂补助报销审批，确保专款安全、规范、高效、合理使用。</w:t>
      </w:r>
    </w:p>
    <w:p>
      <w:pPr>
        <w:keepNext w:val="0"/>
        <w:keepLines w:val="0"/>
        <w:pageBreakBefore w:val="0"/>
        <w:kinsoku/>
        <w:wordWrap/>
        <w:overflowPunct/>
        <w:topLinePunct w:val="0"/>
        <w:autoSpaceDE/>
        <w:autoSpaceDN/>
        <w:bidi w:val="0"/>
        <w:spacing w:line="540" w:lineRule="exact"/>
        <w:ind w:firstLine="643" w:firstLineChars="200"/>
        <w:rPr>
          <w:rFonts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（二）存在的问题</w:t>
      </w:r>
    </w:p>
    <w:p>
      <w:pPr>
        <w:keepNext w:val="0"/>
        <w:keepLines w:val="0"/>
        <w:pageBreakBefore w:val="0"/>
        <w:kinsoku/>
        <w:wordWrap/>
        <w:overflowPunct/>
        <w:topLinePunct w:val="0"/>
        <w:autoSpaceDE/>
        <w:autoSpaceDN/>
        <w:bidi w:val="0"/>
        <w:spacing w:line="540" w:lineRule="exact"/>
        <w:ind w:firstLine="643" w:firstLineChars="200"/>
        <w:rPr>
          <w:rFonts w:hint="eastAsia" w:ascii="Times New Roman" w:hAnsi="Times New Roman" w:eastAsia="仿宋_GB2312"/>
          <w:sz w:val="32"/>
          <w:szCs w:val="33"/>
        </w:rPr>
      </w:pPr>
      <w:r>
        <w:rPr>
          <w:rFonts w:hint="eastAsia" w:ascii="Times New Roman" w:hAnsi="Times New Roman" w:eastAsia="仿宋_GB2312"/>
          <w:b/>
          <w:bCs/>
          <w:sz w:val="32"/>
          <w:szCs w:val="33"/>
          <w:lang w:val="zh-CN"/>
        </w:rPr>
        <w:t>一是</w:t>
      </w:r>
      <w:r>
        <w:rPr>
          <w:rFonts w:hint="eastAsia" w:ascii="Times New Roman" w:hAnsi="Times New Roman" w:eastAsia="仿宋_GB2312"/>
          <w:sz w:val="32"/>
          <w:szCs w:val="33"/>
          <w:lang w:val="zh-CN"/>
        </w:rPr>
        <w:t>预算执行存在前松后紧的现象，主要原因是费用报销不及时，影响支付进度。</w:t>
      </w:r>
      <w:r>
        <w:rPr>
          <w:rFonts w:hint="eastAsia" w:ascii="Times New Roman" w:hAnsi="Times New Roman" w:eastAsia="仿宋_GB2312"/>
          <w:b/>
          <w:bCs/>
          <w:sz w:val="32"/>
          <w:szCs w:val="33"/>
          <w:lang w:val="zh-CN"/>
        </w:rPr>
        <w:t>二是</w:t>
      </w:r>
      <w:r>
        <w:rPr>
          <w:rFonts w:hint="eastAsia" w:ascii="Times New Roman" w:hAnsi="Times New Roman" w:eastAsia="仿宋_GB2312"/>
          <w:sz w:val="32"/>
          <w:szCs w:val="33"/>
        </w:rPr>
        <w:t>部门内部绩效结果</w:t>
      </w:r>
      <w:r>
        <w:rPr>
          <w:rFonts w:hint="eastAsia" w:ascii="Times New Roman" w:hAnsi="Times New Roman" w:eastAsia="仿宋_GB2312"/>
          <w:sz w:val="32"/>
          <w:szCs w:val="33"/>
          <w:lang w:eastAsia="zh-CN"/>
        </w:rPr>
        <w:t>未能有效运用</w:t>
      </w:r>
      <w:r>
        <w:rPr>
          <w:rFonts w:hint="eastAsia" w:ascii="Times New Roman" w:hAnsi="Times New Roman" w:eastAsia="仿宋_GB2312"/>
          <w:sz w:val="32"/>
          <w:szCs w:val="33"/>
        </w:rPr>
        <w:t>。</w:t>
      </w:r>
    </w:p>
    <w:p>
      <w:pPr>
        <w:keepNext w:val="0"/>
        <w:keepLines w:val="0"/>
        <w:pageBreakBefore w:val="0"/>
        <w:kinsoku/>
        <w:wordWrap/>
        <w:overflowPunct/>
        <w:topLinePunct w:val="0"/>
        <w:autoSpaceDE/>
        <w:autoSpaceDN/>
        <w:bidi w:val="0"/>
        <w:spacing w:line="540" w:lineRule="exact"/>
        <w:ind w:firstLine="640" w:firstLineChars="200"/>
        <w:rPr>
          <w:rFonts w:ascii="Times New Roman" w:hAnsi="Times New Roman" w:eastAsia="黑体"/>
          <w:sz w:val="32"/>
          <w:szCs w:val="33"/>
        </w:rPr>
      </w:pPr>
      <w:r>
        <w:rPr>
          <w:rFonts w:hint="eastAsia" w:ascii="Times New Roman" w:hAnsi="Times New Roman" w:eastAsia="黑体"/>
          <w:sz w:val="32"/>
          <w:szCs w:val="33"/>
        </w:rPr>
        <w:t>六、有关建议</w:t>
      </w:r>
    </w:p>
    <w:p>
      <w:pPr>
        <w:keepNext w:val="0"/>
        <w:keepLines w:val="0"/>
        <w:pageBreakBefore w:val="0"/>
        <w:kinsoku/>
        <w:wordWrap/>
        <w:overflowPunct/>
        <w:topLinePunct w:val="0"/>
        <w:autoSpaceDE/>
        <w:autoSpaceDN/>
        <w:bidi w:val="0"/>
        <w:spacing w:line="540" w:lineRule="exact"/>
        <w:ind w:firstLine="643" w:firstLineChars="200"/>
        <w:rPr>
          <w:rFonts w:hint="eastAsia" w:ascii="方正楷体_GBK" w:hAnsi="方正楷体_GBK" w:eastAsia="楷体_GB2312" w:cs="方正楷体_GBK"/>
          <w:b/>
          <w:bCs/>
          <w:sz w:val="32"/>
          <w:szCs w:val="33"/>
          <w:lang w:val="zh-CN"/>
        </w:rPr>
      </w:pPr>
      <w:r>
        <w:rPr>
          <w:rFonts w:hint="eastAsia" w:ascii="方正楷体_GBK" w:hAnsi="方正楷体_GBK" w:eastAsia="楷体_GB2312" w:cs="方正楷体_GBK"/>
          <w:b/>
          <w:bCs/>
          <w:sz w:val="32"/>
          <w:szCs w:val="33"/>
          <w:lang w:val="zh-CN"/>
        </w:rPr>
        <w:t>（一）严格预算支出</w:t>
      </w:r>
    </w:p>
    <w:p>
      <w:pPr>
        <w:keepNext w:val="0"/>
        <w:keepLines w:val="0"/>
        <w:pageBreakBefore w:val="0"/>
        <w:kinsoku/>
        <w:wordWrap/>
        <w:overflowPunct/>
        <w:topLinePunct w:val="0"/>
        <w:autoSpaceDE/>
        <w:autoSpaceDN/>
        <w:bidi w:val="0"/>
        <w:spacing w:line="540" w:lineRule="exact"/>
        <w:ind w:firstLine="640" w:firstLineChars="200"/>
        <w:rPr>
          <w:rFonts w:hint="eastAsia" w:ascii="Times New Roman" w:hAnsi="Times New Roman" w:eastAsia="仿宋_GB2312"/>
          <w:sz w:val="32"/>
          <w:szCs w:val="33"/>
          <w:lang w:val="zh-CN"/>
        </w:rPr>
      </w:pPr>
      <w:r>
        <w:rPr>
          <w:rFonts w:hint="eastAsia" w:ascii="Times New Roman" w:hAnsi="Times New Roman" w:eastAsia="仿宋_GB2312"/>
          <w:sz w:val="32"/>
          <w:szCs w:val="33"/>
          <w:lang w:val="zh-CN"/>
        </w:rPr>
        <w:t>严格按照项目进度执行预算支出，细化绩效目标，确保绩效目标完成。</w:t>
      </w:r>
    </w:p>
    <w:p>
      <w:pPr>
        <w:keepNext w:val="0"/>
        <w:keepLines w:val="0"/>
        <w:pageBreakBefore w:val="0"/>
        <w:kinsoku/>
        <w:wordWrap/>
        <w:overflowPunct/>
        <w:topLinePunct w:val="0"/>
        <w:autoSpaceDE/>
        <w:autoSpaceDN/>
        <w:bidi w:val="0"/>
        <w:spacing w:line="540" w:lineRule="exact"/>
        <w:ind w:firstLine="643" w:firstLineChars="200"/>
        <w:rPr>
          <w:rFonts w:hint="eastAsia" w:ascii="方正楷体_GBK" w:hAnsi="方正楷体_GBK" w:eastAsia="楷体_GB2312" w:cs="方正楷体_GBK"/>
          <w:b/>
          <w:bCs/>
          <w:sz w:val="32"/>
          <w:szCs w:val="33"/>
          <w:lang w:val="zh-CN"/>
        </w:rPr>
      </w:pPr>
      <w:r>
        <w:rPr>
          <w:rFonts w:hint="eastAsia" w:ascii="方正楷体_GBK" w:hAnsi="方正楷体_GBK" w:eastAsia="楷体_GB2312" w:cs="方正楷体_GBK"/>
          <w:b/>
          <w:bCs/>
          <w:sz w:val="32"/>
          <w:szCs w:val="33"/>
          <w:lang w:val="zh-CN"/>
        </w:rPr>
        <w:t>（二）强化预算绩效挂钩机制</w:t>
      </w:r>
    </w:p>
    <w:p>
      <w:pPr>
        <w:keepNext w:val="0"/>
        <w:keepLines w:val="0"/>
        <w:pageBreakBefore w:val="0"/>
        <w:kinsoku/>
        <w:wordWrap/>
        <w:overflowPunct/>
        <w:topLinePunct w:val="0"/>
        <w:autoSpaceDE/>
        <w:autoSpaceDN/>
        <w:bidi w:val="0"/>
        <w:spacing w:line="540" w:lineRule="exact"/>
        <w:ind w:firstLine="640" w:firstLineChars="200"/>
        <w:rPr>
          <w:rFonts w:hint="eastAsia" w:ascii="Times New Roman" w:hAnsi="Times New Roman" w:eastAsia="仿宋_GB2312"/>
          <w:sz w:val="32"/>
          <w:szCs w:val="33"/>
          <w:lang w:val="zh-CN"/>
        </w:rPr>
      </w:pPr>
      <w:r>
        <w:rPr>
          <w:rFonts w:hint="eastAsia" w:ascii="Times New Roman" w:hAnsi="Times New Roman" w:eastAsia="仿宋_GB2312"/>
          <w:sz w:val="32"/>
          <w:szCs w:val="33"/>
          <w:lang w:val="zh-CN"/>
        </w:rPr>
        <w:t>进一步细化预算项目绩效管理工作，理清内设机构、下属事业单位职责，细化工作经费标准，建立并完善内设机构、下属事业单位预算与绩效挂钩机制。</w:t>
      </w:r>
    </w:p>
    <w:p>
      <w:pPr>
        <w:keepNext w:val="0"/>
        <w:keepLines w:val="0"/>
        <w:pageBreakBefore w:val="0"/>
        <w:kinsoku/>
        <w:wordWrap/>
        <w:overflowPunct/>
        <w:topLinePunct w:val="0"/>
        <w:autoSpaceDE/>
        <w:autoSpaceDN/>
        <w:bidi w:val="0"/>
        <w:spacing w:line="540" w:lineRule="exact"/>
      </w:pPr>
      <w:r>
        <w:rPr>
          <w:rFonts w:hint="eastAsia"/>
        </w:rPr>
        <w:br w:type="page"/>
      </w:r>
    </w:p>
    <w:p>
      <w:pPr>
        <w:pStyle w:val="11"/>
        <w:widowControl w:val="0"/>
        <w:spacing w:before="0" w:beforeAutospacing="0" w:after="0" w:afterAutospacing="0"/>
        <w:jc w:val="both"/>
        <w:rPr>
          <w:rFonts w:hint="default" w:ascii="Times New Roman" w:hAnsi="Times New Roman" w:eastAsia="黑体" w:cs="Times New Roman"/>
          <w:sz w:val="32"/>
          <w:szCs w:val="33"/>
        </w:rPr>
      </w:pPr>
      <w:r>
        <w:rPr>
          <w:rFonts w:hint="default" w:ascii="Times New Roman" w:hAnsi="Times New Roman" w:eastAsia="黑体" w:cs="Times New Roman"/>
          <w:sz w:val="32"/>
          <w:szCs w:val="33"/>
        </w:rPr>
        <w:t>附件2</w:t>
      </w:r>
    </w:p>
    <w:p>
      <w:pPr>
        <w:snapToGrid w:val="0"/>
        <w:jc w:val="center"/>
        <w:rPr>
          <w:rFonts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rPr>
        <w:t>2022年平安建设专项经费绩效评价报告</w:t>
      </w:r>
    </w:p>
    <w:p>
      <w:pPr>
        <w:pStyle w:val="2"/>
        <w:keepNext w:val="0"/>
        <w:keepLines w:val="0"/>
        <w:pageBreakBefore w:val="0"/>
        <w:widowControl w:val="0"/>
        <w:kinsoku/>
        <w:wordWrap/>
        <w:overflowPunct/>
        <w:topLinePunct w:val="0"/>
        <w:autoSpaceDE/>
        <w:autoSpaceDN/>
        <w:bidi w:val="0"/>
        <w:adjustRightInd/>
        <w:snapToGrid/>
        <w:spacing w:before="157" w:beforeLines="50" w:line="560" w:lineRule="exact"/>
        <w:ind w:left="0" w:firstLine="640" w:firstLineChars="200"/>
        <w:textAlignment w:val="baseline"/>
      </w:pPr>
      <w:r>
        <w:rPr>
          <w:rFonts w:ascii="Times New Roman" w:hAnsi="Times New Roman" w:eastAsia="仿宋_GB2312"/>
          <w:sz w:val="32"/>
          <w:szCs w:val="33"/>
        </w:rPr>
        <w:t>根据《中华人民共和国预算法》《中共四川省委 四川省人民政府关于全面实施预算绩效管理的实施意见》以及市第十届人大常委会第四次会议提出的</w:t>
      </w:r>
      <w:r>
        <w:rPr>
          <w:rFonts w:hint="eastAsia" w:ascii="Times New Roman" w:hAnsi="Times New Roman" w:eastAsia="仿宋_GB2312"/>
          <w:sz w:val="32"/>
          <w:szCs w:val="33"/>
          <w:lang w:eastAsia="zh-CN"/>
        </w:rPr>
        <w:t>“</w:t>
      </w:r>
      <w:r>
        <w:rPr>
          <w:rFonts w:ascii="Times New Roman" w:hAnsi="Times New Roman" w:eastAsia="仿宋_GB2312"/>
          <w:sz w:val="32"/>
          <w:szCs w:val="33"/>
        </w:rPr>
        <w:t>进一步完善财政支出绩效评价制度，尤其是对评价结果的运用制度</w:t>
      </w:r>
      <w:r>
        <w:rPr>
          <w:rFonts w:hint="eastAsia" w:ascii="Times New Roman" w:hAnsi="Times New Roman" w:eastAsia="仿宋_GB2312"/>
          <w:sz w:val="32"/>
          <w:szCs w:val="33"/>
          <w:lang w:eastAsia="zh-CN"/>
        </w:rPr>
        <w:t>”</w:t>
      </w:r>
      <w:r>
        <w:rPr>
          <w:rFonts w:ascii="Times New Roman" w:hAnsi="Times New Roman" w:eastAsia="仿宋_GB2312"/>
          <w:sz w:val="32"/>
          <w:szCs w:val="33"/>
        </w:rPr>
        <w:t>等要求，于20</w:t>
      </w:r>
      <w:r>
        <w:rPr>
          <w:rFonts w:hint="eastAsia" w:ascii="Times New Roman" w:hAnsi="Times New Roman" w:eastAsia="仿宋_GB2312"/>
          <w:sz w:val="32"/>
          <w:szCs w:val="33"/>
        </w:rPr>
        <w:t>2</w:t>
      </w:r>
      <w:r>
        <w:rPr>
          <w:rFonts w:ascii="Times New Roman" w:hAnsi="Times New Roman" w:eastAsia="仿宋_GB2312"/>
          <w:sz w:val="32"/>
          <w:szCs w:val="33"/>
        </w:rPr>
        <w:t>3年6月至7月对</w:t>
      </w:r>
      <w:r>
        <w:rPr>
          <w:rFonts w:hint="eastAsia" w:ascii="Times New Roman" w:hAnsi="Times New Roman" w:eastAsia="仿宋_GB2312"/>
          <w:sz w:val="32"/>
          <w:szCs w:val="33"/>
        </w:rPr>
        <w:t>2022年平安建设专项经费</w:t>
      </w:r>
      <w:r>
        <w:rPr>
          <w:rFonts w:ascii="Times New Roman" w:hAnsi="Times New Roman" w:eastAsia="仿宋_GB2312"/>
          <w:sz w:val="32"/>
          <w:szCs w:val="33"/>
        </w:rPr>
        <w:t>开展了绩效评价，现将有关情况报告如下。</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ascii="Times New Roman" w:hAnsi="Times New Roman" w:eastAsia="黑体"/>
          <w:sz w:val="32"/>
          <w:szCs w:val="33"/>
        </w:rPr>
      </w:pPr>
      <w:r>
        <w:rPr>
          <w:rFonts w:hint="eastAsia" w:ascii="Times New Roman" w:hAnsi="Times New Roman" w:eastAsia="黑体"/>
          <w:sz w:val="32"/>
          <w:szCs w:val="33"/>
        </w:rPr>
        <w:t>一、基本情况</w:t>
      </w:r>
    </w:p>
    <w:p>
      <w:pPr>
        <w:keepNext w:val="0"/>
        <w:keepLines w:val="0"/>
        <w:pageBreakBefore w:val="0"/>
        <w:widowControl w:val="0"/>
        <w:kinsoku/>
        <w:wordWrap/>
        <w:overflowPunct/>
        <w:topLinePunct w:val="0"/>
        <w:autoSpaceDE/>
        <w:autoSpaceDN/>
        <w:bidi w:val="0"/>
        <w:adjustRightInd/>
        <w:spacing w:line="560" w:lineRule="exact"/>
        <w:ind w:firstLine="643" w:firstLineChars="200"/>
        <w:rPr>
          <w:rFonts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（一）项目概况</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ascii="Times New Roman" w:hAnsi="Times New Roman" w:eastAsia="仿宋_GB2312"/>
          <w:sz w:val="32"/>
          <w:szCs w:val="33"/>
        </w:rPr>
      </w:pPr>
      <w:r>
        <w:rPr>
          <w:rFonts w:hint="eastAsia" w:ascii="Times New Roman" w:hAnsi="Times New Roman" w:eastAsia="仿宋_GB2312"/>
          <w:sz w:val="32"/>
          <w:szCs w:val="33"/>
          <w:lang w:eastAsia="zh-CN"/>
        </w:rPr>
        <w:t>区委政法委</w:t>
      </w:r>
      <w:r>
        <w:rPr>
          <w:rFonts w:hint="eastAsia" w:ascii="Times New Roman" w:hAnsi="Times New Roman" w:eastAsia="仿宋_GB2312"/>
          <w:sz w:val="32"/>
          <w:szCs w:val="33"/>
        </w:rPr>
        <w:t>按照《四川省社会治安综合治理委员会进一步加强和完善网格化服务管理的指导意见》（川综治委〔2017〕16号）的要求开展西区网格化项目建设工作。2022年申报平安建设专项经费年初预算282万元，2022年实际到位资金282万元，资金到位率100%，到位及时。2022年平安建设专项经</w:t>
      </w:r>
      <w:r>
        <w:rPr>
          <w:rFonts w:hint="eastAsia" w:ascii="Times New Roman" w:hAnsi="Times New Roman" w:eastAsia="仿宋_GB2312"/>
          <w:sz w:val="32"/>
          <w:szCs w:val="33"/>
          <w:highlight w:val="none"/>
        </w:rPr>
        <w:t>费中，政法委</w:t>
      </w:r>
      <w:r>
        <w:rPr>
          <w:rFonts w:hint="eastAsia" w:ascii="Times New Roman" w:hAnsi="Times New Roman" w:eastAsia="仿宋_GB2312"/>
          <w:sz w:val="32"/>
          <w:szCs w:val="33"/>
        </w:rPr>
        <w:t>机关支出55.67万元，其余资金划拨到镇（街道）用于专职网格员工资待遇支出，当年全部发放到位。</w:t>
      </w:r>
    </w:p>
    <w:p>
      <w:pPr>
        <w:keepNext w:val="0"/>
        <w:keepLines w:val="0"/>
        <w:pageBreakBefore w:val="0"/>
        <w:widowControl w:val="0"/>
        <w:kinsoku/>
        <w:wordWrap/>
        <w:overflowPunct/>
        <w:topLinePunct w:val="0"/>
        <w:autoSpaceDE/>
        <w:autoSpaceDN/>
        <w:bidi w:val="0"/>
        <w:adjustRightInd/>
        <w:spacing w:line="560" w:lineRule="exact"/>
        <w:ind w:firstLine="643" w:firstLineChars="200"/>
        <w:rPr>
          <w:rFonts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（二）项目绩效目标</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ascii="Times New Roman" w:hAnsi="Times New Roman" w:eastAsia="仿宋_GB2312"/>
          <w:sz w:val="32"/>
          <w:szCs w:val="33"/>
        </w:rPr>
      </w:pPr>
      <w:r>
        <w:rPr>
          <w:rFonts w:hint="eastAsia" w:ascii="Times New Roman" w:hAnsi="Times New Roman" w:eastAsia="仿宋_GB2312"/>
          <w:sz w:val="32"/>
          <w:szCs w:val="33"/>
        </w:rPr>
        <w:t>建成区、镇（街道）、社区（村）、网格四级网格管理体系，配置电脑端登录账号63个，手机端登录账号57个，接通区级单位（部门）12个，接通派出所、司法所、卫生服务中心（院）23个，实现网格事项发现、处置、上报、交办、办结、回访、评价等功能。</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ascii="Times New Roman" w:hAnsi="Times New Roman" w:eastAsia="黑体"/>
          <w:sz w:val="32"/>
          <w:szCs w:val="33"/>
        </w:rPr>
      </w:pPr>
      <w:r>
        <w:rPr>
          <w:rFonts w:hint="eastAsia" w:ascii="Times New Roman" w:hAnsi="Times New Roman" w:eastAsia="黑体"/>
          <w:sz w:val="32"/>
          <w:szCs w:val="33"/>
        </w:rPr>
        <w:t>二、绩效评价工作开展情况</w:t>
      </w:r>
    </w:p>
    <w:p>
      <w:pPr>
        <w:keepNext w:val="0"/>
        <w:keepLines w:val="0"/>
        <w:pageBreakBefore w:val="0"/>
        <w:widowControl w:val="0"/>
        <w:kinsoku/>
        <w:wordWrap/>
        <w:overflowPunct/>
        <w:topLinePunct w:val="0"/>
        <w:autoSpaceDE/>
        <w:autoSpaceDN/>
        <w:bidi w:val="0"/>
        <w:adjustRightInd/>
        <w:spacing w:line="560" w:lineRule="exact"/>
        <w:ind w:firstLine="643" w:firstLineChars="200"/>
        <w:rPr>
          <w:rFonts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（一）绩效评价目的、对象和范围</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ascii="Times New Roman" w:hAnsi="Times New Roman" w:eastAsia="仿宋_GB2312"/>
          <w:sz w:val="32"/>
          <w:szCs w:val="33"/>
        </w:rPr>
      </w:pPr>
      <w:r>
        <w:rPr>
          <w:rFonts w:ascii="Times New Roman" w:hAnsi="Times New Roman" w:eastAsia="仿宋_GB2312"/>
          <w:sz w:val="32"/>
          <w:szCs w:val="33"/>
        </w:rPr>
        <w:t>为有效保障政法工作开展，提升基层社会综合治理水平，健全基层综合服务管理平台，对区委政法委202</w:t>
      </w:r>
      <w:r>
        <w:rPr>
          <w:rFonts w:hint="eastAsia" w:ascii="Times New Roman" w:hAnsi="Times New Roman" w:eastAsia="仿宋_GB2312"/>
          <w:sz w:val="32"/>
          <w:szCs w:val="33"/>
        </w:rPr>
        <w:t>2</w:t>
      </w:r>
      <w:r>
        <w:rPr>
          <w:rFonts w:ascii="Times New Roman" w:hAnsi="Times New Roman" w:eastAsia="仿宋_GB2312"/>
          <w:sz w:val="32"/>
          <w:szCs w:val="33"/>
        </w:rPr>
        <w:t>年平安建设专项经费</w:t>
      </w:r>
      <w:r>
        <w:rPr>
          <w:rFonts w:hint="eastAsia" w:ascii="Times New Roman" w:hAnsi="Times New Roman" w:eastAsia="仿宋_GB2312"/>
          <w:sz w:val="32"/>
          <w:szCs w:val="33"/>
        </w:rPr>
        <w:t>282</w:t>
      </w:r>
      <w:r>
        <w:rPr>
          <w:rFonts w:ascii="Times New Roman" w:hAnsi="Times New Roman" w:eastAsia="仿宋_GB2312"/>
          <w:sz w:val="32"/>
          <w:szCs w:val="33"/>
        </w:rPr>
        <w:t>万元进行绩效评价。</w:t>
      </w:r>
    </w:p>
    <w:p>
      <w:pPr>
        <w:keepNext w:val="0"/>
        <w:keepLines w:val="0"/>
        <w:pageBreakBefore w:val="0"/>
        <w:widowControl w:val="0"/>
        <w:kinsoku/>
        <w:wordWrap/>
        <w:overflowPunct/>
        <w:topLinePunct w:val="0"/>
        <w:autoSpaceDE/>
        <w:autoSpaceDN/>
        <w:bidi w:val="0"/>
        <w:adjustRightInd/>
        <w:spacing w:line="560" w:lineRule="exact"/>
        <w:ind w:firstLine="643" w:firstLineChars="200"/>
        <w:rPr>
          <w:rFonts w:ascii="Times New Roman" w:hAnsi="Times New Roman" w:eastAsia="楷体_GB2312"/>
          <w:b/>
          <w:bCs/>
          <w:sz w:val="32"/>
          <w:szCs w:val="33"/>
        </w:rPr>
      </w:pPr>
      <w:r>
        <w:rPr>
          <w:rFonts w:ascii="Times New Roman" w:hAnsi="Times New Roman" w:eastAsia="楷体_GB2312"/>
          <w:b/>
          <w:bCs/>
          <w:sz w:val="32"/>
          <w:szCs w:val="33"/>
        </w:rPr>
        <w:t>（二）年度绩效评价原则、评价指标体系、评价方法、评价标准等</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ascii="Times New Roman" w:hAnsi="Times New Roman" w:eastAsia="仿宋_GB2312"/>
          <w:sz w:val="32"/>
          <w:szCs w:val="33"/>
        </w:rPr>
      </w:pPr>
      <w:r>
        <w:rPr>
          <w:rFonts w:ascii="Times New Roman" w:hAnsi="Times New Roman" w:eastAsia="仿宋_GB2312"/>
          <w:sz w:val="32"/>
          <w:szCs w:val="33"/>
        </w:rPr>
        <w:t>评价年度原则为202</w:t>
      </w:r>
      <w:r>
        <w:rPr>
          <w:rFonts w:hint="eastAsia" w:ascii="Times New Roman" w:hAnsi="Times New Roman" w:eastAsia="仿宋_GB2312"/>
          <w:sz w:val="32"/>
          <w:szCs w:val="33"/>
        </w:rPr>
        <w:t>2</w:t>
      </w:r>
      <w:r>
        <w:rPr>
          <w:rFonts w:ascii="Times New Roman" w:hAnsi="Times New Roman" w:eastAsia="仿宋_GB2312"/>
          <w:sz w:val="32"/>
          <w:szCs w:val="33"/>
        </w:rPr>
        <w:t>年，根据实际情况可延伸至以前年度</w:t>
      </w:r>
      <w:r>
        <w:rPr>
          <w:rFonts w:hint="eastAsia" w:ascii="Times New Roman" w:hAnsi="Times New Roman" w:eastAsia="仿宋_GB2312"/>
          <w:sz w:val="32"/>
          <w:szCs w:val="33"/>
          <w:lang w:eastAsia="zh-CN"/>
        </w:rPr>
        <w:t>，</w:t>
      </w:r>
      <w:r>
        <w:rPr>
          <w:rFonts w:ascii="Times New Roman" w:hAnsi="Times New Roman" w:eastAsia="仿宋_GB2312"/>
          <w:sz w:val="32"/>
          <w:szCs w:val="33"/>
        </w:rPr>
        <w:t>重点项目（政策）支出绩效评价指标体系分为共性指标体系和特性指标体系。共性指标体系按照项目决策、项目管理和项目绩效设置；特性指标由评价组根据重点项目（政策）的资金投向、行业特点和项目特征等因素，在共性指标体系基础上分别设定。</w:t>
      </w:r>
    </w:p>
    <w:p>
      <w:pPr>
        <w:keepNext w:val="0"/>
        <w:keepLines w:val="0"/>
        <w:pageBreakBefore w:val="0"/>
        <w:widowControl w:val="0"/>
        <w:kinsoku/>
        <w:wordWrap/>
        <w:overflowPunct/>
        <w:topLinePunct w:val="0"/>
        <w:autoSpaceDE/>
        <w:autoSpaceDN/>
        <w:bidi w:val="0"/>
        <w:adjustRightInd/>
        <w:spacing w:line="560" w:lineRule="exact"/>
        <w:ind w:firstLine="643" w:firstLineChars="200"/>
        <w:rPr>
          <w:rFonts w:ascii="Times New Roman" w:hAnsi="Times New Roman" w:eastAsia="楷体_GB2312"/>
          <w:b/>
          <w:bCs/>
          <w:sz w:val="32"/>
          <w:szCs w:val="33"/>
        </w:rPr>
      </w:pPr>
      <w:r>
        <w:rPr>
          <w:rFonts w:ascii="Times New Roman" w:hAnsi="Times New Roman" w:eastAsia="楷体_GB2312"/>
          <w:b/>
          <w:bCs/>
          <w:sz w:val="32"/>
          <w:szCs w:val="33"/>
        </w:rPr>
        <w:t>（三）绩效评价方法及过程</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ascii="Times New Roman" w:hAnsi="Times New Roman" w:eastAsia="仿宋_GB2312"/>
          <w:sz w:val="32"/>
          <w:szCs w:val="33"/>
        </w:rPr>
      </w:pPr>
      <w:r>
        <w:rPr>
          <w:rFonts w:ascii="Times New Roman" w:hAnsi="Times New Roman" w:eastAsia="仿宋_GB2312"/>
          <w:sz w:val="32"/>
          <w:szCs w:val="33"/>
        </w:rPr>
        <w:t>在区委政法委开展202</w:t>
      </w:r>
      <w:r>
        <w:rPr>
          <w:rFonts w:hint="eastAsia" w:ascii="Times New Roman" w:hAnsi="Times New Roman" w:eastAsia="仿宋_GB2312"/>
          <w:sz w:val="32"/>
          <w:szCs w:val="33"/>
        </w:rPr>
        <w:t>2</w:t>
      </w:r>
      <w:r>
        <w:rPr>
          <w:rFonts w:ascii="Times New Roman" w:hAnsi="Times New Roman" w:eastAsia="仿宋_GB2312"/>
          <w:sz w:val="32"/>
          <w:szCs w:val="33"/>
        </w:rPr>
        <w:t>年平安建设专项经费绩效自评工作的基础上，通过实地查看、询问、查阅相关资料等方法，分析得出绩效评价结果，形成绩效评价报告。</w:t>
      </w:r>
    </w:p>
    <w:p>
      <w:pPr>
        <w:keepNext w:val="0"/>
        <w:keepLines w:val="0"/>
        <w:pageBreakBefore w:val="0"/>
        <w:widowControl w:val="0"/>
        <w:kinsoku/>
        <w:wordWrap/>
        <w:overflowPunct/>
        <w:topLinePunct w:val="0"/>
        <w:autoSpaceDE/>
        <w:autoSpaceDN/>
        <w:bidi w:val="0"/>
        <w:adjustRightInd/>
        <w:spacing w:line="560" w:lineRule="exact"/>
        <w:ind w:firstLine="643" w:firstLineChars="200"/>
        <w:rPr>
          <w:rFonts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（四）评价主要结论</w:t>
      </w:r>
    </w:p>
    <w:p>
      <w:pPr>
        <w:keepNext w:val="0"/>
        <w:keepLines w:val="0"/>
        <w:pageBreakBefore w:val="0"/>
        <w:widowControl w:val="0"/>
        <w:tabs>
          <w:tab w:val="left" w:pos="3885"/>
        </w:tabs>
        <w:kinsoku/>
        <w:wordWrap/>
        <w:overflowPunct/>
        <w:topLinePunct w:val="0"/>
        <w:autoSpaceDE/>
        <w:autoSpaceDN/>
        <w:bidi w:val="0"/>
        <w:adjustRightInd/>
        <w:snapToGrid w:val="0"/>
        <w:spacing w:line="560" w:lineRule="exact"/>
        <w:ind w:firstLine="640" w:firstLineChars="200"/>
        <w:rPr>
          <w:rFonts w:ascii="Times New Roman" w:hAnsi="Times New Roman" w:eastAsia="仿宋_GB2312"/>
          <w:sz w:val="32"/>
          <w:szCs w:val="33"/>
        </w:rPr>
      </w:pPr>
      <w:r>
        <w:rPr>
          <w:rFonts w:hint="eastAsia" w:ascii="Times New Roman" w:hAnsi="Times New Roman" w:eastAsia="仿宋_GB2312"/>
          <w:sz w:val="32"/>
          <w:szCs w:val="33"/>
        </w:rPr>
        <w:t>专项资金绩效目标制定完整</w:t>
      </w:r>
      <w:r>
        <w:rPr>
          <w:rFonts w:hint="eastAsia" w:ascii="Times New Roman" w:hAnsi="Times New Roman" w:eastAsia="仿宋_GB2312"/>
          <w:sz w:val="32"/>
          <w:szCs w:val="33"/>
          <w:highlight w:val="none"/>
        </w:rPr>
        <w:t>，指标细化准确；</w:t>
      </w:r>
      <w:r>
        <w:rPr>
          <w:rFonts w:hint="eastAsia" w:ascii="Times New Roman" w:hAnsi="Times New Roman" w:eastAsia="仿宋_GB2312"/>
          <w:sz w:val="32"/>
          <w:szCs w:val="33"/>
        </w:rPr>
        <w:t>资金分配较及时，项目管理较规范，基本达到预期绩效目标，绩效评价结果好。</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ascii="Times New Roman" w:hAnsi="Times New Roman" w:eastAsia="黑体"/>
          <w:sz w:val="32"/>
          <w:szCs w:val="33"/>
        </w:rPr>
      </w:pPr>
      <w:r>
        <w:rPr>
          <w:rFonts w:ascii="Times New Roman" w:hAnsi="Times New Roman" w:eastAsia="黑体"/>
          <w:sz w:val="32"/>
          <w:szCs w:val="33"/>
        </w:rPr>
        <w:t>三、综合评价情况及评价结论（附相关评分表）</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ascii="Times New Roman" w:hAnsi="Times New Roman" w:eastAsia="仿宋_GB2312"/>
          <w:sz w:val="32"/>
          <w:szCs w:val="33"/>
        </w:rPr>
      </w:pPr>
      <w:r>
        <w:rPr>
          <w:rFonts w:hint="eastAsia" w:ascii="Times New Roman" w:hAnsi="Times New Roman" w:eastAsia="仿宋_GB2312"/>
          <w:sz w:val="32"/>
          <w:szCs w:val="33"/>
        </w:rPr>
        <w:t>总体来看，2022年区委政法委平安建设项目决策程序较严密，规划较合理；资金分配较及时、项目管理较规范，基本达到预期绩效目标，绩效评价结果很好，总体评价得分98分。具体评价情况见下表。</w:t>
      </w:r>
    </w:p>
    <w:p>
      <w:pPr>
        <w:adjustRightInd w:val="0"/>
        <w:snapToGrid w:val="0"/>
        <w:spacing w:line="353" w:lineRule="auto"/>
        <w:ind w:firstLine="482" w:firstLineChars="200"/>
        <w:jc w:val="center"/>
      </w:pPr>
      <w:r>
        <w:rPr>
          <w:rFonts w:ascii="Times New Roman" w:hAnsi="Times New Roman"/>
          <w:b/>
          <w:sz w:val="24"/>
          <w:lang w:val="zh-CN"/>
        </w:rPr>
        <w:t>20</w:t>
      </w:r>
      <w:r>
        <w:rPr>
          <w:rFonts w:ascii="Times New Roman" w:hAnsi="Times New Roman"/>
          <w:b/>
          <w:sz w:val="24"/>
        </w:rPr>
        <w:t>22</w:t>
      </w:r>
      <w:r>
        <w:rPr>
          <w:rFonts w:ascii="Times New Roman" w:hAnsi="Times New Roman"/>
          <w:b/>
          <w:sz w:val="24"/>
          <w:lang w:val="zh-CN"/>
        </w:rPr>
        <w:t>年区</w:t>
      </w:r>
      <w:r>
        <w:rPr>
          <w:rFonts w:hint="eastAsia"/>
          <w:b/>
          <w:sz w:val="24"/>
          <w:lang w:val="zh-CN"/>
        </w:rPr>
        <w:t>委政法委平安建设</w:t>
      </w:r>
      <w:r>
        <w:rPr>
          <w:b/>
          <w:sz w:val="24"/>
        </w:rPr>
        <w:t>项目</w:t>
      </w:r>
      <w:r>
        <w:rPr>
          <w:b/>
          <w:sz w:val="24"/>
          <w:lang w:val="zh-CN"/>
        </w:rPr>
        <w:t>绩效得分表</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1701"/>
        <w:gridCol w:w="2427"/>
        <w:gridCol w:w="1343"/>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12" w:type="dxa"/>
            <w:vAlign w:val="center"/>
          </w:tcPr>
          <w:p>
            <w:pPr>
              <w:adjustRightInd w:val="0"/>
              <w:snapToGrid w:val="0"/>
              <w:jc w:val="center"/>
              <w:rPr>
                <w:b/>
                <w:sz w:val="20"/>
                <w:szCs w:val="20"/>
              </w:rPr>
            </w:pPr>
            <w:r>
              <w:rPr>
                <w:b/>
                <w:sz w:val="20"/>
                <w:szCs w:val="20"/>
              </w:rPr>
              <w:t>一级指标</w:t>
            </w:r>
            <w:r>
              <w:rPr>
                <w:b/>
                <w:sz w:val="20"/>
                <w:szCs w:val="20"/>
              </w:rPr>
              <mc:AlternateContent>
                <mc:Choice Requires="wps">
                  <w:drawing>
                    <wp:anchor distT="0" distB="0" distL="114300" distR="114300" simplePos="0" relativeHeight="251677696"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53" name="直接连接符 5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77696;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kgDltUAAAAJAQAADwAAAAAAAAABACAAAAAiAAAAZHJzL2Rvd25yZXYueG1sUEsBAhQAFAAAAAgA&#10;h07iQArq0OTvAQAA5AMAAA4AAAAAAAAAAQAgAAAAJAEAAGRycy9lMm9Eb2MueG1sUEsFBgAAAAAG&#10;AAYAWQEAAIUFAAAAAA==&#10;">
                      <v:fill on="f" focussize="0,0"/>
                      <v:stroke color="#000000" joinstyle="round"/>
                      <v:imagedata o:title=""/>
                      <o:lock v:ext="edit" aspectratio="f"/>
                    </v:line>
                  </w:pict>
                </mc:Fallback>
              </mc:AlternateContent>
            </w:r>
            <w:r>
              <w:rPr>
                <w:b/>
                <w:sz w:val="20"/>
                <w:szCs w:val="20"/>
              </w:rPr>
              <mc:AlternateContent>
                <mc:Choice Requires="wps">
                  <w:drawing>
                    <wp:anchor distT="0" distB="0" distL="114300" distR="114300" simplePos="0" relativeHeight="251678720"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54" name="直接连接符 5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78720;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kgDltUAAAAJAQAADwAAAAAAAAABACAAAAAiAAAAZHJzL2Rvd25yZXYueG1sUEsBAhQAFAAAAAgA&#10;h07iQAHckoHvAQAA5AMAAA4AAAAAAAAAAQAgAAAAJAEAAGRycy9lMm9Eb2MueG1sUEsFBgAAAAAG&#10;AAYAWQEAAIUFAAAAAA==&#10;">
                      <v:fill on="f" focussize="0,0"/>
                      <v:stroke color="#000000" joinstyle="round"/>
                      <v:imagedata o:title=""/>
                      <o:lock v:ext="edit" aspectratio="f"/>
                    </v:line>
                  </w:pict>
                </mc:Fallback>
              </mc:AlternateContent>
            </w:r>
            <w:r>
              <w:rPr>
                <w:b/>
                <w:sz w:val="20"/>
                <w:szCs w:val="20"/>
              </w:rPr>
              <mc:AlternateContent>
                <mc:Choice Requires="wps">
                  <w:drawing>
                    <wp:anchor distT="0" distB="0" distL="114300" distR="114300" simplePos="0" relativeHeight="251679744"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55" name="直接连接符 5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79744;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e&#10;SAOW1QAAAAkBAAAPAAAAAAAAAAEAIAAAACIAAABkcnMvZG93bnJldi54bWxQSwECFAAUAAAACACH&#10;TuJAmdW5We4BAADkAwAADgAAAAAAAAABACAAAAAkAQAAZHJzL2Uyb0RvYy54bWxQSwUGAAAAAAYA&#10;BgBZAQAAhAUAAAAA&#10;">
                      <v:fill on="f" focussize="0,0"/>
                      <v:stroke color="#000000" joinstyle="round"/>
                      <v:imagedata o:title=""/>
                      <o:lock v:ext="edit" aspectratio="f"/>
                    </v:line>
                  </w:pict>
                </mc:Fallback>
              </mc:AlternateContent>
            </w:r>
            <w:r>
              <w:rPr>
                <w:b/>
                <w:sz w:val="20"/>
                <w:szCs w:val="20"/>
              </w:rPr>
              <mc:AlternateContent>
                <mc:Choice Requires="wps">
                  <w:drawing>
                    <wp:anchor distT="0" distB="0" distL="114300" distR="114300" simplePos="0" relativeHeight="251680768"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56" name="直接连接符 5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80768;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e&#10;SAOW1QAAAAkBAAAPAAAAAAAAAAEAIAAAACIAAABkcnMvZG93bnJldi54bWxQSwECFAAUAAAACACH&#10;TuJAcMm16u4BAADkAwAADgAAAAAAAAABACAAAAAkAQAAZHJzL2Uyb0RvYy54bWxQSwUGAAAAAAYA&#10;BgBZAQAAhAUAAAAA&#10;">
                      <v:fill on="f" focussize="0,0"/>
                      <v:stroke color="#000000" joinstyle="round"/>
                      <v:imagedata o:title=""/>
                      <o:lock v:ext="edit" aspectratio="f"/>
                    </v:line>
                  </w:pict>
                </mc:Fallback>
              </mc:AlternateContent>
            </w:r>
          </w:p>
        </w:tc>
        <w:tc>
          <w:tcPr>
            <w:tcW w:w="1701" w:type="dxa"/>
            <w:vAlign w:val="center"/>
          </w:tcPr>
          <w:p>
            <w:pPr>
              <w:adjustRightInd w:val="0"/>
              <w:snapToGrid w:val="0"/>
              <w:jc w:val="center"/>
              <w:rPr>
                <w:b/>
                <w:sz w:val="20"/>
                <w:szCs w:val="20"/>
              </w:rPr>
            </w:pPr>
            <w:r>
              <w:rPr>
                <w:b/>
                <w:sz w:val="20"/>
                <w:szCs w:val="20"/>
              </w:rPr>
              <w:t>二级指标</w:t>
            </w:r>
          </w:p>
        </w:tc>
        <w:tc>
          <w:tcPr>
            <w:tcW w:w="2427" w:type="dxa"/>
            <w:vAlign w:val="center"/>
          </w:tcPr>
          <w:p>
            <w:pPr>
              <w:adjustRightInd w:val="0"/>
              <w:snapToGrid w:val="0"/>
              <w:jc w:val="center"/>
              <w:rPr>
                <w:b/>
                <w:sz w:val="20"/>
                <w:szCs w:val="20"/>
              </w:rPr>
            </w:pPr>
            <w:r>
              <w:rPr>
                <w:b/>
                <w:sz w:val="20"/>
                <w:szCs w:val="20"/>
              </w:rPr>
              <w:t>三级指标</w:t>
            </w:r>
          </w:p>
        </w:tc>
        <w:tc>
          <w:tcPr>
            <w:tcW w:w="1343" w:type="dxa"/>
            <w:vAlign w:val="center"/>
          </w:tcPr>
          <w:p>
            <w:pPr>
              <w:adjustRightInd w:val="0"/>
              <w:snapToGrid w:val="0"/>
              <w:jc w:val="center"/>
              <w:rPr>
                <w:b/>
                <w:sz w:val="20"/>
                <w:szCs w:val="20"/>
              </w:rPr>
            </w:pPr>
            <w:r>
              <w:rPr>
                <w:b/>
                <w:sz w:val="20"/>
                <w:szCs w:val="20"/>
              </w:rPr>
              <w:t>分值</w:t>
            </w:r>
          </w:p>
        </w:tc>
        <w:tc>
          <w:tcPr>
            <w:tcW w:w="1139" w:type="dxa"/>
            <w:vAlign w:val="center"/>
          </w:tcPr>
          <w:p>
            <w:pPr>
              <w:adjustRightInd w:val="0"/>
              <w:snapToGrid w:val="0"/>
              <w:jc w:val="center"/>
              <w:rPr>
                <w:b/>
                <w:sz w:val="20"/>
                <w:szCs w:val="20"/>
              </w:rPr>
            </w:pPr>
            <w:r>
              <w:rPr>
                <w:b/>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restart"/>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项目决策</w:t>
            </w:r>
          </w:p>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（20分）</w:t>
            </w:r>
          </w:p>
        </w:tc>
        <w:tc>
          <w:tcPr>
            <w:tcW w:w="1701" w:type="dxa"/>
            <w:vMerge w:val="restart"/>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绩效目标</w:t>
            </w:r>
          </w:p>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（6分）</w:t>
            </w:r>
          </w:p>
        </w:tc>
        <w:tc>
          <w:tcPr>
            <w:tcW w:w="2427"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目标内容</w:t>
            </w:r>
          </w:p>
        </w:tc>
        <w:tc>
          <w:tcPr>
            <w:tcW w:w="1343"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1139" w:type="dxa"/>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912" w:type="dxa"/>
            <w:vMerge w:val="continue"/>
            <w:vAlign w:val="center"/>
          </w:tcPr>
          <w:p>
            <w:pPr>
              <w:adjustRightInd w:val="0"/>
              <w:snapToGrid w:val="0"/>
              <w:jc w:val="center"/>
              <w:rPr>
                <w:rFonts w:hint="default" w:ascii="Times New Roman" w:hAnsi="Times New Roman" w:cs="Times New Roman"/>
                <w:sz w:val="20"/>
                <w:szCs w:val="20"/>
              </w:rPr>
            </w:pPr>
          </w:p>
        </w:tc>
        <w:tc>
          <w:tcPr>
            <w:tcW w:w="1701" w:type="dxa"/>
            <w:vMerge w:val="continue"/>
            <w:vAlign w:val="center"/>
          </w:tcPr>
          <w:p>
            <w:pPr>
              <w:adjustRightInd w:val="0"/>
              <w:snapToGrid w:val="0"/>
              <w:jc w:val="center"/>
              <w:rPr>
                <w:rFonts w:hint="default" w:ascii="Times New Roman" w:hAnsi="Times New Roman" w:cs="Times New Roman"/>
                <w:sz w:val="20"/>
                <w:szCs w:val="20"/>
              </w:rPr>
            </w:pPr>
          </w:p>
        </w:tc>
        <w:tc>
          <w:tcPr>
            <w:tcW w:w="2427"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进度计划</w:t>
            </w:r>
          </w:p>
        </w:tc>
        <w:tc>
          <w:tcPr>
            <w:tcW w:w="1343"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1139" w:type="dxa"/>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vAlign w:val="center"/>
          </w:tcPr>
          <w:p>
            <w:pPr>
              <w:adjustRightInd w:val="0"/>
              <w:snapToGrid w:val="0"/>
              <w:jc w:val="center"/>
              <w:rPr>
                <w:rFonts w:hint="default" w:ascii="Times New Roman" w:hAnsi="Times New Roman" w:cs="Times New Roman"/>
                <w:sz w:val="20"/>
                <w:szCs w:val="20"/>
              </w:rPr>
            </w:pPr>
          </w:p>
        </w:tc>
        <w:tc>
          <w:tcPr>
            <w:tcW w:w="1701" w:type="dxa"/>
            <w:vMerge w:val="continue"/>
            <w:vAlign w:val="center"/>
          </w:tcPr>
          <w:p>
            <w:pPr>
              <w:adjustRightInd w:val="0"/>
              <w:snapToGrid w:val="0"/>
              <w:jc w:val="center"/>
              <w:rPr>
                <w:rFonts w:hint="default" w:ascii="Times New Roman" w:hAnsi="Times New Roman" w:cs="Times New Roman"/>
                <w:sz w:val="20"/>
                <w:szCs w:val="20"/>
              </w:rPr>
            </w:pPr>
          </w:p>
        </w:tc>
        <w:tc>
          <w:tcPr>
            <w:tcW w:w="2427"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目标匹配</w:t>
            </w:r>
          </w:p>
        </w:tc>
        <w:tc>
          <w:tcPr>
            <w:tcW w:w="1343"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1139" w:type="dxa"/>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vAlign w:val="center"/>
          </w:tcPr>
          <w:p>
            <w:pPr>
              <w:adjustRightInd w:val="0"/>
              <w:snapToGrid w:val="0"/>
              <w:jc w:val="center"/>
              <w:rPr>
                <w:rFonts w:hint="default" w:ascii="Times New Roman" w:hAnsi="Times New Roman" w:cs="Times New Roman"/>
                <w:sz w:val="20"/>
                <w:szCs w:val="20"/>
              </w:rPr>
            </w:pPr>
          </w:p>
        </w:tc>
        <w:tc>
          <w:tcPr>
            <w:tcW w:w="1701" w:type="dxa"/>
            <w:vMerge w:val="restart"/>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决策依据</w:t>
            </w:r>
          </w:p>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（10分）</w:t>
            </w:r>
          </w:p>
        </w:tc>
        <w:tc>
          <w:tcPr>
            <w:tcW w:w="2427"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政策依据</w:t>
            </w:r>
          </w:p>
        </w:tc>
        <w:tc>
          <w:tcPr>
            <w:tcW w:w="1343"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1139" w:type="dxa"/>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912" w:type="dxa"/>
            <w:vMerge w:val="continue"/>
            <w:vAlign w:val="center"/>
          </w:tcPr>
          <w:p>
            <w:pPr>
              <w:adjustRightInd w:val="0"/>
              <w:snapToGrid w:val="0"/>
              <w:jc w:val="center"/>
              <w:rPr>
                <w:rFonts w:hint="default" w:ascii="Times New Roman" w:hAnsi="Times New Roman" w:cs="Times New Roman"/>
                <w:sz w:val="20"/>
                <w:szCs w:val="20"/>
              </w:rPr>
            </w:pPr>
          </w:p>
        </w:tc>
        <w:tc>
          <w:tcPr>
            <w:tcW w:w="1701" w:type="dxa"/>
            <w:vMerge w:val="continue"/>
            <w:vAlign w:val="center"/>
          </w:tcPr>
          <w:p>
            <w:pPr>
              <w:adjustRightInd w:val="0"/>
              <w:snapToGrid w:val="0"/>
              <w:jc w:val="center"/>
              <w:rPr>
                <w:rFonts w:hint="default" w:ascii="Times New Roman" w:hAnsi="Times New Roman" w:cs="Times New Roman"/>
                <w:sz w:val="20"/>
                <w:szCs w:val="20"/>
              </w:rPr>
            </w:pPr>
          </w:p>
        </w:tc>
        <w:tc>
          <w:tcPr>
            <w:tcW w:w="2427"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程序严密</w:t>
            </w:r>
          </w:p>
        </w:tc>
        <w:tc>
          <w:tcPr>
            <w:tcW w:w="1343"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1139" w:type="dxa"/>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912" w:type="dxa"/>
            <w:vMerge w:val="continue"/>
            <w:vAlign w:val="center"/>
          </w:tcPr>
          <w:p>
            <w:pPr>
              <w:adjustRightInd w:val="0"/>
              <w:snapToGrid w:val="0"/>
              <w:jc w:val="center"/>
              <w:rPr>
                <w:rFonts w:hint="default" w:ascii="Times New Roman" w:hAnsi="Times New Roman" w:cs="Times New Roman"/>
                <w:sz w:val="20"/>
                <w:szCs w:val="20"/>
              </w:rPr>
            </w:pPr>
          </w:p>
        </w:tc>
        <w:tc>
          <w:tcPr>
            <w:tcW w:w="1701" w:type="dxa"/>
            <w:vMerge w:val="continue"/>
            <w:vAlign w:val="center"/>
          </w:tcPr>
          <w:p>
            <w:pPr>
              <w:adjustRightInd w:val="0"/>
              <w:snapToGrid w:val="0"/>
              <w:jc w:val="center"/>
              <w:rPr>
                <w:rFonts w:hint="default" w:ascii="Times New Roman" w:hAnsi="Times New Roman" w:cs="Times New Roman"/>
                <w:sz w:val="20"/>
                <w:szCs w:val="20"/>
              </w:rPr>
            </w:pPr>
          </w:p>
        </w:tc>
        <w:tc>
          <w:tcPr>
            <w:tcW w:w="2427"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结果符合</w:t>
            </w:r>
          </w:p>
        </w:tc>
        <w:tc>
          <w:tcPr>
            <w:tcW w:w="1343"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1139" w:type="dxa"/>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12" w:type="dxa"/>
            <w:vMerge w:val="continue"/>
            <w:vAlign w:val="center"/>
          </w:tcPr>
          <w:p>
            <w:pPr>
              <w:adjustRightInd w:val="0"/>
              <w:snapToGrid w:val="0"/>
              <w:jc w:val="center"/>
              <w:rPr>
                <w:rFonts w:hint="default" w:ascii="Times New Roman" w:hAnsi="Times New Roman" w:cs="Times New Roman"/>
                <w:sz w:val="20"/>
                <w:szCs w:val="20"/>
              </w:rPr>
            </w:pPr>
          </w:p>
        </w:tc>
        <w:tc>
          <w:tcPr>
            <w:tcW w:w="1701" w:type="dxa"/>
            <w:vMerge w:val="continue"/>
            <w:vAlign w:val="center"/>
          </w:tcPr>
          <w:p>
            <w:pPr>
              <w:adjustRightInd w:val="0"/>
              <w:snapToGrid w:val="0"/>
              <w:jc w:val="center"/>
              <w:rPr>
                <w:rFonts w:hint="default" w:ascii="Times New Roman" w:hAnsi="Times New Roman" w:cs="Times New Roman"/>
                <w:sz w:val="20"/>
                <w:szCs w:val="20"/>
              </w:rPr>
            </w:pPr>
          </w:p>
        </w:tc>
        <w:tc>
          <w:tcPr>
            <w:tcW w:w="2427" w:type="dxa"/>
            <w:vMerge w:val="restart"/>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实施规划</w:t>
            </w:r>
          </w:p>
        </w:tc>
        <w:tc>
          <w:tcPr>
            <w:tcW w:w="1343"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1139" w:type="dxa"/>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12" w:type="dxa"/>
            <w:vMerge w:val="continue"/>
            <w:vAlign w:val="center"/>
          </w:tcPr>
          <w:p>
            <w:pPr>
              <w:adjustRightInd w:val="0"/>
              <w:snapToGrid w:val="0"/>
              <w:jc w:val="center"/>
              <w:rPr>
                <w:rFonts w:hint="default" w:ascii="Times New Roman" w:hAnsi="Times New Roman" w:cs="Times New Roman"/>
                <w:sz w:val="20"/>
                <w:szCs w:val="20"/>
              </w:rPr>
            </w:pPr>
          </w:p>
        </w:tc>
        <w:tc>
          <w:tcPr>
            <w:tcW w:w="1701" w:type="dxa"/>
            <w:vMerge w:val="continue"/>
            <w:vAlign w:val="center"/>
          </w:tcPr>
          <w:p>
            <w:pPr>
              <w:adjustRightInd w:val="0"/>
              <w:snapToGrid w:val="0"/>
              <w:jc w:val="center"/>
              <w:rPr>
                <w:rFonts w:hint="default" w:ascii="Times New Roman" w:hAnsi="Times New Roman" w:cs="Times New Roman"/>
                <w:sz w:val="20"/>
                <w:szCs w:val="20"/>
              </w:rPr>
            </w:pPr>
          </w:p>
        </w:tc>
        <w:tc>
          <w:tcPr>
            <w:tcW w:w="2427" w:type="dxa"/>
            <w:vMerge w:val="continue"/>
            <w:vAlign w:val="center"/>
          </w:tcPr>
          <w:p>
            <w:pPr>
              <w:adjustRightInd w:val="0"/>
              <w:snapToGrid w:val="0"/>
              <w:jc w:val="center"/>
              <w:rPr>
                <w:rFonts w:hint="default" w:ascii="Times New Roman" w:hAnsi="Times New Roman" w:cs="Times New Roman"/>
                <w:sz w:val="20"/>
                <w:szCs w:val="20"/>
              </w:rPr>
            </w:pPr>
          </w:p>
        </w:tc>
        <w:tc>
          <w:tcPr>
            <w:tcW w:w="1343"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1139" w:type="dxa"/>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12" w:type="dxa"/>
            <w:vMerge w:val="continue"/>
            <w:vAlign w:val="center"/>
          </w:tcPr>
          <w:p>
            <w:pPr>
              <w:adjustRightInd w:val="0"/>
              <w:snapToGrid w:val="0"/>
              <w:jc w:val="center"/>
              <w:rPr>
                <w:rFonts w:hint="default" w:ascii="Times New Roman" w:hAnsi="Times New Roman" w:cs="Times New Roman"/>
                <w:sz w:val="20"/>
                <w:szCs w:val="20"/>
              </w:rPr>
            </w:pPr>
          </w:p>
        </w:tc>
        <w:tc>
          <w:tcPr>
            <w:tcW w:w="1701" w:type="dxa"/>
            <w:vMerge w:val="restart"/>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分配结果</w:t>
            </w:r>
          </w:p>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（4分）</w:t>
            </w:r>
          </w:p>
        </w:tc>
        <w:tc>
          <w:tcPr>
            <w:tcW w:w="2427"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分配过程</w:t>
            </w:r>
          </w:p>
        </w:tc>
        <w:tc>
          <w:tcPr>
            <w:tcW w:w="1343"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1139" w:type="dxa"/>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continue"/>
            <w:vAlign w:val="center"/>
          </w:tcPr>
          <w:p>
            <w:pPr>
              <w:adjustRightInd w:val="0"/>
              <w:snapToGrid w:val="0"/>
              <w:jc w:val="center"/>
              <w:rPr>
                <w:rFonts w:hint="default" w:ascii="Times New Roman" w:hAnsi="Times New Roman" w:cs="Times New Roman"/>
                <w:sz w:val="20"/>
                <w:szCs w:val="20"/>
              </w:rPr>
            </w:pPr>
          </w:p>
        </w:tc>
        <w:tc>
          <w:tcPr>
            <w:tcW w:w="1701" w:type="dxa"/>
            <w:vMerge w:val="continue"/>
            <w:vAlign w:val="center"/>
          </w:tcPr>
          <w:p>
            <w:pPr>
              <w:adjustRightInd w:val="0"/>
              <w:snapToGrid w:val="0"/>
              <w:jc w:val="center"/>
              <w:rPr>
                <w:rFonts w:hint="default" w:ascii="Times New Roman" w:hAnsi="Times New Roman" w:cs="Times New Roman"/>
                <w:sz w:val="20"/>
                <w:szCs w:val="20"/>
              </w:rPr>
            </w:pPr>
          </w:p>
        </w:tc>
        <w:tc>
          <w:tcPr>
            <w:tcW w:w="2427"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审核把关</w:t>
            </w:r>
          </w:p>
        </w:tc>
        <w:tc>
          <w:tcPr>
            <w:tcW w:w="1343"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1139" w:type="dxa"/>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912" w:type="dxa"/>
            <w:vMerge w:val="restart"/>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项目管理</w:t>
            </w:r>
          </w:p>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（15分）</w:t>
            </w:r>
          </w:p>
        </w:tc>
        <w:tc>
          <w:tcPr>
            <w:tcW w:w="1701" w:type="dxa"/>
            <w:vMerge w:val="restart"/>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资金到位</w:t>
            </w:r>
          </w:p>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（4分）</w:t>
            </w:r>
          </w:p>
        </w:tc>
        <w:tc>
          <w:tcPr>
            <w:tcW w:w="2427"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分配时效</w:t>
            </w:r>
          </w:p>
        </w:tc>
        <w:tc>
          <w:tcPr>
            <w:tcW w:w="1343"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1139" w:type="dxa"/>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12" w:type="dxa"/>
            <w:vMerge w:val="continue"/>
            <w:vAlign w:val="center"/>
          </w:tcPr>
          <w:p>
            <w:pPr>
              <w:adjustRightInd w:val="0"/>
              <w:snapToGrid w:val="0"/>
              <w:jc w:val="center"/>
              <w:rPr>
                <w:rFonts w:hint="default" w:ascii="Times New Roman" w:hAnsi="Times New Roman" w:cs="Times New Roman"/>
                <w:sz w:val="20"/>
                <w:szCs w:val="20"/>
              </w:rPr>
            </w:pPr>
          </w:p>
        </w:tc>
        <w:tc>
          <w:tcPr>
            <w:tcW w:w="1701" w:type="dxa"/>
            <w:vMerge w:val="continue"/>
            <w:vAlign w:val="center"/>
          </w:tcPr>
          <w:p>
            <w:pPr>
              <w:adjustRightInd w:val="0"/>
              <w:snapToGrid w:val="0"/>
              <w:jc w:val="center"/>
              <w:rPr>
                <w:rFonts w:hint="default" w:ascii="Times New Roman" w:hAnsi="Times New Roman" w:cs="Times New Roman"/>
                <w:sz w:val="20"/>
                <w:szCs w:val="20"/>
              </w:rPr>
            </w:pPr>
          </w:p>
        </w:tc>
        <w:tc>
          <w:tcPr>
            <w:tcW w:w="2427"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资金拨付</w:t>
            </w:r>
          </w:p>
        </w:tc>
        <w:tc>
          <w:tcPr>
            <w:tcW w:w="1343"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1139" w:type="dxa"/>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912" w:type="dxa"/>
            <w:vMerge w:val="continue"/>
            <w:vAlign w:val="center"/>
          </w:tcPr>
          <w:p>
            <w:pPr>
              <w:adjustRightInd w:val="0"/>
              <w:snapToGrid w:val="0"/>
              <w:jc w:val="center"/>
              <w:rPr>
                <w:rFonts w:hint="default" w:ascii="Times New Roman" w:hAnsi="Times New Roman" w:cs="Times New Roman"/>
                <w:sz w:val="20"/>
                <w:szCs w:val="20"/>
              </w:rPr>
            </w:pPr>
          </w:p>
        </w:tc>
        <w:tc>
          <w:tcPr>
            <w:tcW w:w="1701" w:type="dxa"/>
            <w:vMerge w:val="restart"/>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资金管理</w:t>
            </w:r>
          </w:p>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（3分）</w:t>
            </w:r>
          </w:p>
        </w:tc>
        <w:tc>
          <w:tcPr>
            <w:tcW w:w="2427"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使用范围</w:t>
            </w:r>
          </w:p>
        </w:tc>
        <w:tc>
          <w:tcPr>
            <w:tcW w:w="1343"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1139" w:type="dxa"/>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continue"/>
            <w:vAlign w:val="center"/>
          </w:tcPr>
          <w:p>
            <w:pPr>
              <w:adjustRightInd w:val="0"/>
              <w:snapToGrid w:val="0"/>
              <w:jc w:val="center"/>
              <w:rPr>
                <w:rFonts w:hint="default" w:ascii="Times New Roman" w:hAnsi="Times New Roman" w:cs="Times New Roman"/>
                <w:sz w:val="20"/>
                <w:szCs w:val="20"/>
              </w:rPr>
            </w:pPr>
          </w:p>
        </w:tc>
        <w:tc>
          <w:tcPr>
            <w:tcW w:w="1701" w:type="dxa"/>
            <w:vMerge w:val="continue"/>
            <w:vAlign w:val="center"/>
          </w:tcPr>
          <w:p>
            <w:pPr>
              <w:adjustRightInd w:val="0"/>
              <w:snapToGrid w:val="0"/>
              <w:jc w:val="center"/>
              <w:rPr>
                <w:rFonts w:hint="default" w:ascii="Times New Roman" w:hAnsi="Times New Roman" w:cs="Times New Roman"/>
                <w:sz w:val="20"/>
                <w:szCs w:val="20"/>
              </w:rPr>
            </w:pPr>
          </w:p>
        </w:tc>
        <w:tc>
          <w:tcPr>
            <w:tcW w:w="2427"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支付依据</w:t>
            </w:r>
          </w:p>
        </w:tc>
        <w:tc>
          <w:tcPr>
            <w:tcW w:w="1343"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1139" w:type="dxa"/>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continue"/>
            <w:vAlign w:val="center"/>
          </w:tcPr>
          <w:p>
            <w:pPr>
              <w:adjustRightInd w:val="0"/>
              <w:snapToGrid w:val="0"/>
              <w:jc w:val="center"/>
              <w:rPr>
                <w:rFonts w:hint="default" w:ascii="Times New Roman" w:hAnsi="Times New Roman" w:cs="Times New Roman"/>
                <w:sz w:val="20"/>
                <w:szCs w:val="20"/>
              </w:rPr>
            </w:pPr>
          </w:p>
        </w:tc>
        <w:tc>
          <w:tcPr>
            <w:tcW w:w="1701" w:type="dxa"/>
            <w:vMerge w:val="continue"/>
            <w:vAlign w:val="center"/>
          </w:tcPr>
          <w:p>
            <w:pPr>
              <w:adjustRightInd w:val="0"/>
              <w:snapToGrid w:val="0"/>
              <w:jc w:val="center"/>
              <w:rPr>
                <w:rFonts w:hint="default" w:ascii="Times New Roman" w:hAnsi="Times New Roman" w:cs="Times New Roman"/>
                <w:sz w:val="20"/>
                <w:szCs w:val="20"/>
              </w:rPr>
            </w:pPr>
          </w:p>
        </w:tc>
        <w:tc>
          <w:tcPr>
            <w:tcW w:w="2427"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开支标准</w:t>
            </w:r>
          </w:p>
        </w:tc>
        <w:tc>
          <w:tcPr>
            <w:tcW w:w="1343"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1139" w:type="dxa"/>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912" w:type="dxa"/>
            <w:vMerge w:val="continue"/>
            <w:vAlign w:val="center"/>
          </w:tcPr>
          <w:p>
            <w:pPr>
              <w:adjustRightInd w:val="0"/>
              <w:snapToGrid w:val="0"/>
              <w:jc w:val="center"/>
              <w:rPr>
                <w:rFonts w:hint="default" w:ascii="Times New Roman" w:hAnsi="Times New Roman" w:cs="Times New Roman"/>
                <w:sz w:val="20"/>
                <w:szCs w:val="20"/>
              </w:rPr>
            </w:pPr>
          </w:p>
        </w:tc>
        <w:tc>
          <w:tcPr>
            <w:tcW w:w="1701" w:type="dxa"/>
            <w:vMerge w:val="restart"/>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财务管理</w:t>
            </w:r>
          </w:p>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（4分）</w:t>
            </w:r>
          </w:p>
        </w:tc>
        <w:tc>
          <w:tcPr>
            <w:tcW w:w="2427"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财务制度</w:t>
            </w:r>
          </w:p>
        </w:tc>
        <w:tc>
          <w:tcPr>
            <w:tcW w:w="1343"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1139" w:type="dxa"/>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vAlign w:val="center"/>
          </w:tcPr>
          <w:p>
            <w:pPr>
              <w:adjustRightInd w:val="0"/>
              <w:snapToGrid w:val="0"/>
              <w:jc w:val="center"/>
              <w:rPr>
                <w:rFonts w:hint="default" w:ascii="Times New Roman" w:hAnsi="Times New Roman" w:cs="Times New Roman"/>
                <w:sz w:val="20"/>
                <w:szCs w:val="20"/>
              </w:rPr>
            </w:pPr>
          </w:p>
        </w:tc>
        <w:tc>
          <w:tcPr>
            <w:tcW w:w="1701" w:type="dxa"/>
            <w:vMerge w:val="continue"/>
            <w:vAlign w:val="center"/>
          </w:tcPr>
          <w:p>
            <w:pPr>
              <w:adjustRightInd w:val="0"/>
              <w:snapToGrid w:val="0"/>
              <w:jc w:val="center"/>
              <w:rPr>
                <w:rFonts w:hint="default" w:ascii="Times New Roman" w:hAnsi="Times New Roman" w:cs="Times New Roman"/>
                <w:sz w:val="20"/>
                <w:szCs w:val="20"/>
              </w:rPr>
            </w:pPr>
          </w:p>
        </w:tc>
        <w:tc>
          <w:tcPr>
            <w:tcW w:w="2427"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会计核算</w:t>
            </w:r>
          </w:p>
        </w:tc>
        <w:tc>
          <w:tcPr>
            <w:tcW w:w="1343"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1139" w:type="dxa"/>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vAlign w:val="center"/>
          </w:tcPr>
          <w:p>
            <w:pPr>
              <w:adjustRightInd w:val="0"/>
              <w:snapToGrid w:val="0"/>
              <w:jc w:val="center"/>
              <w:rPr>
                <w:rFonts w:hint="default" w:ascii="Times New Roman" w:hAnsi="Times New Roman" w:cs="Times New Roman"/>
                <w:sz w:val="20"/>
                <w:szCs w:val="20"/>
              </w:rPr>
            </w:pPr>
          </w:p>
        </w:tc>
        <w:tc>
          <w:tcPr>
            <w:tcW w:w="1701" w:type="dxa"/>
            <w:vMerge w:val="restart"/>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组织实施</w:t>
            </w:r>
          </w:p>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（4分）</w:t>
            </w:r>
          </w:p>
        </w:tc>
        <w:tc>
          <w:tcPr>
            <w:tcW w:w="2427"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项目调整</w:t>
            </w:r>
          </w:p>
        </w:tc>
        <w:tc>
          <w:tcPr>
            <w:tcW w:w="1343"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1139" w:type="dxa"/>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vAlign w:val="center"/>
          </w:tcPr>
          <w:p>
            <w:pPr>
              <w:adjustRightInd w:val="0"/>
              <w:snapToGrid w:val="0"/>
              <w:jc w:val="center"/>
              <w:rPr>
                <w:rFonts w:hint="default" w:ascii="Times New Roman" w:hAnsi="Times New Roman" w:cs="Times New Roman"/>
                <w:sz w:val="20"/>
                <w:szCs w:val="20"/>
              </w:rPr>
            </w:pPr>
          </w:p>
        </w:tc>
        <w:tc>
          <w:tcPr>
            <w:tcW w:w="1701" w:type="dxa"/>
            <w:vMerge w:val="continue"/>
            <w:vAlign w:val="center"/>
          </w:tcPr>
          <w:p>
            <w:pPr>
              <w:adjustRightInd w:val="0"/>
              <w:snapToGrid w:val="0"/>
              <w:jc w:val="center"/>
              <w:rPr>
                <w:rFonts w:hint="default" w:ascii="Times New Roman" w:hAnsi="Times New Roman" w:cs="Times New Roman"/>
                <w:sz w:val="20"/>
                <w:szCs w:val="20"/>
              </w:rPr>
            </w:pPr>
          </w:p>
        </w:tc>
        <w:tc>
          <w:tcPr>
            <w:tcW w:w="2427"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投资变更</w:t>
            </w:r>
          </w:p>
        </w:tc>
        <w:tc>
          <w:tcPr>
            <w:tcW w:w="1343"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1139" w:type="dxa"/>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vAlign w:val="center"/>
          </w:tcPr>
          <w:p>
            <w:pPr>
              <w:adjustRightInd w:val="0"/>
              <w:snapToGrid w:val="0"/>
              <w:jc w:val="center"/>
              <w:rPr>
                <w:rFonts w:hint="default" w:ascii="Times New Roman" w:hAnsi="Times New Roman" w:cs="Times New Roman"/>
                <w:sz w:val="20"/>
                <w:szCs w:val="20"/>
              </w:rPr>
            </w:pPr>
          </w:p>
        </w:tc>
        <w:tc>
          <w:tcPr>
            <w:tcW w:w="1701" w:type="dxa"/>
            <w:vMerge w:val="continue"/>
            <w:vAlign w:val="center"/>
          </w:tcPr>
          <w:p>
            <w:pPr>
              <w:adjustRightInd w:val="0"/>
              <w:snapToGrid w:val="0"/>
              <w:jc w:val="center"/>
              <w:rPr>
                <w:rFonts w:hint="default" w:ascii="Times New Roman" w:hAnsi="Times New Roman" w:cs="Times New Roman"/>
                <w:sz w:val="20"/>
                <w:szCs w:val="20"/>
              </w:rPr>
            </w:pPr>
          </w:p>
        </w:tc>
        <w:tc>
          <w:tcPr>
            <w:tcW w:w="2427"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制度执行</w:t>
            </w:r>
          </w:p>
        </w:tc>
        <w:tc>
          <w:tcPr>
            <w:tcW w:w="1343"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1139" w:type="dxa"/>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restart"/>
            <w:vAlign w:val="center"/>
          </w:tcPr>
          <w:p>
            <w:pPr>
              <w:adjustRightInd w:val="0"/>
              <w:snapToGrid w:val="0"/>
              <w:jc w:val="center"/>
              <w:rPr>
                <w:rFonts w:hint="default" w:ascii="Times New Roman" w:hAnsi="Times New Roman" w:cs="Times New Roman"/>
                <w:sz w:val="20"/>
                <w:szCs w:val="20"/>
              </w:rPr>
            </w:pPr>
          </w:p>
          <w:p>
            <w:pPr>
              <w:adjustRightInd w:val="0"/>
              <w:snapToGrid w:val="0"/>
              <w:jc w:val="center"/>
              <w:rPr>
                <w:rFonts w:hint="default" w:ascii="Times New Roman" w:hAnsi="Times New Roman" w:cs="Times New Roman"/>
                <w:sz w:val="20"/>
                <w:szCs w:val="20"/>
              </w:rPr>
            </w:pPr>
          </w:p>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项目绩效</w:t>
            </w:r>
          </w:p>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（特性指标65分）</w:t>
            </w:r>
          </w:p>
          <w:p>
            <w:pPr>
              <w:adjustRightInd w:val="0"/>
              <w:snapToGrid w:val="0"/>
              <w:jc w:val="center"/>
              <w:rPr>
                <w:rFonts w:hint="default" w:ascii="Times New Roman" w:hAnsi="Times New Roman" w:cs="Times New Roman"/>
                <w:sz w:val="20"/>
                <w:szCs w:val="20"/>
              </w:rPr>
            </w:pPr>
          </w:p>
          <w:p>
            <w:pPr>
              <w:adjustRightInd w:val="0"/>
              <w:snapToGrid w:val="0"/>
              <w:jc w:val="center"/>
              <w:rPr>
                <w:rFonts w:hint="default" w:ascii="Times New Roman" w:hAnsi="Times New Roman" w:cs="Times New Roman"/>
                <w:sz w:val="20"/>
                <w:szCs w:val="20"/>
              </w:rPr>
            </w:pPr>
          </w:p>
        </w:tc>
        <w:tc>
          <w:tcPr>
            <w:tcW w:w="1701" w:type="dxa"/>
            <w:vMerge w:val="restart"/>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项目完成</w:t>
            </w:r>
          </w:p>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（20分）</w:t>
            </w:r>
          </w:p>
          <w:p>
            <w:pPr>
              <w:adjustRightInd w:val="0"/>
              <w:snapToGrid w:val="0"/>
              <w:jc w:val="center"/>
              <w:rPr>
                <w:rFonts w:hint="default" w:ascii="Times New Roman" w:hAnsi="Times New Roman" w:cs="Times New Roman"/>
                <w:sz w:val="20"/>
                <w:szCs w:val="20"/>
              </w:rPr>
            </w:pPr>
          </w:p>
        </w:tc>
        <w:tc>
          <w:tcPr>
            <w:tcW w:w="2427"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完成数量</w:t>
            </w:r>
          </w:p>
        </w:tc>
        <w:tc>
          <w:tcPr>
            <w:tcW w:w="1343"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w:t>
            </w:r>
          </w:p>
        </w:tc>
        <w:tc>
          <w:tcPr>
            <w:tcW w:w="1139" w:type="dxa"/>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adjustRightInd w:val="0"/>
              <w:snapToGrid w:val="0"/>
              <w:jc w:val="center"/>
              <w:rPr>
                <w:rFonts w:hint="default" w:ascii="Times New Roman" w:hAnsi="Times New Roman" w:cs="Times New Roman"/>
                <w:sz w:val="20"/>
                <w:szCs w:val="20"/>
              </w:rPr>
            </w:pPr>
          </w:p>
        </w:tc>
        <w:tc>
          <w:tcPr>
            <w:tcW w:w="1701" w:type="dxa"/>
            <w:vMerge w:val="continue"/>
            <w:vAlign w:val="center"/>
          </w:tcPr>
          <w:p>
            <w:pPr>
              <w:adjustRightInd w:val="0"/>
              <w:snapToGrid w:val="0"/>
              <w:jc w:val="center"/>
              <w:rPr>
                <w:rFonts w:hint="default" w:ascii="Times New Roman" w:hAnsi="Times New Roman" w:cs="Times New Roman"/>
                <w:sz w:val="20"/>
                <w:szCs w:val="20"/>
              </w:rPr>
            </w:pPr>
          </w:p>
        </w:tc>
        <w:tc>
          <w:tcPr>
            <w:tcW w:w="2427"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完成质量</w:t>
            </w:r>
          </w:p>
        </w:tc>
        <w:tc>
          <w:tcPr>
            <w:tcW w:w="1343"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w:t>
            </w:r>
          </w:p>
        </w:tc>
        <w:tc>
          <w:tcPr>
            <w:tcW w:w="1139" w:type="dxa"/>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adjustRightInd w:val="0"/>
              <w:snapToGrid w:val="0"/>
              <w:jc w:val="center"/>
              <w:rPr>
                <w:rFonts w:hint="default" w:ascii="Times New Roman" w:hAnsi="Times New Roman" w:cs="Times New Roman"/>
                <w:sz w:val="20"/>
                <w:szCs w:val="20"/>
              </w:rPr>
            </w:pPr>
          </w:p>
        </w:tc>
        <w:tc>
          <w:tcPr>
            <w:tcW w:w="1701" w:type="dxa"/>
            <w:vMerge w:val="continue"/>
            <w:vAlign w:val="center"/>
          </w:tcPr>
          <w:p>
            <w:pPr>
              <w:adjustRightInd w:val="0"/>
              <w:snapToGrid w:val="0"/>
              <w:jc w:val="center"/>
              <w:rPr>
                <w:rFonts w:hint="default" w:ascii="Times New Roman" w:hAnsi="Times New Roman" w:cs="Times New Roman"/>
                <w:sz w:val="20"/>
                <w:szCs w:val="20"/>
              </w:rPr>
            </w:pPr>
          </w:p>
        </w:tc>
        <w:tc>
          <w:tcPr>
            <w:tcW w:w="2427"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完成时效</w:t>
            </w:r>
          </w:p>
        </w:tc>
        <w:tc>
          <w:tcPr>
            <w:tcW w:w="1343"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w:t>
            </w:r>
          </w:p>
        </w:tc>
        <w:tc>
          <w:tcPr>
            <w:tcW w:w="1139" w:type="dxa"/>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adjustRightInd w:val="0"/>
              <w:snapToGrid w:val="0"/>
              <w:jc w:val="center"/>
              <w:rPr>
                <w:rFonts w:hint="default" w:ascii="Times New Roman" w:hAnsi="Times New Roman" w:cs="Times New Roman"/>
                <w:sz w:val="20"/>
                <w:szCs w:val="20"/>
              </w:rPr>
            </w:pPr>
          </w:p>
        </w:tc>
        <w:tc>
          <w:tcPr>
            <w:tcW w:w="1701" w:type="dxa"/>
            <w:vMerge w:val="continue"/>
            <w:vAlign w:val="center"/>
          </w:tcPr>
          <w:p>
            <w:pPr>
              <w:adjustRightInd w:val="0"/>
              <w:snapToGrid w:val="0"/>
              <w:jc w:val="center"/>
              <w:rPr>
                <w:rFonts w:hint="default" w:ascii="Times New Roman" w:hAnsi="Times New Roman" w:cs="Times New Roman"/>
                <w:sz w:val="20"/>
                <w:szCs w:val="20"/>
              </w:rPr>
            </w:pPr>
          </w:p>
        </w:tc>
        <w:tc>
          <w:tcPr>
            <w:tcW w:w="2427"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完成成本</w:t>
            </w:r>
          </w:p>
        </w:tc>
        <w:tc>
          <w:tcPr>
            <w:tcW w:w="1343"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w:t>
            </w:r>
          </w:p>
        </w:tc>
        <w:tc>
          <w:tcPr>
            <w:tcW w:w="1139" w:type="dxa"/>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adjustRightInd w:val="0"/>
              <w:snapToGrid w:val="0"/>
              <w:jc w:val="center"/>
              <w:rPr>
                <w:rFonts w:hint="default" w:ascii="Times New Roman" w:hAnsi="Times New Roman" w:cs="Times New Roman"/>
                <w:sz w:val="20"/>
                <w:szCs w:val="20"/>
              </w:rPr>
            </w:pPr>
          </w:p>
        </w:tc>
        <w:tc>
          <w:tcPr>
            <w:tcW w:w="1701" w:type="dxa"/>
            <w:vMerge w:val="continue"/>
            <w:vAlign w:val="center"/>
          </w:tcPr>
          <w:p>
            <w:pPr>
              <w:adjustRightInd w:val="0"/>
              <w:snapToGrid w:val="0"/>
              <w:jc w:val="center"/>
              <w:rPr>
                <w:rFonts w:hint="default" w:ascii="Times New Roman" w:hAnsi="Times New Roman" w:cs="Times New Roman"/>
                <w:sz w:val="20"/>
                <w:szCs w:val="20"/>
              </w:rPr>
            </w:pPr>
          </w:p>
        </w:tc>
        <w:tc>
          <w:tcPr>
            <w:tcW w:w="2427"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违规纪律</w:t>
            </w:r>
          </w:p>
        </w:tc>
        <w:tc>
          <w:tcPr>
            <w:tcW w:w="1343"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w:t>
            </w:r>
          </w:p>
        </w:tc>
        <w:tc>
          <w:tcPr>
            <w:tcW w:w="1139" w:type="dxa"/>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adjustRightInd w:val="0"/>
              <w:snapToGrid w:val="0"/>
              <w:jc w:val="center"/>
              <w:rPr>
                <w:rFonts w:hint="default" w:ascii="Times New Roman" w:hAnsi="Times New Roman" w:cs="Times New Roman"/>
                <w:sz w:val="20"/>
                <w:szCs w:val="20"/>
              </w:rPr>
            </w:pPr>
          </w:p>
        </w:tc>
        <w:tc>
          <w:tcPr>
            <w:tcW w:w="1701" w:type="dxa"/>
            <w:vMerge w:val="restart"/>
            <w:vAlign w:val="center"/>
          </w:tcPr>
          <w:p>
            <w:pPr>
              <w:adjustRightInd w:val="0"/>
              <w:snapToGrid w:val="0"/>
              <w:jc w:val="center"/>
              <w:rPr>
                <w:rFonts w:hint="default" w:ascii="Times New Roman" w:hAnsi="Times New Roman" w:cs="Times New Roman"/>
                <w:sz w:val="20"/>
                <w:szCs w:val="20"/>
              </w:rPr>
            </w:pPr>
          </w:p>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项目效益</w:t>
            </w:r>
          </w:p>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（40分）</w:t>
            </w:r>
          </w:p>
        </w:tc>
        <w:tc>
          <w:tcPr>
            <w:tcW w:w="2427"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经济效益</w:t>
            </w:r>
          </w:p>
        </w:tc>
        <w:tc>
          <w:tcPr>
            <w:tcW w:w="1343"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139" w:type="dxa"/>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adjustRightInd w:val="0"/>
              <w:snapToGrid w:val="0"/>
              <w:jc w:val="center"/>
              <w:rPr>
                <w:rFonts w:hint="default" w:ascii="Times New Roman" w:hAnsi="Times New Roman" w:cs="Times New Roman"/>
                <w:sz w:val="20"/>
                <w:szCs w:val="20"/>
              </w:rPr>
            </w:pPr>
          </w:p>
        </w:tc>
        <w:tc>
          <w:tcPr>
            <w:tcW w:w="1701" w:type="dxa"/>
            <w:vMerge w:val="continue"/>
            <w:vAlign w:val="center"/>
          </w:tcPr>
          <w:p>
            <w:pPr>
              <w:adjustRightInd w:val="0"/>
              <w:snapToGrid w:val="0"/>
              <w:jc w:val="center"/>
              <w:rPr>
                <w:rFonts w:hint="default" w:ascii="Times New Roman" w:hAnsi="Times New Roman" w:cs="Times New Roman"/>
                <w:sz w:val="20"/>
                <w:szCs w:val="20"/>
              </w:rPr>
            </w:pPr>
          </w:p>
        </w:tc>
        <w:tc>
          <w:tcPr>
            <w:tcW w:w="2427"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社会效益</w:t>
            </w:r>
          </w:p>
        </w:tc>
        <w:tc>
          <w:tcPr>
            <w:tcW w:w="1343"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139" w:type="dxa"/>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adjustRightInd w:val="0"/>
              <w:snapToGrid w:val="0"/>
              <w:jc w:val="center"/>
              <w:rPr>
                <w:rFonts w:hint="default" w:ascii="Times New Roman" w:hAnsi="Times New Roman" w:cs="Times New Roman"/>
                <w:sz w:val="20"/>
                <w:szCs w:val="20"/>
              </w:rPr>
            </w:pPr>
          </w:p>
        </w:tc>
        <w:tc>
          <w:tcPr>
            <w:tcW w:w="1701" w:type="dxa"/>
            <w:vMerge w:val="continue"/>
            <w:vAlign w:val="center"/>
          </w:tcPr>
          <w:p>
            <w:pPr>
              <w:adjustRightInd w:val="0"/>
              <w:snapToGrid w:val="0"/>
              <w:jc w:val="center"/>
              <w:rPr>
                <w:rFonts w:hint="default" w:ascii="Times New Roman" w:hAnsi="Times New Roman" w:cs="Times New Roman"/>
                <w:sz w:val="20"/>
                <w:szCs w:val="20"/>
              </w:rPr>
            </w:pPr>
          </w:p>
        </w:tc>
        <w:tc>
          <w:tcPr>
            <w:tcW w:w="2427"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生态效益</w:t>
            </w:r>
          </w:p>
        </w:tc>
        <w:tc>
          <w:tcPr>
            <w:tcW w:w="1343"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139" w:type="dxa"/>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adjustRightInd w:val="0"/>
              <w:snapToGrid w:val="0"/>
              <w:jc w:val="center"/>
              <w:rPr>
                <w:rFonts w:hint="default" w:ascii="Times New Roman" w:hAnsi="Times New Roman" w:cs="Times New Roman"/>
                <w:sz w:val="20"/>
                <w:szCs w:val="20"/>
              </w:rPr>
            </w:pPr>
          </w:p>
        </w:tc>
        <w:tc>
          <w:tcPr>
            <w:tcW w:w="1701" w:type="dxa"/>
            <w:vMerge w:val="continue"/>
            <w:vAlign w:val="center"/>
          </w:tcPr>
          <w:p>
            <w:pPr>
              <w:adjustRightInd w:val="0"/>
              <w:snapToGrid w:val="0"/>
              <w:jc w:val="center"/>
              <w:rPr>
                <w:rFonts w:hint="default" w:ascii="Times New Roman" w:hAnsi="Times New Roman" w:cs="Times New Roman"/>
                <w:sz w:val="20"/>
                <w:szCs w:val="20"/>
              </w:rPr>
            </w:pPr>
          </w:p>
        </w:tc>
        <w:tc>
          <w:tcPr>
            <w:tcW w:w="2427"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可持续效益</w:t>
            </w:r>
          </w:p>
        </w:tc>
        <w:tc>
          <w:tcPr>
            <w:tcW w:w="1343"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139" w:type="dxa"/>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adjustRightInd w:val="0"/>
              <w:snapToGrid w:val="0"/>
              <w:jc w:val="center"/>
              <w:rPr>
                <w:rFonts w:hint="default" w:ascii="Times New Roman" w:hAnsi="Times New Roman" w:cs="Times New Roman"/>
                <w:sz w:val="20"/>
                <w:szCs w:val="20"/>
              </w:rPr>
            </w:pPr>
          </w:p>
        </w:tc>
        <w:tc>
          <w:tcPr>
            <w:tcW w:w="1701"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满意度</w:t>
            </w:r>
          </w:p>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（5分）</w:t>
            </w:r>
          </w:p>
        </w:tc>
        <w:tc>
          <w:tcPr>
            <w:tcW w:w="2427"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服务对象满意度</w:t>
            </w:r>
          </w:p>
        </w:tc>
        <w:tc>
          <w:tcPr>
            <w:tcW w:w="1343"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5</w:t>
            </w:r>
          </w:p>
        </w:tc>
        <w:tc>
          <w:tcPr>
            <w:tcW w:w="1139" w:type="dxa"/>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040" w:type="dxa"/>
            <w:gridSpan w:val="3"/>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合　　　　计</w:t>
            </w:r>
          </w:p>
        </w:tc>
        <w:tc>
          <w:tcPr>
            <w:tcW w:w="1343" w:type="dxa"/>
            <w:vAlign w:val="center"/>
          </w:tcPr>
          <w:p>
            <w:pPr>
              <w:adjustRightInd w:val="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100</w:t>
            </w:r>
          </w:p>
        </w:tc>
        <w:tc>
          <w:tcPr>
            <w:tcW w:w="1139" w:type="dxa"/>
            <w:vAlign w:val="center"/>
          </w:tcPr>
          <w:p>
            <w:pPr>
              <w:widowControl/>
              <w:jc w:val="center"/>
              <w:textAlignment w:val="center"/>
              <w:rPr>
                <w:rFonts w:hint="default" w:ascii="Times New Roman" w:hAnsi="Times New Roman" w:cs="Times New Roman"/>
                <w:sz w:val="20"/>
                <w:szCs w:val="20"/>
              </w:rPr>
            </w:pPr>
            <w:r>
              <w:rPr>
                <w:rFonts w:hint="default" w:ascii="Times New Roman" w:hAnsi="Times New Roman" w:cs="Times New Roman"/>
                <w:color w:val="000000"/>
                <w:kern w:val="0"/>
                <w:sz w:val="20"/>
                <w:szCs w:val="20"/>
              </w:rPr>
              <w:t>98</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Times New Roman" w:hAnsi="Times New Roman" w:eastAsia="黑体"/>
          <w:sz w:val="32"/>
          <w:szCs w:val="33"/>
        </w:rPr>
      </w:pPr>
      <w:r>
        <w:rPr>
          <w:rFonts w:ascii="Times New Roman" w:hAnsi="Times New Roman" w:eastAsia="黑体"/>
          <w:sz w:val="32"/>
          <w:szCs w:val="33"/>
        </w:rPr>
        <w:t>四、绩效评价指标分析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ascii="Times New Roman" w:hAnsi="Times New Roman" w:eastAsia="楷体_GB2312"/>
          <w:sz w:val="32"/>
          <w:szCs w:val="33"/>
        </w:rPr>
      </w:pPr>
      <w:r>
        <w:rPr>
          <w:rFonts w:ascii="Times New Roman" w:hAnsi="Times New Roman" w:eastAsia="楷体_GB2312"/>
          <w:b/>
          <w:bCs/>
          <w:sz w:val="32"/>
          <w:szCs w:val="33"/>
        </w:rPr>
        <w:t>（一）项目决策情况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Times New Roman" w:hAnsi="Times New Roman" w:eastAsia="仿宋_GB2312"/>
          <w:sz w:val="32"/>
          <w:szCs w:val="33"/>
        </w:rPr>
      </w:pPr>
      <w:r>
        <w:rPr>
          <w:rFonts w:hint="eastAsia" w:ascii="Times New Roman" w:hAnsi="Times New Roman" w:eastAsia="仿宋_GB2312"/>
          <w:sz w:val="32"/>
          <w:szCs w:val="33"/>
        </w:rPr>
        <w:t>根据上级文件要求，经区委研究决定由区委政法委报区财政局将该项目资金纳入</w:t>
      </w:r>
      <w:r>
        <w:rPr>
          <w:rFonts w:hint="eastAsia" w:ascii="Times New Roman" w:hAnsi="Times New Roman" w:eastAsia="仿宋_GB2312"/>
          <w:sz w:val="32"/>
          <w:szCs w:val="33"/>
          <w:lang w:val="en-US" w:eastAsia="zh-CN"/>
        </w:rPr>
        <w:t>2022年</w:t>
      </w:r>
      <w:r>
        <w:rPr>
          <w:rFonts w:hint="eastAsia" w:ascii="Times New Roman" w:hAnsi="Times New Roman" w:eastAsia="仿宋_GB2312"/>
          <w:sz w:val="32"/>
          <w:szCs w:val="33"/>
        </w:rPr>
        <w:t>年初预算安排，申报目标合理可行，按规定开展相关工作。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ascii="Times New Roman" w:hAnsi="Times New Roman" w:eastAsia="楷体_GB2312"/>
          <w:b/>
          <w:bCs/>
          <w:sz w:val="33"/>
          <w:szCs w:val="33"/>
        </w:rPr>
      </w:pPr>
      <w:r>
        <w:rPr>
          <w:rFonts w:hint="eastAsia" w:ascii="Times New Roman" w:hAnsi="Times New Roman" w:eastAsia="楷体_GB2312"/>
          <w:b/>
          <w:bCs/>
          <w:sz w:val="32"/>
          <w:szCs w:val="33"/>
        </w:rPr>
        <w:t>（二）</w:t>
      </w:r>
      <w:r>
        <w:rPr>
          <w:rFonts w:ascii="Times New Roman" w:hAnsi="Times New Roman" w:eastAsia="楷体_GB2312"/>
          <w:b/>
          <w:bCs/>
          <w:sz w:val="32"/>
          <w:szCs w:val="33"/>
        </w:rPr>
        <w:t>项目过程情况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Times New Roman" w:hAnsi="Times New Roman" w:eastAsia="仿宋_GB2312"/>
          <w:sz w:val="32"/>
          <w:szCs w:val="33"/>
        </w:rPr>
      </w:pPr>
      <w:r>
        <w:rPr>
          <w:rFonts w:hint="eastAsia" w:ascii="Times New Roman" w:hAnsi="Times New Roman" w:eastAsia="仿宋_GB2312"/>
          <w:sz w:val="32"/>
          <w:szCs w:val="33"/>
        </w:rPr>
        <w:t>资金分配情况：项目按规定及时分配</w:t>
      </w:r>
      <w:r>
        <w:rPr>
          <w:rFonts w:hint="eastAsia" w:ascii="Times New Roman" w:hAnsi="Times New Roman" w:eastAsia="仿宋_GB2312"/>
          <w:sz w:val="32"/>
          <w:szCs w:val="33"/>
          <w:lang w:eastAsia="zh-CN"/>
        </w:rPr>
        <w:t>。</w:t>
      </w:r>
      <w:r>
        <w:rPr>
          <w:rFonts w:hint="eastAsia" w:ascii="Times New Roman" w:hAnsi="Times New Roman" w:eastAsia="仿宋_GB2312"/>
          <w:sz w:val="32"/>
          <w:szCs w:val="33"/>
        </w:rPr>
        <w:t>资金使用情况</w:t>
      </w:r>
      <w:r>
        <w:rPr>
          <w:rFonts w:hint="eastAsia" w:ascii="Times New Roman" w:hAnsi="Times New Roman" w:eastAsia="仿宋_GB2312"/>
          <w:sz w:val="32"/>
          <w:szCs w:val="33"/>
          <w:lang w:eastAsia="zh-CN"/>
        </w:rPr>
        <w:t>：</w:t>
      </w:r>
      <w:r>
        <w:rPr>
          <w:rFonts w:hint="eastAsia" w:ascii="Times New Roman" w:hAnsi="Times New Roman" w:eastAsia="仿宋_GB2312"/>
          <w:sz w:val="32"/>
          <w:szCs w:val="33"/>
        </w:rPr>
        <w:t>2022年平安建设专</w:t>
      </w:r>
      <w:r>
        <w:rPr>
          <w:rFonts w:hint="eastAsia" w:ascii="Times New Roman" w:hAnsi="Times New Roman" w:eastAsia="仿宋_GB2312"/>
          <w:sz w:val="32"/>
          <w:szCs w:val="33"/>
          <w:highlight w:val="none"/>
        </w:rPr>
        <w:t>项经费中，区委政法委机关共支出55.67万元，其余资金划拨到镇、街</w:t>
      </w:r>
      <w:r>
        <w:rPr>
          <w:rFonts w:hint="eastAsia" w:ascii="Times New Roman" w:hAnsi="Times New Roman" w:eastAsia="仿宋_GB2312"/>
          <w:sz w:val="32"/>
          <w:szCs w:val="33"/>
        </w:rPr>
        <w:t>道用于专职网格员工资待遇支出，当年全部发放到位。项目资金使用符合相关的财务管理制度规定。执行有效情况：该项目实施符合相关管理制度规定。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ascii="Times New Roman" w:hAnsi="Times New Roman" w:eastAsia="楷体_GB2312"/>
          <w:sz w:val="33"/>
          <w:szCs w:val="33"/>
        </w:rPr>
      </w:pPr>
      <w:r>
        <w:rPr>
          <w:rFonts w:hint="eastAsia" w:ascii="Times New Roman" w:hAnsi="Times New Roman" w:eastAsia="楷体_GB2312"/>
          <w:b/>
          <w:bCs/>
          <w:sz w:val="32"/>
          <w:szCs w:val="33"/>
        </w:rPr>
        <w:t>（三）</w:t>
      </w:r>
      <w:r>
        <w:rPr>
          <w:rFonts w:ascii="Times New Roman" w:hAnsi="Times New Roman" w:eastAsia="楷体_GB2312"/>
          <w:b/>
          <w:bCs/>
          <w:sz w:val="32"/>
          <w:szCs w:val="33"/>
        </w:rPr>
        <w:t>项目产出情况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Times New Roman" w:hAnsi="Times New Roman" w:eastAsia="仿宋_GB2312"/>
          <w:sz w:val="32"/>
          <w:szCs w:val="33"/>
        </w:rPr>
      </w:pPr>
      <w:r>
        <w:rPr>
          <w:rFonts w:hint="eastAsia" w:ascii="Times New Roman" w:hAnsi="Times New Roman" w:eastAsia="仿宋_GB2312"/>
          <w:sz w:val="32"/>
          <w:szCs w:val="33"/>
        </w:rPr>
        <w:t>全区已经建成了区、镇（街道）、社区（村）、网格四级网格管理体系，配置电脑端登录账号63个，手机端登录账号57个，接通区级单位（部门）12个，接通派出所、司法所、卫生服务中心（院）23个，实现了网格事项发现、处置、上报、交办、办结、回访、评价等功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ascii="Times New Roman" w:hAnsi="Times New Roman" w:eastAsia="楷体_GB2312"/>
          <w:b/>
          <w:bCs/>
          <w:sz w:val="32"/>
          <w:szCs w:val="33"/>
        </w:rPr>
      </w:pPr>
      <w:r>
        <w:rPr>
          <w:rFonts w:ascii="Times New Roman" w:hAnsi="Times New Roman" w:eastAsia="楷体_GB2312"/>
          <w:b/>
          <w:bCs/>
          <w:sz w:val="32"/>
          <w:szCs w:val="33"/>
        </w:rPr>
        <w:t>（四）项目效益情况</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pPr>
      <w:r>
        <w:rPr>
          <w:rFonts w:hint="eastAsia" w:ascii="Times New Roman" w:hAnsi="Times New Roman" w:eastAsia="仿宋_GB2312"/>
          <w:sz w:val="32"/>
          <w:szCs w:val="33"/>
        </w:rPr>
        <w:t>西区</w:t>
      </w:r>
      <w:r>
        <w:rPr>
          <w:rFonts w:ascii="Times New Roman" w:hAnsi="Times New Roman" w:eastAsia="仿宋_GB2312"/>
          <w:sz w:val="32"/>
          <w:szCs w:val="33"/>
        </w:rPr>
        <w:t>自推动网格化管理工作以来，积极创新实践，为新常态下</w:t>
      </w:r>
      <w:r>
        <w:rPr>
          <w:rFonts w:hint="eastAsia" w:ascii="Times New Roman" w:hAnsi="Times New Roman" w:eastAsia="仿宋_GB2312"/>
          <w:sz w:val="32"/>
          <w:szCs w:val="33"/>
          <w:lang w:eastAsia="zh-CN"/>
        </w:rPr>
        <w:t>推动</w:t>
      </w:r>
      <w:r>
        <w:rPr>
          <w:rFonts w:ascii="Times New Roman" w:hAnsi="Times New Roman" w:eastAsia="仿宋_GB2312"/>
          <w:sz w:val="32"/>
          <w:szCs w:val="33"/>
        </w:rPr>
        <w:t>基层社会综合治理发挥了积极作用，有效提升了辖区</w:t>
      </w:r>
      <w:r>
        <w:rPr>
          <w:rFonts w:hint="eastAsia" w:ascii="Times New Roman" w:hAnsi="Times New Roman" w:eastAsia="仿宋_GB2312"/>
          <w:sz w:val="32"/>
          <w:szCs w:val="33"/>
        </w:rPr>
        <w:t>居民</w:t>
      </w:r>
      <w:r>
        <w:rPr>
          <w:rFonts w:ascii="Times New Roman" w:hAnsi="Times New Roman" w:eastAsia="仿宋_GB2312"/>
          <w:sz w:val="32"/>
          <w:szCs w:val="33"/>
        </w:rPr>
        <w:t>安全感和满意度。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Times New Roman" w:hAnsi="Times New Roman" w:eastAsia="黑体"/>
          <w:sz w:val="32"/>
          <w:szCs w:val="33"/>
        </w:rPr>
      </w:pPr>
      <w:r>
        <w:rPr>
          <w:rFonts w:ascii="Times New Roman" w:hAnsi="Times New Roman" w:eastAsia="黑体"/>
          <w:sz w:val="32"/>
          <w:szCs w:val="33"/>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ascii="Times New Roman" w:hAnsi="Times New Roman" w:eastAsia="楷体_GB2312"/>
          <w:b/>
          <w:bCs/>
          <w:sz w:val="32"/>
          <w:szCs w:val="33"/>
        </w:rPr>
      </w:pPr>
      <w:r>
        <w:rPr>
          <w:rFonts w:ascii="Times New Roman" w:hAnsi="Times New Roman" w:eastAsia="楷体_GB2312"/>
          <w:b/>
          <w:bCs/>
          <w:sz w:val="32"/>
          <w:szCs w:val="33"/>
        </w:rPr>
        <w:t>（一）主要经验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Times New Roman" w:hAnsi="Times New Roman" w:eastAsia="仿宋_GB2312"/>
          <w:sz w:val="32"/>
          <w:szCs w:val="33"/>
        </w:rPr>
      </w:pPr>
      <w:r>
        <w:rPr>
          <w:rFonts w:ascii="Times New Roman" w:hAnsi="Times New Roman" w:eastAsia="仿宋_GB2312"/>
          <w:sz w:val="32"/>
          <w:szCs w:val="33"/>
        </w:rPr>
        <w:t>按照全区网格化项目开展的实际工作情况，根据镇（街道）专兼职网格员的数量进行资金分配，及时划拨，有力保障网格化工作顺利开展。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ascii="Times New Roman" w:hAnsi="Times New Roman" w:eastAsia="楷体_GB2312"/>
          <w:b/>
          <w:bCs/>
          <w:sz w:val="32"/>
          <w:szCs w:val="33"/>
        </w:rPr>
      </w:pPr>
      <w:r>
        <w:rPr>
          <w:rFonts w:ascii="Times New Roman" w:hAnsi="Times New Roman" w:eastAsia="楷体_GB2312"/>
          <w:b/>
          <w:bCs/>
          <w:sz w:val="32"/>
          <w:szCs w:val="33"/>
        </w:rPr>
        <w:t>（二）存在的问题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ascii="Times New Roman" w:hAnsi="Times New Roman" w:eastAsia="仿宋_GB2312"/>
          <w:sz w:val="32"/>
          <w:szCs w:val="33"/>
        </w:rPr>
      </w:pPr>
      <w:r>
        <w:rPr>
          <w:rFonts w:ascii="Times New Roman" w:hAnsi="Times New Roman" w:eastAsia="仿宋_GB2312"/>
          <w:b/>
          <w:sz w:val="32"/>
          <w:szCs w:val="33"/>
        </w:rPr>
        <w:t>一是</w:t>
      </w:r>
      <w:r>
        <w:rPr>
          <w:rFonts w:hint="eastAsia" w:ascii="Times New Roman" w:hAnsi="Times New Roman" w:eastAsia="仿宋_GB2312"/>
          <w:sz w:val="32"/>
          <w:szCs w:val="33"/>
        </w:rPr>
        <w:t>网格管理职责聚焦不够。</w:t>
      </w:r>
      <w:r>
        <w:rPr>
          <w:rFonts w:ascii="Times New Roman" w:hAnsi="Times New Roman" w:eastAsia="仿宋_GB2312"/>
          <w:b/>
          <w:spacing w:val="6"/>
          <w:sz w:val="32"/>
          <w:szCs w:val="33"/>
        </w:rPr>
        <w:t>二是</w:t>
      </w:r>
      <w:r>
        <w:rPr>
          <w:rFonts w:hint="eastAsia" w:ascii="Times New Roman" w:hAnsi="Times New Roman" w:eastAsia="仿宋_GB2312"/>
          <w:sz w:val="32"/>
          <w:szCs w:val="33"/>
        </w:rPr>
        <w:t>网格员队伍</w:t>
      </w:r>
      <w:r>
        <w:rPr>
          <w:rFonts w:hint="eastAsia" w:ascii="Times New Roman" w:hAnsi="Times New Roman" w:eastAsia="仿宋_GB2312"/>
          <w:sz w:val="32"/>
          <w:szCs w:val="33"/>
          <w:lang w:eastAsia="zh-CN"/>
        </w:rPr>
        <w:t>综合治理</w:t>
      </w:r>
      <w:r>
        <w:rPr>
          <w:rFonts w:hint="eastAsia" w:ascii="Times New Roman" w:hAnsi="Times New Roman" w:eastAsia="仿宋_GB2312"/>
          <w:sz w:val="32"/>
          <w:szCs w:val="33"/>
        </w:rPr>
        <w:t>能力还有待提升</w:t>
      </w:r>
      <w:r>
        <w:rPr>
          <w:rFonts w:ascii="Times New Roman" w:hAnsi="Times New Roman" w:eastAsia="仿宋_GB2312"/>
          <w:sz w:val="32"/>
          <w:szCs w:val="33"/>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Times New Roman" w:hAnsi="Times New Roman" w:eastAsia="黑体"/>
          <w:sz w:val="32"/>
          <w:szCs w:val="33"/>
        </w:rPr>
      </w:pPr>
      <w:r>
        <w:rPr>
          <w:rFonts w:ascii="Times New Roman" w:hAnsi="Times New Roman" w:eastAsia="黑体"/>
          <w:sz w:val="32"/>
          <w:szCs w:val="33"/>
        </w:rPr>
        <w:t>六、有关建议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ascii="Times New Roman" w:hAnsi="Times New Roman" w:eastAsia="仿宋_GB2312"/>
          <w:sz w:val="32"/>
          <w:szCs w:val="33"/>
        </w:rPr>
      </w:pPr>
      <w:r>
        <w:rPr>
          <w:rFonts w:ascii="Times New Roman" w:hAnsi="Times New Roman" w:eastAsia="仿宋_GB2312"/>
          <w:b/>
          <w:sz w:val="32"/>
          <w:szCs w:val="33"/>
        </w:rPr>
        <w:t>一是</w:t>
      </w:r>
      <w:r>
        <w:rPr>
          <w:rFonts w:hint="eastAsia" w:ascii="Times New Roman" w:hAnsi="Times New Roman" w:eastAsia="仿宋_GB2312"/>
          <w:sz w:val="32"/>
          <w:szCs w:val="33"/>
        </w:rPr>
        <w:t>建议加强辖区网格员的业务培训，进一步提高相关业</w:t>
      </w:r>
      <w:r>
        <w:rPr>
          <w:rFonts w:hint="eastAsia" w:ascii="Times New Roman" w:hAnsi="Times New Roman" w:eastAsia="仿宋_GB2312"/>
          <w:spacing w:val="-6"/>
          <w:sz w:val="32"/>
          <w:szCs w:val="33"/>
        </w:rPr>
        <w:t>务能力。</w:t>
      </w:r>
      <w:r>
        <w:rPr>
          <w:rFonts w:ascii="Times New Roman" w:hAnsi="Times New Roman" w:eastAsia="仿宋_GB2312"/>
          <w:b/>
          <w:spacing w:val="-6"/>
          <w:sz w:val="32"/>
          <w:szCs w:val="33"/>
        </w:rPr>
        <w:t>二是</w:t>
      </w:r>
      <w:r>
        <w:rPr>
          <w:rFonts w:hint="eastAsia" w:ascii="Times New Roman" w:hAnsi="Times New Roman" w:eastAsia="仿宋_GB2312"/>
          <w:spacing w:val="-6"/>
          <w:sz w:val="32"/>
          <w:szCs w:val="33"/>
        </w:rPr>
        <w:t>加强网格员的内部管理，提高网格员队伍综合素质</w:t>
      </w:r>
      <w:r>
        <w:rPr>
          <w:rFonts w:ascii="Times New Roman" w:hAnsi="Times New Roman" w:eastAsia="仿宋_GB2312"/>
          <w:spacing w:val="-6"/>
          <w:sz w:val="32"/>
          <w:szCs w:val="33"/>
        </w:rPr>
        <w:t>。</w:t>
      </w:r>
    </w:p>
    <w:p>
      <w:pPr>
        <w:keepNext w:val="0"/>
        <w:keepLines w:val="0"/>
        <w:pageBreakBefore w:val="0"/>
        <w:widowControl w:val="0"/>
        <w:kinsoku/>
        <w:wordWrap/>
        <w:overflowPunct/>
        <w:topLinePunct w:val="0"/>
        <w:autoSpaceDE/>
        <w:autoSpaceDN/>
        <w:bidi w:val="0"/>
        <w:adjustRightInd/>
        <w:snapToGrid/>
        <w:spacing w:line="560" w:lineRule="exact"/>
      </w:pPr>
      <w:r>
        <w:rPr>
          <w:rFonts w:hint="eastAsia"/>
        </w:rPr>
        <w:br w:type="page"/>
      </w:r>
    </w:p>
    <w:p>
      <w:pPr>
        <w:pStyle w:val="11"/>
        <w:widowControl w:val="0"/>
        <w:spacing w:before="0" w:beforeAutospacing="0" w:after="0" w:afterAutospacing="0"/>
        <w:jc w:val="both"/>
        <w:rPr>
          <w:rFonts w:hint="default" w:ascii="Times New Roman" w:hAnsi="Times New Roman" w:eastAsia="黑体" w:cs="Times New Roman"/>
          <w:sz w:val="32"/>
          <w:szCs w:val="33"/>
        </w:rPr>
      </w:pPr>
      <w:r>
        <w:rPr>
          <w:rFonts w:hint="default" w:ascii="Times New Roman" w:hAnsi="Times New Roman" w:eastAsia="黑体" w:cs="Times New Roman"/>
          <w:sz w:val="32"/>
          <w:szCs w:val="33"/>
        </w:rPr>
        <w:t>附件3</w:t>
      </w:r>
    </w:p>
    <w:p>
      <w:pPr>
        <w:snapToGrid w:val="0"/>
        <w:spacing w:line="60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rPr>
        <w:t>2022年高龄长寿补贴专项经费绩效评价报告</w:t>
      </w:r>
    </w:p>
    <w:p>
      <w:pPr>
        <w:pStyle w:val="16"/>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ascii="Times New Roman" w:hAnsi="Times New Roman" w:eastAsia="仿宋_GB2312"/>
          <w:color w:val="auto"/>
          <w:kern w:val="2"/>
          <w:sz w:val="32"/>
          <w:szCs w:val="33"/>
          <w:lang w:val="en-US"/>
        </w:rPr>
      </w:pPr>
      <w:r>
        <w:rPr>
          <w:rFonts w:ascii="Times New Roman" w:hAnsi="Times New Roman" w:eastAsia="仿宋_GB2312"/>
          <w:color w:val="auto"/>
          <w:kern w:val="2"/>
          <w:sz w:val="32"/>
          <w:szCs w:val="33"/>
          <w:lang w:val="en-US"/>
        </w:rPr>
        <w:t>根据《中华人民共和国预算法》《中共四川省委 四川省人民政府关于全面实施预算绩效管理的实施意见》以及市第十届人大常委会第四次会议提出的</w:t>
      </w:r>
      <w:r>
        <w:rPr>
          <w:rFonts w:hint="eastAsia" w:ascii="Times New Roman" w:hAnsi="Times New Roman" w:eastAsia="仿宋_GB2312"/>
          <w:color w:val="auto"/>
          <w:kern w:val="2"/>
          <w:sz w:val="32"/>
          <w:szCs w:val="33"/>
          <w:lang w:val="en-US" w:eastAsia="zh-CN"/>
        </w:rPr>
        <w:t>“</w:t>
      </w:r>
      <w:r>
        <w:rPr>
          <w:rFonts w:ascii="Times New Roman" w:hAnsi="Times New Roman" w:eastAsia="仿宋_GB2312"/>
          <w:color w:val="auto"/>
          <w:kern w:val="2"/>
          <w:sz w:val="32"/>
          <w:szCs w:val="33"/>
          <w:lang w:val="en-US"/>
        </w:rPr>
        <w:t>进一步完善财政支出绩效评价制度，尤其是对评价结果的运用制度</w:t>
      </w:r>
      <w:r>
        <w:rPr>
          <w:rFonts w:hint="eastAsia" w:ascii="Times New Roman" w:hAnsi="Times New Roman" w:eastAsia="仿宋_GB2312"/>
          <w:color w:val="auto"/>
          <w:kern w:val="2"/>
          <w:sz w:val="32"/>
          <w:szCs w:val="33"/>
          <w:lang w:val="en-US" w:eastAsia="zh-CN"/>
        </w:rPr>
        <w:t>”</w:t>
      </w:r>
      <w:r>
        <w:rPr>
          <w:rFonts w:ascii="Times New Roman" w:hAnsi="Times New Roman" w:eastAsia="仿宋_GB2312"/>
          <w:color w:val="auto"/>
          <w:kern w:val="2"/>
          <w:sz w:val="32"/>
          <w:szCs w:val="33"/>
          <w:lang w:val="en-US"/>
        </w:rPr>
        <w:t>等要求，于20</w:t>
      </w:r>
      <w:r>
        <w:rPr>
          <w:rFonts w:hint="eastAsia" w:ascii="Times New Roman" w:hAnsi="Times New Roman" w:eastAsia="仿宋_GB2312"/>
          <w:color w:val="auto"/>
          <w:kern w:val="2"/>
          <w:sz w:val="32"/>
          <w:szCs w:val="33"/>
          <w:lang w:val="en-US"/>
        </w:rPr>
        <w:t>2</w:t>
      </w:r>
      <w:r>
        <w:rPr>
          <w:rFonts w:ascii="Times New Roman" w:hAnsi="Times New Roman" w:eastAsia="仿宋_GB2312"/>
          <w:color w:val="auto"/>
          <w:kern w:val="2"/>
          <w:sz w:val="32"/>
          <w:szCs w:val="33"/>
          <w:lang w:val="en-US"/>
        </w:rPr>
        <w:t>3年6月至7月对</w:t>
      </w:r>
      <w:r>
        <w:rPr>
          <w:rFonts w:hint="eastAsia" w:ascii="Times New Roman" w:hAnsi="Times New Roman" w:eastAsia="仿宋_GB2312"/>
          <w:color w:val="auto"/>
          <w:kern w:val="2"/>
          <w:sz w:val="32"/>
          <w:szCs w:val="33"/>
          <w:lang w:val="en-US"/>
        </w:rPr>
        <w:t>2022年高龄长寿补贴专项经费</w:t>
      </w:r>
      <w:r>
        <w:rPr>
          <w:rFonts w:ascii="Times New Roman" w:hAnsi="Times New Roman" w:eastAsia="仿宋_GB2312"/>
          <w:color w:val="auto"/>
          <w:kern w:val="2"/>
          <w:sz w:val="32"/>
          <w:szCs w:val="33"/>
          <w:lang w:val="en-US"/>
        </w:rPr>
        <w:t>开展了绩效评价，现将有关情况报告如下。</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黑体"/>
          <w:sz w:val="32"/>
          <w:szCs w:val="33"/>
        </w:rPr>
      </w:pPr>
      <w:r>
        <w:rPr>
          <w:rFonts w:ascii="Times New Roman" w:hAnsi="Times New Roman" w:eastAsia="黑体"/>
          <w:sz w:val="32"/>
          <w:szCs w:val="33"/>
        </w:rPr>
        <w:t>一、基本情况</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（一）项目概况</w:t>
      </w:r>
    </w:p>
    <w:p>
      <w:pPr>
        <w:keepNext w:val="0"/>
        <w:keepLines w:val="0"/>
        <w:pageBreakBefore w:val="0"/>
        <w:widowControl w:val="0"/>
        <w:tabs>
          <w:tab w:val="left" w:pos="574"/>
        </w:tabs>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z w:val="32"/>
          <w:szCs w:val="33"/>
        </w:rPr>
      </w:pPr>
      <w:r>
        <w:rPr>
          <w:rFonts w:hint="eastAsia" w:ascii="Times New Roman" w:hAnsi="Times New Roman" w:eastAsia="仿宋_GB2312"/>
          <w:sz w:val="32"/>
          <w:szCs w:val="33"/>
        </w:rPr>
        <w:t>2022年高龄长寿补贴专项经费</w:t>
      </w:r>
      <w:r>
        <w:rPr>
          <w:rFonts w:ascii="Times New Roman" w:hAnsi="Times New Roman" w:eastAsia="仿宋_GB2312"/>
          <w:sz w:val="32"/>
          <w:szCs w:val="33"/>
        </w:rPr>
        <w:t>，</w:t>
      </w:r>
      <w:r>
        <w:rPr>
          <w:rFonts w:hint="eastAsia" w:ascii="Times New Roman" w:hAnsi="Times New Roman" w:eastAsia="仿宋_GB2312"/>
          <w:sz w:val="32"/>
          <w:szCs w:val="33"/>
        </w:rPr>
        <w:t>是</w:t>
      </w:r>
      <w:r>
        <w:rPr>
          <w:rFonts w:ascii="Times New Roman" w:hAnsi="Times New Roman" w:eastAsia="仿宋_GB2312"/>
          <w:sz w:val="32"/>
          <w:szCs w:val="33"/>
        </w:rPr>
        <w:t>按政策</w:t>
      </w:r>
      <w:r>
        <w:rPr>
          <w:rFonts w:hint="eastAsia" w:ascii="Times New Roman" w:hAnsi="Times New Roman" w:eastAsia="仿宋_GB2312"/>
          <w:sz w:val="32"/>
          <w:szCs w:val="33"/>
        </w:rPr>
        <w:t>对</w:t>
      </w:r>
      <w:r>
        <w:rPr>
          <w:rFonts w:ascii="Times New Roman" w:hAnsi="Times New Roman" w:eastAsia="仿宋_GB2312"/>
          <w:sz w:val="32"/>
          <w:szCs w:val="33"/>
        </w:rPr>
        <w:t>符合条件的</w:t>
      </w:r>
      <w:r>
        <w:rPr>
          <w:rFonts w:hint="eastAsia" w:ascii="Times New Roman" w:hAnsi="Times New Roman" w:eastAsia="仿宋_GB2312"/>
          <w:sz w:val="32"/>
          <w:szCs w:val="33"/>
        </w:rPr>
        <w:t>高龄老人发放高龄津贴</w:t>
      </w:r>
      <w:r>
        <w:rPr>
          <w:rFonts w:ascii="Times New Roman" w:hAnsi="Times New Roman" w:eastAsia="仿宋_GB2312"/>
          <w:sz w:val="32"/>
          <w:szCs w:val="33"/>
        </w:rPr>
        <w:t>，解决高龄老人的基本生活问题</w:t>
      </w:r>
      <w:r>
        <w:rPr>
          <w:rFonts w:hint="eastAsia" w:ascii="Times New Roman" w:hAnsi="Times New Roman" w:eastAsia="仿宋_GB2312"/>
          <w:sz w:val="32"/>
          <w:szCs w:val="33"/>
        </w:rPr>
        <w:t>，</w:t>
      </w:r>
      <w:r>
        <w:rPr>
          <w:rFonts w:ascii="Times New Roman" w:hAnsi="Times New Roman" w:eastAsia="仿宋_GB2312"/>
          <w:sz w:val="32"/>
          <w:szCs w:val="33"/>
        </w:rPr>
        <w:t>提高高龄老人的生活质量</w:t>
      </w:r>
      <w:r>
        <w:rPr>
          <w:rFonts w:hint="eastAsia" w:ascii="Times New Roman" w:hAnsi="Times New Roman" w:eastAsia="仿宋_GB2312"/>
          <w:sz w:val="32"/>
          <w:szCs w:val="33"/>
        </w:rPr>
        <w:t>。为保证此项工作有序运行，需设立高龄长寿补贴项目，项目申报与政策和需求相吻合。202</w:t>
      </w:r>
      <w:r>
        <w:rPr>
          <w:rFonts w:ascii="Times New Roman" w:hAnsi="Times New Roman" w:eastAsia="仿宋_GB2312"/>
          <w:sz w:val="32"/>
          <w:szCs w:val="33"/>
        </w:rPr>
        <w:t>2</w:t>
      </w:r>
      <w:r>
        <w:rPr>
          <w:rFonts w:hint="eastAsia" w:ascii="Times New Roman" w:hAnsi="Times New Roman" w:eastAsia="仿宋_GB2312"/>
          <w:sz w:val="32"/>
          <w:szCs w:val="33"/>
        </w:rPr>
        <w:t>年共</w:t>
      </w:r>
      <w:r>
        <w:rPr>
          <w:rFonts w:hint="eastAsia" w:ascii="Times New Roman" w:hAnsi="Times New Roman" w:eastAsia="仿宋_GB2312"/>
          <w:sz w:val="32"/>
          <w:szCs w:val="33"/>
          <w:highlight w:val="none"/>
        </w:rPr>
        <w:t>安排高</w:t>
      </w:r>
      <w:r>
        <w:rPr>
          <w:rFonts w:hint="eastAsia" w:ascii="Times New Roman" w:hAnsi="Times New Roman" w:eastAsia="仿宋_GB2312"/>
          <w:sz w:val="32"/>
          <w:szCs w:val="33"/>
        </w:rPr>
        <w:t>龄长寿补贴专项资金354.46万元，其中：上级资金154.46</w:t>
      </w:r>
      <w:r>
        <w:rPr>
          <w:rFonts w:ascii="Times New Roman" w:hAnsi="Times New Roman" w:eastAsia="仿宋_GB2312"/>
          <w:sz w:val="32"/>
          <w:szCs w:val="33"/>
        </w:rPr>
        <w:t>万元</w:t>
      </w:r>
      <w:r>
        <w:rPr>
          <w:rFonts w:hint="eastAsia" w:ascii="Times New Roman" w:hAnsi="Times New Roman" w:eastAsia="仿宋_GB2312"/>
          <w:sz w:val="32"/>
          <w:szCs w:val="33"/>
        </w:rPr>
        <w:t>、</w:t>
      </w:r>
      <w:r>
        <w:rPr>
          <w:rFonts w:ascii="Times New Roman" w:hAnsi="Times New Roman" w:eastAsia="仿宋_GB2312"/>
          <w:sz w:val="32"/>
          <w:szCs w:val="33"/>
        </w:rPr>
        <w:t>区级资金200万元</w:t>
      </w:r>
      <w:r>
        <w:rPr>
          <w:rFonts w:hint="eastAsia" w:ascii="Times New Roman" w:hAnsi="Times New Roman" w:eastAsia="仿宋_GB2312"/>
          <w:sz w:val="32"/>
          <w:szCs w:val="33"/>
        </w:rPr>
        <w:t>。截至</w:t>
      </w:r>
      <w:r>
        <w:rPr>
          <w:rFonts w:ascii="Times New Roman" w:hAnsi="Times New Roman" w:eastAsia="仿宋_GB2312"/>
          <w:sz w:val="32"/>
          <w:szCs w:val="33"/>
        </w:rPr>
        <w:t>2022年12月31日，项目资金</w:t>
      </w:r>
      <w:r>
        <w:rPr>
          <w:rFonts w:hint="eastAsia" w:ascii="Times New Roman" w:hAnsi="Times New Roman" w:eastAsia="仿宋_GB2312"/>
          <w:sz w:val="32"/>
          <w:szCs w:val="33"/>
        </w:rPr>
        <w:t>实际支付346.82万元，支付</w:t>
      </w:r>
      <w:r>
        <w:rPr>
          <w:rFonts w:hint="eastAsia" w:ascii="Times New Roman" w:hAnsi="Times New Roman" w:eastAsia="仿宋_GB2312"/>
          <w:sz w:val="32"/>
          <w:szCs w:val="33"/>
          <w:lang w:eastAsia="zh-CN"/>
        </w:rPr>
        <w:t>率为</w:t>
      </w:r>
      <w:r>
        <w:rPr>
          <w:rFonts w:ascii="Times New Roman" w:hAnsi="Times New Roman" w:eastAsia="仿宋_GB2312"/>
          <w:sz w:val="32"/>
          <w:szCs w:val="33"/>
        </w:rPr>
        <w:t>97.85</w:t>
      </w:r>
      <w:r>
        <w:rPr>
          <w:rFonts w:hint="eastAsia" w:ascii="Times New Roman" w:hAnsi="Times New Roman" w:eastAsia="仿宋_GB2312"/>
          <w:sz w:val="32"/>
          <w:szCs w:val="33"/>
        </w:rPr>
        <w:t>%</w:t>
      </w:r>
      <w:r>
        <w:rPr>
          <w:rFonts w:ascii="Times New Roman" w:hAnsi="Times New Roman" w:eastAsia="仿宋_GB2312"/>
          <w:sz w:val="32"/>
          <w:szCs w:val="33"/>
        </w:rPr>
        <w:t>。</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（二）项目绩效目标</w:t>
      </w:r>
    </w:p>
    <w:p>
      <w:pPr>
        <w:keepNext w:val="0"/>
        <w:keepLines w:val="0"/>
        <w:pageBreakBefore w:val="0"/>
        <w:widowControl w:val="0"/>
        <w:tabs>
          <w:tab w:val="left" w:pos="574"/>
        </w:tabs>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z w:val="32"/>
          <w:szCs w:val="33"/>
        </w:rPr>
      </w:pPr>
      <w:r>
        <w:rPr>
          <w:rFonts w:hint="eastAsia" w:ascii="Times New Roman" w:hAnsi="Times New Roman" w:eastAsia="仿宋_GB2312"/>
          <w:sz w:val="32"/>
          <w:szCs w:val="33"/>
        </w:rPr>
        <w:t>加快完善西区老年人社会保障体系，切实解决城市高龄及困难老年群众日常生活保障问题，不断提高全</w:t>
      </w:r>
      <w:r>
        <w:rPr>
          <w:rFonts w:hint="eastAsia" w:ascii="Times New Roman" w:hAnsi="Times New Roman" w:eastAsia="仿宋_GB2312"/>
          <w:sz w:val="32"/>
          <w:szCs w:val="33"/>
          <w:lang w:eastAsia="zh-CN"/>
        </w:rPr>
        <w:t>区</w:t>
      </w:r>
      <w:r>
        <w:rPr>
          <w:rFonts w:hint="eastAsia" w:ascii="Times New Roman" w:hAnsi="Times New Roman" w:eastAsia="仿宋_GB2312"/>
          <w:sz w:val="32"/>
          <w:szCs w:val="33"/>
        </w:rPr>
        <w:t>高龄老年人的生活质量。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3"/>
        </w:rPr>
      </w:pPr>
      <w:r>
        <w:rPr>
          <w:rFonts w:ascii="Times New Roman" w:hAnsi="Times New Roman" w:eastAsia="黑体"/>
          <w:sz w:val="32"/>
          <w:szCs w:val="33"/>
        </w:rPr>
        <w:t>二、绩效评价工作开展情况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_GBK" w:hAnsi="方正楷体_GBK" w:eastAsia="楷体_GB2312" w:cs="方正楷体_GBK"/>
          <w:sz w:val="32"/>
          <w:szCs w:val="33"/>
        </w:rPr>
      </w:pPr>
      <w:r>
        <w:rPr>
          <w:rFonts w:hint="eastAsia" w:ascii="方正楷体_GBK" w:hAnsi="方正楷体_GBK" w:eastAsia="楷体_GB2312" w:cs="方正楷体_GBK"/>
          <w:b/>
          <w:bCs/>
          <w:sz w:val="32"/>
          <w:szCs w:val="33"/>
        </w:rPr>
        <w:t>（一）绩效评价目的、对象和范围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3"/>
        </w:rPr>
      </w:pPr>
      <w:r>
        <w:rPr>
          <w:rFonts w:hint="eastAsia" w:ascii="Times New Roman" w:hAnsi="Times New Roman" w:eastAsia="仿宋_GB2312"/>
          <w:sz w:val="32"/>
          <w:szCs w:val="33"/>
        </w:rPr>
        <w:t>从决策、过程、产出、效益、满意度等维度</w:t>
      </w:r>
      <w:r>
        <w:rPr>
          <w:rFonts w:hint="eastAsia" w:ascii="Times New Roman" w:hAnsi="Times New Roman" w:eastAsia="仿宋_GB2312"/>
          <w:sz w:val="32"/>
          <w:szCs w:val="33"/>
          <w:lang w:eastAsia="zh-CN"/>
        </w:rPr>
        <w:t>出发，</w:t>
      </w:r>
      <w:r>
        <w:rPr>
          <w:rFonts w:hint="eastAsia" w:ascii="Times New Roman" w:hAnsi="Times New Roman" w:eastAsia="仿宋_GB2312"/>
          <w:sz w:val="32"/>
          <w:szCs w:val="33"/>
        </w:rPr>
        <w:t>对202</w:t>
      </w:r>
      <w:r>
        <w:rPr>
          <w:rFonts w:ascii="Times New Roman" w:hAnsi="Times New Roman" w:eastAsia="仿宋_GB2312"/>
          <w:sz w:val="32"/>
          <w:szCs w:val="33"/>
        </w:rPr>
        <w:t>2</w:t>
      </w:r>
      <w:r>
        <w:rPr>
          <w:rFonts w:hint="eastAsia" w:ascii="Times New Roman" w:hAnsi="Times New Roman" w:eastAsia="仿宋_GB2312"/>
          <w:sz w:val="32"/>
          <w:szCs w:val="33"/>
        </w:rPr>
        <w:t>年高龄长寿补贴项目的管理、审核和目标达成情况，进行绩效评价，旨在总结工作成绩，发现实施管理中存在的问题和不足，提出改进意见和建议，强化项目管理，提高财政资金使用效益。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_GBK" w:hAnsi="方正楷体_GBK" w:eastAsia="楷体_GB2312" w:cs="方正楷体_GBK"/>
          <w:sz w:val="32"/>
          <w:szCs w:val="33"/>
        </w:rPr>
      </w:pPr>
      <w:r>
        <w:rPr>
          <w:rFonts w:hint="eastAsia" w:ascii="方正楷体_GBK" w:hAnsi="方正楷体_GBK" w:eastAsia="楷体_GB2312" w:cs="方正楷体_GBK"/>
          <w:b/>
          <w:bCs/>
          <w:sz w:val="32"/>
          <w:szCs w:val="33"/>
        </w:rPr>
        <w:t>（二）年度绩效评价原则、评价指标体系、评价方法、评价标准等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olor w:val="000000"/>
          <w:szCs w:val="32"/>
        </w:rPr>
      </w:pPr>
      <w:r>
        <w:rPr>
          <w:rFonts w:hint="eastAsia" w:ascii="Times New Roman" w:hAnsi="Times New Roman" w:eastAsia="仿宋_GB2312"/>
          <w:sz w:val="32"/>
          <w:szCs w:val="33"/>
        </w:rPr>
        <w:t>本次绩效评价秉承科学公正、统筹兼顾、公开透明等原则，按照《财政部关于印发&lt;项目支出绩效评价管理办法&gt;的通知》（财预〔2020〕10号）要求，参考设定的绩效目标，结合项目的实施内容和特点进行设计，从决策、过程、产出、效益等方面对2022年高龄长寿补贴</w:t>
      </w:r>
      <w:r>
        <w:rPr>
          <w:rFonts w:ascii="Times New Roman" w:hAnsi="Times New Roman" w:eastAsia="仿宋_GB2312"/>
          <w:sz w:val="32"/>
          <w:szCs w:val="33"/>
        </w:rPr>
        <w:t>项目</w:t>
      </w:r>
      <w:r>
        <w:rPr>
          <w:rFonts w:hint="eastAsia" w:ascii="Times New Roman" w:hAnsi="Times New Roman" w:eastAsia="仿宋_GB2312"/>
          <w:sz w:val="32"/>
          <w:szCs w:val="33"/>
        </w:rPr>
        <w:t>进行综合绩效评价。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hAnsi="楷体_GB2312" w:eastAsia="楷体_GB2312" w:cs="楷体_GB2312"/>
          <w:b/>
          <w:bCs/>
          <w:sz w:val="32"/>
          <w:szCs w:val="33"/>
        </w:rPr>
      </w:pPr>
      <w:r>
        <w:rPr>
          <w:rFonts w:hint="eastAsia" w:ascii="方正楷体_GBK" w:hAnsi="方正楷体_GBK" w:eastAsia="楷体_GB2312" w:cs="方正楷体_GBK"/>
          <w:b/>
          <w:bCs/>
          <w:sz w:val="32"/>
          <w:szCs w:val="33"/>
        </w:rPr>
        <w:t>（三）绩效评价方法及过程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3"/>
        </w:rPr>
      </w:pPr>
      <w:r>
        <w:rPr>
          <w:rFonts w:hint="eastAsia" w:ascii="Times New Roman" w:hAnsi="Times New Roman" w:eastAsia="仿宋_GB2312"/>
          <w:sz w:val="32"/>
          <w:szCs w:val="33"/>
        </w:rPr>
        <w:t>区财政局根据财政支出绩效评价指标体系及项目的实际情况设计指标体系进行评价，组织相关人员对该项目进行评价检查。</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rPr>
          <w:rFonts w:ascii="Times New Roman" w:hAnsi="Times New Roman" w:eastAsia="仿宋_GB2312"/>
          <w:spacing w:val="-6"/>
          <w:sz w:val="32"/>
          <w:szCs w:val="33"/>
        </w:rPr>
      </w:pPr>
      <w:r>
        <w:rPr>
          <w:rFonts w:hint="eastAsia" w:ascii="Times New Roman" w:hAnsi="Times New Roman" w:eastAsia="仿宋_GB2312"/>
          <w:b/>
          <w:bCs/>
          <w:spacing w:val="-6"/>
          <w:sz w:val="32"/>
          <w:szCs w:val="33"/>
        </w:rPr>
        <w:t>1.资料收集。</w:t>
      </w:r>
      <w:r>
        <w:rPr>
          <w:rFonts w:hint="eastAsia" w:ascii="Times New Roman" w:hAnsi="Times New Roman" w:eastAsia="仿宋_GB2312"/>
          <w:spacing w:val="-6"/>
          <w:sz w:val="32"/>
          <w:szCs w:val="33"/>
        </w:rPr>
        <w:t>梳理项目资料，核实项目情况，统计项目数据。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33"/>
        </w:rPr>
      </w:pPr>
      <w:r>
        <w:rPr>
          <w:rFonts w:hint="eastAsia" w:ascii="Times New Roman" w:hAnsi="Times New Roman" w:eastAsia="仿宋_GB2312"/>
          <w:b/>
          <w:bCs/>
          <w:sz w:val="32"/>
          <w:szCs w:val="33"/>
        </w:rPr>
        <w:t>2.绩效评价</w:t>
      </w:r>
      <w:r>
        <w:rPr>
          <w:rFonts w:hint="eastAsia" w:ascii="Times New Roman" w:hAnsi="Times New Roman" w:eastAsia="仿宋_GB2312"/>
          <w:sz w:val="32"/>
          <w:szCs w:val="33"/>
        </w:rPr>
        <w:t>。根据资料收集的情况，按照支出绩效评价指标体系，</w:t>
      </w:r>
      <w:r>
        <w:rPr>
          <w:rFonts w:ascii="Times New Roman" w:hAnsi="Times New Roman" w:eastAsia="仿宋_GB2312"/>
          <w:sz w:val="32"/>
          <w:szCs w:val="33"/>
        </w:rPr>
        <w:t>对项目概况、项目资金使用、管理、实施情况以及项目的绩效情况</w:t>
      </w:r>
      <w:r>
        <w:rPr>
          <w:rFonts w:hint="eastAsia" w:ascii="Times New Roman" w:hAnsi="Times New Roman" w:eastAsia="仿宋_GB2312"/>
          <w:sz w:val="32"/>
          <w:szCs w:val="33"/>
        </w:rPr>
        <w:t>进行分析，对各项考评指标进行评价。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33"/>
        </w:rPr>
      </w:pPr>
      <w:r>
        <w:rPr>
          <w:rFonts w:hint="eastAsia" w:ascii="Times New Roman" w:hAnsi="Times New Roman" w:eastAsia="仿宋_GB2312"/>
          <w:b/>
          <w:bCs/>
          <w:sz w:val="32"/>
          <w:szCs w:val="33"/>
        </w:rPr>
        <w:t>3.撰写报告。</w:t>
      </w:r>
      <w:r>
        <w:rPr>
          <w:rFonts w:hint="eastAsia" w:ascii="Times New Roman" w:hAnsi="Times New Roman" w:eastAsia="仿宋_GB2312"/>
          <w:sz w:val="32"/>
          <w:szCs w:val="33"/>
        </w:rPr>
        <w:t>结合项目定性与定量评价分析，得出评价结论，并撰写评价报告。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3"/>
        </w:rPr>
      </w:pPr>
      <w:r>
        <w:rPr>
          <w:rFonts w:ascii="Times New Roman" w:hAnsi="Times New Roman" w:eastAsia="黑体"/>
          <w:sz w:val="32"/>
          <w:szCs w:val="33"/>
        </w:rPr>
        <w:t>三、综合评价情况及评价结论（附相关评分表）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 w:val="33"/>
          <w:szCs w:val="33"/>
        </w:rPr>
      </w:pPr>
      <w:r>
        <w:rPr>
          <w:rFonts w:ascii="Times New Roman" w:hAnsi="Times New Roman" w:eastAsia="仿宋_GB2312"/>
          <w:sz w:val="32"/>
          <w:szCs w:val="33"/>
        </w:rPr>
        <w:t>总体来看</w:t>
      </w:r>
      <w:r>
        <w:rPr>
          <w:rFonts w:hint="eastAsia" w:ascii="Times New Roman" w:hAnsi="Times New Roman" w:eastAsia="仿宋_GB2312"/>
          <w:sz w:val="32"/>
          <w:szCs w:val="33"/>
        </w:rPr>
        <w:t>，2022年高龄长寿补贴专</w:t>
      </w:r>
      <w:r>
        <w:rPr>
          <w:rFonts w:ascii="Times New Roman" w:hAnsi="Times New Roman" w:eastAsia="仿宋_GB2312"/>
          <w:sz w:val="32"/>
          <w:szCs w:val="33"/>
        </w:rPr>
        <w:t>项</w:t>
      </w:r>
      <w:r>
        <w:rPr>
          <w:rFonts w:hint="eastAsia" w:ascii="Times New Roman" w:hAnsi="Times New Roman" w:eastAsia="仿宋_GB2312"/>
          <w:sz w:val="32"/>
          <w:szCs w:val="33"/>
        </w:rPr>
        <w:t>经费</w:t>
      </w:r>
      <w:r>
        <w:rPr>
          <w:rFonts w:ascii="Times New Roman" w:hAnsi="Times New Roman" w:eastAsia="仿宋_GB2312"/>
          <w:sz w:val="32"/>
          <w:szCs w:val="33"/>
        </w:rPr>
        <w:t>绩效目标量化具体、合理，管理制度健全，综合效益明显，总体绩效评价良好，</w:t>
      </w:r>
      <w:r>
        <w:rPr>
          <w:rFonts w:hint="eastAsia" w:ascii="Times New Roman" w:hAnsi="Times New Roman" w:eastAsia="仿宋_GB2312"/>
          <w:sz w:val="32"/>
          <w:szCs w:val="33"/>
        </w:rPr>
        <w:t>评价得分9</w:t>
      </w:r>
      <w:r>
        <w:rPr>
          <w:rFonts w:ascii="Times New Roman" w:hAnsi="Times New Roman" w:eastAsia="仿宋_GB2312"/>
          <w:sz w:val="32"/>
          <w:szCs w:val="33"/>
        </w:rPr>
        <w:t>8</w:t>
      </w:r>
      <w:r>
        <w:rPr>
          <w:rFonts w:hint="eastAsia" w:ascii="Times New Roman" w:hAnsi="Times New Roman" w:eastAsia="仿宋_GB2312"/>
          <w:sz w:val="32"/>
          <w:szCs w:val="33"/>
        </w:rPr>
        <w:t>分。</w:t>
      </w:r>
      <w:r>
        <w:rPr>
          <w:rFonts w:ascii="Times New Roman" w:hAnsi="Times New Roman" w:eastAsia="仿宋_GB2312"/>
          <w:sz w:val="32"/>
          <w:szCs w:val="33"/>
        </w:rPr>
        <w:t>具体评价情况见下表。</w:t>
      </w:r>
    </w:p>
    <w:p>
      <w:pPr>
        <w:adjustRightInd w:val="0"/>
        <w:snapToGrid w:val="0"/>
        <w:spacing w:before="93" w:beforeLines="30" w:after="93" w:afterLines="30"/>
        <w:jc w:val="center"/>
        <w:rPr>
          <w:rFonts w:ascii="Times New Roman" w:hAnsi="Times New Roman"/>
          <w:szCs w:val="32"/>
        </w:rPr>
      </w:pPr>
      <w:r>
        <w:rPr>
          <w:rFonts w:hint="eastAsia" w:ascii="Times New Roman" w:hAnsi="Times New Roman"/>
          <w:b/>
          <w:sz w:val="24"/>
          <w:szCs w:val="32"/>
          <w:lang w:val="zh-CN"/>
        </w:rPr>
        <w:t>2022年高龄长寿补贴专项经费</w:t>
      </w:r>
      <w:r>
        <w:rPr>
          <w:rFonts w:ascii="Times New Roman" w:hAnsi="Times New Roman"/>
          <w:b/>
          <w:sz w:val="24"/>
          <w:szCs w:val="32"/>
          <w:lang w:val="zh-CN"/>
        </w:rPr>
        <w:t>绩效得分表</w:t>
      </w:r>
    </w:p>
    <w:tbl>
      <w:tblPr>
        <w:tblStyle w:val="12"/>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1724"/>
        <w:gridCol w:w="2460"/>
        <w:gridCol w:w="1361"/>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938" w:type="dxa"/>
            <w:vAlign w:val="center"/>
          </w:tcPr>
          <w:p>
            <w:pPr>
              <w:adjustRightInd w:val="0"/>
              <w:snapToGrid w:val="0"/>
              <w:jc w:val="center"/>
              <w:rPr>
                <w:rFonts w:ascii="Times New Roman" w:hAnsi="Times New Roman"/>
                <w:b/>
                <w:sz w:val="20"/>
                <w:szCs w:val="20"/>
              </w:rPr>
            </w:pPr>
            <w:r>
              <w:rPr>
                <w:rFonts w:ascii="Times New Roman" w:hAnsi="Times New Roman"/>
                <w:b/>
                <w:sz w:val="20"/>
                <w:szCs w:val="20"/>
              </w:rPr>
              <w:t>一级指标</w:t>
            </w:r>
            <w:r>
              <w:rPr>
                <w:rFonts w:ascii="Times New Roman" w:hAnsi="Times New Roman"/>
                <w:b/>
                <w:sz w:val="20"/>
                <w:szCs w:val="20"/>
              </w:rPr>
              <mc:AlternateContent>
                <mc:Choice Requires="wps">
                  <w:drawing>
                    <wp:anchor distT="0" distB="0" distL="114300" distR="114300" simplePos="0" relativeHeight="251681792"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81792;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5I&#10;A5bVAAAACQEAAA8AAAAAAAAAAQAgAAAAIgAAAGRycy9kb3ducmV2LnhtbFBLAQIUABQAAAAIAIdO&#10;4kCbfFDM7QEAAOIDAAAOAAAAAAAAAAEAIAAAACQBAABkcnMvZTJvRG9jLnhtbFBLBQYAAAAABgAG&#10;AFkBAACDBQAAAAA=&#10;">
                      <v:fill on="f" focussize="0,0"/>
                      <v:stroke color="#000000" joinstyle="round"/>
                      <v:imagedata o:title=""/>
                      <o:lock v:ext="edit" aspectratio="f"/>
                    </v:line>
                  </w:pict>
                </mc:Fallback>
              </mc:AlternateContent>
            </w:r>
            <w:r>
              <w:rPr>
                <w:rFonts w:ascii="Times New Roman" w:hAnsi="Times New Roman"/>
                <w:b/>
                <w:sz w:val="20"/>
                <w:szCs w:val="20"/>
              </w:rPr>
              <mc:AlternateContent>
                <mc:Choice Requires="wps">
                  <w:drawing>
                    <wp:anchor distT="0" distB="0" distL="114300" distR="114300" simplePos="0" relativeHeight="251682816"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82816;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kgDltUAAAAJAQAADwAAAAAAAAABACAAAAAiAAAAZHJzL2Rvd25yZXYueG1sUEsBAhQAFAAAAAgA&#10;h07iQAUyJcHvAQAA5AMAAA4AAAAAAAAAAQAgAAAAJAEAAGRycy9lMm9Eb2MueG1sUEsFBgAAAAAG&#10;AAYAWQEAAIUFAAAAAA==&#10;">
                      <v:fill on="f" focussize="0,0"/>
                      <v:stroke color="#000000" joinstyle="round"/>
                      <v:imagedata o:title=""/>
                      <o:lock v:ext="edit" aspectratio="f"/>
                    </v:line>
                  </w:pict>
                </mc:Fallback>
              </mc:AlternateContent>
            </w:r>
            <w:r>
              <w:rPr>
                <w:rFonts w:ascii="Times New Roman" w:hAnsi="Times New Roman"/>
                <w:b/>
                <w:sz w:val="20"/>
                <w:szCs w:val="20"/>
              </w:rPr>
              <mc:AlternateContent>
                <mc:Choice Requires="wps">
                  <w:drawing>
                    <wp:anchor distT="0" distB="0" distL="114300" distR="114300" simplePos="0" relativeHeight="251683840"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83840;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e&#10;SAOW1QAAAAkBAAAPAAAAAAAAAAEAIAAAACIAAABkcnMvZG93bnJldi54bWxQSwECFAAUAAAACACH&#10;TuJA7C4pcu4BAADkAwAADgAAAAAAAAABACAAAAAkAQAAZHJzL2Uyb0RvYy54bWxQSwUGAAAAAAYA&#10;BgBZAQAAhAUAAAAA&#10;">
                      <v:fill on="f" focussize="0,0"/>
                      <v:stroke color="#000000" joinstyle="round"/>
                      <v:imagedata o:title=""/>
                      <o:lock v:ext="edit" aspectratio="f"/>
                    </v:line>
                  </w:pict>
                </mc:Fallback>
              </mc:AlternateContent>
            </w:r>
            <w:r>
              <w:rPr>
                <w:rFonts w:ascii="Times New Roman" w:hAnsi="Times New Roman"/>
                <w:b/>
                <w:sz w:val="20"/>
                <w:szCs w:val="20"/>
              </w:rPr>
              <mc:AlternateContent>
                <mc:Choice Requires="wps">
                  <w:drawing>
                    <wp:anchor distT="0" distB="0" distL="114300" distR="114300" simplePos="0" relativeHeight="251684864"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84864;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e&#10;SAOW1QAAAAkBAAAPAAAAAAAAAAEAIAAAACIAAABkcnMvZG93bnJldi54bWxQSwECFAAUAAAACACH&#10;TuJAnTsOGe4BAADkAwAADgAAAAAAAAABACAAAAAkAQAAZHJzL2Uyb0RvYy54bWxQSwUGAAAAAAYA&#10;BgBZAQAAhAUAAAAA&#10;">
                      <v:fill on="f" focussize="0,0"/>
                      <v:stroke color="#000000" joinstyle="round"/>
                      <v:imagedata o:title=""/>
                      <o:lock v:ext="edit" aspectratio="f"/>
                    </v:line>
                  </w:pict>
                </mc:Fallback>
              </mc:AlternateContent>
            </w:r>
          </w:p>
        </w:tc>
        <w:tc>
          <w:tcPr>
            <w:tcW w:w="1724" w:type="dxa"/>
            <w:vAlign w:val="center"/>
          </w:tcPr>
          <w:p>
            <w:pPr>
              <w:adjustRightInd w:val="0"/>
              <w:snapToGrid w:val="0"/>
              <w:jc w:val="center"/>
              <w:rPr>
                <w:rFonts w:ascii="Times New Roman" w:hAnsi="Times New Roman"/>
                <w:b/>
                <w:sz w:val="20"/>
                <w:szCs w:val="20"/>
              </w:rPr>
            </w:pPr>
            <w:r>
              <w:rPr>
                <w:rFonts w:ascii="Times New Roman" w:hAnsi="Times New Roman"/>
                <w:b/>
                <w:sz w:val="20"/>
                <w:szCs w:val="20"/>
              </w:rPr>
              <w:t>二级指标</w:t>
            </w:r>
          </w:p>
        </w:tc>
        <w:tc>
          <w:tcPr>
            <w:tcW w:w="2460" w:type="dxa"/>
            <w:vAlign w:val="center"/>
          </w:tcPr>
          <w:p>
            <w:pPr>
              <w:adjustRightInd w:val="0"/>
              <w:snapToGrid w:val="0"/>
              <w:jc w:val="center"/>
              <w:rPr>
                <w:rFonts w:ascii="Times New Roman" w:hAnsi="Times New Roman"/>
                <w:b/>
                <w:sz w:val="20"/>
                <w:szCs w:val="20"/>
              </w:rPr>
            </w:pPr>
            <w:r>
              <w:rPr>
                <w:rFonts w:ascii="Times New Roman" w:hAnsi="Times New Roman"/>
                <w:b/>
                <w:sz w:val="20"/>
                <w:szCs w:val="20"/>
              </w:rPr>
              <w:t>三级指标</w:t>
            </w:r>
          </w:p>
        </w:tc>
        <w:tc>
          <w:tcPr>
            <w:tcW w:w="1361" w:type="dxa"/>
            <w:vAlign w:val="center"/>
          </w:tcPr>
          <w:p>
            <w:pPr>
              <w:adjustRightInd w:val="0"/>
              <w:snapToGrid w:val="0"/>
              <w:jc w:val="center"/>
              <w:rPr>
                <w:rFonts w:ascii="Times New Roman" w:hAnsi="Times New Roman"/>
                <w:b/>
                <w:sz w:val="20"/>
                <w:szCs w:val="20"/>
              </w:rPr>
            </w:pPr>
            <w:r>
              <w:rPr>
                <w:rFonts w:ascii="Times New Roman" w:hAnsi="Times New Roman"/>
                <w:b/>
                <w:sz w:val="20"/>
                <w:szCs w:val="20"/>
              </w:rPr>
              <w:t>分值</w:t>
            </w:r>
          </w:p>
        </w:tc>
        <w:tc>
          <w:tcPr>
            <w:tcW w:w="1155" w:type="dxa"/>
            <w:vAlign w:val="center"/>
          </w:tcPr>
          <w:p>
            <w:pPr>
              <w:adjustRightInd w:val="0"/>
              <w:snapToGrid w:val="0"/>
              <w:jc w:val="center"/>
              <w:rPr>
                <w:rFonts w:ascii="Times New Roman" w:hAnsi="Times New Roman"/>
                <w:b/>
                <w:sz w:val="20"/>
                <w:szCs w:val="20"/>
              </w:rPr>
            </w:pPr>
            <w:r>
              <w:rPr>
                <w:rFonts w:ascii="Times New Roman" w:hAnsi="Times New Roman"/>
                <w:b/>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restart"/>
            <w:vAlign w:val="center"/>
          </w:tcPr>
          <w:p>
            <w:pPr>
              <w:adjustRightInd w:val="0"/>
              <w:snapToGrid w:val="0"/>
              <w:spacing w:line="260" w:lineRule="exact"/>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项目决策</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（20分）</w:t>
            </w:r>
          </w:p>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p>
          <w:p>
            <w:pPr>
              <w:adjustRightInd w:val="0"/>
              <w:snapToGrid w:val="0"/>
              <w:spacing w:line="260" w:lineRule="exact"/>
              <w:rPr>
                <w:rFonts w:ascii="Times New Roman" w:hAnsi="Times New Roman"/>
                <w:sz w:val="20"/>
                <w:szCs w:val="20"/>
              </w:rPr>
            </w:pPr>
          </w:p>
        </w:tc>
        <w:tc>
          <w:tcPr>
            <w:tcW w:w="1724" w:type="dxa"/>
            <w:vMerge w:val="restart"/>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绩效目标</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（6分）</w:t>
            </w: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目标内容</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进度计划</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目标匹配</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restart"/>
            <w:vAlign w:val="center"/>
          </w:tcPr>
          <w:p>
            <w:pPr>
              <w:adjustRightInd w:val="0"/>
              <w:snapToGrid w:val="0"/>
              <w:spacing w:line="260" w:lineRule="exact"/>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决策依据</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（10分）</w:t>
            </w:r>
          </w:p>
          <w:p>
            <w:pPr>
              <w:adjustRightInd w:val="0"/>
              <w:snapToGrid w:val="0"/>
              <w:spacing w:line="260" w:lineRule="exact"/>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政策依据</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程序严密</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结果符合</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实施规划</w:t>
            </w:r>
          </w:p>
        </w:tc>
        <w:tc>
          <w:tcPr>
            <w:tcW w:w="1361" w:type="dxa"/>
            <w:vAlign w:val="center"/>
          </w:tcPr>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4</w:t>
            </w:r>
          </w:p>
        </w:tc>
        <w:tc>
          <w:tcPr>
            <w:tcW w:w="1155" w:type="dxa"/>
            <w:vAlign w:val="center"/>
          </w:tcPr>
          <w:p>
            <w:pPr>
              <w:spacing w:line="260" w:lineRule="exact"/>
              <w:jc w:val="center"/>
              <w:rPr>
                <w:rFonts w:ascii="Times New Roman" w:hAnsi="Times New Roman"/>
                <w:color w:val="000000"/>
                <w:sz w:val="20"/>
                <w:szCs w:val="20"/>
              </w:rPr>
            </w:pPr>
            <w:r>
              <w:rPr>
                <w:rFonts w:hint="eastAsia" w:ascii="Times New Roman" w:hAnsi="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restart"/>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分配结果</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（4分）</w:t>
            </w: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分配过程</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审核把关</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restart"/>
            <w:vAlign w:val="center"/>
          </w:tcPr>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both"/>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项目管理</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（15分）</w:t>
            </w:r>
          </w:p>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both"/>
              <w:rPr>
                <w:rFonts w:ascii="Times New Roman" w:hAnsi="Times New Roman"/>
                <w:sz w:val="20"/>
                <w:szCs w:val="20"/>
              </w:rPr>
            </w:pPr>
          </w:p>
        </w:tc>
        <w:tc>
          <w:tcPr>
            <w:tcW w:w="1724" w:type="dxa"/>
            <w:vMerge w:val="restart"/>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资金到位</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（4分）</w:t>
            </w: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分配时效</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hint="eastAsia"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资金拨付</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restart"/>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资金管理</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（3分）</w:t>
            </w: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使用范围</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支付依据</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开支标准</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restart"/>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财务管理</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（4分）</w:t>
            </w: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财务制度</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会计核算</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restart"/>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组织实施</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（4分）</w:t>
            </w: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项目调整</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投资变更</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制度执行</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restart"/>
            <w:vAlign w:val="center"/>
          </w:tcPr>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p>
          <w:p>
            <w:pPr>
              <w:pStyle w:val="2"/>
              <w:spacing w:line="260" w:lineRule="exact"/>
              <w:rPr>
                <w:rFonts w:ascii="Times New Roman" w:hAnsi="Times New Roman"/>
                <w:sz w:val="20"/>
                <w:szCs w:val="20"/>
              </w:rPr>
            </w:pPr>
          </w:p>
          <w:p>
            <w:pPr>
              <w:pStyle w:val="3"/>
              <w:spacing w:line="260" w:lineRule="exact"/>
            </w:pP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项目绩效</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（特性指标65分）</w:t>
            </w:r>
          </w:p>
          <w:p>
            <w:pPr>
              <w:adjustRightInd w:val="0"/>
              <w:snapToGrid w:val="0"/>
              <w:spacing w:line="260" w:lineRule="exact"/>
              <w:jc w:val="center"/>
              <w:rPr>
                <w:rFonts w:ascii="Times New Roman" w:hAnsi="Times New Roman"/>
                <w:sz w:val="20"/>
                <w:szCs w:val="20"/>
              </w:rPr>
            </w:pPr>
          </w:p>
          <w:p>
            <w:pPr>
              <w:pStyle w:val="2"/>
              <w:spacing w:line="260" w:lineRule="exact"/>
              <w:rPr>
                <w:rFonts w:ascii="Times New Roman" w:hAnsi="Times New Roman"/>
                <w:sz w:val="20"/>
                <w:szCs w:val="20"/>
              </w:rPr>
            </w:pPr>
          </w:p>
          <w:p>
            <w:pPr>
              <w:adjustRightInd w:val="0"/>
              <w:snapToGrid w:val="0"/>
              <w:spacing w:line="260" w:lineRule="exact"/>
              <w:rPr>
                <w:rFonts w:ascii="Times New Roman" w:hAnsi="Times New Roman"/>
                <w:sz w:val="20"/>
                <w:szCs w:val="20"/>
              </w:rPr>
            </w:pPr>
          </w:p>
        </w:tc>
        <w:tc>
          <w:tcPr>
            <w:tcW w:w="1724" w:type="dxa"/>
            <w:vMerge w:val="restart"/>
            <w:vAlign w:val="center"/>
          </w:tcPr>
          <w:p>
            <w:pPr>
              <w:adjustRightInd w:val="0"/>
              <w:snapToGrid w:val="0"/>
              <w:spacing w:line="260" w:lineRule="exact"/>
              <w:jc w:val="center"/>
              <w:rPr>
                <w:rFonts w:ascii="Times New Roman" w:hAnsi="Times New Roman"/>
                <w:sz w:val="20"/>
                <w:szCs w:val="20"/>
              </w:rPr>
            </w:pPr>
          </w:p>
          <w:p>
            <w:pPr>
              <w:adjustRightInd w:val="0"/>
              <w:snapToGrid w:val="0"/>
              <w:spacing w:line="260" w:lineRule="exact"/>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项目完成</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（20分）</w:t>
            </w:r>
          </w:p>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完成数量</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完成质量</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完成时效</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完成成本</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违规纪律</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restart"/>
            <w:vAlign w:val="center"/>
          </w:tcPr>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项目效益</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（40分）</w:t>
            </w:r>
          </w:p>
          <w:p>
            <w:pPr>
              <w:adjustRightInd w:val="0"/>
              <w:snapToGrid w:val="0"/>
              <w:spacing w:line="260" w:lineRule="exact"/>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经济效益</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10</w:t>
            </w:r>
          </w:p>
        </w:tc>
        <w:tc>
          <w:tcPr>
            <w:tcW w:w="1155" w:type="dxa"/>
            <w:vAlign w:val="center"/>
          </w:tcPr>
          <w:p>
            <w:pPr>
              <w:spacing w:line="260" w:lineRule="exact"/>
              <w:jc w:val="center"/>
              <w:rPr>
                <w:rFonts w:ascii="Times New Roman" w:hAnsi="Times New Roman"/>
                <w:color w:val="000000"/>
                <w:sz w:val="20"/>
                <w:szCs w:val="20"/>
              </w:rPr>
            </w:pPr>
            <w:r>
              <w:rPr>
                <w:rFonts w:hint="eastAsia" w:ascii="Times New Roman" w:hAnsi="Times New Roman"/>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社会效益</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10</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生态效益</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10</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可持续效益</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10</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满意度</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（5分）</w:t>
            </w: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服务对象满意度</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5</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122" w:type="dxa"/>
            <w:gridSpan w:val="3"/>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合　　　　计</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100</w:t>
            </w:r>
          </w:p>
        </w:tc>
        <w:tc>
          <w:tcPr>
            <w:tcW w:w="1155" w:type="dxa"/>
            <w:vAlign w:val="center"/>
          </w:tcPr>
          <w:p>
            <w:pPr>
              <w:widowControl/>
              <w:spacing w:line="260" w:lineRule="exact"/>
              <w:jc w:val="center"/>
              <w:textAlignment w:val="center"/>
              <w:rPr>
                <w:rFonts w:ascii="Times New Roman" w:hAnsi="Times New Roman"/>
                <w:sz w:val="20"/>
                <w:szCs w:val="20"/>
              </w:rPr>
            </w:pPr>
            <w:r>
              <w:rPr>
                <w:rFonts w:ascii="Times New Roman" w:hAnsi="Times New Roman"/>
                <w:sz w:val="20"/>
                <w:szCs w:val="20"/>
              </w:rPr>
              <w:t>98</w:t>
            </w:r>
          </w:p>
        </w:tc>
      </w:tr>
    </w:tbl>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黑体"/>
          <w:sz w:val="32"/>
          <w:szCs w:val="33"/>
        </w:rPr>
      </w:pPr>
      <w:r>
        <w:rPr>
          <w:rFonts w:hint="eastAsia" w:ascii="Times New Roman" w:hAnsi="Times New Roman" w:eastAsia="黑体"/>
          <w:sz w:val="32"/>
          <w:szCs w:val="33"/>
        </w:rPr>
        <w:t>四、</w:t>
      </w:r>
      <w:r>
        <w:rPr>
          <w:rFonts w:ascii="Times New Roman" w:hAnsi="Times New Roman" w:eastAsia="黑体"/>
          <w:sz w:val="32"/>
          <w:szCs w:val="33"/>
        </w:rPr>
        <w:t>绩效评价指标分析</w:t>
      </w:r>
    </w:p>
    <w:p>
      <w:pPr>
        <w:keepNext w:val="0"/>
        <w:keepLines w:val="0"/>
        <w:pageBreakBefore w:val="0"/>
        <w:widowControl w:val="0"/>
        <w:kinsoku/>
        <w:wordWrap/>
        <w:overflowPunct/>
        <w:topLinePunct w:val="0"/>
        <w:autoSpaceDE/>
        <w:autoSpaceDN/>
        <w:bidi w:val="0"/>
        <w:spacing w:line="560" w:lineRule="exact"/>
        <w:ind w:firstLine="643" w:firstLineChars="200"/>
        <w:rPr>
          <w:rFonts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（一）项目决策情况</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sz w:val="32"/>
          <w:szCs w:val="33"/>
          <w:lang w:val="en-US" w:eastAsia="zh-CN"/>
        </w:rPr>
      </w:pPr>
      <w:r>
        <w:rPr>
          <w:rFonts w:hint="eastAsia" w:ascii="Times New Roman" w:hAnsi="Times New Roman" w:eastAsia="仿宋_GB2312"/>
          <w:sz w:val="32"/>
          <w:szCs w:val="33"/>
          <w:lang w:val="en-US" w:eastAsia="zh-CN"/>
        </w:rPr>
        <w:t>该项目</w:t>
      </w:r>
      <w:r>
        <w:rPr>
          <w:rFonts w:hint="default" w:ascii="Times New Roman" w:hAnsi="Times New Roman" w:eastAsia="仿宋_GB2312"/>
          <w:sz w:val="32"/>
          <w:szCs w:val="33"/>
          <w:lang w:val="en-US" w:eastAsia="zh-CN"/>
        </w:rPr>
        <w:t>由区民政局根据相关规定纳入</w:t>
      </w:r>
      <w:r>
        <w:rPr>
          <w:rFonts w:hint="eastAsia" w:ascii="Times New Roman" w:hAnsi="Times New Roman" w:eastAsia="仿宋_GB2312"/>
          <w:sz w:val="32"/>
          <w:szCs w:val="33"/>
          <w:lang w:val="en-US" w:eastAsia="zh-CN"/>
        </w:rPr>
        <w:t>2022年</w:t>
      </w:r>
      <w:r>
        <w:rPr>
          <w:rFonts w:hint="default" w:ascii="Times New Roman" w:hAnsi="Times New Roman" w:eastAsia="仿宋_GB2312"/>
          <w:sz w:val="32"/>
          <w:szCs w:val="33"/>
          <w:lang w:val="en-US" w:eastAsia="zh-CN"/>
        </w:rPr>
        <w:t>年初部门预算，由区财政局审核后出具正式预算批复。项目批复预算资金</w:t>
      </w:r>
      <w:r>
        <w:rPr>
          <w:rFonts w:hint="eastAsia" w:ascii="Times New Roman" w:hAnsi="Times New Roman" w:eastAsia="仿宋_GB2312"/>
          <w:sz w:val="32"/>
          <w:szCs w:val="33"/>
          <w:lang w:val="en-US" w:eastAsia="zh-CN"/>
        </w:rPr>
        <w:t>200</w:t>
      </w:r>
      <w:r>
        <w:rPr>
          <w:rFonts w:hint="default" w:ascii="Times New Roman" w:hAnsi="Times New Roman" w:eastAsia="仿宋_GB2312"/>
          <w:sz w:val="32"/>
          <w:szCs w:val="33"/>
          <w:lang w:val="en-US" w:eastAsia="zh-CN"/>
        </w:rPr>
        <w:t>万元</w:t>
      </w:r>
      <w:r>
        <w:rPr>
          <w:rFonts w:hint="eastAsia" w:ascii="Times New Roman" w:hAnsi="Times New Roman" w:eastAsia="仿宋_GB2312"/>
          <w:sz w:val="32"/>
          <w:szCs w:val="33"/>
          <w:lang w:val="en-US" w:eastAsia="zh-CN"/>
        </w:rPr>
        <w:t>，</w:t>
      </w:r>
      <w:r>
        <w:rPr>
          <w:rFonts w:hint="default" w:ascii="Times New Roman" w:hAnsi="Times New Roman" w:eastAsia="仿宋_GB2312"/>
          <w:sz w:val="32"/>
          <w:szCs w:val="33"/>
          <w:lang w:val="en-US" w:eastAsia="zh-CN"/>
        </w:rPr>
        <w:t>年底据实结算</w:t>
      </w:r>
      <w:r>
        <w:rPr>
          <w:rFonts w:hint="eastAsia" w:ascii="Times New Roman" w:hAnsi="Times New Roman" w:eastAsia="仿宋_GB2312"/>
          <w:sz w:val="32"/>
          <w:szCs w:val="33"/>
          <w:lang w:val="en-US" w:eastAsia="zh-CN"/>
        </w:rPr>
        <w:t>。</w:t>
      </w:r>
      <w:r>
        <w:rPr>
          <w:rFonts w:hint="default" w:ascii="Times New Roman" w:hAnsi="Times New Roman" w:eastAsia="仿宋_GB2312"/>
          <w:sz w:val="32"/>
          <w:szCs w:val="33"/>
          <w:lang w:val="en-US" w:eastAsia="zh-CN"/>
        </w:rPr>
        <w:t>该项目设立依据充分，符合政策文件有关要求，立项程序合规，目标设定切实可行，申报内容与具体实施内容相符，申报目标合理可行。</w:t>
      </w:r>
    </w:p>
    <w:p>
      <w:pPr>
        <w:keepNext w:val="0"/>
        <w:keepLines w:val="0"/>
        <w:pageBreakBefore w:val="0"/>
        <w:widowControl w:val="0"/>
        <w:kinsoku/>
        <w:wordWrap/>
        <w:overflowPunct/>
        <w:topLinePunct w:val="0"/>
        <w:autoSpaceDE/>
        <w:autoSpaceDN/>
        <w:bidi w:val="0"/>
        <w:spacing w:line="560" w:lineRule="exact"/>
        <w:ind w:firstLine="643" w:firstLineChars="200"/>
        <w:rPr>
          <w:rFonts w:ascii="楷体_GB2312" w:hAnsi="楷体_GB2312" w:eastAsia="楷体_GB2312" w:cs="楷体_GB2312"/>
          <w:b/>
          <w:bCs/>
          <w:sz w:val="32"/>
          <w:szCs w:val="33"/>
        </w:rPr>
      </w:pPr>
      <w:r>
        <w:rPr>
          <w:rFonts w:hint="eastAsia" w:ascii="方正楷体_GBK" w:hAnsi="方正楷体_GBK" w:eastAsia="楷体_GB2312" w:cs="方正楷体_GBK"/>
          <w:b/>
          <w:bCs/>
          <w:sz w:val="32"/>
          <w:szCs w:val="33"/>
        </w:rPr>
        <w:t>（二）项目过程情况</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sz w:val="32"/>
          <w:szCs w:val="33"/>
        </w:rPr>
      </w:pPr>
      <w:r>
        <w:rPr>
          <w:rFonts w:ascii="Times New Roman" w:hAnsi="Times New Roman" w:eastAsia="仿宋_GB2312"/>
          <w:sz w:val="32"/>
          <w:szCs w:val="33"/>
        </w:rPr>
        <w:t>该项目属于人</w:t>
      </w:r>
      <w:r>
        <w:rPr>
          <w:rFonts w:hint="eastAsia" w:ascii="Times New Roman" w:hAnsi="Times New Roman" w:eastAsia="仿宋_GB2312"/>
          <w:sz w:val="32"/>
          <w:szCs w:val="33"/>
        </w:rPr>
        <w:t>员补贴</w:t>
      </w:r>
      <w:r>
        <w:rPr>
          <w:rFonts w:ascii="Times New Roman" w:hAnsi="Times New Roman" w:eastAsia="仿宋_GB2312"/>
          <w:sz w:val="32"/>
          <w:szCs w:val="33"/>
        </w:rPr>
        <w:t>经费范围，项目组织架构与内控管理组织架构一致，主要责任人为单位主要负责人，分管责任人为财务分管领导和业务分管领导，项目实施责任人为业务股室主要负责人。实施流程由业务股室进行的相关资料收集审核，分管领导复核，单位主要负责人终审。资金支付由业务股室通过天府救助通智慧救助平台推送惠民</w:t>
      </w:r>
      <w:r>
        <w:rPr>
          <w:rFonts w:hint="eastAsia" w:ascii="Times New Roman" w:hAnsi="Times New Roman" w:eastAsia="仿宋_GB2312"/>
          <w:sz w:val="32"/>
          <w:szCs w:val="33"/>
        </w:rPr>
        <w:t>惠农</w:t>
      </w:r>
      <w:r>
        <w:rPr>
          <w:rFonts w:ascii="Times New Roman" w:hAnsi="Times New Roman" w:eastAsia="仿宋_GB2312"/>
          <w:sz w:val="32"/>
          <w:szCs w:val="33"/>
        </w:rPr>
        <w:t>资金一卡通审批系统经办—业务股室审核—分管领导审核—财政局归口股室审核—财务岗拨付。</w:t>
      </w:r>
    </w:p>
    <w:p>
      <w:pPr>
        <w:keepNext w:val="0"/>
        <w:keepLines w:val="0"/>
        <w:pageBreakBefore w:val="0"/>
        <w:widowControl w:val="0"/>
        <w:kinsoku/>
        <w:wordWrap/>
        <w:overflowPunct/>
        <w:topLinePunct w:val="0"/>
        <w:autoSpaceDE/>
        <w:autoSpaceDN/>
        <w:bidi w:val="0"/>
        <w:spacing w:line="560" w:lineRule="exact"/>
        <w:ind w:firstLine="643" w:firstLineChars="200"/>
        <w:rPr>
          <w:rFonts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（三）项目产出情况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ascii="Times New Roman" w:hAnsi="Times New Roman" w:eastAsia="仿宋_GB2312"/>
          <w:sz w:val="32"/>
          <w:szCs w:val="33"/>
        </w:rPr>
      </w:pPr>
      <w:r>
        <w:rPr>
          <w:rFonts w:ascii="Times New Roman" w:hAnsi="Times New Roman" w:eastAsia="仿宋_GB2312"/>
          <w:sz w:val="32"/>
          <w:szCs w:val="33"/>
        </w:rPr>
        <w:t>2022年发放</w:t>
      </w:r>
      <w:r>
        <w:rPr>
          <w:rFonts w:hint="eastAsia" w:ascii="Times New Roman" w:hAnsi="Times New Roman" w:eastAsia="仿宋_GB2312"/>
          <w:sz w:val="32"/>
          <w:szCs w:val="33"/>
        </w:rPr>
        <w:t>高龄津贴56628</w:t>
      </w:r>
      <w:r>
        <w:rPr>
          <w:rFonts w:ascii="Times New Roman" w:hAnsi="Times New Roman" w:eastAsia="仿宋_GB2312"/>
          <w:sz w:val="32"/>
          <w:szCs w:val="33"/>
        </w:rPr>
        <w:t>人</w:t>
      </w:r>
      <w:r>
        <w:rPr>
          <w:rFonts w:ascii="Times New Roman" w:hAnsi="Times New Roman" w:eastAsia="仿宋_GB2312"/>
          <w:sz w:val="32"/>
          <w:szCs w:val="33"/>
          <w:highlight w:val="none"/>
        </w:rPr>
        <w:t>次</w:t>
      </w:r>
      <w:r>
        <w:rPr>
          <w:rFonts w:hint="eastAsia" w:ascii="Times New Roman" w:hAnsi="Times New Roman" w:eastAsia="仿宋_GB2312"/>
          <w:sz w:val="32"/>
          <w:szCs w:val="33"/>
          <w:lang w:eastAsia="zh-CN"/>
        </w:rPr>
        <w:t>，共计发放</w:t>
      </w:r>
      <w:r>
        <w:rPr>
          <w:rFonts w:hint="eastAsia" w:ascii="Times New Roman" w:hAnsi="Times New Roman" w:eastAsia="仿宋_GB2312"/>
          <w:sz w:val="32"/>
          <w:szCs w:val="33"/>
          <w:highlight w:val="none"/>
        </w:rPr>
        <w:t>346.82</w:t>
      </w:r>
      <w:r>
        <w:rPr>
          <w:rFonts w:hint="eastAsia" w:ascii="Times New Roman" w:hAnsi="Times New Roman" w:eastAsia="仿宋_GB2312"/>
          <w:sz w:val="32"/>
          <w:szCs w:val="33"/>
        </w:rPr>
        <w:t>万元</w:t>
      </w:r>
      <w:r>
        <w:rPr>
          <w:rFonts w:ascii="Times New Roman" w:hAnsi="Times New Roman" w:eastAsia="仿宋_GB2312"/>
          <w:sz w:val="32"/>
          <w:szCs w:val="33"/>
        </w:rPr>
        <w:t>，按标准足额及时发放，发放率100%。</w:t>
      </w:r>
    </w:p>
    <w:p>
      <w:pPr>
        <w:keepNext w:val="0"/>
        <w:keepLines w:val="0"/>
        <w:pageBreakBefore w:val="0"/>
        <w:widowControl w:val="0"/>
        <w:kinsoku/>
        <w:wordWrap/>
        <w:overflowPunct/>
        <w:topLinePunct w:val="0"/>
        <w:autoSpaceDE/>
        <w:autoSpaceDN/>
        <w:bidi w:val="0"/>
        <w:spacing w:line="560" w:lineRule="exact"/>
        <w:ind w:firstLine="643" w:firstLineChars="200"/>
        <w:rPr>
          <w:rFonts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（四）项目效益情况</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sz w:val="32"/>
          <w:szCs w:val="33"/>
        </w:rPr>
      </w:pPr>
      <w:r>
        <w:rPr>
          <w:rFonts w:hint="eastAsia" w:ascii="Times New Roman" w:hAnsi="Times New Roman" w:eastAsia="仿宋_GB2312"/>
          <w:sz w:val="32"/>
          <w:szCs w:val="33"/>
          <w:lang w:eastAsia="zh-CN"/>
        </w:rPr>
        <w:t>西</w:t>
      </w:r>
      <w:r>
        <w:rPr>
          <w:rFonts w:ascii="Times New Roman" w:hAnsi="Times New Roman" w:eastAsia="仿宋_GB2312"/>
          <w:sz w:val="32"/>
          <w:szCs w:val="33"/>
        </w:rPr>
        <w:t>区</w:t>
      </w:r>
      <w:r>
        <w:rPr>
          <w:rFonts w:hint="eastAsia" w:ascii="Times New Roman" w:hAnsi="Times New Roman" w:eastAsia="仿宋_GB2312"/>
          <w:sz w:val="32"/>
          <w:szCs w:val="33"/>
        </w:rPr>
        <w:t>高龄津贴</w:t>
      </w:r>
      <w:r>
        <w:rPr>
          <w:rFonts w:ascii="Times New Roman" w:hAnsi="Times New Roman" w:eastAsia="仿宋_GB2312"/>
          <w:sz w:val="32"/>
          <w:szCs w:val="33"/>
        </w:rPr>
        <w:t>制度逐步完善，申报及审批程序总体趋于公平、公正、公开</w:t>
      </w:r>
      <w:r>
        <w:rPr>
          <w:rFonts w:hint="eastAsia" w:ascii="Times New Roman" w:hAnsi="Times New Roman" w:eastAsia="仿宋_GB2312"/>
          <w:sz w:val="32"/>
          <w:szCs w:val="33"/>
        </w:rPr>
        <w:t>。加强了高龄</w:t>
      </w:r>
      <w:r>
        <w:rPr>
          <w:rFonts w:ascii="Times New Roman" w:hAnsi="Times New Roman" w:eastAsia="仿宋_GB2312"/>
          <w:sz w:val="32"/>
          <w:szCs w:val="33"/>
        </w:rPr>
        <w:t>政策宣传，</w:t>
      </w:r>
      <w:r>
        <w:rPr>
          <w:rFonts w:hint="eastAsia" w:ascii="Times New Roman" w:hAnsi="Times New Roman" w:eastAsia="仿宋_GB2312"/>
          <w:sz w:val="32"/>
          <w:szCs w:val="33"/>
        </w:rPr>
        <w:t>不断</w:t>
      </w:r>
      <w:r>
        <w:rPr>
          <w:rFonts w:ascii="Times New Roman" w:hAnsi="Times New Roman" w:eastAsia="仿宋_GB2312"/>
          <w:sz w:val="32"/>
          <w:szCs w:val="33"/>
        </w:rPr>
        <w:t>提高高龄老人的生活质量</w:t>
      </w:r>
      <w:r>
        <w:rPr>
          <w:rFonts w:hint="eastAsia" w:ascii="Times New Roman" w:hAnsi="Times New Roman" w:eastAsia="仿宋_GB2312"/>
          <w:sz w:val="32"/>
          <w:szCs w:val="33"/>
        </w:rPr>
        <w:t>，</w:t>
      </w:r>
      <w:r>
        <w:rPr>
          <w:rFonts w:ascii="Times New Roman" w:hAnsi="Times New Roman" w:eastAsia="仿宋_GB2312"/>
          <w:sz w:val="32"/>
          <w:szCs w:val="33"/>
        </w:rPr>
        <w:t>为维护社会稳定、社会和谐发挥了积极作用，取得了较好的社会效益。</w:t>
      </w:r>
    </w:p>
    <w:p>
      <w:pPr>
        <w:keepNext w:val="0"/>
        <w:keepLines w:val="0"/>
        <w:pageBreakBefore w:val="0"/>
        <w:widowControl w:val="0"/>
        <w:kinsoku/>
        <w:wordWrap/>
        <w:overflowPunct/>
        <w:topLinePunct w:val="0"/>
        <w:autoSpaceDE/>
        <w:autoSpaceDN/>
        <w:bidi w:val="0"/>
        <w:spacing w:line="560" w:lineRule="exact"/>
        <w:ind w:firstLine="640" w:firstLineChars="200"/>
        <w:rPr>
          <w:rFonts w:ascii="方正黑体_GBK" w:hAnsi="方正黑体_GBK" w:eastAsia="黑体" w:cs="方正黑体_GBK"/>
          <w:sz w:val="32"/>
          <w:szCs w:val="33"/>
        </w:rPr>
      </w:pPr>
      <w:r>
        <w:rPr>
          <w:rFonts w:hint="eastAsia" w:ascii="方正黑体_GBK" w:hAnsi="方正黑体_GBK" w:eastAsia="黑体" w:cs="方正黑体_GBK"/>
          <w:sz w:val="32"/>
          <w:szCs w:val="33"/>
        </w:rPr>
        <w:t>五、主要经验及做法、存在的问题及原因分析</w:t>
      </w:r>
    </w:p>
    <w:p>
      <w:pPr>
        <w:keepNext w:val="0"/>
        <w:keepLines w:val="0"/>
        <w:pageBreakBefore w:val="0"/>
        <w:widowControl w:val="0"/>
        <w:kinsoku/>
        <w:wordWrap/>
        <w:overflowPunct/>
        <w:topLinePunct w:val="0"/>
        <w:autoSpaceDE/>
        <w:autoSpaceDN/>
        <w:bidi w:val="0"/>
        <w:spacing w:line="560" w:lineRule="exact"/>
        <w:ind w:firstLine="643" w:firstLineChars="200"/>
        <w:rPr>
          <w:rFonts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（一）主要经验</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sz w:val="32"/>
          <w:szCs w:val="33"/>
        </w:rPr>
      </w:pPr>
      <w:r>
        <w:rPr>
          <w:rFonts w:ascii="Times New Roman" w:hAnsi="Times New Roman" w:eastAsia="仿宋_GB2312"/>
          <w:sz w:val="32"/>
          <w:szCs w:val="33"/>
        </w:rPr>
        <w:t>高龄</w:t>
      </w:r>
      <w:r>
        <w:rPr>
          <w:rFonts w:hint="eastAsia" w:ascii="Times New Roman" w:hAnsi="Times New Roman" w:eastAsia="仿宋_GB2312"/>
          <w:sz w:val="32"/>
          <w:szCs w:val="33"/>
        </w:rPr>
        <w:t>津</w:t>
      </w:r>
      <w:r>
        <w:rPr>
          <w:rFonts w:ascii="Times New Roman" w:hAnsi="Times New Roman" w:eastAsia="仿宋_GB2312"/>
          <w:sz w:val="32"/>
          <w:szCs w:val="33"/>
        </w:rPr>
        <w:t>贴项目效果明显</w:t>
      </w:r>
      <w:r>
        <w:rPr>
          <w:rFonts w:hint="eastAsia" w:ascii="Times New Roman" w:hAnsi="Times New Roman" w:eastAsia="仿宋_GB2312"/>
          <w:sz w:val="32"/>
          <w:szCs w:val="33"/>
        </w:rPr>
        <w:t>，</w:t>
      </w:r>
      <w:r>
        <w:rPr>
          <w:rFonts w:ascii="Times New Roman" w:hAnsi="Times New Roman" w:eastAsia="仿宋_GB2312"/>
          <w:sz w:val="32"/>
          <w:szCs w:val="33"/>
        </w:rPr>
        <w:t>申报及监管制度较为完善；资金保障到位、发放及时，群众满意度良好；政策宣传不断推进，群众对政策的知晓率逐步提高。项目实施以来，一定程度上有效解决了高龄及低保老人日常生活保障问题，有效提高老年人的生活质量。</w:t>
      </w:r>
    </w:p>
    <w:p>
      <w:pPr>
        <w:keepNext w:val="0"/>
        <w:keepLines w:val="0"/>
        <w:pageBreakBefore w:val="0"/>
        <w:widowControl w:val="0"/>
        <w:kinsoku/>
        <w:wordWrap/>
        <w:overflowPunct/>
        <w:topLinePunct w:val="0"/>
        <w:autoSpaceDE/>
        <w:autoSpaceDN/>
        <w:bidi w:val="0"/>
        <w:spacing w:line="560" w:lineRule="exact"/>
        <w:ind w:firstLine="643" w:firstLineChars="200"/>
        <w:rPr>
          <w:rFonts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（二）存在的问题</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sz w:val="32"/>
          <w:szCs w:val="33"/>
        </w:rPr>
      </w:pPr>
      <w:r>
        <w:rPr>
          <w:rFonts w:ascii="Times New Roman" w:hAnsi="Times New Roman" w:eastAsia="仿宋_GB2312"/>
          <w:sz w:val="32"/>
          <w:szCs w:val="33"/>
        </w:rPr>
        <w:t>部门之间的信息不能</w:t>
      </w:r>
      <w:r>
        <w:rPr>
          <w:rFonts w:hint="eastAsia" w:ascii="Times New Roman" w:hAnsi="Times New Roman" w:eastAsia="仿宋_GB2312"/>
          <w:sz w:val="32"/>
          <w:szCs w:val="33"/>
          <w:lang w:eastAsia="zh-CN"/>
        </w:rPr>
        <w:t>及时</w:t>
      </w:r>
      <w:r>
        <w:rPr>
          <w:rFonts w:ascii="Times New Roman" w:hAnsi="Times New Roman" w:eastAsia="仿宋_GB2312"/>
          <w:sz w:val="32"/>
          <w:szCs w:val="33"/>
        </w:rPr>
        <w:t>互通和共享，</w:t>
      </w:r>
      <w:r>
        <w:rPr>
          <w:rFonts w:hint="eastAsia" w:ascii="Times New Roman" w:hAnsi="Times New Roman" w:eastAsia="仿宋_GB2312"/>
          <w:sz w:val="32"/>
          <w:szCs w:val="33"/>
          <w:lang w:eastAsia="zh-CN"/>
        </w:rPr>
        <w:t>补贴发放人员更新不及时</w:t>
      </w:r>
      <w:r>
        <w:rPr>
          <w:rFonts w:ascii="Times New Roman" w:hAnsi="Times New Roman" w:eastAsia="仿宋_GB2312"/>
          <w:sz w:val="32"/>
          <w:szCs w:val="33"/>
        </w:rPr>
        <w:t>。</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黑体"/>
          <w:sz w:val="32"/>
          <w:szCs w:val="33"/>
        </w:rPr>
      </w:pPr>
      <w:r>
        <w:rPr>
          <w:rFonts w:hint="eastAsia" w:ascii="Times New Roman" w:hAnsi="Times New Roman" w:eastAsia="黑体"/>
          <w:sz w:val="32"/>
          <w:szCs w:val="33"/>
        </w:rPr>
        <w:t>六、有关建议</w:t>
      </w:r>
    </w:p>
    <w:p>
      <w:pPr>
        <w:keepNext w:val="0"/>
        <w:keepLines w:val="0"/>
        <w:pageBreakBefore w:val="0"/>
        <w:widowControl w:val="0"/>
        <w:kinsoku/>
        <w:wordWrap/>
        <w:overflowPunct/>
        <w:topLinePunct w:val="0"/>
        <w:autoSpaceDE/>
        <w:autoSpaceDN/>
        <w:bidi w:val="0"/>
        <w:spacing w:line="560" w:lineRule="exact"/>
        <w:ind w:firstLine="643" w:firstLineChars="200"/>
        <w:rPr>
          <w:rFonts w:hint="eastAsia"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（一）强化部门沟通</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sz w:val="32"/>
          <w:szCs w:val="33"/>
        </w:rPr>
      </w:pPr>
      <w:r>
        <w:rPr>
          <w:rFonts w:hint="eastAsia" w:ascii="Times New Roman" w:hAnsi="Times New Roman" w:eastAsia="仿宋_GB2312"/>
          <w:sz w:val="32"/>
          <w:szCs w:val="33"/>
          <w:highlight w:val="none"/>
        </w:rPr>
        <w:t>加强</w:t>
      </w:r>
      <w:r>
        <w:rPr>
          <w:rFonts w:ascii="Times New Roman" w:hAnsi="Times New Roman" w:eastAsia="仿宋_GB2312"/>
          <w:sz w:val="32"/>
          <w:szCs w:val="33"/>
        </w:rPr>
        <w:t>与公安、人社、卫健等部门的信息互通共享。</w:t>
      </w:r>
    </w:p>
    <w:p>
      <w:pPr>
        <w:keepNext w:val="0"/>
        <w:keepLines w:val="0"/>
        <w:pageBreakBefore w:val="0"/>
        <w:widowControl w:val="0"/>
        <w:kinsoku/>
        <w:wordWrap/>
        <w:overflowPunct/>
        <w:topLinePunct w:val="0"/>
        <w:autoSpaceDE/>
        <w:autoSpaceDN/>
        <w:bidi w:val="0"/>
        <w:spacing w:line="560" w:lineRule="exact"/>
        <w:ind w:firstLine="643" w:firstLineChars="200"/>
        <w:rPr>
          <w:rFonts w:hint="eastAsia"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（二）加大宣传力度</w:t>
      </w:r>
    </w:p>
    <w:p>
      <w:pPr>
        <w:keepNext w:val="0"/>
        <w:keepLines w:val="0"/>
        <w:pageBreakBefore w:val="0"/>
        <w:widowControl w:val="0"/>
        <w:kinsoku/>
        <w:wordWrap/>
        <w:overflowPunct/>
        <w:topLinePunct w:val="0"/>
        <w:autoSpaceDE/>
        <w:autoSpaceDN/>
        <w:bidi w:val="0"/>
        <w:spacing w:line="560" w:lineRule="exact"/>
        <w:ind w:firstLine="640" w:firstLineChars="200"/>
      </w:pPr>
      <w:r>
        <w:rPr>
          <w:rFonts w:ascii="Times New Roman" w:hAnsi="Times New Roman" w:eastAsia="仿宋_GB2312"/>
          <w:sz w:val="32"/>
          <w:szCs w:val="33"/>
        </w:rPr>
        <w:t>镇（街道）做好</w:t>
      </w:r>
      <w:r>
        <w:rPr>
          <w:rFonts w:hint="eastAsia" w:ascii="Times New Roman" w:hAnsi="Times New Roman" w:eastAsia="仿宋_GB2312"/>
          <w:sz w:val="32"/>
          <w:szCs w:val="33"/>
        </w:rPr>
        <w:t>高龄津贴</w:t>
      </w:r>
      <w:r>
        <w:rPr>
          <w:rFonts w:ascii="Times New Roman" w:hAnsi="Times New Roman" w:eastAsia="仿宋_GB2312"/>
          <w:sz w:val="32"/>
          <w:szCs w:val="33"/>
        </w:rPr>
        <w:t>的政策宣传工作。</w:t>
      </w:r>
    </w:p>
    <w:p>
      <w:pPr>
        <w:keepNext w:val="0"/>
        <w:keepLines w:val="0"/>
        <w:pageBreakBefore w:val="0"/>
        <w:widowControl w:val="0"/>
        <w:kinsoku/>
        <w:wordWrap/>
        <w:overflowPunct/>
        <w:topLinePunct w:val="0"/>
        <w:autoSpaceDE/>
        <w:autoSpaceDN/>
        <w:bidi w:val="0"/>
        <w:spacing w:line="560" w:lineRule="exact"/>
      </w:pPr>
      <w:r>
        <w:br w:type="page"/>
      </w:r>
    </w:p>
    <w:p>
      <w:pPr>
        <w:spacing w:line="580" w:lineRule="exact"/>
        <w:rPr>
          <w:rFonts w:ascii="Times New Roman" w:hAnsi="Times New Roman" w:eastAsia="黑体"/>
          <w:sz w:val="32"/>
          <w:szCs w:val="33"/>
        </w:rPr>
      </w:pPr>
      <w:r>
        <w:rPr>
          <w:rFonts w:ascii="Times New Roman" w:hAnsi="Times New Roman" w:eastAsia="黑体"/>
          <w:sz w:val="32"/>
          <w:szCs w:val="33"/>
        </w:rPr>
        <w:t>附件4</w:t>
      </w:r>
    </w:p>
    <w:p>
      <w:pPr>
        <w:snapToGrid w:val="0"/>
        <w:spacing w:line="60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rPr>
        <w:t>2022年农业保险政策绩效评价报告</w:t>
      </w:r>
    </w:p>
    <w:p>
      <w:pPr>
        <w:pStyle w:val="2"/>
        <w:keepNext w:val="0"/>
        <w:keepLines w:val="0"/>
        <w:pageBreakBefore w:val="0"/>
        <w:widowControl w:val="0"/>
        <w:kinsoku/>
        <w:wordWrap/>
        <w:overflowPunct/>
        <w:topLinePunct w:val="0"/>
        <w:autoSpaceDE/>
        <w:autoSpaceDN/>
        <w:bidi w:val="0"/>
        <w:adjustRightInd/>
        <w:snapToGrid/>
        <w:spacing w:before="157" w:beforeLines="50" w:line="560" w:lineRule="exact"/>
        <w:ind w:left="0" w:firstLine="640" w:firstLineChars="200"/>
        <w:textAlignment w:val="baseline"/>
        <w:rPr>
          <w:rFonts w:ascii="Times New Roman" w:hAnsi="Times New Roman" w:eastAsia="仿宋_GB2312"/>
          <w:sz w:val="32"/>
          <w:szCs w:val="33"/>
        </w:rPr>
      </w:pPr>
      <w:r>
        <w:rPr>
          <w:rFonts w:ascii="Times New Roman" w:hAnsi="Times New Roman" w:eastAsia="仿宋_GB2312"/>
          <w:sz w:val="32"/>
          <w:szCs w:val="33"/>
        </w:rPr>
        <w:t>根据《中华人民共和国预算法》《中共四川省委 四川省人民政府关于全面实施预算绩效管理的实施意见》以及市第十届人大常委会第四次会议提出的</w:t>
      </w:r>
      <w:r>
        <w:rPr>
          <w:rFonts w:hint="eastAsia" w:ascii="Times New Roman" w:hAnsi="Times New Roman" w:eastAsia="仿宋_GB2312"/>
          <w:sz w:val="32"/>
          <w:szCs w:val="33"/>
          <w:lang w:eastAsia="zh-CN"/>
        </w:rPr>
        <w:t>“</w:t>
      </w:r>
      <w:r>
        <w:rPr>
          <w:rFonts w:ascii="Times New Roman" w:hAnsi="Times New Roman" w:eastAsia="仿宋_GB2312"/>
          <w:sz w:val="32"/>
          <w:szCs w:val="33"/>
        </w:rPr>
        <w:t>进一步完善财政支出绩效评价制度，尤其是对评价结果的运用制度</w:t>
      </w:r>
      <w:r>
        <w:rPr>
          <w:rFonts w:hint="eastAsia" w:ascii="Times New Roman" w:hAnsi="Times New Roman" w:eastAsia="仿宋_GB2312"/>
          <w:sz w:val="32"/>
          <w:szCs w:val="33"/>
          <w:lang w:eastAsia="zh-CN"/>
        </w:rPr>
        <w:t>”</w:t>
      </w:r>
      <w:r>
        <w:rPr>
          <w:rFonts w:ascii="Times New Roman" w:hAnsi="Times New Roman" w:eastAsia="仿宋_GB2312"/>
          <w:sz w:val="32"/>
          <w:szCs w:val="33"/>
        </w:rPr>
        <w:t>等要求，于20</w:t>
      </w:r>
      <w:r>
        <w:rPr>
          <w:rFonts w:hint="eastAsia" w:ascii="Times New Roman" w:hAnsi="Times New Roman" w:eastAsia="仿宋_GB2312"/>
          <w:sz w:val="32"/>
          <w:szCs w:val="33"/>
        </w:rPr>
        <w:t>2</w:t>
      </w:r>
      <w:r>
        <w:rPr>
          <w:rFonts w:ascii="Times New Roman" w:hAnsi="Times New Roman" w:eastAsia="仿宋_GB2312"/>
          <w:sz w:val="32"/>
          <w:szCs w:val="33"/>
        </w:rPr>
        <w:t>3年6月至7月对</w:t>
      </w:r>
      <w:r>
        <w:rPr>
          <w:rFonts w:hint="eastAsia" w:ascii="Times New Roman" w:hAnsi="Times New Roman" w:eastAsia="仿宋_GB2312"/>
          <w:sz w:val="32"/>
          <w:szCs w:val="33"/>
        </w:rPr>
        <w:t>2022年农业保险政策</w:t>
      </w:r>
      <w:r>
        <w:rPr>
          <w:rFonts w:ascii="Times New Roman" w:hAnsi="Times New Roman" w:eastAsia="仿宋_GB2312"/>
          <w:sz w:val="32"/>
          <w:szCs w:val="33"/>
        </w:rPr>
        <w:t>绩效情况开展了绩效评价，现将有关情况报告如下。</w:t>
      </w:r>
    </w:p>
    <w:p>
      <w:pPr>
        <w:tabs>
          <w:tab w:val="left" w:pos="3885"/>
        </w:tabs>
        <w:snapToGrid w:val="0"/>
        <w:spacing w:line="560" w:lineRule="exact"/>
        <w:ind w:firstLine="640" w:firstLineChars="200"/>
        <w:rPr>
          <w:rFonts w:eastAsia="黑体"/>
          <w:sz w:val="33"/>
          <w:szCs w:val="33"/>
        </w:rPr>
      </w:pPr>
      <w:r>
        <w:rPr>
          <w:rFonts w:hint="eastAsia" w:ascii="方正黑体_GBK" w:hAnsi="方正黑体_GBK" w:eastAsia="黑体" w:cs="方正黑体_GBK"/>
          <w:sz w:val="32"/>
          <w:szCs w:val="33"/>
        </w:rPr>
        <w:t>一、政策基本情况</w:t>
      </w:r>
    </w:p>
    <w:p>
      <w:pPr>
        <w:tabs>
          <w:tab w:val="left" w:pos="3885"/>
        </w:tabs>
        <w:snapToGrid w:val="0"/>
        <w:spacing w:line="560" w:lineRule="exact"/>
        <w:ind w:firstLine="640" w:firstLineChars="200"/>
        <w:rPr>
          <w:rFonts w:ascii="Times New Roman" w:hAnsi="Times New Roman" w:eastAsia="仿宋_GB2312"/>
          <w:sz w:val="32"/>
          <w:szCs w:val="33"/>
        </w:rPr>
      </w:pPr>
      <w:r>
        <w:rPr>
          <w:rFonts w:hint="eastAsia" w:eastAsia="仿宋_GB2312"/>
          <w:sz w:val="32"/>
          <w:szCs w:val="33"/>
        </w:rPr>
        <w:t>为保障农民生产经营正常运行，提升农业生产风险抵御能力，促进农村经济发展。</w:t>
      </w:r>
      <w:r>
        <w:rPr>
          <w:rFonts w:ascii="Times New Roman" w:hAnsi="Times New Roman" w:eastAsia="仿宋_GB2312"/>
          <w:sz w:val="32"/>
          <w:szCs w:val="33"/>
        </w:rPr>
        <w:t>2022</w:t>
      </w:r>
      <w:r>
        <w:rPr>
          <w:rFonts w:hint="eastAsia" w:ascii="方正仿宋_GBK" w:hAnsi="方正仿宋_GBK" w:eastAsia="仿宋_GB2312" w:cs="方正仿宋_GBK"/>
          <w:sz w:val="32"/>
          <w:szCs w:val="33"/>
        </w:rPr>
        <w:t>年</w:t>
      </w:r>
      <w:r>
        <w:rPr>
          <w:rFonts w:hint="eastAsia" w:ascii="方正仿宋_GBK" w:hAnsi="方正仿宋_GBK" w:eastAsia="仿宋_GB2312" w:cs="方正仿宋_GBK"/>
          <w:sz w:val="32"/>
          <w:szCs w:val="33"/>
          <w:lang w:eastAsia="zh-CN"/>
        </w:rPr>
        <w:t>西</w:t>
      </w:r>
      <w:r>
        <w:rPr>
          <w:rFonts w:hint="eastAsia" w:ascii="方正仿宋_GBK" w:hAnsi="方正仿宋_GBK" w:eastAsia="仿宋_GB2312" w:cs="方正仿宋_GBK"/>
          <w:sz w:val="32"/>
          <w:szCs w:val="33"/>
        </w:rPr>
        <w:t>区政策性农业保险</w:t>
      </w:r>
      <w:r>
        <w:rPr>
          <w:rFonts w:hint="eastAsia" w:ascii="Times New Roman" w:hAnsi="Times New Roman" w:eastAsia="仿宋_GB2312"/>
          <w:sz w:val="32"/>
          <w:szCs w:val="33"/>
        </w:rPr>
        <w:t>覆盖了玉米、芒果种植和生猪、肉羊、肉牛养殖多个方面，</w:t>
      </w:r>
      <w:r>
        <w:rPr>
          <w:rFonts w:hint="eastAsia" w:ascii="Times New Roman" w:hAnsi="Times New Roman" w:eastAsia="仿宋_GB2312"/>
          <w:sz w:val="32"/>
          <w:szCs w:val="33"/>
          <w:lang w:eastAsia="zh-CN"/>
        </w:rPr>
        <w:t>安排</w:t>
      </w:r>
      <w:r>
        <w:rPr>
          <w:rFonts w:hint="eastAsia" w:ascii="Times New Roman" w:hAnsi="Times New Roman" w:eastAsia="仿宋_GB2312"/>
          <w:sz w:val="32"/>
          <w:szCs w:val="33"/>
        </w:rPr>
        <w:t>区级补贴30万元，实际支付29.85万元</w:t>
      </w:r>
      <w:r>
        <w:rPr>
          <w:rFonts w:hint="eastAsia" w:ascii="Times New Roman" w:hAnsi="Times New Roman" w:eastAsia="仿宋_GB2312"/>
          <w:sz w:val="32"/>
          <w:szCs w:val="33"/>
          <w:lang w:eastAsia="zh-CN"/>
        </w:rPr>
        <w:t>，支付率为</w:t>
      </w:r>
      <w:r>
        <w:rPr>
          <w:rFonts w:hint="eastAsia" w:ascii="Times New Roman" w:hAnsi="Times New Roman" w:eastAsia="仿宋_GB2312"/>
          <w:sz w:val="32"/>
          <w:szCs w:val="33"/>
          <w:lang w:val="en-US" w:eastAsia="zh-CN"/>
        </w:rPr>
        <w:t>99.5%</w:t>
      </w:r>
      <w:r>
        <w:rPr>
          <w:rFonts w:hint="eastAsia" w:ascii="Times New Roman" w:hAnsi="Times New Roman" w:eastAsia="仿宋_GB2312"/>
          <w:sz w:val="32"/>
          <w:szCs w:val="33"/>
        </w:rPr>
        <w:t>。</w:t>
      </w:r>
    </w:p>
    <w:p>
      <w:pPr>
        <w:tabs>
          <w:tab w:val="left" w:pos="3885"/>
        </w:tabs>
        <w:snapToGrid w:val="0"/>
        <w:spacing w:line="560" w:lineRule="exact"/>
        <w:ind w:firstLine="640" w:firstLineChars="200"/>
        <w:rPr>
          <w:rFonts w:ascii="方正黑体_GBK" w:hAnsi="方正黑体_GBK" w:eastAsia="黑体" w:cs="方正黑体_GBK"/>
          <w:sz w:val="32"/>
          <w:szCs w:val="33"/>
        </w:rPr>
      </w:pPr>
      <w:r>
        <w:rPr>
          <w:rFonts w:hint="eastAsia" w:ascii="方正黑体_GBK" w:hAnsi="方正黑体_GBK" w:eastAsia="黑体" w:cs="方正黑体_GBK"/>
          <w:sz w:val="32"/>
          <w:szCs w:val="33"/>
        </w:rPr>
        <w:t>二、评价工作开展情况</w:t>
      </w:r>
    </w:p>
    <w:p>
      <w:pPr>
        <w:snapToGrid w:val="0"/>
        <w:spacing w:line="560" w:lineRule="exact"/>
        <w:ind w:firstLine="643" w:firstLineChars="200"/>
        <w:rPr>
          <w:rFonts w:ascii="楷体_GB2312" w:eastAsia="楷体_GB2312"/>
          <w:sz w:val="33"/>
          <w:szCs w:val="33"/>
        </w:rPr>
      </w:pPr>
      <w:r>
        <w:rPr>
          <w:rFonts w:hint="eastAsia" w:ascii="方正楷体_GBK" w:hAnsi="方正楷体_GBK" w:eastAsia="楷体_GB2312" w:cs="方正楷体_GBK"/>
          <w:b/>
          <w:sz w:val="32"/>
          <w:szCs w:val="33"/>
        </w:rPr>
        <w:t>（一）现场评价抽样选点情况</w:t>
      </w:r>
    </w:p>
    <w:p>
      <w:pPr>
        <w:snapToGrid w:val="0"/>
        <w:spacing w:line="560" w:lineRule="exact"/>
        <w:ind w:firstLine="640" w:firstLineChars="200"/>
        <w:rPr>
          <w:rFonts w:ascii="楷体_GB2312" w:eastAsia="楷体_GB2312"/>
          <w:b/>
          <w:sz w:val="33"/>
          <w:szCs w:val="33"/>
          <w:highlight w:val="yellow"/>
        </w:rPr>
      </w:pPr>
      <w:r>
        <w:rPr>
          <w:rFonts w:hint="eastAsia" w:ascii="方正仿宋_GBK" w:hAnsi="方正仿宋_GBK" w:eastAsia="仿宋_GB2312" w:cs="方正仿宋_GBK"/>
          <w:sz w:val="32"/>
          <w:szCs w:val="33"/>
        </w:rPr>
        <w:t>现场评价抽样选点共安排</w:t>
      </w:r>
      <w:r>
        <w:rPr>
          <w:rFonts w:hint="eastAsia" w:ascii="Times New Roman" w:hAnsi="Times New Roman" w:eastAsia="仿宋_GB2312"/>
          <w:sz w:val="32"/>
          <w:szCs w:val="33"/>
        </w:rPr>
        <w:t>2</w:t>
      </w:r>
      <w:r>
        <w:rPr>
          <w:rFonts w:hint="eastAsia" w:ascii="方正仿宋_GBK" w:hAnsi="方正仿宋_GBK" w:eastAsia="仿宋_GB2312" w:cs="方正仿宋_GBK"/>
          <w:sz w:val="32"/>
          <w:szCs w:val="33"/>
        </w:rPr>
        <w:t>个点位：格里坪镇金家村和格里坪镇庄上村。</w:t>
      </w:r>
    </w:p>
    <w:p>
      <w:pPr>
        <w:snapToGrid w:val="0"/>
        <w:spacing w:line="560" w:lineRule="exact"/>
        <w:ind w:firstLine="643" w:firstLineChars="200"/>
        <w:rPr>
          <w:rFonts w:ascii="方正楷体_GBK" w:hAnsi="方正楷体_GBK" w:eastAsia="楷体_GB2312" w:cs="方正楷体_GBK"/>
          <w:b/>
          <w:sz w:val="32"/>
          <w:szCs w:val="33"/>
        </w:rPr>
      </w:pPr>
      <w:r>
        <w:rPr>
          <w:rFonts w:hint="eastAsia" w:ascii="方正楷体_GBK" w:hAnsi="方正楷体_GBK" w:eastAsia="楷体_GB2312" w:cs="方正楷体_GBK"/>
          <w:b/>
          <w:sz w:val="32"/>
          <w:szCs w:val="33"/>
        </w:rPr>
        <w:t>（二）政策总体评价</w:t>
      </w:r>
    </w:p>
    <w:p>
      <w:pPr>
        <w:spacing w:line="560" w:lineRule="exact"/>
        <w:ind w:firstLine="640" w:firstLineChars="200"/>
        <w:rPr>
          <w:sz w:val="33"/>
          <w:szCs w:val="33"/>
        </w:rPr>
      </w:pPr>
      <w:r>
        <w:rPr>
          <w:rFonts w:hint="eastAsia" w:eastAsia="仿宋_GB2312"/>
          <w:sz w:val="32"/>
          <w:szCs w:val="33"/>
        </w:rPr>
        <w:t>对</w:t>
      </w:r>
      <w:r>
        <w:rPr>
          <w:rFonts w:ascii="Times New Roman" w:hAnsi="Times New Roman" w:eastAsia="仿宋_GB2312"/>
          <w:sz w:val="32"/>
          <w:szCs w:val="33"/>
        </w:rPr>
        <w:t>2022</w:t>
      </w:r>
      <w:r>
        <w:rPr>
          <w:rFonts w:hint="eastAsia" w:ascii="Times New Roman" w:hAnsi="Times New Roman" w:eastAsia="仿宋_GB2312"/>
          <w:sz w:val="32"/>
          <w:szCs w:val="33"/>
        </w:rPr>
        <w:t>年西区农业保险项目</w:t>
      </w:r>
      <w:r>
        <w:rPr>
          <w:rFonts w:hint="eastAsia" w:eastAsia="仿宋_GB2312"/>
          <w:sz w:val="32"/>
          <w:szCs w:val="33"/>
        </w:rPr>
        <w:t>从</w:t>
      </w:r>
      <w:r>
        <w:rPr>
          <w:rFonts w:hint="eastAsia" w:ascii="Times New Roman" w:hAnsi="Times New Roman" w:eastAsia="仿宋_GB2312"/>
          <w:sz w:val="32"/>
          <w:szCs w:val="33"/>
        </w:rPr>
        <w:t>项目决策、项目管理和项目绩效三个方面开展了绩效评价工作，现场测评从资金支出效益、资金使用及财务管理情况等方面</w:t>
      </w:r>
      <w:r>
        <w:rPr>
          <w:rFonts w:hint="eastAsia" w:eastAsia="仿宋_GB2312"/>
          <w:sz w:val="32"/>
          <w:szCs w:val="33"/>
        </w:rPr>
        <w:t>进行重点</w:t>
      </w:r>
      <w:r>
        <w:rPr>
          <w:rFonts w:hint="eastAsia" w:ascii="Times New Roman" w:hAnsi="Times New Roman" w:eastAsia="仿宋_GB2312"/>
          <w:sz w:val="32"/>
          <w:szCs w:val="33"/>
        </w:rPr>
        <w:t>考评。经检查考评，该项目符合省、市关于农业保险政策支出</w:t>
      </w:r>
      <w:r>
        <w:rPr>
          <w:rFonts w:hint="eastAsia" w:eastAsia="仿宋_GB2312"/>
          <w:sz w:val="32"/>
          <w:szCs w:val="33"/>
        </w:rPr>
        <w:t>相关</w:t>
      </w:r>
      <w:r>
        <w:rPr>
          <w:rFonts w:hint="eastAsia" w:ascii="Times New Roman" w:hAnsi="Times New Roman" w:eastAsia="仿宋_GB2312"/>
          <w:sz w:val="32"/>
          <w:szCs w:val="33"/>
        </w:rPr>
        <w:t>要求，</w:t>
      </w:r>
      <w:r>
        <w:rPr>
          <w:rFonts w:hint="eastAsia" w:eastAsia="仿宋_GB2312"/>
          <w:sz w:val="32"/>
          <w:szCs w:val="33"/>
        </w:rPr>
        <w:t>专款专用，充分发挥专项资金作用</w:t>
      </w:r>
      <w:r>
        <w:rPr>
          <w:rFonts w:hint="eastAsia" w:ascii="Times New Roman" w:hAnsi="Times New Roman" w:eastAsia="仿宋_GB2312"/>
          <w:sz w:val="32"/>
          <w:szCs w:val="33"/>
        </w:rPr>
        <w:t>。</w:t>
      </w:r>
      <w:r>
        <w:rPr>
          <w:rFonts w:ascii="Times New Roman" w:hAnsi="Times New Roman" w:eastAsia="仿宋_GB2312"/>
          <w:sz w:val="32"/>
          <w:szCs w:val="33"/>
        </w:rPr>
        <w:t>总体来看，</w:t>
      </w:r>
      <w:r>
        <w:rPr>
          <w:rFonts w:hint="eastAsia" w:ascii="Times New Roman" w:hAnsi="Times New Roman" w:eastAsia="仿宋_GB2312"/>
          <w:sz w:val="32"/>
          <w:szCs w:val="33"/>
        </w:rPr>
        <w:t>西区农业保险政策落实</w:t>
      </w:r>
      <w:r>
        <w:rPr>
          <w:rFonts w:ascii="Times New Roman" w:hAnsi="Times New Roman" w:eastAsia="仿宋_GB2312"/>
          <w:sz w:val="32"/>
          <w:szCs w:val="33"/>
        </w:rPr>
        <w:t>基本达到预期绩效目标，绩效评价结果为良好，总体评价得分9</w:t>
      </w:r>
      <w:r>
        <w:rPr>
          <w:rFonts w:hint="eastAsia" w:ascii="Times New Roman" w:hAnsi="Times New Roman" w:eastAsia="仿宋_GB2312"/>
          <w:sz w:val="32"/>
          <w:szCs w:val="33"/>
        </w:rPr>
        <w:t>5</w:t>
      </w:r>
      <w:r>
        <w:rPr>
          <w:rFonts w:ascii="Times New Roman" w:hAnsi="Times New Roman" w:eastAsia="仿宋_GB2312"/>
          <w:sz w:val="32"/>
          <w:szCs w:val="33"/>
        </w:rPr>
        <w:t>分。具体评价情况见下表。</w:t>
      </w:r>
    </w:p>
    <w:p>
      <w:pPr>
        <w:adjustRightInd w:val="0"/>
        <w:snapToGrid w:val="0"/>
        <w:spacing w:before="93" w:beforeLines="30" w:after="93" w:afterLines="30"/>
        <w:jc w:val="center"/>
        <w:rPr>
          <w:rFonts w:ascii="Times New Roman" w:hAnsi="Times New Roman"/>
          <w:b/>
          <w:sz w:val="24"/>
          <w:szCs w:val="32"/>
          <w:lang w:val="zh-CN"/>
        </w:rPr>
      </w:pPr>
      <w:r>
        <w:rPr>
          <w:rFonts w:hint="eastAsia" w:ascii="Times New Roman" w:hAnsi="Times New Roman"/>
          <w:b/>
          <w:sz w:val="24"/>
          <w:szCs w:val="32"/>
          <w:lang w:val="zh-CN"/>
        </w:rPr>
        <w:t>农业保险政策绩效得分表</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1701"/>
        <w:gridCol w:w="2427"/>
        <w:gridCol w:w="1343"/>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Align w:val="center"/>
          </w:tcPr>
          <w:p>
            <w:pPr>
              <w:adjustRightInd w:val="0"/>
              <w:snapToGrid w:val="0"/>
              <w:jc w:val="center"/>
              <w:rPr>
                <w:rFonts w:ascii="方正黑体_GBK" w:hAnsi="方正黑体_GBK" w:eastAsia="方正黑体_GBK" w:cs="方正黑体_GBK"/>
                <w:bCs/>
                <w:sz w:val="20"/>
                <w:szCs w:val="20"/>
              </w:rPr>
            </w:pPr>
            <w:r>
              <w:rPr>
                <w:rFonts w:hint="eastAsia" w:ascii="方正黑体_GBK" w:hAnsi="方正黑体_GBK" w:eastAsia="方正黑体_GBK" w:cs="方正黑体_GBK"/>
                <w:bCs/>
                <w:sz w:val="20"/>
                <w:szCs w:val="20"/>
              </w:rPr>
              <w:t>一级指标</w:t>
            </w:r>
            <w:r>
              <w:rPr>
                <w:rFonts w:hint="eastAsia" w:ascii="方正黑体_GBK" w:hAnsi="方正黑体_GBK" w:eastAsia="方正黑体_GBK" w:cs="方正黑体_GBK"/>
                <w:bCs/>
                <w:sz w:val="20"/>
                <w:szCs w:val="20"/>
              </w:rPr>
              <mc:AlternateContent>
                <mc:Choice Requires="wps">
                  <w:drawing>
                    <wp:anchor distT="0" distB="0" distL="114300" distR="114300" simplePos="0" relativeHeight="251665408"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49" name="直接连接符 4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65408;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kgDltUAAAAJAQAADwAAAAAAAAABACAAAAAiAAAAZHJzL2Rvd25yZXYueG1sUEsBAhQAFAAAAAgA&#10;h07iQIGcFgbvAQAA5AMAAA4AAAAAAAAAAQAgAAAAJAEAAGRycy9lMm9Eb2MueG1sUEsFBgAAAAAG&#10;AAYAWQEAAIUFAAAAAA==&#10;">
                      <v:fill on="f" focussize="0,0"/>
                      <v:stroke color="#000000" joinstyle="round"/>
                      <v:imagedata o:title=""/>
                      <o:lock v:ext="edit" aspectratio="f"/>
                    </v:line>
                  </w:pict>
                </mc:Fallback>
              </mc:AlternateContent>
            </w:r>
            <w:r>
              <w:rPr>
                <w:rFonts w:hint="eastAsia" w:ascii="方正黑体_GBK" w:hAnsi="方正黑体_GBK" w:eastAsia="方正黑体_GBK" w:cs="方正黑体_GBK"/>
                <w:bCs/>
                <w:sz w:val="20"/>
                <w:szCs w:val="20"/>
              </w:rPr>
              <mc:AlternateContent>
                <mc:Choice Requires="wps">
                  <w:drawing>
                    <wp:anchor distT="0" distB="0" distL="114300" distR="114300" simplePos="0" relativeHeight="251666432"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50" name="直接连接符 50"/>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66432;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e&#10;SAOW1QAAAAkBAAAPAAAAAAAAAAEAIAAAACIAAABkcnMvZG93bnJldi54bWxQSwECFAAUAAAACACH&#10;TuJA4/bcV+4BAADkAwAADgAAAAAAAAABACAAAAAkAQAAZHJzL2Uyb0RvYy54bWxQSwUGAAAAAAYA&#10;BgBZAQAAhAUAAAAA&#10;">
                      <v:fill on="f" focussize="0,0"/>
                      <v:stroke color="#000000" joinstyle="round"/>
                      <v:imagedata o:title=""/>
                      <o:lock v:ext="edit" aspectratio="f"/>
                    </v:line>
                  </w:pict>
                </mc:Fallback>
              </mc:AlternateContent>
            </w:r>
            <w:r>
              <w:rPr>
                <w:rFonts w:hint="eastAsia" w:ascii="方正黑体_GBK" w:hAnsi="方正黑体_GBK" w:eastAsia="方正黑体_GBK" w:cs="方正黑体_GBK"/>
                <w:bCs/>
                <w:sz w:val="20"/>
                <w:szCs w:val="20"/>
              </w:rPr>
              <mc:AlternateContent>
                <mc:Choice Requires="wps">
                  <w:drawing>
                    <wp:anchor distT="0" distB="0" distL="114300" distR="114300" simplePos="0" relativeHeight="251667456"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51" name="直接连接符 5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67456;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e&#10;SAOW1QAAAAkBAAAPAAAAAAAAAAEAIAAAACIAAABkcnMvZG93bnJldi54bWxQSwECFAAUAAAACACH&#10;TuJAe//3j+4BAADkAwAADgAAAAAAAAABACAAAAAkAQAAZHJzL2Uyb0RvYy54bWxQSwUGAAAAAAYA&#10;BgBZAQAAhAUAAAAA&#10;">
                      <v:fill on="f" focussize="0,0"/>
                      <v:stroke color="#000000" joinstyle="round"/>
                      <v:imagedata o:title=""/>
                      <o:lock v:ext="edit" aspectratio="f"/>
                    </v:line>
                  </w:pict>
                </mc:Fallback>
              </mc:AlternateContent>
            </w:r>
            <w:r>
              <w:rPr>
                <w:rFonts w:hint="eastAsia" w:ascii="方正黑体_GBK" w:hAnsi="方正黑体_GBK" w:eastAsia="方正黑体_GBK" w:cs="方正黑体_GBK"/>
                <w:bCs/>
                <w:sz w:val="20"/>
                <w:szCs w:val="20"/>
              </w:rPr>
              <mc:AlternateContent>
                <mc:Choice Requires="wps">
                  <w:drawing>
                    <wp:anchor distT="0" distB="0" distL="114300" distR="114300" simplePos="0" relativeHeight="251668480"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52" name="直接连接符 5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68480;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kgDltUAAAAJAQAADwAAAAAAAAABACAAAAAiAAAAZHJzL2Rvd25yZXYueG1sUEsBAhQAFAAAAAgA&#10;h07iQJLj+zzvAQAA5AMAAA4AAAAAAAAAAQAgAAAAJAEAAGRycy9lMm9Eb2MueG1sUEsFBgAAAAAG&#10;AAYAWQEAAIUFAAAAAA==&#10;">
                      <v:fill on="f" focussize="0,0"/>
                      <v:stroke color="#000000" joinstyle="round"/>
                      <v:imagedata o:title=""/>
                      <o:lock v:ext="edit" aspectratio="f"/>
                    </v:line>
                  </w:pict>
                </mc:Fallback>
              </mc:AlternateContent>
            </w:r>
          </w:p>
        </w:tc>
        <w:tc>
          <w:tcPr>
            <w:tcW w:w="1701" w:type="dxa"/>
            <w:vAlign w:val="center"/>
          </w:tcPr>
          <w:p>
            <w:pPr>
              <w:adjustRightInd w:val="0"/>
              <w:snapToGrid w:val="0"/>
              <w:jc w:val="center"/>
              <w:rPr>
                <w:rFonts w:ascii="方正黑体_GBK" w:hAnsi="方正黑体_GBK" w:eastAsia="方正黑体_GBK" w:cs="方正黑体_GBK"/>
                <w:bCs/>
                <w:sz w:val="20"/>
                <w:szCs w:val="20"/>
              </w:rPr>
            </w:pPr>
            <w:r>
              <w:rPr>
                <w:rFonts w:hint="eastAsia" w:ascii="方正黑体_GBK" w:hAnsi="方正黑体_GBK" w:eastAsia="方正黑体_GBK" w:cs="方正黑体_GBK"/>
                <w:bCs/>
                <w:sz w:val="20"/>
                <w:szCs w:val="20"/>
              </w:rPr>
              <w:t>二级指标</w:t>
            </w:r>
          </w:p>
        </w:tc>
        <w:tc>
          <w:tcPr>
            <w:tcW w:w="2427" w:type="dxa"/>
            <w:vAlign w:val="center"/>
          </w:tcPr>
          <w:p>
            <w:pPr>
              <w:adjustRightInd w:val="0"/>
              <w:snapToGrid w:val="0"/>
              <w:jc w:val="center"/>
              <w:rPr>
                <w:rFonts w:ascii="方正黑体_GBK" w:hAnsi="方正黑体_GBK" w:eastAsia="方正黑体_GBK" w:cs="方正黑体_GBK"/>
                <w:bCs/>
                <w:sz w:val="20"/>
                <w:szCs w:val="20"/>
              </w:rPr>
            </w:pPr>
            <w:r>
              <w:rPr>
                <w:rFonts w:hint="eastAsia" w:ascii="方正黑体_GBK" w:hAnsi="方正黑体_GBK" w:eastAsia="方正黑体_GBK" w:cs="方正黑体_GBK"/>
                <w:bCs/>
                <w:sz w:val="20"/>
                <w:szCs w:val="20"/>
              </w:rPr>
              <w:t>三级指标</w:t>
            </w:r>
          </w:p>
        </w:tc>
        <w:tc>
          <w:tcPr>
            <w:tcW w:w="1343" w:type="dxa"/>
            <w:vAlign w:val="center"/>
          </w:tcPr>
          <w:p>
            <w:pPr>
              <w:adjustRightInd w:val="0"/>
              <w:snapToGrid w:val="0"/>
              <w:jc w:val="center"/>
              <w:rPr>
                <w:rFonts w:ascii="方正黑体_GBK" w:hAnsi="方正黑体_GBK" w:eastAsia="方正黑体_GBK" w:cs="方正黑体_GBK"/>
                <w:bCs/>
                <w:sz w:val="20"/>
                <w:szCs w:val="20"/>
              </w:rPr>
            </w:pPr>
            <w:r>
              <w:rPr>
                <w:rFonts w:hint="eastAsia" w:ascii="方正黑体_GBK" w:hAnsi="方正黑体_GBK" w:eastAsia="方正黑体_GBK" w:cs="方正黑体_GBK"/>
                <w:bCs/>
                <w:sz w:val="20"/>
                <w:szCs w:val="20"/>
              </w:rPr>
              <w:t>分值</w:t>
            </w:r>
          </w:p>
        </w:tc>
        <w:tc>
          <w:tcPr>
            <w:tcW w:w="1139" w:type="dxa"/>
            <w:vAlign w:val="center"/>
          </w:tcPr>
          <w:p>
            <w:pPr>
              <w:adjustRightInd w:val="0"/>
              <w:snapToGrid w:val="0"/>
              <w:jc w:val="center"/>
              <w:rPr>
                <w:rFonts w:ascii="方正黑体_GBK" w:hAnsi="方正黑体_GBK" w:eastAsia="方正黑体_GBK" w:cs="方正黑体_GBK"/>
                <w:bCs/>
                <w:sz w:val="20"/>
                <w:szCs w:val="20"/>
              </w:rPr>
            </w:pPr>
            <w:r>
              <w:rPr>
                <w:rFonts w:hint="eastAsia" w:ascii="方正黑体_GBK" w:hAnsi="方正黑体_GBK" w:eastAsia="方正黑体_GBK" w:cs="方正黑体_GBK"/>
                <w:bCs/>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restart"/>
            <w:vAlign w:val="center"/>
          </w:tcPr>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项目决策</w:t>
            </w:r>
          </w:p>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（20分）</w:t>
            </w:r>
          </w:p>
        </w:tc>
        <w:tc>
          <w:tcPr>
            <w:tcW w:w="1701" w:type="dxa"/>
            <w:vMerge w:val="restart"/>
            <w:vAlign w:val="center"/>
          </w:tcPr>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绩效目标</w:t>
            </w:r>
          </w:p>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（6分）</w:t>
            </w:r>
          </w:p>
        </w:tc>
        <w:tc>
          <w:tcPr>
            <w:tcW w:w="2427" w:type="dxa"/>
            <w:vAlign w:val="center"/>
          </w:tcPr>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目标内容</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eastAsia="宋体"/>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adjustRightInd w:val="0"/>
              <w:snapToGrid w:val="0"/>
              <w:spacing w:line="260" w:lineRule="exact"/>
              <w:jc w:val="center"/>
              <w:rPr>
                <w:rFonts w:ascii="Times New Roman" w:hAnsi="Times New Roman" w:eastAsia="方正仿宋_GBK"/>
                <w:sz w:val="20"/>
                <w:szCs w:val="20"/>
              </w:rPr>
            </w:pPr>
          </w:p>
        </w:tc>
        <w:tc>
          <w:tcPr>
            <w:tcW w:w="1701" w:type="dxa"/>
            <w:vMerge w:val="continue"/>
            <w:vAlign w:val="center"/>
          </w:tcPr>
          <w:p>
            <w:pPr>
              <w:adjustRightInd w:val="0"/>
              <w:snapToGrid w:val="0"/>
              <w:spacing w:line="260" w:lineRule="exact"/>
              <w:jc w:val="center"/>
              <w:rPr>
                <w:rFonts w:ascii="Times New Roman" w:hAnsi="Times New Roman" w:eastAsia="方正仿宋_GBK"/>
                <w:sz w:val="20"/>
                <w:szCs w:val="20"/>
              </w:rPr>
            </w:pPr>
          </w:p>
        </w:tc>
        <w:tc>
          <w:tcPr>
            <w:tcW w:w="2427" w:type="dxa"/>
            <w:vAlign w:val="center"/>
          </w:tcPr>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进度计划</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spacing w:line="260" w:lineRule="exact"/>
              <w:jc w:val="center"/>
              <w:rPr>
                <w:rFonts w:ascii="Times New Roman" w:hAnsi="Times New Roman"/>
                <w:color w:val="000000"/>
                <w:sz w:val="20"/>
                <w:szCs w:val="20"/>
              </w:rPr>
            </w:pPr>
            <w:r>
              <w:rPr>
                <w:rFonts w:hint="eastAsia" w:ascii="Times New Roman" w:hAnsi="Times New Roman" w:eastAsia="宋体"/>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adjustRightInd w:val="0"/>
              <w:snapToGrid w:val="0"/>
              <w:spacing w:line="260" w:lineRule="exact"/>
              <w:jc w:val="center"/>
              <w:rPr>
                <w:rFonts w:ascii="Times New Roman" w:hAnsi="Times New Roman" w:eastAsia="方正仿宋_GBK"/>
                <w:sz w:val="20"/>
                <w:szCs w:val="20"/>
              </w:rPr>
            </w:pPr>
          </w:p>
        </w:tc>
        <w:tc>
          <w:tcPr>
            <w:tcW w:w="1701" w:type="dxa"/>
            <w:vMerge w:val="continue"/>
            <w:vAlign w:val="center"/>
          </w:tcPr>
          <w:p>
            <w:pPr>
              <w:adjustRightInd w:val="0"/>
              <w:snapToGrid w:val="0"/>
              <w:spacing w:line="260" w:lineRule="exact"/>
              <w:jc w:val="center"/>
              <w:rPr>
                <w:rFonts w:ascii="Times New Roman" w:hAnsi="Times New Roman" w:eastAsia="方正仿宋_GBK"/>
                <w:sz w:val="20"/>
                <w:szCs w:val="20"/>
              </w:rPr>
            </w:pPr>
          </w:p>
        </w:tc>
        <w:tc>
          <w:tcPr>
            <w:tcW w:w="2427" w:type="dxa"/>
            <w:vAlign w:val="center"/>
          </w:tcPr>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目标匹配</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eastAsia="宋体"/>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adjustRightInd w:val="0"/>
              <w:snapToGrid w:val="0"/>
              <w:spacing w:line="260" w:lineRule="exact"/>
              <w:jc w:val="center"/>
              <w:rPr>
                <w:rFonts w:ascii="Times New Roman" w:hAnsi="Times New Roman" w:eastAsia="方正仿宋_GBK"/>
                <w:sz w:val="20"/>
                <w:szCs w:val="20"/>
              </w:rPr>
            </w:pPr>
          </w:p>
        </w:tc>
        <w:tc>
          <w:tcPr>
            <w:tcW w:w="1701" w:type="dxa"/>
            <w:vMerge w:val="restart"/>
            <w:vAlign w:val="center"/>
          </w:tcPr>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决策依据</w:t>
            </w:r>
          </w:p>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（10分）</w:t>
            </w:r>
          </w:p>
        </w:tc>
        <w:tc>
          <w:tcPr>
            <w:tcW w:w="2427" w:type="dxa"/>
            <w:vAlign w:val="center"/>
          </w:tcPr>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政策依据</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eastAsia="宋体"/>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adjustRightInd w:val="0"/>
              <w:snapToGrid w:val="0"/>
              <w:spacing w:line="260" w:lineRule="exact"/>
              <w:jc w:val="center"/>
              <w:rPr>
                <w:rFonts w:ascii="Times New Roman" w:hAnsi="Times New Roman" w:eastAsia="方正仿宋_GBK"/>
                <w:sz w:val="20"/>
                <w:szCs w:val="20"/>
              </w:rPr>
            </w:pPr>
          </w:p>
        </w:tc>
        <w:tc>
          <w:tcPr>
            <w:tcW w:w="1701" w:type="dxa"/>
            <w:vMerge w:val="continue"/>
            <w:vAlign w:val="center"/>
          </w:tcPr>
          <w:p>
            <w:pPr>
              <w:adjustRightInd w:val="0"/>
              <w:snapToGrid w:val="0"/>
              <w:spacing w:line="260" w:lineRule="exact"/>
              <w:jc w:val="center"/>
              <w:rPr>
                <w:rFonts w:ascii="Times New Roman" w:hAnsi="Times New Roman" w:eastAsia="方正仿宋_GBK"/>
                <w:sz w:val="20"/>
                <w:szCs w:val="20"/>
              </w:rPr>
            </w:pPr>
          </w:p>
        </w:tc>
        <w:tc>
          <w:tcPr>
            <w:tcW w:w="2427" w:type="dxa"/>
            <w:vAlign w:val="center"/>
          </w:tcPr>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程序严密</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eastAsia="宋体"/>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adjustRightInd w:val="0"/>
              <w:snapToGrid w:val="0"/>
              <w:spacing w:line="260" w:lineRule="exact"/>
              <w:jc w:val="center"/>
              <w:rPr>
                <w:rFonts w:ascii="Times New Roman" w:hAnsi="Times New Roman" w:eastAsia="方正仿宋_GBK"/>
                <w:sz w:val="20"/>
                <w:szCs w:val="20"/>
              </w:rPr>
            </w:pPr>
          </w:p>
        </w:tc>
        <w:tc>
          <w:tcPr>
            <w:tcW w:w="1701" w:type="dxa"/>
            <w:vMerge w:val="continue"/>
            <w:vAlign w:val="center"/>
          </w:tcPr>
          <w:p>
            <w:pPr>
              <w:adjustRightInd w:val="0"/>
              <w:snapToGrid w:val="0"/>
              <w:spacing w:line="260" w:lineRule="exact"/>
              <w:jc w:val="center"/>
              <w:rPr>
                <w:rFonts w:ascii="Times New Roman" w:hAnsi="Times New Roman" w:eastAsia="方正仿宋_GBK"/>
                <w:sz w:val="20"/>
                <w:szCs w:val="20"/>
              </w:rPr>
            </w:pPr>
          </w:p>
        </w:tc>
        <w:tc>
          <w:tcPr>
            <w:tcW w:w="2427" w:type="dxa"/>
            <w:vAlign w:val="center"/>
          </w:tcPr>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结果符合</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eastAsia="宋体"/>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adjustRightInd w:val="0"/>
              <w:snapToGrid w:val="0"/>
              <w:spacing w:line="260" w:lineRule="exact"/>
              <w:jc w:val="center"/>
              <w:rPr>
                <w:rFonts w:ascii="Times New Roman" w:hAnsi="Times New Roman" w:eastAsia="方正仿宋_GBK"/>
                <w:sz w:val="20"/>
                <w:szCs w:val="20"/>
              </w:rPr>
            </w:pPr>
          </w:p>
        </w:tc>
        <w:tc>
          <w:tcPr>
            <w:tcW w:w="1701" w:type="dxa"/>
            <w:vMerge w:val="continue"/>
            <w:vAlign w:val="center"/>
          </w:tcPr>
          <w:p>
            <w:pPr>
              <w:adjustRightInd w:val="0"/>
              <w:snapToGrid w:val="0"/>
              <w:spacing w:line="260" w:lineRule="exact"/>
              <w:jc w:val="center"/>
              <w:rPr>
                <w:rFonts w:ascii="Times New Roman" w:hAnsi="Times New Roman" w:eastAsia="方正仿宋_GBK"/>
                <w:sz w:val="20"/>
                <w:szCs w:val="20"/>
              </w:rPr>
            </w:pPr>
          </w:p>
        </w:tc>
        <w:tc>
          <w:tcPr>
            <w:tcW w:w="2427" w:type="dxa"/>
            <w:vAlign w:val="center"/>
          </w:tcPr>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实施规划</w:t>
            </w:r>
          </w:p>
        </w:tc>
        <w:tc>
          <w:tcPr>
            <w:tcW w:w="1343" w:type="dxa"/>
            <w:vAlign w:val="center"/>
          </w:tcPr>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4</w:t>
            </w:r>
          </w:p>
        </w:tc>
        <w:tc>
          <w:tcPr>
            <w:tcW w:w="1139" w:type="dxa"/>
            <w:vAlign w:val="center"/>
          </w:tcPr>
          <w:p>
            <w:pPr>
              <w:spacing w:line="260" w:lineRule="exact"/>
              <w:jc w:val="center"/>
              <w:rPr>
                <w:rFonts w:ascii="Times New Roman" w:hAnsi="Times New Roman"/>
                <w:color w:val="000000"/>
                <w:sz w:val="20"/>
                <w:szCs w:val="20"/>
              </w:rPr>
            </w:pPr>
            <w:r>
              <w:rPr>
                <w:rFonts w:hint="eastAsia" w:ascii="Times New Roman" w:hAnsi="Times New Roman"/>
                <w:color w:val="00000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adjustRightInd w:val="0"/>
              <w:snapToGrid w:val="0"/>
              <w:spacing w:line="260" w:lineRule="exact"/>
              <w:jc w:val="center"/>
              <w:rPr>
                <w:rFonts w:ascii="Times New Roman" w:hAnsi="Times New Roman" w:eastAsia="方正仿宋_GBK"/>
                <w:sz w:val="20"/>
                <w:szCs w:val="20"/>
              </w:rPr>
            </w:pPr>
          </w:p>
        </w:tc>
        <w:tc>
          <w:tcPr>
            <w:tcW w:w="1701" w:type="dxa"/>
            <w:vMerge w:val="restart"/>
            <w:vAlign w:val="center"/>
          </w:tcPr>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分配结果</w:t>
            </w:r>
          </w:p>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（4分）</w:t>
            </w:r>
          </w:p>
        </w:tc>
        <w:tc>
          <w:tcPr>
            <w:tcW w:w="2427" w:type="dxa"/>
            <w:vAlign w:val="center"/>
          </w:tcPr>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分配过程</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eastAsia="宋体"/>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adjustRightInd w:val="0"/>
              <w:snapToGrid w:val="0"/>
              <w:spacing w:line="260" w:lineRule="exact"/>
              <w:jc w:val="center"/>
              <w:rPr>
                <w:rFonts w:ascii="Times New Roman" w:hAnsi="Times New Roman" w:eastAsia="方正仿宋_GBK"/>
                <w:sz w:val="20"/>
                <w:szCs w:val="20"/>
              </w:rPr>
            </w:pPr>
          </w:p>
        </w:tc>
        <w:tc>
          <w:tcPr>
            <w:tcW w:w="1701" w:type="dxa"/>
            <w:vMerge w:val="continue"/>
            <w:vAlign w:val="center"/>
          </w:tcPr>
          <w:p>
            <w:pPr>
              <w:adjustRightInd w:val="0"/>
              <w:snapToGrid w:val="0"/>
              <w:spacing w:line="260" w:lineRule="exact"/>
              <w:jc w:val="center"/>
              <w:rPr>
                <w:rFonts w:ascii="Times New Roman" w:hAnsi="Times New Roman" w:eastAsia="方正仿宋_GBK"/>
                <w:sz w:val="20"/>
                <w:szCs w:val="20"/>
              </w:rPr>
            </w:pPr>
          </w:p>
        </w:tc>
        <w:tc>
          <w:tcPr>
            <w:tcW w:w="2427" w:type="dxa"/>
            <w:vAlign w:val="center"/>
          </w:tcPr>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审核把关</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eastAsia="宋体"/>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912" w:type="dxa"/>
            <w:vMerge w:val="restart"/>
            <w:vAlign w:val="center"/>
          </w:tcPr>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项目管理</w:t>
            </w:r>
          </w:p>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（15分）</w:t>
            </w:r>
          </w:p>
        </w:tc>
        <w:tc>
          <w:tcPr>
            <w:tcW w:w="1701" w:type="dxa"/>
            <w:vMerge w:val="restart"/>
            <w:vAlign w:val="center"/>
          </w:tcPr>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资金到位</w:t>
            </w:r>
          </w:p>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（4分）</w:t>
            </w:r>
          </w:p>
        </w:tc>
        <w:tc>
          <w:tcPr>
            <w:tcW w:w="2427" w:type="dxa"/>
            <w:vAlign w:val="center"/>
          </w:tcPr>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分配时效</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eastAsia="宋体"/>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adjustRightInd w:val="0"/>
              <w:snapToGrid w:val="0"/>
              <w:spacing w:line="260" w:lineRule="exact"/>
              <w:jc w:val="center"/>
              <w:rPr>
                <w:rFonts w:ascii="Times New Roman" w:hAnsi="Times New Roman" w:eastAsia="方正仿宋_GBK"/>
                <w:sz w:val="20"/>
                <w:szCs w:val="20"/>
              </w:rPr>
            </w:pPr>
          </w:p>
        </w:tc>
        <w:tc>
          <w:tcPr>
            <w:tcW w:w="1701" w:type="dxa"/>
            <w:vMerge w:val="continue"/>
            <w:vAlign w:val="center"/>
          </w:tcPr>
          <w:p>
            <w:pPr>
              <w:adjustRightInd w:val="0"/>
              <w:snapToGrid w:val="0"/>
              <w:spacing w:line="260" w:lineRule="exact"/>
              <w:jc w:val="center"/>
              <w:rPr>
                <w:rFonts w:ascii="Times New Roman" w:hAnsi="Times New Roman" w:eastAsia="方正仿宋_GBK"/>
                <w:sz w:val="20"/>
                <w:szCs w:val="20"/>
              </w:rPr>
            </w:pPr>
          </w:p>
        </w:tc>
        <w:tc>
          <w:tcPr>
            <w:tcW w:w="2427" w:type="dxa"/>
            <w:vAlign w:val="center"/>
          </w:tcPr>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资金拨付</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eastAsia="宋体"/>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adjustRightInd w:val="0"/>
              <w:snapToGrid w:val="0"/>
              <w:spacing w:line="260" w:lineRule="exact"/>
              <w:jc w:val="center"/>
              <w:rPr>
                <w:rFonts w:ascii="Times New Roman" w:hAnsi="Times New Roman" w:eastAsia="方正仿宋_GBK"/>
                <w:sz w:val="20"/>
                <w:szCs w:val="20"/>
              </w:rPr>
            </w:pPr>
          </w:p>
        </w:tc>
        <w:tc>
          <w:tcPr>
            <w:tcW w:w="1701" w:type="dxa"/>
            <w:vMerge w:val="restart"/>
            <w:vAlign w:val="center"/>
          </w:tcPr>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资金管理</w:t>
            </w:r>
          </w:p>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（3分）</w:t>
            </w:r>
          </w:p>
        </w:tc>
        <w:tc>
          <w:tcPr>
            <w:tcW w:w="2427" w:type="dxa"/>
            <w:vAlign w:val="center"/>
          </w:tcPr>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使用范围</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eastAsia="宋体"/>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adjustRightInd w:val="0"/>
              <w:snapToGrid w:val="0"/>
              <w:spacing w:line="260" w:lineRule="exact"/>
              <w:jc w:val="center"/>
              <w:rPr>
                <w:rFonts w:ascii="Times New Roman" w:hAnsi="Times New Roman" w:eastAsia="方正仿宋_GBK"/>
                <w:sz w:val="20"/>
                <w:szCs w:val="20"/>
              </w:rPr>
            </w:pPr>
          </w:p>
        </w:tc>
        <w:tc>
          <w:tcPr>
            <w:tcW w:w="1701" w:type="dxa"/>
            <w:vMerge w:val="continue"/>
            <w:vAlign w:val="center"/>
          </w:tcPr>
          <w:p>
            <w:pPr>
              <w:adjustRightInd w:val="0"/>
              <w:snapToGrid w:val="0"/>
              <w:spacing w:line="260" w:lineRule="exact"/>
              <w:jc w:val="center"/>
              <w:rPr>
                <w:rFonts w:ascii="Times New Roman" w:hAnsi="Times New Roman" w:eastAsia="方正仿宋_GBK"/>
                <w:sz w:val="20"/>
                <w:szCs w:val="20"/>
              </w:rPr>
            </w:pPr>
          </w:p>
        </w:tc>
        <w:tc>
          <w:tcPr>
            <w:tcW w:w="2427" w:type="dxa"/>
            <w:vAlign w:val="center"/>
          </w:tcPr>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支付依据</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eastAsia="宋体"/>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adjustRightInd w:val="0"/>
              <w:snapToGrid w:val="0"/>
              <w:spacing w:line="260" w:lineRule="exact"/>
              <w:jc w:val="center"/>
              <w:rPr>
                <w:rFonts w:ascii="Times New Roman" w:hAnsi="Times New Roman" w:eastAsia="方正仿宋_GBK"/>
                <w:sz w:val="20"/>
                <w:szCs w:val="20"/>
              </w:rPr>
            </w:pPr>
          </w:p>
        </w:tc>
        <w:tc>
          <w:tcPr>
            <w:tcW w:w="1701" w:type="dxa"/>
            <w:vMerge w:val="continue"/>
            <w:vAlign w:val="center"/>
          </w:tcPr>
          <w:p>
            <w:pPr>
              <w:adjustRightInd w:val="0"/>
              <w:snapToGrid w:val="0"/>
              <w:spacing w:line="260" w:lineRule="exact"/>
              <w:jc w:val="center"/>
              <w:rPr>
                <w:rFonts w:ascii="Times New Roman" w:hAnsi="Times New Roman" w:eastAsia="方正仿宋_GBK"/>
                <w:sz w:val="20"/>
                <w:szCs w:val="20"/>
              </w:rPr>
            </w:pPr>
          </w:p>
        </w:tc>
        <w:tc>
          <w:tcPr>
            <w:tcW w:w="2427" w:type="dxa"/>
            <w:vAlign w:val="center"/>
          </w:tcPr>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开支标准</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eastAsia="宋体"/>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adjustRightInd w:val="0"/>
              <w:snapToGrid w:val="0"/>
              <w:spacing w:line="260" w:lineRule="exact"/>
              <w:jc w:val="center"/>
              <w:rPr>
                <w:rFonts w:ascii="Times New Roman" w:hAnsi="Times New Roman" w:eastAsia="方正仿宋_GBK"/>
                <w:sz w:val="20"/>
                <w:szCs w:val="20"/>
              </w:rPr>
            </w:pPr>
          </w:p>
        </w:tc>
        <w:tc>
          <w:tcPr>
            <w:tcW w:w="1701" w:type="dxa"/>
            <w:vMerge w:val="restart"/>
            <w:vAlign w:val="center"/>
          </w:tcPr>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财务管理</w:t>
            </w:r>
          </w:p>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（4分）</w:t>
            </w:r>
          </w:p>
        </w:tc>
        <w:tc>
          <w:tcPr>
            <w:tcW w:w="2427" w:type="dxa"/>
            <w:vAlign w:val="center"/>
          </w:tcPr>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财务制度</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eastAsia="宋体"/>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adjustRightInd w:val="0"/>
              <w:snapToGrid w:val="0"/>
              <w:spacing w:line="260" w:lineRule="exact"/>
              <w:jc w:val="center"/>
              <w:rPr>
                <w:rFonts w:ascii="Times New Roman" w:hAnsi="Times New Roman" w:eastAsia="方正仿宋_GBK"/>
                <w:sz w:val="20"/>
                <w:szCs w:val="20"/>
              </w:rPr>
            </w:pPr>
          </w:p>
        </w:tc>
        <w:tc>
          <w:tcPr>
            <w:tcW w:w="1701" w:type="dxa"/>
            <w:vMerge w:val="continue"/>
            <w:vAlign w:val="center"/>
          </w:tcPr>
          <w:p>
            <w:pPr>
              <w:adjustRightInd w:val="0"/>
              <w:snapToGrid w:val="0"/>
              <w:spacing w:line="260" w:lineRule="exact"/>
              <w:jc w:val="center"/>
              <w:rPr>
                <w:rFonts w:ascii="Times New Roman" w:hAnsi="Times New Roman" w:eastAsia="方正仿宋_GBK"/>
                <w:sz w:val="20"/>
                <w:szCs w:val="20"/>
              </w:rPr>
            </w:pPr>
          </w:p>
        </w:tc>
        <w:tc>
          <w:tcPr>
            <w:tcW w:w="2427" w:type="dxa"/>
            <w:vAlign w:val="center"/>
          </w:tcPr>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会计核算</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eastAsia="宋体"/>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12" w:type="dxa"/>
            <w:vMerge w:val="continue"/>
            <w:vAlign w:val="center"/>
          </w:tcPr>
          <w:p>
            <w:pPr>
              <w:adjustRightInd w:val="0"/>
              <w:snapToGrid w:val="0"/>
              <w:spacing w:line="260" w:lineRule="exact"/>
              <w:jc w:val="center"/>
              <w:rPr>
                <w:rFonts w:ascii="Times New Roman" w:hAnsi="Times New Roman" w:eastAsia="方正仿宋_GBK"/>
                <w:sz w:val="20"/>
                <w:szCs w:val="20"/>
              </w:rPr>
            </w:pPr>
          </w:p>
        </w:tc>
        <w:tc>
          <w:tcPr>
            <w:tcW w:w="1701" w:type="dxa"/>
            <w:vMerge w:val="restart"/>
            <w:vAlign w:val="center"/>
          </w:tcPr>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组织实施</w:t>
            </w:r>
          </w:p>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（4分）</w:t>
            </w:r>
          </w:p>
        </w:tc>
        <w:tc>
          <w:tcPr>
            <w:tcW w:w="2427" w:type="dxa"/>
            <w:vAlign w:val="center"/>
          </w:tcPr>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项目调整</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eastAsia="宋体"/>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12" w:type="dxa"/>
            <w:vMerge w:val="continue"/>
            <w:vAlign w:val="center"/>
          </w:tcPr>
          <w:p>
            <w:pPr>
              <w:adjustRightInd w:val="0"/>
              <w:snapToGrid w:val="0"/>
              <w:spacing w:line="260" w:lineRule="exact"/>
              <w:jc w:val="center"/>
              <w:rPr>
                <w:rFonts w:ascii="Times New Roman" w:hAnsi="Times New Roman" w:eastAsia="方正仿宋_GBK"/>
                <w:sz w:val="20"/>
                <w:szCs w:val="20"/>
              </w:rPr>
            </w:pPr>
          </w:p>
        </w:tc>
        <w:tc>
          <w:tcPr>
            <w:tcW w:w="1701" w:type="dxa"/>
            <w:vMerge w:val="continue"/>
            <w:vAlign w:val="center"/>
          </w:tcPr>
          <w:p>
            <w:pPr>
              <w:adjustRightInd w:val="0"/>
              <w:snapToGrid w:val="0"/>
              <w:spacing w:line="260" w:lineRule="exact"/>
              <w:jc w:val="center"/>
              <w:rPr>
                <w:rFonts w:ascii="Times New Roman" w:hAnsi="Times New Roman" w:eastAsia="方正仿宋_GBK"/>
                <w:sz w:val="20"/>
                <w:szCs w:val="20"/>
              </w:rPr>
            </w:pPr>
          </w:p>
        </w:tc>
        <w:tc>
          <w:tcPr>
            <w:tcW w:w="2427" w:type="dxa"/>
            <w:vAlign w:val="center"/>
          </w:tcPr>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投资变更</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eastAsia="宋体"/>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912" w:type="dxa"/>
            <w:vMerge w:val="continue"/>
            <w:vAlign w:val="center"/>
          </w:tcPr>
          <w:p>
            <w:pPr>
              <w:adjustRightInd w:val="0"/>
              <w:snapToGrid w:val="0"/>
              <w:spacing w:line="260" w:lineRule="exact"/>
              <w:jc w:val="center"/>
              <w:rPr>
                <w:rFonts w:ascii="Times New Roman" w:hAnsi="Times New Roman" w:eastAsia="方正仿宋_GBK"/>
                <w:sz w:val="20"/>
                <w:szCs w:val="20"/>
              </w:rPr>
            </w:pPr>
          </w:p>
        </w:tc>
        <w:tc>
          <w:tcPr>
            <w:tcW w:w="1701" w:type="dxa"/>
            <w:vMerge w:val="continue"/>
            <w:vAlign w:val="center"/>
          </w:tcPr>
          <w:p>
            <w:pPr>
              <w:adjustRightInd w:val="0"/>
              <w:snapToGrid w:val="0"/>
              <w:spacing w:line="260" w:lineRule="exact"/>
              <w:jc w:val="center"/>
              <w:rPr>
                <w:rFonts w:ascii="Times New Roman" w:hAnsi="Times New Roman" w:eastAsia="方正仿宋_GBK"/>
                <w:sz w:val="20"/>
                <w:szCs w:val="20"/>
              </w:rPr>
            </w:pPr>
          </w:p>
        </w:tc>
        <w:tc>
          <w:tcPr>
            <w:tcW w:w="2427" w:type="dxa"/>
            <w:vAlign w:val="center"/>
          </w:tcPr>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制度执行</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eastAsia="宋体"/>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12" w:type="dxa"/>
            <w:vMerge w:val="restart"/>
            <w:vAlign w:val="center"/>
          </w:tcPr>
          <w:p>
            <w:pPr>
              <w:adjustRightInd w:val="0"/>
              <w:snapToGrid w:val="0"/>
              <w:spacing w:line="260" w:lineRule="exact"/>
              <w:jc w:val="center"/>
              <w:rPr>
                <w:rFonts w:ascii="Times New Roman" w:hAnsi="Times New Roman" w:eastAsia="方正仿宋_GBK"/>
                <w:sz w:val="20"/>
                <w:szCs w:val="20"/>
              </w:rPr>
            </w:pPr>
          </w:p>
          <w:p>
            <w:pPr>
              <w:adjustRightInd w:val="0"/>
              <w:snapToGrid w:val="0"/>
              <w:spacing w:line="260" w:lineRule="exact"/>
              <w:jc w:val="center"/>
              <w:rPr>
                <w:rFonts w:ascii="Times New Roman" w:hAnsi="Times New Roman" w:eastAsia="方正仿宋_GBK"/>
                <w:sz w:val="20"/>
                <w:szCs w:val="20"/>
              </w:rPr>
            </w:pPr>
          </w:p>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项目绩效</w:t>
            </w:r>
          </w:p>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（特性指标65分）</w:t>
            </w:r>
          </w:p>
          <w:p>
            <w:pPr>
              <w:adjustRightInd w:val="0"/>
              <w:snapToGrid w:val="0"/>
              <w:spacing w:line="260" w:lineRule="exact"/>
              <w:jc w:val="center"/>
              <w:rPr>
                <w:rFonts w:ascii="Times New Roman" w:hAnsi="Times New Roman" w:eastAsia="方正仿宋_GBK"/>
                <w:sz w:val="20"/>
                <w:szCs w:val="20"/>
              </w:rPr>
            </w:pPr>
          </w:p>
          <w:p>
            <w:pPr>
              <w:adjustRightInd w:val="0"/>
              <w:snapToGrid w:val="0"/>
              <w:spacing w:line="260" w:lineRule="exact"/>
              <w:jc w:val="center"/>
              <w:rPr>
                <w:rFonts w:ascii="Times New Roman" w:hAnsi="Times New Roman" w:eastAsia="方正仿宋_GBK"/>
                <w:sz w:val="20"/>
                <w:szCs w:val="20"/>
              </w:rPr>
            </w:pPr>
          </w:p>
        </w:tc>
        <w:tc>
          <w:tcPr>
            <w:tcW w:w="1701" w:type="dxa"/>
            <w:vMerge w:val="restart"/>
            <w:vAlign w:val="center"/>
          </w:tcPr>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项目完成</w:t>
            </w:r>
          </w:p>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（20分）</w:t>
            </w:r>
          </w:p>
          <w:p>
            <w:pPr>
              <w:adjustRightInd w:val="0"/>
              <w:snapToGrid w:val="0"/>
              <w:spacing w:line="260" w:lineRule="exact"/>
              <w:jc w:val="center"/>
              <w:rPr>
                <w:rFonts w:ascii="Times New Roman" w:hAnsi="Times New Roman" w:eastAsia="方正仿宋_GBK"/>
                <w:sz w:val="20"/>
                <w:szCs w:val="20"/>
              </w:rPr>
            </w:pPr>
          </w:p>
        </w:tc>
        <w:tc>
          <w:tcPr>
            <w:tcW w:w="2427" w:type="dxa"/>
            <w:vAlign w:val="center"/>
          </w:tcPr>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完成数量</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eastAsia="宋体"/>
                <w:kern w:val="0"/>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adjustRightInd w:val="0"/>
              <w:snapToGrid w:val="0"/>
              <w:spacing w:line="260" w:lineRule="exact"/>
              <w:jc w:val="center"/>
              <w:rPr>
                <w:rFonts w:ascii="Times New Roman" w:hAnsi="Times New Roman" w:eastAsia="方正仿宋_GBK"/>
                <w:sz w:val="20"/>
                <w:szCs w:val="20"/>
              </w:rPr>
            </w:pPr>
          </w:p>
        </w:tc>
        <w:tc>
          <w:tcPr>
            <w:tcW w:w="1701" w:type="dxa"/>
            <w:vMerge w:val="continue"/>
            <w:vAlign w:val="center"/>
          </w:tcPr>
          <w:p>
            <w:pPr>
              <w:adjustRightInd w:val="0"/>
              <w:snapToGrid w:val="0"/>
              <w:spacing w:line="260" w:lineRule="exact"/>
              <w:jc w:val="center"/>
              <w:rPr>
                <w:rFonts w:ascii="Times New Roman" w:hAnsi="Times New Roman" w:eastAsia="方正仿宋_GBK"/>
                <w:sz w:val="20"/>
                <w:szCs w:val="20"/>
              </w:rPr>
            </w:pPr>
          </w:p>
        </w:tc>
        <w:tc>
          <w:tcPr>
            <w:tcW w:w="2427" w:type="dxa"/>
            <w:vAlign w:val="center"/>
          </w:tcPr>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完成质量</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w:t>
            </w:r>
          </w:p>
        </w:tc>
        <w:tc>
          <w:tcPr>
            <w:tcW w:w="1139" w:type="dxa"/>
            <w:vAlign w:val="center"/>
          </w:tcPr>
          <w:p>
            <w:pPr>
              <w:spacing w:line="260" w:lineRule="exact"/>
              <w:jc w:val="center"/>
              <w:rPr>
                <w:rFonts w:ascii="Times New Roman" w:hAnsi="Times New Roman"/>
                <w:color w:val="000000"/>
                <w:sz w:val="20"/>
                <w:szCs w:val="20"/>
              </w:rPr>
            </w:pPr>
            <w:r>
              <w:rPr>
                <w:rFonts w:hint="eastAsia" w:ascii="Times New Roman" w:hAnsi="Times New Roman" w:eastAsia="宋体"/>
                <w:kern w:val="0"/>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adjustRightInd w:val="0"/>
              <w:snapToGrid w:val="0"/>
              <w:spacing w:line="260" w:lineRule="exact"/>
              <w:jc w:val="center"/>
              <w:rPr>
                <w:rFonts w:ascii="Times New Roman" w:hAnsi="Times New Roman" w:eastAsia="方正仿宋_GBK"/>
                <w:sz w:val="20"/>
                <w:szCs w:val="20"/>
              </w:rPr>
            </w:pPr>
          </w:p>
        </w:tc>
        <w:tc>
          <w:tcPr>
            <w:tcW w:w="1701" w:type="dxa"/>
            <w:vMerge w:val="continue"/>
            <w:vAlign w:val="center"/>
          </w:tcPr>
          <w:p>
            <w:pPr>
              <w:adjustRightInd w:val="0"/>
              <w:snapToGrid w:val="0"/>
              <w:spacing w:line="260" w:lineRule="exact"/>
              <w:jc w:val="center"/>
              <w:rPr>
                <w:rFonts w:ascii="Times New Roman" w:hAnsi="Times New Roman" w:eastAsia="方正仿宋_GBK"/>
                <w:sz w:val="20"/>
                <w:szCs w:val="20"/>
              </w:rPr>
            </w:pPr>
          </w:p>
        </w:tc>
        <w:tc>
          <w:tcPr>
            <w:tcW w:w="2427" w:type="dxa"/>
            <w:vAlign w:val="center"/>
          </w:tcPr>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完成时效</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eastAsia="宋体"/>
                <w:kern w:val="0"/>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adjustRightInd w:val="0"/>
              <w:snapToGrid w:val="0"/>
              <w:spacing w:line="260" w:lineRule="exact"/>
              <w:jc w:val="center"/>
              <w:rPr>
                <w:rFonts w:ascii="Times New Roman" w:hAnsi="Times New Roman" w:eastAsia="方正仿宋_GBK"/>
                <w:sz w:val="20"/>
                <w:szCs w:val="20"/>
              </w:rPr>
            </w:pPr>
          </w:p>
        </w:tc>
        <w:tc>
          <w:tcPr>
            <w:tcW w:w="1701" w:type="dxa"/>
            <w:vMerge w:val="continue"/>
            <w:vAlign w:val="center"/>
          </w:tcPr>
          <w:p>
            <w:pPr>
              <w:adjustRightInd w:val="0"/>
              <w:snapToGrid w:val="0"/>
              <w:spacing w:line="260" w:lineRule="exact"/>
              <w:jc w:val="center"/>
              <w:rPr>
                <w:rFonts w:ascii="Times New Roman" w:hAnsi="Times New Roman" w:eastAsia="方正仿宋_GBK"/>
                <w:sz w:val="20"/>
                <w:szCs w:val="20"/>
              </w:rPr>
            </w:pPr>
          </w:p>
        </w:tc>
        <w:tc>
          <w:tcPr>
            <w:tcW w:w="2427" w:type="dxa"/>
            <w:vAlign w:val="center"/>
          </w:tcPr>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完成成本</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eastAsia="宋体"/>
                <w:kern w:val="0"/>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adjustRightInd w:val="0"/>
              <w:snapToGrid w:val="0"/>
              <w:spacing w:line="260" w:lineRule="exact"/>
              <w:jc w:val="center"/>
              <w:rPr>
                <w:rFonts w:ascii="Times New Roman" w:hAnsi="Times New Roman" w:eastAsia="方正仿宋_GBK"/>
                <w:sz w:val="20"/>
                <w:szCs w:val="20"/>
              </w:rPr>
            </w:pPr>
          </w:p>
        </w:tc>
        <w:tc>
          <w:tcPr>
            <w:tcW w:w="1701" w:type="dxa"/>
            <w:vMerge w:val="continue"/>
            <w:vAlign w:val="center"/>
          </w:tcPr>
          <w:p>
            <w:pPr>
              <w:adjustRightInd w:val="0"/>
              <w:snapToGrid w:val="0"/>
              <w:spacing w:line="260" w:lineRule="exact"/>
              <w:jc w:val="center"/>
              <w:rPr>
                <w:rFonts w:ascii="Times New Roman" w:hAnsi="Times New Roman" w:eastAsia="方正仿宋_GBK"/>
                <w:sz w:val="20"/>
                <w:szCs w:val="20"/>
              </w:rPr>
            </w:pPr>
          </w:p>
        </w:tc>
        <w:tc>
          <w:tcPr>
            <w:tcW w:w="2427" w:type="dxa"/>
            <w:vAlign w:val="center"/>
          </w:tcPr>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违规纪律</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eastAsia="宋体"/>
                <w:kern w:val="0"/>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912" w:type="dxa"/>
            <w:vMerge w:val="continue"/>
            <w:vAlign w:val="center"/>
          </w:tcPr>
          <w:p>
            <w:pPr>
              <w:adjustRightInd w:val="0"/>
              <w:snapToGrid w:val="0"/>
              <w:spacing w:line="260" w:lineRule="exact"/>
              <w:jc w:val="center"/>
              <w:rPr>
                <w:rFonts w:ascii="Times New Roman" w:hAnsi="Times New Roman" w:eastAsia="方正仿宋_GBK"/>
                <w:sz w:val="20"/>
                <w:szCs w:val="20"/>
              </w:rPr>
            </w:pPr>
          </w:p>
        </w:tc>
        <w:tc>
          <w:tcPr>
            <w:tcW w:w="1701" w:type="dxa"/>
            <w:vMerge w:val="restart"/>
            <w:vAlign w:val="center"/>
          </w:tcPr>
          <w:p>
            <w:pPr>
              <w:adjustRightInd w:val="0"/>
              <w:snapToGrid w:val="0"/>
              <w:spacing w:line="260" w:lineRule="exact"/>
              <w:jc w:val="center"/>
              <w:rPr>
                <w:rFonts w:ascii="Times New Roman" w:hAnsi="Times New Roman" w:eastAsia="方正仿宋_GBK"/>
                <w:sz w:val="20"/>
                <w:szCs w:val="20"/>
              </w:rPr>
            </w:pPr>
          </w:p>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项目效益</w:t>
            </w:r>
          </w:p>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（40分）</w:t>
            </w:r>
          </w:p>
        </w:tc>
        <w:tc>
          <w:tcPr>
            <w:tcW w:w="2427" w:type="dxa"/>
            <w:vAlign w:val="center"/>
          </w:tcPr>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经济效益</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10</w:t>
            </w:r>
          </w:p>
        </w:tc>
        <w:tc>
          <w:tcPr>
            <w:tcW w:w="1139" w:type="dxa"/>
            <w:vAlign w:val="center"/>
          </w:tcPr>
          <w:p>
            <w:pPr>
              <w:spacing w:line="260" w:lineRule="exact"/>
              <w:jc w:val="center"/>
              <w:rPr>
                <w:rFonts w:ascii="Times New Roman" w:hAnsi="Times New Roman"/>
                <w:color w:val="000000"/>
                <w:sz w:val="20"/>
                <w:szCs w:val="20"/>
              </w:rPr>
            </w:pPr>
            <w:r>
              <w:rPr>
                <w:rFonts w:hint="eastAsia" w:ascii="Times New Roman" w:hAnsi="Times New Roman" w:eastAsia="宋体"/>
                <w:kern w:val="0"/>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912" w:type="dxa"/>
            <w:vMerge w:val="continue"/>
            <w:vAlign w:val="center"/>
          </w:tcPr>
          <w:p>
            <w:pPr>
              <w:adjustRightInd w:val="0"/>
              <w:snapToGrid w:val="0"/>
              <w:spacing w:line="260" w:lineRule="exact"/>
              <w:jc w:val="center"/>
              <w:rPr>
                <w:rFonts w:ascii="Times New Roman" w:hAnsi="Times New Roman" w:eastAsia="方正仿宋_GBK"/>
                <w:sz w:val="20"/>
                <w:szCs w:val="20"/>
              </w:rPr>
            </w:pPr>
          </w:p>
        </w:tc>
        <w:tc>
          <w:tcPr>
            <w:tcW w:w="1701" w:type="dxa"/>
            <w:vMerge w:val="continue"/>
            <w:vAlign w:val="center"/>
          </w:tcPr>
          <w:p>
            <w:pPr>
              <w:adjustRightInd w:val="0"/>
              <w:snapToGrid w:val="0"/>
              <w:spacing w:line="260" w:lineRule="exact"/>
              <w:jc w:val="center"/>
              <w:rPr>
                <w:rFonts w:ascii="Times New Roman" w:hAnsi="Times New Roman" w:eastAsia="方正仿宋_GBK"/>
                <w:sz w:val="20"/>
                <w:szCs w:val="20"/>
              </w:rPr>
            </w:pPr>
          </w:p>
        </w:tc>
        <w:tc>
          <w:tcPr>
            <w:tcW w:w="2427" w:type="dxa"/>
            <w:vAlign w:val="center"/>
          </w:tcPr>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社会效益</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10</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eastAsia="宋体"/>
                <w:kern w:val="0"/>
                <w:sz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912" w:type="dxa"/>
            <w:vMerge w:val="continue"/>
            <w:vAlign w:val="center"/>
          </w:tcPr>
          <w:p>
            <w:pPr>
              <w:adjustRightInd w:val="0"/>
              <w:snapToGrid w:val="0"/>
              <w:spacing w:line="260" w:lineRule="exact"/>
              <w:jc w:val="center"/>
              <w:rPr>
                <w:rFonts w:ascii="Times New Roman" w:hAnsi="Times New Roman" w:eastAsia="方正仿宋_GBK"/>
                <w:sz w:val="20"/>
                <w:szCs w:val="20"/>
              </w:rPr>
            </w:pPr>
          </w:p>
        </w:tc>
        <w:tc>
          <w:tcPr>
            <w:tcW w:w="1701" w:type="dxa"/>
            <w:vMerge w:val="continue"/>
            <w:vAlign w:val="center"/>
          </w:tcPr>
          <w:p>
            <w:pPr>
              <w:adjustRightInd w:val="0"/>
              <w:snapToGrid w:val="0"/>
              <w:spacing w:line="260" w:lineRule="exact"/>
              <w:jc w:val="center"/>
              <w:rPr>
                <w:rFonts w:ascii="Times New Roman" w:hAnsi="Times New Roman" w:eastAsia="方正仿宋_GBK"/>
                <w:sz w:val="20"/>
                <w:szCs w:val="20"/>
              </w:rPr>
            </w:pPr>
          </w:p>
        </w:tc>
        <w:tc>
          <w:tcPr>
            <w:tcW w:w="2427" w:type="dxa"/>
            <w:vAlign w:val="center"/>
          </w:tcPr>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生态效益</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10</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eastAsia="宋体"/>
                <w:kern w:val="0"/>
                <w:sz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912" w:type="dxa"/>
            <w:vMerge w:val="continue"/>
            <w:vAlign w:val="center"/>
          </w:tcPr>
          <w:p>
            <w:pPr>
              <w:adjustRightInd w:val="0"/>
              <w:snapToGrid w:val="0"/>
              <w:spacing w:line="260" w:lineRule="exact"/>
              <w:jc w:val="center"/>
              <w:rPr>
                <w:rFonts w:ascii="Times New Roman" w:hAnsi="Times New Roman" w:eastAsia="方正仿宋_GBK"/>
                <w:sz w:val="20"/>
                <w:szCs w:val="20"/>
              </w:rPr>
            </w:pPr>
          </w:p>
        </w:tc>
        <w:tc>
          <w:tcPr>
            <w:tcW w:w="1701" w:type="dxa"/>
            <w:vMerge w:val="continue"/>
            <w:vAlign w:val="center"/>
          </w:tcPr>
          <w:p>
            <w:pPr>
              <w:adjustRightInd w:val="0"/>
              <w:snapToGrid w:val="0"/>
              <w:spacing w:line="260" w:lineRule="exact"/>
              <w:jc w:val="center"/>
              <w:rPr>
                <w:rFonts w:ascii="Times New Roman" w:hAnsi="Times New Roman" w:eastAsia="方正仿宋_GBK"/>
                <w:sz w:val="20"/>
                <w:szCs w:val="20"/>
              </w:rPr>
            </w:pPr>
          </w:p>
        </w:tc>
        <w:tc>
          <w:tcPr>
            <w:tcW w:w="2427" w:type="dxa"/>
            <w:vAlign w:val="center"/>
          </w:tcPr>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可持续效益</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10</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eastAsia="宋体"/>
                <w:kern w:val="0"/>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adjustRightInd w:val="0"/>
              <w:snapToGrid w:val="0"/>
              <w:spacing w:line="260" w:lineRule="exact"/>
              <w:jc w:val="center"/>
              <w:rPr>
                <w:rFonts w:ascii="Times New Roman" w:hAnsi="Times New Roman" w:eastAsia="方正仿宋_GBK"/>
                <w:sz w:val="20"/>
                <w:szCs w:val="20"/>
              </w:rPr>
            </w:pPr>
          </w:p>
        </w:tc>
        <w:tc>
          <w:tcPr>
            <w:tcW w:w="1701" w:type="dxa"/>
            <w:vAlign w:val="center"/>
          </w:tcPr>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满意度</w:t>
            </w:r>
          </w:p>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（5分）</w:t>
            </w:r>
          </w:p>
        </w:tc>
        <w:tc>
          <w:tcPr>
            <w:tcW w:w="2427" w:type="dxa"/>
            <w:vAlign w:val="center"/>
          </w:tcPr>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服务对象满意度</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5</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eastAsia="宋体"/>
                <w:kern w:val="0"/>
                <w:sz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40" w:type="dxa"/>
            <w:gridSpan w:val="3"/>
            <w:vAlign w:val="center"/>
          </w:tcPr>
          <w:p>
            <w:pPr>
              <w:adjustRightInd w:val="0"/>
              <w:snapToGrid w:val="0"/>
              <w:spacing w:line="260" w:lineRule="exact"/>
              <w:jc w:val="center"/>
              <w:rPr>
                <w:rFonts w:ascii="Times New Roman" w:hAnsi="Times New Roman" w:eastAsia="方正仿宋_GBK"/>
                <w:sz w:val="20"/>
                <w:szCs w:val="20"/>
              </w:rPr>
            </w:pPr>
            <w:r>
              <w:rPr>
                <w:rFonts w:ascii="Times New Roman" w:hAnsi="Times New Roman" w:eastAsia="方正仿宋_GBK"/>
                <w:sz w:val="20"/>
                <w:szCs w:val="20"/>
              </w:rPr>
              <w:t>合　　　　计</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100</w:t>
            </w:r>
          </w:p>
        </w:tc>
        <w:tc>
          <w:tcPr>
            <w:tcW w:w="1139" w:type="dxa"/>
            <w:vAlign w:val="center"/>
          </w:tcPr>
          <w:p>
            <w:pPr>
              <w:spacing w:line="260" w:lineRule="exact"/>
              <w:jc w:val="center"/>
              <w:rPr>
                <w:rFonts w:ascii="Times New Roman" w:hAnsi="Times New Roman"/>
                <w:sz w:val="20"/>
                <w:szCs w:val="20"/>
              </w:rPr>
            </w:pPr>
            <w:r>
              <w:rPr>
                <w:rFonts w:ascii="Times New Roman" w:hAnsi="Times New Roman"/>
                <w:color w:val="000000"/>
                <w:kern w:val="0"/>
                <w:sz w:val="20"/>
                <w:szCs w:val="20"/>
              </w:rPr>
              <w:t>9</w:t>
            </w:r>
            <w:r>
              <w:rPr>
                <w:rFonts w:hint="eastAsia" w:ascii="Times New Roman" w:hAnsi="Times New Roman"/>
                <w:color w:val="000000"/>
                <w:kern w:val="0"/>
                <w:sz w:val="20"/>
                <w:szCs w:val="20"/>
              </w:rPr>
              <w:t>5</w:t>
            </w:r>
          </w:p>
        </w:tc>
      </w:tr>
    </w:tbl>
    <w:p>
      <w:pPr>
        <w:snapToGrid w:val="0"/>
        <w:spacing w:line="560" w:lineRule="exact"/>
        <w:ind w:firstLine="640" w:firstLineChars="200"/>
        <w:rPr>
          <w:rFonts w:eastAsia="黑体"/>
          <w:sz w:val="33"/>
          <w:szCs w:val="33"/>
        </w:rPr>
      </w:pPr>
      <w:r>
        <w:rPr>
          <w:rFonts w:hint="eastAsia" w:ascii="方正黑体_GBK" w:hAnsi="方正黑体_GBK" w:eastAsia="黑体" w:cs="方正黑体_GBK"/>
          <w:sz w:val="32"/>
          <w:szCs w:val="33"/>
        </w:rPr>
        <w:t>三、政策绩效情况</w:t>
      </w:r>
    </w:p>
    <w:p>
      <w:pPr>
        <w:snapToGrid w:val="0"/>
        <w:spacing w:line="560" w:lineRule="exact"/>
        <w:ind w:firstLine="643" w:firstLineChars="200"/>
        <w:rPr>
          <w:rFonts w:ascii="方正楷体_GBK" w:hAnsi="方正楷体_GBK" w:eastAsia="楷体_GB2312" w:cs="方正楷体_GBK"/>
          <w:b/>
          <w:sz w:val="32"/>
          <w:szCs w:val="33"/>
        </w:rPr>
      </w:pPr>
      <w:r>
        <w:rPr>
          <w:rFonts w:hint="eastAsia" w:ascii="方正楷体_GBK" w:hAnsi="方正楷体_GBK" w:eastAsia="楷体_GB2312" w:cs="方正楷体_GBK"/>
          <w:b/>
          <w:sz w:val="32"/>
          <w:szCs w:val="33"/>
        </w:rPr>
        <w:t>（一）政策设计</w:t>
      </w:r>
    </w:p>
    <w:p>
      <w:pPr>
        <w:snapToGrid w:val="0"/>
        <w:spacing w:line="560" w:lineRule="exact"/>
        <w:ind w:firstLine="643" w:firstLineChars="200"/>
        <w:rPr>
          <w:rFonts w:ascii="方正仿宋_GBK" w:hAnsi="方正仿宋_GBK" w:eastAsia="仿宋_GB2312" w:cs="方正仿宋_GBK"/>
          <w:sz w:val="32"/>
          <w:szCs w:val="33"/>
        </w:rPr>
      </w:pPr>
      <w:r>
        <w:rPr>
          <w:rFonts w:ascii="Times New Roman" w:hAnsi="Times New Roman" w:eastAsia="仿宋_GB2312"/>
          <w:b/>
          <w:bCs/>
          <w:sz w:val="32"/>
          <w:szCs w:val="33"/>
        </w:rPr>
        <w:t>1.</w:t>
      </w:r>
      <w:r>
        <w:rPr>
          <w:rFonts w:hint="eastAsia" w:ascii="方正仿宋_GBK" w:hAnsi="方正仿宋_GBK" w:eastAsia="仿宋_GB2312" w:cs="方正仿宋_GBK"/>
          <w:b/>
          <w:bCs/>
          <w:sz w:val="32"/>
          <w:szCs w:val="33"/>
        </w:rPr>
        <w:t>目标科学</w:t>
      </w:r>
      <w:r>
        <w:rPr>
          <w:rFonts w:hint="eastAsia" w:ascii="方正仿宋_GBK" w:hAnsi="方正仿宋_GBK" w:eastAsia="仿宋_GB2312" w:cs="方正仿宋_GBK"/>
          <w:b/>
          <w:bCs/>
          <w:sz w:val="32"/>
          <w:szCs w:val="33"/>
          <w:lang w:eastAsia="zh-CN"/>
        </w:rPr>
        <w:t>。</w:t>
      </w:r>
      <w:r>
        <w:rPr>
          <w:rFonts w:hint="eastAsia" w:ascii="方正仿宋_GBK" w:hAnsi="方正仿宋_GBK" w:eastAsia="仿宋_GB2312" w:cs="方正仿宋_GBK"/>
          <w:sz w:val="32"/>
          <w:szCs w:val="33"/>
        </w:rPr>
        <w:t>通过保费补贴等相关政策支持，鼓励和引导农户、农业生产经营组织投保农业保险，推动农业保险市场化发展，增强农业抗风险能力。政策明确合理，支持范围与政策规划匹配，目标设定与客观需求一致。</w:t>
      </w:r>
    </w:p>
    <w:p>
      <w:pPr>
        <w:snapToGrid w:val="0"/>
        <w:spacing w:line="560" w:lineRule="exact"/>
        <w:ind w:firstLine="643" w:firstLineChars="200"/>
        <w:rPr>
          <w:rFonts w:ascii="方正仿宋_GBK" w:hAnsi="方正仿宋_GBK" w:eastAsia="仿宋_GB2312" w:cs="方正仿宋_GBK"/>
          <w:sz w:val="32"/>
          <w:szCs w:val="33"/>
        </w:rPr>
      </w:pPr>
      <w:r>
        <w:rPr>
          <w:rFonts w:ascii="Times New Roman" w:hAnsi="Times New Roman" w:eastAsia="仿宋_GB2312"/>
          <w:b/>
          <w:bCs/>
          <w:sz w:val="32"/>
          <w:szCs w:val="33"/>
        </w:rPr>
        <w:t>2.</w:t>
      </w:r>
      <w:r>
        <w:rPr>
          <w:rFonts w:hint="eastAsia" w:ascii="方正仿宋_GBK" w:hAnsi="方正仿宋_GBK" w:eastAsia="仿宋_GB2312" w:cs="方正仿宋_GBK"/>
          <w:b/>
          <w:bCs/>
          <w:sz w:val="32"/>
          <w:szCs w:val="33"/>
        </w:rPr>
        <w:t>项目协同</w:t>
      </w:r>
      <w:r>
        <w:rPr>
          <w:rFonts w:hint="eastAsia" w:ascii="方正仿宋_GBK" w:hAnsi="方正仿宋_GBK" w:eastAsia="仿宋_GB2312" w:cs="方正仿宋_GBK"/>
          <w:b/>
          <w:bCs/>
          <w:sz w:val="32"/>
          <w:szCs w:val="33"/>
          <w:lang w:eastAsia="zh-CN"/>
        </w:rPr>
        <w:t>。</w:t>
      </w:r>
      <w:r>
        <w:rPr>
          <w:rFonts w:hint="eastAsia" w:ascii="方正仿宋_GBK" w:hAnsi="方正仿宋_GBK" w:eastAsia="仿宋_GB2312" w:cs="方正仿宋_GBK"/>
          <w:sz w:val="32"/>
          <w:szCs w:val="33"/>
        </w:rPr>
        <w:t>保费补贴政策与其他农村金融和支农惠农政策有机结合，财政、农业、林业、保险监管等有关单位积极协同配合，共同做好农业保险工作。</w:t>
      </w:r>
    </w:p>
    <w:p>
      <w:pPr>
        <w:snapToGrid w:val="0"/>
        <w:spacing w:line="560" w:lineRule="exact"/>
        <w:ind w:firstLine="643" w:firstLineChars="200"/>
        <w:rPr>
          <w:rFonts w:ascii="方正仿宋_GBK" w:hAnsi="方正仿宋_GBK" w:eastAsia="仿宋_GB2312" w:cs="方正仿宋_GBK"/>
          <w:sz w:val="32"/>
          <w:szCs w:val="33"/>
        </w:rPr>
      </w:pPr>
      <w:r>
        <w:rPr>
          <w:rFonts w:ascii="Times New Roman" w:hAnsi="Times New Roman" w:eastAsia="仿宋_GB2312"/>
          <w:b/>
          <w:bCs/>
          <w:sz w:val="32"/>
          <w:szCs w:val="33"/>
        </w:rPr>
        <w:t>3.</w:t>
      </w:r>
      <w:r>
        <w:rPr>
          <w:rFonts w:hint="eastAsia" w:ascii="方正仿宋_GBK" w:hAnsi="方正仿宋_GBK" w:eastAsia="仿宋_GB2312" w:cs="方正仿宋_GBK"/>
          <w:b/>
          <w:bCs/>
          <w:sz w:val="32"/>
          <w:szCs w:val="33"/>
        </w:rPr>
        <w:t>对象全面</w:t>
      </w:r>
      <w:r>
        <w:rPr>
          <w:rFonts w:hint="eastAsia" w:ascii="方正仿宋_GBK" w:hAnsi="方正仿宋_GBK" w:eastAsia="仿宋_GB2312" w:cs="方正仿宋_GBK"/>
          <w:b/>
          <w:bCs/>
          <w:sz w:val="32"/>
          <w:szCs w:val="33"/>
          <w:lang w:eastAsia="zh-CN"/>
        </w:rPr>
        <w:t>。</w:t>
      </w:r>
      <w:r>
        <w:rPr>
          <w:rFonts w:hint="eastAsia" w:ascii="方正仿宋_GBK" w:hAnsi="方正仿宋_GBK" w:eastAsia="仿宋_GB2312" w:cs="方正仿宋_GBK"/>
          <w:sz w:val="32"/>
          <w:szCs w:val="33"/>
        </w:rPr>
        <w:t>农户、农业生产经营组织、经办机构等各方的参与都坚持自主自愿，在符合有关规定的基础上，申请中央、省级财政农业保费补贴。</w:t>
      </w:r>
    </w:p>
    <w:p>
      <w:pPr>
        <w:snapToGrid w:val="0"/>
        <w:spacing w:line="560" w:lineRule="exact"/>
        <w:ind w:firstLine="643" w:firstLineChars="200"/>
        <w:rPr>
          <w:rFonts w:ascii="方正仿宋_GBK" w:hAnsi="方正仿宋_GBK" w:eastAsia="仿宋_GB2312" w:cs="方正仿宋_GBK"/>
          <w:sz w:val="32"/>
          <w:szCs w:val="33"/>
        </w:rPr>
      </w:pPr>
      <w:r>
        <w:rPr>
          <w:rFonts w:ascii="Times New Roman" w:hAnsi="Times New Roman" w:eastAsia="仿宋_GB2312"/>
          <w:b/>
          <w:bCs/>
          <w:sz w:val="32"/>
          <w:szCs w:val="33"/>
        </w:rPr>
        <w:t>4.</w:t>
      </w:r>
      <w:r>
        <w:rPr>
          <w:rFonts w:hint="eastAsia" w:ascii="方正仿宋_GBK" w:hAnsi="方正仿宋_GBK" w:eastAsia="仿宋_GB2312" w:cs="方正仿宋_GBK"/>
          <w:b/>
          <w:bCs/>
          <w:sz w:val="32"/>
          <w:szCs w:val="33"/>
        </w:rPr>
        <w:t>标准合理</w:t>
      </w:r>
      <w:r>
        <w:rPr>
          <w:rFonts w:hint="eastAsia" w:ascii="方正仿宋_GBK" w:hAnsi="方正仿宋_GBK" w:eastAsia="仿宋_GB2312" w:cs="方正仿宋_GBK"/>
          <w:b/>
          <w:bCs/>
          <w:sz w:val="32"/>
          <w:szCs w:val="33"/>
          <w:lang w:eastAsia="zh-CN"/>
        </w:rPr>
        <w:t>。</w:t>
      </w:r>
      <w:r>
        <w:rPr>
          <w:rFonts w:hint="eastAsia" w:ascii="方正仿宋_GBK" w:hAnsi="方正仿宋_GBK" w:eastAsia="仿宋_GB2312" w:cs="方正仿宋_GBK"/>
          <w:sz w:val="32"/>
          <w:szCs w:val="33"/>
        </w:rPr>
        <w:t>政策标准均按照上级方案和相关办法执行。</w:t>
      </w:r>
    </w:p>
    <w:p>
      <w:pPr>
        <w:snapToGrid w:val="0"/>
        <w:spacing w:line="560" w:lineRule="exact"/>
        <w:ind w:firstLine="643" w:firstLineChars="200"/>
        <w:rPr>
          <w:rFonts w:ascii="方正楷体_GBK" w:hAnsi="方正楷体_GBK" w:eastAsia="楷体_GB2312" w:cs="方正楷体_GBK"/>
          <w:b/>
          <w:sz w:val="32"/>
          <w:szCs w:val="33"/>
        </w:rPr>
      </w:pPr>
      <w:r>
        <w:rPr>
          <w:rFonts w:hint="eastAsia" w:ascii="方正楷体_GBK" w:hAnsi="方正楷体_GBK" w:eastAsia="楷体_GB2312" w:cs="方正楷体_GBK"/>
          <w:b/>
          <w:sz w:val="32"/>
          <w:szCs w:val="33"/>
        </w:rPr>
        <w:t>（二）政策执行</w:t>
      </w:r>
    </w:p>
    <w:p>
      <w:pPr>
        <w:snapToGrid w:val="0"/>
        <w:spacing w:line="560" w:lineRule="exact"/>
        <w:ind w:firstLine="643" w:firstLineChars="200"/>
        <w:rPr>
          <w:rFonts w:ascii="Times New Roman" w:hAnsi="Times New Roman" w:eastAsia="仿宋_GB2312"/>
          <w:b/>
          <w:bCs/>
          <w:sz w:val="32"/>
          <w:szCs w:val="33"/>
        </w:rPr>
      </w:pPr>
      <w:r>
        <w:rPr>
          <w:rFonts w:hint="eastAsia" w:ascii="Times New Roman" w:hAnsi="Times New Roman" w:eastAsia="仿宋_GB2312"/>
          <w:b/>
          <w:bCs/>
          <w:sz w:val="32"/>
          <w:szCs w:val="33"/>
        </w:rPr>
        <w:t>1.实施对象精准</w:t>
      </w:r>
      <w:r>
        <w:rPr>
          <w:rFonts w:hint="eastAsia" w:ascii="Times New Roman" w:hAnsi="Times New Roman" w:eastAsia="仿宋_GB2312"/>
          <w:b/>
          <w:bCs/>
          <w:sz w:val="32"/>
          <w:szCs w:val="33"/>
          <w:lang w:eastAsia="zh-CN"/>
        </w:rPr>
        <w:t>。</w:t>
      </w:r>
      <w:r>
        <w:rPr>
          <w:rFonts w:hint="eastAsia" w:ascii="方正仿宋_GBK" w:hAnsi="方正仿宋_GBK" w:eastAsia="仿宋_GB2312" w:cs="方正仿宋_GBK"/>
          <w:sz w:val="32"/>
          <w:szCs w:val="33"/>
        </w:rPr>
        <w:t>农业保险实施对象均按照上级农业保险方案执行，政策实施对象识别精准，实施对象与政策预期匹配。</w:t>
      </w:r>
    </w:p>
    <w:p>
      <w:pPr>
        <w:snapToGrid w:val="0"/>
        <w:spacing w:line="560" w:lineRule="exact"/>
        <w:ind w:firstLine="643" w:firstLineChars="200"/>
        <w:rPr>
          <w:rFonts w:ascii="方正仿宋_GBK" w:hAnsi="方正仿宋_GBK" w:eastAsia="仿宋_GB2312" w:cs="方正仿宋_GBK"/>
          <w:sz w:val="32"/>
          <w:szCs w:val="33"/>
        </w:rPr>
      </w:pPr>
      <w:r>
        <w:rPr>
          <w:rFonts w:hint="eastAsia" w:ascii="Times New Roman" w:hAnsi="Times New Roman" w:eastAsia="仿宋_GB2312"/>
          <w:b/>
          <w:bCs/>
          <w:sz w:val="32"/>
          <w:szCs w:val="33"/>
        </w:rPr>
        <w:t>2.政策调整及时</w:t>
      </w:r>
      <w:r>
        <w:rPr>
          <w:rFonts w:hint="eastAsia" w:ascii="Times New Roman" w:hAnsi="Times New Roman" w:eastAsia="仿宋_GB2312"/>
          <w:b/>
          <w:bCs/>
          <w:sz w:val="32"/>
          <w:szCs w:val="33"/>
          <w:lang w:eastAsia="zh-CN"/>
        </w:rPr>
        <w:t>。</w:t>
      </w:r>
      <w:r>
        <w:rPr>
          <w:rFonts w:hint="eastAsia" w:ascii="方正仿宋_GBK" w:hAnsi="方正仿宋_GBK" w:eastAsia="仿宋_GB2312" w:cs="方正仿宋_GBK"/>
          <w:sz w:val="32"/>
          <w:szCs w:val="33"/>
        </w:rPr>
        <w:t>农业保险政策符合实际情况，</w:t>
      </w:r>
      <w:r>
        <w:rPr>
          <w:rFonts w:hint="eastAsia" w:ascii="方正仿宋_GBK" w:hAnsi="方正仿宋_GBK" w:eastAsia="仿宋_GB2312" w:cs="方正仿宋_GBK"/>
          <w:sz w:val="32"/>
          <w:szCs w:val="33"/>
          <w:lang w:eastAsia="zh-CN"/>
        </w:rPr>
        <w:t>不存在政策调整情况，</w:t>
      </w:r>
      <w:r>
        <w:rPr>
          <w:rFonts w:hint="eastAsia" w:ascii="方正仿宋_GBK" w:hAnsi="方正仿宋_GBK" w:eastAsia="仿宋_GB2312" w:cs="方正仿宋_GBK"/>
          <w:sz w:val="32"/>
          <w:szCs w:val="33"/>
        </w:rPr>
        <w:t>执行过程中均按照上级方案和相关办法</w:t>
      </w:r>
      <w:r>
        <w:rPr>
          <w:rFonts w:hint="eastAsia" w:ascii="方正仿宋_GBK" w:hAnsi="方正仿宋_GBK" w:eastAsia="仿宋_GB2312" w:cs="方正仿宋_GBK"/>
          <w:sz w:val="32"/>
          <w:szCs w:val="33"/>
          <w:lang w:eastAsia="zh-CN"/>
        </w:rPr>
        <w:t>开展</w:t>
      </w:r>
      <w:r>
        <w:rPr>
          <w:rFonts w:hint="eastAsia" w:ascii="方正仿宋_GBK" w:hAnsi="方正仿宋_GBK" w:eastAsia="仿宋_GB2312" w:cs="方正仿宋_GBK"/>
          <w:sz w:val="32"/>
          <w:szCs w:val="33"/>
        </w:rPr>
        <w:t>。</w:t>
      </w:r>
    </w:p>
    <w:p>
      <w:pPr>
        <w:snapToGrid w:val="0"/>
        <w:spacing w:line="560" w:lineRule="exact"/>
        <w:ind w:firstLine="643" w:firstLineChars="200"/>
        <w:rPr>
          <w:rFonts w:ascii="仿宋_GB2312"/>
          <w:spacing w:val="-6"/>
          <w:sz w:val="33"/>
          <w:szCs w:val="33"/>
        </w:rPr>
      </w:pPr>
      <w:r>
        <w:rPr>
          <w:rFonts w:hint="eastAsia" w:ascii="Times New Roman" w:hAnsi="Times New Roman" w:eastAsia="仿宋_GB2312"/>
          <w:b/>
          <w:bCs/>
          <w:sz w:val="32"/>
          <w:szCs w:val="33"/>
        </w:rPr>
        <w:t>3.执行机制同向</w:t>
      </w:r>
      <w:r>
        <w:rPr>
          <w:rFonts w:hint="eastAsia" w:ascii="Times New Roman" w:hAnsi="Times New Roman" w:eastAsia="仿宋_GB2312"/>
          <w:b/>
          <w:bCs/>
          <w:sz w:val="32"/>
          <w:szCs w:val="33"/>
          <w:lang w:eastAsia="zh-CN"/>
        </w:rPr>
        <w:t>。</w:t>
      </w:r>
      <w:r>
        <w:rPr>
          <w:rFonts w:hint="eastAsia" w:ascii="方正仿宋_GBK" w:hAnsi="方正仿宋_GBK" w:eastAsia="仿宋_GB2312" w:cs="方正仿宋_GBK"/>
          <w:spacing w:val="-6"/>
          <w:sz w:val="32"/>
          <w:szCs w:val="33"/>
        </w:rPr>
        <w:t>政策专项实施过程中方式方法同向，不存在相悖或不合理。</w:t>
      </w:r>
    </w:p>
    <w:p>
      <w:pPr>
        <w:snapToGrid w:val="0"/>
        <w:spacing w:line="560" w:lineRule="exact"/>
        <w:ind w:firstLine="643" w:firstLineChars="200"/>
        <w:rPr>
          <w:rFonts w:ascii="方正仿宋_GBK" w:hAnsi="方正仿宋_GBK" w:eastAsia="仿宋_GB2312" w:cs="方正仿宋_GBK"/>
          <w:sz w:val="32"/>
          <w:szCs w:val="33"/>
        </w:rPr>
      </w:pPr>
      <w:r>
        <w:rPr>
          <w:rFonts w:hint="eastAsia" w:ascii="Times New Roman" w:hAnsi="Times New Roman" w:eastAsia="仿宋_GB2312"/>
          <w:b/>
          <w:bCs/>
          <w:sz w:val="32"/>
          <w:szCs w:val="33"/>
        </w:rPr>
        <w:t>4.政策执行质量</w:t>
      </w:r>
      <w:r>
        <w:rPr>
          <w:rFonts w:hint="eastAsia" w:ascii="Times New Roman" w:hAnsi="Times New Roman" w:eastAsia="仿宋_GB2312"/>
          <w:b/>
          <w:bCs/>
          <w:sz w:val="32"/>
          <w:szCs w:val="33"/>
          <w:lang w:eastAsia="zh-CN"/>
        </w:rPr>
        <w:t>。</w:t>
      </w:r>
      <w:r>
        <w:rPr>
          <w:rFonts w:hint="eastAsia" w:ascii="方正仿宋_GBK" w:hAnsi="方正仿宋_GBK" w:eastAsia="仿宋_GB2312" w:cs="方正仿宋_GBK"/>
          <w:sz w:val="32"/>
          <w:szCs w:val="33"/>
        </w:rPr>
        <w:t>农业保险政策实施过程中健全完善相关制度机制，科学规范操作执行，预算执行及时高效。</w:t>
      </w:r>
    </w:p>
    <w:p>
      <w:pPr>
        <w:snapToGrid w:val="0"/>
        <w:spacing w:line="560" w:lineRule="exact"/>
        <w:ind w:firstLine="643" w:firstLineChars="200"/>
        <w:rPr>
          <w:rFonts w:ascii="楷体_GB2312" w:eastAsia="楷体_GB2312"/>
          <w:b/>
          <w:sz w:val="33"/>
          <w:szCs w:val="33"/>
        </w:rPr>
      </w:pPr>
      <w:r>
        <w:rPr>
          <w:rFonts w:hint="eastAsia" w:ascii="方正楷体_GBK" w:hAnsi="方正楷体_GBK" w:eastAsia="楷体_GB2312" w:cs="方正楷体_GBK"/>
          <w:b/>
          <w:sz w:val="32"/>
          <w:szCs w:val="33"/>
        </w:rPr>
        <w:t>（三）政策效果</w:t>
      </w:r>
    </w:p>
    <w:p>
      <w:pPr>
        <w:snapToGrid w:val="0"/>
        <w:spacing w:line="560" w:lineRule="exact"/>
        <w:ind w:firstLine="640" w:firstLineChars="200"/>
        <w:rPr>
          <w:rFonts w:ascii="仿宋_GB2312"/>
          <w:sz w:val="33"/>
          <w:szCs w:val="33"/>
        </w:rPr>
      </w:pPr>
      <w:r>
        <w:rPr>
          <w:rFonts w:hint="eastAsia" w:ascii="方正仿宋_GBK" w:hAnsi="方正仿宋_GBK" w:eastAsia="仿宋_GB2312" w:cs="方正仿宋_GBK"/>
          <w:sz w:val="32"/>
          <w:szCs w:val="33"/>
        </w:rPr>
        <w:t>农业保险政策严格按照上级方案实施，分配方法制定、分配要素设定、基础数据应用、测算依据选取科学合理，分配结果公平合理，充分考虑地域条件、经济条件等。政策实施对象中不存在明显不合理的排他性规定等，政策实施后相关受益群体的整体满意</w:t>
      </w:r>
      <w:r>
        <w:rPr>
          <w:rFonts w:hint="eastAsia" w:ascii="方正仿宋_GBK" w:hAnsi="方正仿宋_GBK" w:eastAsia="仿宋_GB2312" w:cs="方正仿宋_GBK"/>
          <w:sz w:val="32"/>
          <w:szCs w:val="33"/>
          <w:lang w:eastAsia="zh-CN"/>
        </w:rPr>
        <w:t>度较高</w:t>
      </w:r>
      <w:r>
        <w:rPr>
          <w:rFonts w:hint="eastAsia" w:ascii="方正仿宋_GBK" w:hAnsi="方正仿宋_GBK" w:eastAsia="仿宋_GB2312" w:cs="方正仿宋_GBK"/>
          <w:sz w:val="32"/>
          <w:szCs w:val="33"/>
        </w:rPr>
        <w:t>。</w:t>
      </w:r>
    </w:p>
    <w:p>
      <w:pPr>
        <w:snapToGrid w:val="0"/>
        <w:spacing w:line="560" w:lineRule="exact"/>
        <w:ind w:firstLine="640" w:firstLineChars="200"/>
        <w:rPr>
          <w:rFonts w:eastAsia="黑体"/>
          <w:sz w:val="33"/>
          <w:szCs w:val="33"/>
        </w:rPr>
      </w:pPr>
      <w:r>
        <w:rPr>
          <w:rFonts w:hint="eastAsia" w:ascii="方正黑体_GBK" w:hAnsi="方正黑体_GBK" w:eastAsia="黑体" w:cs="方正黑体_GBK"/>
          <w:sz w:val="32"/>
          <w:szCs w:val="33"/>
        </w:rPr>
        <w:t>四、存在问题</w:t>
      </w:r>
    </w:p>
    <w:p>
      <w:pPr>
        <w:snapToGrid w:val="0"/>
        <w:spacing w:line="560" w:lineRule="exact"/>
        <w:ind w:firstLine="640" w:firstLineChars="200"/>
        <w:rPr>
          <w:rFonts w:ascii="方正黑体_GBK" w:hAnsi="方正黑体_GBK" w:eastAsia="黑体" w:cs="方正黑体_GBK"/>
          <w:sz w:val="32"/>
          <w:szCs w:val="33"/>
        </w:rPr>
      </w:pPr>
      <w:r>
        <w:rPr>
          <w:rFonts w:hint="eastAsia" w:ascii="方正仿宋_GBK" w:hAnsi="方正仿宋_GBK" w:eastAsia="仿宋_GB2312" w:cs="方正仿宋_GBK"/>
          <w:sz w:val="32"/>
          <w:szCs w:val="33"/>
          <w:lang w:eastAsia="zh-CN"/>
        </w:rPr>
        <w:t>农户</w:t>
      </w:r>
      <w:r>
        <w:rPr>
          <w:rFonts w:hint="eastAsia" w:ascii="方正仿宋_GBK" w:hAnsi="方正仿宋_GBK" w:eastAsia="仿宋_GB2312" w:cs="方正仿宋_GBK"/>
          <w:sz w:val="32"/>
          <w:szCs w:val="33"/>
        </w:rPr>
        <w:t>主动投保积极性不高。目前，</w:t>
      </w:r>
      <w:r>
        <w:rPr>
          <w:rFonts w:hint="eastAsia" w:ascii="方正仿宋_GBK" w:hAnsi="方正仿宋_GBK" w:eastAsia="仿宋_GB2312" w:cs="方正仿宋_GBK"/>
          <w:sz w:val="32"/>
          <w:szCs w:val="33"/>
          <w:lang w:eastAsia="zh-CN"/>
        </w:rPr>
        <w:t>西</w:t>
      </w:r>
      <w:r>
        <w:rPr>
          <w:rFonts w:hint="eastAsia" w:ascii="方正仿宋_GBK" w:hAnsi="方正仿宋_GBK" w:eastAsia="仿宋_GB2312" w:cs="方正仿宋_GBK"/>
          <w:sz w:val="32"/>
          <w:szCs w:val="33"/>
        </w:rPr>
        <w:t>区玉米、育肥猪、能繁母猪、肉羊等大宗种养品种虽然取得了较高的参保面，但农户的反响</w:t>
      </w:r>
      <w:r>
        <w:rPr>
          <w:rFonts w:hint="eastAsia" w:ascii="方正仿宋_GBK" w:hAnsi="方正仿宋_GBK" w:eastAsia="仿宋_GB2312" w:cs="方正仿宋_GBK"/>
          <w:sz w:val="32"/>
          <w:szCs w:val="33"/>
          <w:lang w:eastAsia="zh-CN"/>
        </w:rPr>
        <w:t>不够</w:t>
      </w:r>
      <w:r>
        <w:rPr>
          <w:rFonts w:hint="eastAsia" w:ascii="方正仿宋_GBK" w:hAnsi="方正仿宋_GBK" w:eastAsia="仿宋_GB2312" w:cs="方正仿宋_GBK"/>
          <w:sz w:val="32"/>
          <w:szCs w:val="33"/>
        </w:rPr>
        <w:t>热烈，积极主动要求参保的还不多。主要原因</w:t>
      </w:r>
      <w:r>
        <w:rPr>
          <w:rFonts w:hint="eastAsia" w:ascii="方正仿宋_GBK" w:hAnsi="方正仿宋_GBK" w:eastAsia="仿宋_GB2312" w:cs="方正仿宋_GBK"/>
          <w:sz w:val="32"/>
          <w:szCs w:val="33"/>
          <w:lang w:eastAsia="zh-CN"/>
        </w:rPr>
        <w:t>是</w:t>
      </w:r>
      <w:r>
        <w:rPr>
          <w:rFonts w:hint="eastAsia" w:ascii="方正仿宋_GBK" w:hAnsi="方正仿宋_GBK" w:eastAsia="仿宋_GB2312" w:cs="方正仿宋_GBK"/>
          <w:sz w:val="32"/>
          <w:szCs w:val="33"/>
        </w:rPr>
        <w:t>很多农民投保意识还不强，</w:t>
      </w:r>
      <w:r>
        <w:rPr>
          <w:rFonts w:hint="eastAsia" w:ascii="方正仿宋_GBK" w:hAnsi="方正仿宋_GBK" w:eastAsia="仿宋_GB2312" w:cs="方正仿宋_GBK"/>
          <w:sz w:val="32"/>
          <w:szCs w:val="33"/>
          <w:lang w:eastAsia="zh-CN"/>
        </w:rPr>
        <w:t>存在</w:t>
      </w:r>
      <w:r>
        <w:rPr>
          <w:rFonts w:hint="eastAsia" w:ascii="方正仿宋_GBK" w:hAnsi="方正仿宋_GBK" w:eastAsia="仿宋_GB2312" w:cs="方正仿宋_GBK"/>
          <w:sz w:val="32"/>
          <w:szCs w:val="33"/>
        </w:rPr>
        <w:t>饶幸心理</w:t>
      </w:r>
      <w:r>
        <w:rPr>
          <w:rFonts w:hint="eastAsia" w:ascii="方正仿宋_GBK" w:hAnsi="方正仿宋_GBK" w:eastAsia="仿宋_GB2312" w:cs="方正仿宋_GBK"/>
          <w:sz w:val="32"/>
          <w:szCs w:val="33"/>
          <w:lang w:eastAsia="zh-CN"/>
        </w:rPr>
        <w:t>；</w:t>
      </w:r>
      <w:r>
        <w:rPr>
          <w:rFonts w:hint="eastAsia" w:ascii="方正仿宋_GBK" w:hAnsi="方正仿宋_GBK" w:eastAsia="仿宋_GB2312" w:cs="方正仿宋_GBK"/>
          <w:sz w:val="32"/>
          <w:szCs w:val="33"/>
        </w:rPr>
        <w:t>有</w:t>
      </w:r>
      <w:r>
        <w:rPr>
          <w:rFonts w:hint="eastAsia" w:ascii="方正仿宋_GBK" w:hAnsi="方正仿宋_GBK" w:eastAsia="仿宋_GB2312" w:cs="方正仿宋_GBK"/>
          <w:sz w:val="32"/>
          <w:szCs w:val="33"/>
          <w:lang w:eastAsia="zh-CN"/>
        </w:rPr>
        <w:t>部分农民</w:t>
      </w:r>
      <w:r>
        <w:rPr>
          <w:rFonts w:hint="eastAsia" w:ascii="方正仿宋_GBK" w:hAnsi="方正仿宋_GBK" w:eastAsia="仿宋_GB2312" w:cs="方正仿宋_GBK"/>
          <w:sz w:val="32"/>
          <w:szCs w:val="33"/>
        </w:rPr>
        <w:t>把农业保险当作投资行为，认为前几年投保了，但没有得到理赔回报，不愿</w:t>
      </w:r>
      <w:r>
        <w:rPr>
          <w:rFonts w:hint="eastAsia" w:ascii="方正仿宋_GBK" w:hAnsi="方正仿宋_GBK" w:eastAsia="仿宋_GB2312" w:cs="方正仿宋_GBK"/>
          <w:sz w:val="32"/>
          <w:szCs w:val="33"/>
          <w:lang w:eastAsia="zh-CN"/>
        </w:rPr>
        <w:t>继续</w:t>
      </w:r>
      <w:r>
        <w:rPr>
          <w:rFonts w:hint="eastAsia" w:ascii="方正仿宋_GBK" w:hAnsi="方正仿宋_GBK" w:eastAsia="仿宋_GB2312" w:cs="方正仿宋_GBK"/>
          <w:sz w:val="32"/>
          <w:szCs w:val="33"/>
        </w:rPr>
        <w:t>投保。</w:t>
      </w:r>
    </w:p>
    <w:p>
      <w:pPr>
        <w:snapToGrid w:val="0"/>
        <w:spacing w:line="560" w:lineRule="exact"/>
        <w:ind w:firstLine="640" w:firstLineChars="200"/>
        <w:rPr>
          <w:rFonts w:ascii="方正黑体_GBK" w:hAnsi="方正黑体_GBK" w:eastAsia="黑体" w:cs="方正黑体_GBK"/>
          <w:sz w:val="32"/>
          <w:szCs w:val="33"/>
        </w:rPr>
      </w:pPr>
      <w:r>
        <w:rPr>
          <w:rFonts w:hint="eastAsia" w:ascii="方正黑体_GBK" w:hAnsi="方正黑体_GBK" w:eastAsia="黑体" w:cs="方正黑体_GBK"/>
          <w:sz w:val="32"/>
          <w:szCs w:val="33"/>
        </w:rPr>
        <w:t>五、相关建议</w:t>
      </w:r>
    </w:p>
    <w:p>
      <w:pPr>
        <w:snapToGrid w:val="0"/>
        <w:spacing w:line="560" w:lineRule="exact"/>
        <w:ind w:firstLine="640" w:firstLineChars="200"/>
        <w:rPr>
          <w:rFonts w:ascii="方正仿宋_GBK" w:hAnsi="方正仿宋_GBK" w:eastAsia="仿宋_GB2312" w:cs="方正仿宋_GBK"/>
          <w:sz w:val="32"/>
          <w:szCs w:val="33"/>
        </w:rPr>
      </w:pPr>
      <w:r>
        <w:rPr>
          <w:rFonts w:hint="eastAsia" w:ascii="方正仿宋_GBK" w:hAnsi="方正仿宋_GBK" w:eastAsia="仿宋_GB2312" w:cs="方正仿宋_GBK"/>
          <w:sz w:val="32"/>
          <w:szCs w:val="33"/>
        </w:rPr>
        <w:t>不断加大农业保险的推进力度。要强化宣传发动，通过多种形式、多种载体高效宣传农业保险，特别是抓住典型案例进行宣传，让农户认识农业保险的意义、目的、作用，引导</w:t>
      </w:r>
      <w:r>
        <w:rPr>
          <w:rFonts w:hint="eastAsia" w:ascii="方正仿宋_GBK" w:hAnsi="方正仿宋_GBK" w:eastAsia="仿宋_GB2312" w:cs="方正仿宋_GBK"/>
          <w:sz w:val="32"/>
          <w:szCs w:val="33"/>
          <w:lang w:eastAsia="zh-CN"/>
        </w:rPr>
        <w:t>农户</w:t>
      </w:r>
      <w:r>
        <w:rPr>
          <w:rFonts w:hint="eastAsia" w:ascii="方正仿宋_GBK" w:hAnsi="方正仿宋_GBK" w:eastAsia="仿宋_GB2312" w:cs="方正仿宋_GBK"/>
          <w:sz w:val="32"/>
          <w:szCs w:val="33"/>
        </w:rPr>
        <w:t>主动投保。要强化行政推动，明确目标任务，层层落实责任，将农业保险工作纳入年度目标考核。要强化政策带动，吸引农户投保。积极争取相关部门的支持，把是否参加农业保险作为享受各类政策性扶持、信贷支持的重要条件，对参保者在财政扶持、贷款发放等方面实行优惠、优先。</w:t>
      </w:r>
    </w:p>
    <w:p>
      <w:pPr>
        <w:spacing w:line="600" w:lineRule="exact"/>
        <w:rPr>
          <w:rFonts w:ascii="Times New Roman" w:hAnsi="Times New Roman" w:eastAsia="黑体"/>
          <w:sz w:val="32"/>
          <w:szCs w:val="33"/>
        </w:rPr>
      </w:pPr>
      <w:r>
        <w:rPr>
          <w:rFonts w:ascii="Times New Roman" w:hAnsi="Times New Roman" w:eastAsia="黑体"/>
          <w:sz w:val="32"/>
          <w:szCs w:val="33"/>
        </w:rPr>
        <w:t>附件5</w:t>
      </w:r>
    </w:p>
    <w:p>
      <w:pPr>
        <w:snapToGrid w:val="0"/>
        <w:spacing w:line="60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rPr>
        <w:t>2022年森林草原防灭火专项经费绩效评价报告</w:t>
      </w:r>
    </w:p>
    <w:p>
      <w:pPr>
        <w:pStyle w:val="2"/>
        <w:keepNext w:val="0"/>
        <w:keepLines w:val="0"/>
        <w:pageBreakBefore w:val="0"/>
        <w:widowControl w:val="0"/>
        <w:kinsoku/>
        <w:wordWrap/>
        <w:overflowPunct/>
        <w:topLinePunct w:val="0"/>
        <w:autoSpaceDE/>
        <w:autoSpaceDN/>
        <w:bidi w:val="0"/>
        <w:adjustRightInd/>
        <w:snapToGrid/>
        <w:spacing w:before="157" w:beforeLines="50" w:line="560" w:lineRule="exact"/>
        <w:ind w:left="0" w:firstLine="640" w:firstLineChars="200"/>
        <w:textAlignment w:val="baseline"/>
      </w:pPr>
      <w:r>
        <w:rPr>
          <w:rFonts w:ascii="Times New Roman" w:hAnsi="Times New Roman" w:eastAsia="仿宋_GB2312"/>
          <w:sz w:val="32"/>
          <w:szCs w:val="33"/>
        </w:rPr>
        <w:t>根据《中华人民共和国预算法》《中共四川省委 四川省人民政府关于全面实施预算绩效管理的实施意见》以及市第十届人大常委会第四次会议提出的</w:t>
      </w:r>
      <w:r>
        <w:rPr>
          <w:rFonts w:hint="eastAsia" w:ascii="Times New Roman" w:hAnsi="Times New Roman" w:eastAsia="仿宋_GB2312"/>
          <w:sz w:val="32"/>
          <w:szCs w:val="33"/>
          <w:lang w:eastAsia="zh-CN"/>
        </w:rPr>
        <w:t>“</w:t>
      </w:r>
      <w:r>
        <w:rPr>
          <w:rFonts w:ascii="Times New Roman" w:hAnsi="Times New Roman" w:eastAsia="仿宋_GB2312"/>
          <w:sz w:val="32"/>
          <w:szCs w:val="33"/>
        </w:rPr>
        <w:t>进一步完善财政支出绩效评价制度，尤其是对评价结果的运用制度</w:t>
      </w:r>
      <w:r>
        <w:rPr>
          <w:rFonts w:hint="eastAsia" w:ascii="Times New Roman" w:hAnsi="Times New Roman" w:eastAsia="仿宋_GB2312"/>
          <w:sz w:val="32"/>
          <w:szCs w:val="33"/>
          <w:lang w:eastAsia="zh-CN"/>
        </w:rPr>
        <w:t>”</w:t>
      </w:r>
      <w:r>
        <w:rPr>
          <w:rFonts w:ascii="Times New Roman" w:hAnsi="Times New Roman" w:eastAsia="仿宋_GB2312"/>
          <w:sz w:val="32"/>
          <w:szCs w:val="33"/>
        </w:rPr>
        <w:t>等要求，于20</w:t>
      </w:r>
      <w:r>
        <w:rPr>
          <w:rFonts w:hint="eastAsia" w:ascii="Times New Roman" w:hAnsi="Times New Roman" w:eastAsia="仿宋_GB2312"/>
          <w:sz w:val="32"/>
          <w:szCs w:val="33"/>
        </w:rPr>
        <w:t>2</w:t>
      </w:r>
      <w:r>
        <w:rPr>
          <w:rFonts w:ascii="Times New Roman" w:hAnsi="Times New Roman" w:eastAsia="仿宋_GB2312"/>
          <w:sz w:val="32"/>
          <w:szCs w:val="33"/>
        </w:rPr>
        <w:t>3年6月至7月对</w:t>
      </w:r>
      <w:r>
        <w:rPr>
          <w:rFonts w:hint="eastAsia" w:ascii="Times New Roman" w:hAnsi="Times New Roman" w:eastAsia="仿宋_GB2312"/>
          <w:sz w:val="32"/>
          <w:szCs w:val="33"/>
        </w:rPr>
        <w:t>2022年森林草原防灭火专项经费</w:t>
      </w:r>
      <w:r>
        <w:rPr>
          <w:rFonts w:ascii="Times New Roman" w:hAnsi="Times New Roman" w:eastAsia="仿宋_GB2312"/>
          <w:sz w:val="32"/>
          <w:szCs w:val="33"/>
        </w:rPr>
        <w:t>开展了绩效评价，现将有关情况报告如下。</w:t>
      </w:r>
    </w:p>
    <w:p>
      <w:pPr>
        <w:keepNext w:val="0"/>
        <w:keepLines w:val="0"/>
        <w:pageBreakBefore w:val="0"/>
        <w:widowControl w:val="0"/>
        <w:tabs>
          <w:tab w:val="left" w:pos="3885"/>
        </w:tabs>
        <w:kinsoku/>
        <w:wordWrap/>
        <w:overflowPunct/>
        <w:topLinePunct w:val="0"/>
        <w:autoSpaceDE/>
        <w:autoSpaceDN/>
        <w:bidi w:val="0"/>
        <w:adjustRightInd/>
        <w:snapToGrid w:val="0"/>
        <w:spacing w:line="560" w:lineRule="exact"/>
        <w:ind w:firstLine="640" w:firstLineChars="200"/>
        <w:rPr>
          <w:rFonts w:ascii="方正黑体_GBK" w:hAnsi="方正黑体_GBK" w:eastAsia="黑体" w:cs="方正黑体_GBK"/>
          <w:sz w:val="32"/>
          <w:szCs w:val="33"/>
        </w:rPr>
      </w:pPr>
      <w:r>
        <w:rPr>
          <w:rFonts w:hint="eastAsia" w:ascii="方正黑体_GBK" w:hAnsi="方正黑体_GBK" w:eastAsia="黑体" w:cs="方正黑体_GBK"/>
          <w:sz w:val="32"/>
          <w:szCs w:val="33"/>
        </w:rPr>
        <w:t>一、基本情况</w:t>
      </w:r>
    </w:p>
    <w:p>
      <w:pPr>
        <w:keepNext w:val="0"/>
        <w:keepLines w:val="0"/>
        <w:pageBreakBefore w:val="0"/>
        <w:widowControl w:val="0"/>
        <w:tabs>
          <w:tab w:val="left" w:pos="3885"/>
        </w:tabs>
        <w:kinsoku/>
        <w:wordWrap/>
        <w:overflowPunct/>
        <w:topLinePunct w:val="0"/>
        <w:autoSpaceDE/>
        <w:autoSpaceDN/>
        <w:bidi w:val="0"/>
        <w:adjustRightInd/>
        <w:snapToGrid w:val="0"/>
        <w:spacing w:line="560" w:lineRule="exact"/>
        <w:ind w:firstLine="643" w:firstLineChars="200"/>
        <w:rPr>
          <w:rFonts w:ascii="方正楷体_GBK" w:hAnsi="方正楷体_GBK" w:eastAsia="楷体_GB2312" w:cs="方正楷体_GBK"/>
          <w:b/>
          <w:sz w:val="32"/>
          <w:szCs w:val="33"/>
        </w:rPr>
      </w:pPr>
      <w:r>
        <w:rPr>
          <w:rFonts w:hint="eastAsia" w:ascii="方正楷体_GBK" w:hAnsi="方正楷体_GBK" w:eastAsia="楷体_GB2312" w:cs="方正楷体_GBK"/>
          <w:b/>
          <w:sz w:val="32"/>
          <w:szCs w:val="33"/>
        </w:rPr>
        <w:t>（一）项目概况</w:t>
      </w:r>
    </w:p>
    <w:p>
      <w:pPr>
        <w:keepNext w:val="0"/>
        <w:keepLines w:val="0"/>
        <w:pageBreakBefore w:val="0"/>
        <w:widowControl w:val="0"/>
        <w:tabs>
          <w:tab w:val="left" w:pos="3885"/>
        </w:tabs>
        <w:kinsoku/>
        <w:wordWrap/>
        <w:overflowPunct/>
        <w:topLinePunct w:val="0"/>
        <w:autoSpaceDE/>
        <w:autoSpaceDN/>
        <w:bidi w:val="0"/>
        <w:adjustRightInd/>
        <w:snapToGrid w:val="0"/>
        <w:spacing w:line="560" w:lineRule="exact"/>
        <w:ind w:firstLine="640" w:firstLineChars="200"/>
        <w:rPr>
          <w:rFonts w:ascii="Times New Roman" w:hAnsi="Times New Roman" w:eastAsia="仿宋_GB2312"/>
          <w:sz w:val="32"/>
          <w:szCs w:val="33"/>
        </w:rPr>
      </w:pPr>
      <w:r>
        <w:rPr>
          <w:rFonts w:hint="eastAsia" w:ascii="Times New Roman" w:hAnsi="Times New Roman" w:eastAsia="仿宋_GB2312"/>
          <w:sz w:val="32"/>
          <w:szCs w:val="33"/>
        </w:rPr>
        <w:t>2022年</w:t>
      </w:r>
      <w:r>
        <w:rPr>
          <w:rFonts w:ascii="Times New Roman" w:hAnsi="Times New Roman" w:eastAsia="仿宋_GB2312"/>
          <w:sz w:val="32"/>
          <w:szCs w:val="33"/>
        </w:rPr>
        <w:t>森林草原防灭火专项经费</w:t>
      </w:r>
      <w:r>
        <w:rPr>
          <w:rFonts w:hint="eastAsia" w:ascii="Times New Roman" w:hAnsi="Times New Roman" w:eastAsia="仿宋_GB2312"/>
          <w:sz w:val="32"/>
          <w:szCs w:val="33"/>
        </w:rPr>
        <w:t>，主要用于</w:t>
      </w:r>
      <w:r>
        <w:rPr>
          <w:rFonts w:ascii="Times New Roman" w:hAnsi="Times New Roman" w:eastAsia="仿宋_GB2312"/>
          <w:sz w:val="32"/>
          <w:szCs w:val="33"/>
        </w:rPr>
        <w:t>防火宣传教育、野外火源管控、日常巡护、隐患排查整治、监测预警、基础设施建设</w:t>
      </w:r>
      <w:r>
        <w:rPr>
          <w:rFonts w:hint="eastAsia" w:ascii="Times New Roman" w:hAnsi="Times New Roman" w:eastAsia="仿宋_GB2312"/>
          <w:sz w:val="32"/>
          <w:szCs w:val="33"/>
        </w:rPr>
        <w:t>等，项目申报与政策和需求相吻合。2022年</w:t>
      </w:r>
      <w:r>
        <w:rPr>
          <w:rFonts w:ascii="Times New Roman" w:hAnsi="Times New Roman" w:eastAsia="仿宋_GB2312"/>
          <w:sz w:val="32"/>
          <w:szCs w:val="33"/>
        </w:rPr>
        <w:t>森林草原防灭火专项经费</w:t>
      </w:r>
      <w:r>
        <w:rPr>
          <w:rFonts w:hint="eastAsia" w:ascii="Times New Roman" w:hAnsi="Times New Roman" w:eastAsia="仿宋_GB2312"/>
          <w:sz w:val="32"/>
          <w:szCs w:val="33"/>
        </w:rPr>
        <w:t>预算资金为315万元，截至2022年12月31日，项目资金已全部支付。</w:t>
      </w:r>
    </w:p>
    <w:p>
      <w:pPr>
        <w:keepNext w:val="0"/>
        <w:keepLines w:val="0"/>
        <w:pageBreakBefore w:val="0"/>
        <w:widowControl w:val="0"/>
        <w:kinsoku/>
        <w:wordWrap/>
        <w:overflowPunct/>
        <w:topLinePunct w:val="0"/>
        <w:autoSpaceDE/>
        <w:autoSpaceDN/>
        <w:bidi w:val="0"/>
        <w:adjustRightInd/>
        <w:spacing w:line="560" w:lineRule="exact"/>
        <w:ind w:firstLine="643" w:firstLineChars="200"/>
        <w:rPr>
          <w:rFonts w:ascii="Times New Roman" w:hAnsi="Times New Roman" w:eastAsia="楷体_GB2312"/>
          <w:b/>
          <w:bCs/>
          <w:sz w:val="32"/>
          <w:szCs w:val="33"/>
        </w:rPr>
      </w:pPr>
      <w:r>
        <w:rPr>
          <w:rFonts w:ascii="Times New Roman" w:hAnsi="Times New Roman" w:eastAsia="楷体_GB2312"/>
          <w:b/>
          <w:bCs/>
          <w:sz w:val="32"/>
          <w:szCs w:val="33"/>
        </w:rPr>
        <w:t>（二）项目绩效目标</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ascii="Times New Roman" w:hAnsi="Times New Roman" w:eastAsia="仿宋_GB2312"/>
          <w:sz w:val="32"/>
          <w:szCs w:val="33"/>
          <w:lang w:val="zh-CN"/>
        </w:rPr>
      </w:pPr>
      <w:r>
        <w:rPr>
          <w:rFonts w:hint="eastAsia" w:ascii="Times New Roman" w:hAnsi="Times New Roman" w:eastAsia="仿宋_GB2312"/>
          <w:sz w:val="32"/>
          <w:szCs w:val="33"/>
          <w:lang w:eastAsia="zh-CN"/>
        </w:rPr>
        <w:t>“</w:t>
      </w:r>
      <w:r>
        <w:rPr>
          <w:rFonts w:hint="eastAsia" w:ascii="Times New Roman" w:hAnsi="Times New Roman" w:eastAsia="仿宋_GB2312"/>
          <w:sz w:val="32"/>
          <w:szCs w:val="33"/>
        </w:rPr>
        <w:t>人防、物防、技防</w:t>
      </w:r>
      <w:r>
        <w:rPr>
          <w:rFonts w:hint="eastAsia" w:ascii="Times New Roman" w:hAnsi="Times New Roman" w:eastAsia="仿宋_GB2312"/>
          <w:sz w:val="32"/>
          <w:szCs w:val="33"/>
          <w:lang w:eastAsia="zh-CN"/>
        </w:rPr>
        <w:t>”</w:t>
      </w:r>
      <w:r>
        <w:rPr>
          <w:rFonts w:hint="eastAsia" w:ascii="Times New Roman" w:hAnsi="Times New Roman" w:eastAsia="仿宋_GB2312"/>
          <w:sz w:val="32"/>
          <w:szCs w:val="33"/>
        </w:rPr>
        <w:t>措施得到落实、落细、落地，进一步提升西区森林草原防灭火综合能力，2022年全区未发生森林草原火灾和扑火人员伤亡事件，为全区的经济发展、社会稳定打下坚实基础，有力维护了森林资源安全，生态效益和可持续效益明显，村组干部、巡山员、专业扑火队员等</w:t>
      </w:r>
      <w:r>
        <w:rPr>
          <w:rFonts w:hint="eastAsia" w:ascii="Times New Roman" w:hAnsi="Times New Roman" w:eastAsia="仿宋_GB2312"/>
          <w:sz w:val="32"/>
          <w:szCs w:val="33"/>
          <w:lang w:val="zh-CN"/>
        </w:rPr>
        <w:t>服务对象满意度较高。</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Times New Roman" w:hAnsi="Times New Roman" w:eastAsia="黑体"/>
          <w:sz w:val="32"/>
          <w:szCs w:val="33"/>
        </w:rPr>
      </w:pPr>
      <w:r>
        <w:rPr>
          <w:rFonts w:ascii="Times New Roman" w:hAnsi="Times New Roman" w:eastAsia="黑体"/>
          <w:sz w:val="32"/>
          <w:szCs w:val="33"/>
        </w:rPr>
        <w:t>二、绩效评价工作开展情况</w:t>
      </w:r>
    </w:p>
    <w:p>
      <w:pPr>
        <w:keepNext w:val="0"/>
        <w:keepLines w:val="0"/>
        <w:pageBreakBefore w:val="0"/>
        <w:widowControl w:val="0"/>
        <w:kinsoku/>
        <w:wordWrap/>
        <w:overflowPunct/>
        <w:topLinePunct w:val="0"/>
        <w:autoSpaceDE/>
        <w:autoSpaceDN/>
        <w:bidi w:val="0"/>
        <w:adjustRightInd/>
        <w:spacing w:line="540" w:lineRule="exact"/>
        <w:ind w:firstLine="643" w:firstLineChars="200"/>
        <w:textAlignment w:val="auto"/>
        <w:rPr>
          <w:rFonts w:ascii="Times New Roman" w:hAnsi="Times New Roman" w:eastAsia="楷体_GB2312"/>
          <w:b/>
          <w:bCs/>
          <w:sz w:val="32"/>
          <w:szCs w:val="33"/>
        </w:rPr>
      </w:pPr>
      <w:r>
        <w:rPr>
          <w:rFonts w:ascii="Times New Roman" w:hAnsi="Times New Roman" w:eastAsia="楷体_GB2312"/>
          <w:b/>
          <w:bCs/>
          <w:sz w:val="32"/>
          <w:szCs w:val="33"/>
        </w:rPr>
        <w:t>（一）绩效评价目的、对象和范围</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sz w:val="32"/>
          <w:szCs w:val="33"/>
        </w:rPr>
      </w:pPr>
      <w:r>
        <w:rPr>
          <w:rFonts w:ascii="Times New Roman" w:hAnsi="Times New Roman" w:eastAsia="仿宋_GB2312"/>
          <w:sz w:val="32"/>
          <w:szCs w:val="33"/>
        </w:rPr>
        <w:t>为</w:t>
      </w:r>
      <w:r>
        <w:rPr>
          <w:rFonts w:hint="eastAsia" w:ascii="Times New Roman" w:hAnsi="Times New Roman" w:eastAsia="仿宋_GB2312"/>
          <w:sz w:val="32"/>
          <w:szCs w:val="33"/>
        </w:rPr>
        <w:t>保证全区不发生森林草原火灾和扑火人员伤亡事件</w:t>
      </w:r>
      <w:r>
        <w:rPr>
          <w:rFonts w:ascii="Times New Roman" w:hAnsi="Times New Roman" w:eastAsia="仿宋_GB2312"/>
          <w:sz w:val="32"/>
          <w:szCs w:val="33"/>
        </w:rPr>
        <w:t>，</w:t>
      </w:r>
      <w:r>
        <w:rPr>
          <w:rFonts w:hint="eastAsia" w:ascii="Times New Roman" w:hAnsi="Times New Roman" w:eastAsia="仿宋_GB2312"/>
          <w:sz w:val="32"/>
          <w:szCs w:val="33"/>
        </w:rPr>
        <w:t>进一步提升西区森林草原防灭火综合能力</w:t>
      </w:r>
      <w:r>
        <w:rPr>
          <w:rFonts w:ascii="Times New Roman" w:hAnsi="Times New Roman" w:eastAsia="仿宋_GB2312"/>
          <w:sz w:val="32"/>
          <w:szCs w:val="33"/>
        </w:rPr>
        <w:t>，对</w:t>
      </w:r>
      <w:r>
        <w:rPr>
          <w:rFonts w:hint="eastAsia" w:ascii="Times New Roman" w:hAnsi="Times New Roman" w:eastAsia="仿宋_GB2312"/>
          <w:sz w:val="32"/>
          <w:szCs w:val="33"/>
        </w:rPr>
        <w:t>区林业局</w:t>
      </w:r>
      <w:r>
        <w:rPr>
          <w:rFonts w:ascii="Times New Roman" w:hAnsi="Times New Roman" w:eastAsia="仿宋_GB2312"/>
          <w:sz w:val="32"/>
          <w:szCs w:val="33"/>
        </w:rPr>
        <w:t>202</w:t>
      </w:r>
      <w:r>
        <w:rPr>
          <w:rFonts w:hint="eastAsia" w:ascii="Times New Roman" w:hAnsi="Times New Roman" w:eastAsia="仿宋_GB2312"/>
          <w:sz w:val="32"/>
          <w:szCs w:val="33"/>
        </w:rPr>
        <w:t>2</w:t>
      </w:r>
      <w:r>
        <w:rPr>
          <w:rFonts w:ascii="Times New Roman" w:hAnsi="Times New Roman" w:eastAsia="仿宋_GB2312"/>
          <w:sz w:val="32"/>
          <w:szCs w:val="33"/>
        </w:rPr>
        <w:t>年</w:t>
      </w:r>
      <w:r>
        <w:rPr>
          <w:rFonts w:hint="eastAsia" w:ascii="Times New Roman" w:hAnsi="Times New Roman" w:eastAsia="仿宋_GB2312"/>
          <w:sz w:val="32"/>
          <w:szCs w:val="33"/>
        </w:rPr>
        <w:t>森林草原防灭火专项经费315万元</w:t>
      </w:r>
      <w:r>
        <w:rPr>
          <w:rFonts w:ascii="Times New Roman" w:hAnsi="Times New Roman" w:eastAsia="仿宋_GB2312"/>
          <w:sz w:val="32"/>
          <w:szCs w:val="33"/>
        </w:rPr>
        <w:t>进行绩效评价。</w:t>
      </w:r>
    </w:p>
    <w:p>
      <w:pPr>
        <w:keepNext w:val="0"/>
        <w:keepLines w:val="0"/>
        <w:pageBreakBefore w:val="0"/>
        <w:widowControl w:val="0"/>
        <w:kinsoku/>
        <w:wordWrap/>
        <w:overflowPunct/>
        <w:topLinePunct w:val="0"/>
        <w:autoSpaceDE/>
        <w:autoSpaceDN/>
        <w:bidi w:val="0"/>
        <w:adjustRightInd/>
        <w:spacing w:line="540" w:lineRule="exact"/>
        <w:ind w:firstLine="643" w:firstLineChars="200"/>
        <w:textAlignment w:val="auto"/>
        <w:rPr>
          <w:rFonts w:ascii="Times New Roman" w:hAnsi="Times New Roman" w:eastAsia="楷体_GB2312"/>
          <w:sz w:val="32"/>
          <w:szCs w:val="33"/>
        </w:rPr>
      </w:pPr>
      <w:r>
        <w:rPr>
          <w:rFonts w:ascii="Times New Roman" w:hAnsi="Times New Roman" w:eastAsia="楷体_GB2312"/>
          <w:b/>
          <w:bCs/>
          <w:sz w:val="32"/>
          <w:szCs w:val="33"/>
        </w:rPr>
        <w:t>（二）年度绩效评价原则、评价指标体系、评价方法等</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sz w:val="32"/>
          <w:szCs w:val="33"/>
        </w:rPr>
      </w:pPr>
      <w:r>
        <w:rPr>
          <w:rFonts w:ascii="Times New Roman" w:hAnsi="Times New Roman" w:eastAsia="仿宋_GB2312"/>
          <w:sz w:val="32"/>
          <w:szCs w:val="33"/>
        </w:rPr>
        <w:t>根据202</w:t>
      </w:r>
      <w:r>
        <w:rPr>
          <w:rFonts w:hint="eastAsia" w:ascii="Times New Roman" w:hAnsi="Times New Roman" w:eastAsia="仿宋_GB2312"/>
          <w:sz w:val="32"/>
          <w:szCs w:val="33"/>
        </w:rPr>
        <w:t>2</w:t>
      </w:r>
      <w:r>
        <w:rPr>
          <w:rFonts w:ascii="Times New Roman" w:hAnsi="Times New Roman" w:eastAsia="仿宋_GB2312"/>
          <w:sz w:val="32"/>
          <w:szCs w:val="33"/>
        </w:rPr>
        <w:t>年的工作计划，制定了切合实际、可量化考评的年度目标。坚持</w:t>
      </w:r>
      <w:r>
        <w:rPr>
          <w:rFonts w:hint="eastAsia" w:ascii="Times New Roman" w:hAnsi="Times New Roman" w:eastAsia="仿宋_GB2312"/>
          <w:sz w:val="32"/>
          <w:szCs w:val="33"/>
          <w:lang w:eastAsia="zh-CN"/>
        </w:rPr>
        <w:t>“</w:t>
      </w:r>
      <w:r>
        <w:rPr>
          <w:rFonts w:ascii="Times New Roman" w:hAnsi="Times New Roman" w:eastAsia="仿宋_GB2312"/>
          <w:sz w:val="32"/>
          <w:szCs w:val="33"/>
        </w:rPr>
        <w:t>客观、公正、公开、规范</w:t>
      </w:r>
      <w:r>
        <w:rPr>
          <w:rFonts w:hint="eastAsia" w:ascii="Times New Roman" w:hAnsi="Times New Roman" w:eastAsia="仿宋_GB2312"/>
          <w:sz w:val="32"/>
          <w:szCs w:val="33"/>
          <w:lang w:eastAsia="zh-CN"/>
        </w:rPr>
        <w:t>”</w:t>
      </w:r>
      <w:r>
        <w:rPr>
          <w:rFonts w:ascii="Times New Roman" w:hAnsi="Times New Roman" w:eastAsia="仿宋_GB2312"/>
          <w:sz w:val="32"/>
          <w:szCs w:val="33"/>
        </w:rPr>
        <w:t>的原则，增强绩效评价的科学性和透明度。坚持以结果为导向，通过对项目经济性、效率性的分析，判断其优劣。坚持预算安排与绩效评价结果相结合，切实提高资金使用效益。</w:t>
      </w:r>
    </w:p>
    <w:p>
      <w:pPr>
        <w:keepNext w:val="0"/>
        <w:keepLines w:val="0"/>
        <w:pageBreakBefore w:val="0"/>
        <w:widowControl w:val="0"/>
        <w:kinsoku/>
        <w:wordWrap/>
        <w:overflowPunct/>
        <w:topLinePunct w:val="0"/>
        <w:autoSpaceDE/>
        <w:autoSpaceDN/>
        <w:bidi w:val="0"/>
        <w:adjustRightInd/>
        <w:spacing w:line="540" w:lineRule="exact"/>
        <w:ind w:firstLine="643" w:firstLineChars="200"/>
        <w:textAlignment w:val="auto"/>
        <w:rPr>
          <w:rFonts w:ascii="楷体_GB2312" w:hAnsi="楷体_GB2312" w:eastAsia="楷体_GB2312" w:cs="楷体_GB2312"/>
          <w:b/>
          <w:bCs/>
          <w:sz w:val="32"/>
          <w:szCs w:val="33"/>
        </w:rPr>
      </w:pPr>
      <w:r>
        <w:rPr>
          <w:rFonts w:hint="eastAsia" w:ascii="方正楷体_GBK" w:hAnsi="方正楷体_GBK" w:eastAsia="楷体_GB2312" w:cs="方正楷体_GBK"/>
          <w:b/>
          <w:bCs/>
          <w:sz w:val="32"/>
          <w:szCs w:val="33"/>
        </w:rPr>
        <w:t>（三）绩效评价方法及过程</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sz w:val="32"/>
          <w:szCs w:val="33"/>
        </w:rPr>
      </w:pPr>
      <w:r>
        <w:rPr>
          <w:rFonts w:hint="eastAsia" w:ascii="Times New Roman" w:hAnsi="Times New Roman" w:eastAsia="仿宋_GB2312"/>
          <w:sz w:val="32"/>
          <w:szCs w:val="33"/>
        </w:rPr>
        <w:t>区财政局根据财政支出绩效评价指标体系及项目的实际情况设计指标体系进行评价，组织相关人员对该项目进行评价检查。</w:t>
      </w:r>
    </w:p>
    <w:p>
      <w:pPr>
        <w:keepNext w:val="0"/>
        <w:keepLines w:val="0"/>
        <w:pageBreakBefore w:val="0"/>
        <w:widowControl w:val="0"/>
        <w:kinsoku/>
        <w:wordWrap/>
        <w:overflowPunct/>
        <w:topLinePunct w:val="0"/>
        <w:autoSpaceDE/>
        <w:autoSpaceDN/>
        <w:bidi w:val="0"/>
        <w:adjustRightInd/>
        <w:spacing w:line="540" w:lineRule="exact"/>
        <w:ind w:firstLine="619" w:firstLineChars="200"/>
        <w:textAlignment w:val="auto"/>
        <w:rPr>
          <w:rFonts w:ascii="Times New Roman" w:hAnsi="Times New Roman" w:eastAsia="仿宋_GB2312"/>
          <w:spacing w:val="-6"/>
          <w:sz w:val="32"/>
          <w:szCs w:val="33"/>
        </w:rPr>
      </w:pPr>
      <w:r>
        <w:rPr>
          <w:rFonts w:hint="eastAsia" w:ascii="Times New Roman" w:hAnsi="Times New Roman" w:eastAsia="仿宋_GB2312"/>
          <w:b/>
          <w:bCs/>
          <w:spacing w:val="-6"/>
          <w:sz w:val="32"/>
          <w:szCs w:val="33"/>
        </w:rPr>
        <w:t>1.资料收集。</w:t>
      </w:r>
      <w:r>
        <w:rPr>
          <w:rFonts w:hint="eastAsia" w:ascii="Times New Roman" w:hAnsi="Times New Roman" w:eastAsia="仿宋_GB2312"/>
          <w:spacing w:val="-6"/>
          <w:sz w:val="32"/>
          <w:szCs w:val="33"/>
        </w:rPr>
        <w:t>梳理项目资料，核实项目情况，统计项目数据。</w:t>
      </w:r>
    </w:p>
    <w:p>
      <w:pPr>
        <w:keepNext w:val="0"/>
        <w:keepLines w:val="0"/>
        <w:pageBreakBefore w:val="0"/>
        <w:widowControl w:val="0"/>
        <w:kinsoku/>
        <w:wordWrap/>
        <w:overflowPunct/>
        <w:topLinePunct w:val="0"/>
        <w:autoSpaceDE/>
        <w:autoSpaceDN/>
        <w:bidi w:val="0"/>
        <w:adjustRightInd/>
        <w:spacing w:line="540" w:lineRule="exact"/>
        <w:ind w:firstLine="643" w:firstLineChars="200"/>
        <w:textAlignment w:val="auto"/>
        <w:rPr>
          <w:rFonts w:ascii="Times New Roman" w:hAnsi="Times New Roman" w:eastAsia="仿宋_GB2312"/>
          <w:sz w:val="32"/>
          <w:szCs w:val="33"/>
        </w:rPr>
      </w:pPr>
      <w:r>
        <w:rPr>
          <w:rFonts w:hint="eastAsia" w:ascii="Times New Roman" w:hAnsi="Times New Roman" w:eastAsia="仿宋_GB2312"/>
          <w:b/>
          <w:bCs/>
          <w:sz w:val="32"/>
          <w:szCs w:val="33"/>
        </w:rPr>
        <w:t>2.绩效评价</w:t>
      </w:r>
      <w:r>
        <w:rPr>
          <w:rFonts w:hint="eastAsia" w:ascii="Times New Roman" w:hAnsi="Times New Roman" w:eastAsia="仿宋_GB2312"/>
          <w:sz w:val="32"/>
          <w:szCs w:val="33"/>
        </w:rPr>
        <w:t>。根据资料收集的情况，按照支出绩效评价指标体系，</w:t>
      </w:r>
      <w:r>
        <w:rPr>
          <w:rFonts w:ascii="Times New Roman" w:hAnsi="Times New Roman" w:eastAsia="仿宋_GB2312"/>
          <w:sz w:val="32"/>
          <w:szCs w:val="33"/>
        </w:rPr>
        <w:t>对项目概况、项目资金使用、管理、实施情况以及项目的绩效情况</w:t>
      </w:r>
      <w:r>
        <w:rPr>
          <w:rFonts w:hint="eastAsia" w:ascii="Times New Roman" w:hAnsi="Times New Roman" w:eastAsia="仿宋_GB2312"/>
          <w:sz w:val="32"/>
          <w:szCs w:val="33"/>
        </w:rPr>
        <w:t>进行分析，对各项考评指标进行评价。</w:t>
      </w:r>
    </w:p>
    <w:p>
      <w:pPr>
        <w:keepNext w:val="0"/>
        <w:keepLines w:val="0"/>
        <w:pageBreakBefore w:val="0"/>
        <w:widowControl w:val="0"/>
        <w:tabs>
          <w:tab w:val="left" w:pos="3885"/>
        </w:tabs>
        <w:kinsoku/>
        <w:wordWrap/>
        <w:overflowPunct/>
        <w:topLinePunct w:val="0"/>
        <w:autoSpaceDE/>
        <w:autoSpaceDN/>
        <w:bidi w:val="0"/>
        <w:adjustRightInd/>
        <w:snapToGrid w:val="0"/>
        <w:spacing w:line="540" w:lineRule="exact"/>
        <w:ind w:firstLine="643" w:firstLineChars="200"/>
        <w:textAlignment w:val="auto"/>
        <w:rPr>
          <w:rFonts w:ascii="Times New Roman" w:hAnsi="Times New Roman" w:eastAsia="仿宋_GB2312"/>
          <w:sz w:val="32"/>
          <w:szCs w:val="33"/>
        </w:rPr>
      </w:pPr>
      <w:r>
        <w:rPr>
          <w:rFonts w:hint="eastAsia" w:ascii="Times New Roman" w:hAnsi="Times New Roman" w:eastAsia="仿宋_GB2312"/>
          <w:b/>
          <w:bCs/>
          <w:sz w:val="32"/>
          <w:szCs w:val="33"/>
        </w:rPr>
        <w:t>3.撰写报告。</w:t>
      </w:r>
      <w:r>
        <w:rPr>
          <w:rFonts w:hint="eastAsia" w:ascii="Times New Roman" w:hAnsi="Times New Roman" w:eastAsia="仿宋_GB2312"/>
          <w:sz w:val="32"/>
          <w:szCs w:val="33"/>
          <w:lang w:eastAsia="zh-CN"/>
        </w:rPr>
        <w:t>对</w:t>
      </w:r>
      <w:r>
        <w:rPr>
          <w:rFonts w:hint="eastAsia" w:ascii="Times New Roman" w:hAnsi="Times New Roman" w:eastAsia="仿宋_GB2312"/>
          <w:sz w:val="32"/>
          <w:szCs w:val="33"/>
        </w:rPr>
        <w:t>项目定性与定量</w:t>
      </w:r>
      <w:r>
        <w:rPr>
          <w:rFonts w:hint="eastAsia" w:ascii="Times New Roman" w:hAnsi="Times New Roman" w:eastAsia="仿宋_GB2312"/>
          <w:sz w:val="32"/>
          <w:szCs w:val="33"/>
          <w:lang w:eastAsia="zh-CN"/>
        </w:rPr>
        <w:t>指标进行</w:t>
      </w:r>
      <w:r>
        <w:rPr>
          <w:rFonts w:hint="eastAsia" w:ascii="Times New Roman" w:hAnsi="Times New Roman" w:eastAsia="仿宋_GB2312"/>
          <w:sz w:val="32"/>
          <w:szCs w:val="33"/>
        </w:rPr>
        <w:t>分析，得出评价结论，并撰写评价报告。</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方正黑体_GBK" w:hAnsi="方正黑体_GBK" w:eastAsia="黑体" w:cs="方正黑体_GBK"/>
          <w:sz w:val="32"/>
          <w:szCs w:val="33"/>
        </w:rPr>
      </w:pPr>
      <w:r>
        <w:rPr>
          <w:rFonts w:hint="eastAsia" w:ascii="方正黑体_GBK" w:hAnsi="方正黑体_GBK" w:eastAsia="黑体" w:cs="方正黑体_GBK"/>
          <w:sz w:val="32"/>
          <w:szCs w:val="33"/>
        </w:rPr>
        <w:t>三、</w:t>
      </w:r>
      <w:r>
        <w:rPr>
          <w:rFonts w:ascii="Times New Roman" w:hAnsi="Times New Roman" w:eastAsia="黑体"/>
          <w:sz w:val="32"/>
          <w:szCs w:val="33"/>
        </w:rPr>
        <w:t>综合评价情况及评价结论（附相关评分表）</w:t>
      </w:r>
    </w:p>
    <w:p>
      <w:pPr>
        <w:keepNext w:val="0"/>
        <w:keepLines w:val="0"/>
        <w:pageBreakBefore w:val="0"/>
        <w:widowControl w:val="0"/>
        <w:tabs>
          <w:tab w:val="left" w:pos="3885"/>
        </w:tabs>
        <w:kinsoku/>
        <w:wordWrap/>
        <w:overflowPunct/>
        <w:topLinePunct w:val="0"/>
        <w:autoSpaceDE/>
        <w:autoSpaceDN/>
        <w:bidi w:val="0"/>
        <w:adjustRightInd/>
        <w:snapToGrid w:val="0"/>
        <w:spacing w:line="540" w:lineRule="exact"/>
        <w:ind w:firstLine="640" w:firstLineChars="200"/>
        <w:textAlignment w:val="auto"/>
        <w:rPr>
          <w:rFonts w:ascii="Times New Roman" w:hAnsi="Times New Roman" w:eastAsia="仿宋_GB2312"/>
          <w:sz w:val="32"/>
          <w:szCs w:val="33"/>
        </w:rPr>
      </w:pPr>
      <w:r>
        <w:rPr>
          <w:rFonts w:hint="eastAsia" w:ascii="Times New Roman" w:hAnsi="Times New Roman" w:eastAsia="仿宋_GB2312"/>
          <w:sz w:val="32"/>
          <w:szCs w:val="33"/>
        </w:rPr>
        <w:t>总体来看，</w:t>
      </w:r>
      <w:r>
        <w:rPr>
          <w:rFonts w:ascii="Times New Roman" w:hAnsi="Times New Roman" w:eastAsia="仿宋_GB2312"/>
          <w:sz w:val="32"/>
          <w:szCs w:val="33"/>
        </w:rPr>
        <w:t>2022</w:t>
      </w:r>
      <w:r>
        <w:rPr>
          <w:rFonts w:hint="eastAsia" w:ascii="Times New Roman" w:hAnsi="Times New Roman" w:eastAsia="仿宋_GB2312"/>
          <w:sz w:val="32"/>
          <w:szCs w:val="33"/>
        </w:rPr>
        <w:t>年森林草原防灭火专项项目决策程序较严密，规划较合理；资金分配较及时、项目管理较规范，基本达到预期绩效目标，绩效评价结果为良好，总体评价得分98分。具体评价情况见下表。</w:t>
      </w:r>
    </w:p>
    <w:p>
      <w:pPr>
        <w:keepNext w:val="0"/>
        <w:keepLines w:val="0"/>
        <w:pageBreakBefore w:val="0"/>
        <w:widowControl w:val="0"/>
        <w:kinsoku/>
        <w:wordWrap/>
        <w:overflowPunct/>
        <w:topLinePunct w:val="0"/>
        <w:autoSpaceDE/>
        <w:autoSpaceDN/>
        <w:bidi w:val="0"/>
        <w:adjustRightInd w:val="0"/>
        <w:snapToGrid w:val="0"/>
        <w:spacing w:before="93" w:beforeLines="30" w:after="93" w:afterLines="30"/>
        <w:jc w:val="center"/>
        <w:rPr>
          <w:rFonts w:ascii="Times New Roman" w:hAnsi="Times New Roman"/>
          <w:szCs w:val="32"/>
        </w:rPr>
      </w:pPr>
      <w:r>
        <w:rPr>
          <w:rFonts w:hint="eastAsia" w:ascii="Times New Roman" w:hAnsi="Times New Roman"/>
          <w:b/>
          <w:sz w:val="24"/>
          <w:szCs w:val="32"/>
          <w:lang w:val="zh-CN"/>
        </w:rPr>
        <w:t>2022年森林草原防灭火专项项目绩效得分表</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1701"/>
        <w:gridCol w:w="2427"/>
        <w:gridCol w:w="1343"/>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12"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ascii="Times New Roman" w:hAnsi="Times New Roman"/>
                <w:b/>
                <w:sz w:val="20"/>
                <w:szCs w:val="20"/>
              </w:rPr>
            </w:pPr>
            <w:r>
              <w:rPr>
                <w:rFonts w:hint="eastAsia" w:ascii="Times New Roman" w:hAnsi="Times New Roman"/>
                <w:b/>
                <w:sz w:val="20"/>
                <w:szCs w:val="20"/>
              </w:rPr>
              <w:t>一级指标</w:t>
            </w:r>
            <w:r>
              <mc:AlternateContent>
                <mc:Choice Requires="wps">
                  <w:drawing>
                    <wp:anchor distT="0" distB="0" distL="114300" distR="114300" simplePos="0" relativeHeight="251661312"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41" name="直接连接符 4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61312;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kgDltUAAAAJAQAADwAAAAAAAAABACAAAAAiAAAAZHJzL2Rvd25yZXYueG1sUEsBAhQAFAAAAAgA&#10;h07iQATP+3HvAQAA5AMAAA4AAAAAAAAAAQAgAAAAJAEAAGRycy9lMm9Eb2MueG1sUEsFBgAAAAAG&#10;AAYAWQEAAIU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43" name="直接连接符 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62336;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kgDltUAAAAJAQAADwAAAAAAAAABACAAAAAiAAAAZHJzL2Rvd25yZXYueG1sUEsBAhQAFAAAAAgA&#10;h07iQHXa3BrvAQAA5AMAAA4AAAAAAAAAAQAgAAAAJAEAAGRycy9lMm9Eb2MueG1sUEsFBgAAAAAG&#10;AAYAWQEAAIU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3360"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42" name="直接连接符 4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63360;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kgDltUAAAAJAQAADwAAAAAAAAABACAAAAAiAAAAZHJzL2Rvd25yZXYueG1sUEsBAhQAFAAAAAgA&#10;h07iQO3T98LvAQAA5AMAAA4AAAAAAAAAAQAgAAAAJAEAAGRycy9lMm9Eb2MueG1sUEsFBgAAAAAG&#10;AAYAWQEAAIU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4384"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44" name="直接连接符 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64384;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kgDltUAAAAJAQAADwAAAAAAAAABACAAAAAiAAAAZHJzL2Rvd25yZXYueG1sUEsBAhQAFAAAAAgA&#10;h07iQH7snn/vAQAA5AMAAA4AAAAAAAAAAQAgAAAAJAEAAGRycy9lMm9Eb2MueG1sUEsFBgAAAAAG&#10;AAYAWQEAAIUFAAAAAA==&#10;">
                      <v:fill on="f" focussize="0,0"/>
                      <v:stroke color="#000000" joinstyle="round"/>
                      <v:imagedata o:title=""/>
                      <o:lock v:ext="edit" aspectratio="f"/>
                    </v:line>
                  </w:pict>
                </mc:Fallback>
              </mc:AlternateConten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ascii="Times New Roman" w:hAnsi="Times New Roman"/>
                <w:b/>
                <w:sz w:val="20"/>
                <w:szCs w:val="20"/>
              </w:rPr>
            </w:pPr>
            <w:r>
              <w:rPr>
                <w:rFonts w:hint="eastAsia" w:ascii="Times New Roman" w:hAnsi="Times New Roman"/>
                <w:b/>
                <w:sz w:val="20"/>
                <w:szCs w:val="20"/>
              </w:rPr>
              <w:t>二级指标</w:t>
            </w: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ascii="Times New Roman" w:hAnsi="Times New Roman"/>
                <w:b/>
                <w:sz w:val="20"/>
                <w:szCs w:val="20"/>
              </w:rPr>
            </w:pPr>
            <w:r>
              <w:rPr>
                <w:rFonts w:hint="eastAsia" w:ascii="Times New Roman" w:hAnsi="Times New Roman"/>
                <w:b/>
                <w:sz w:val="20"/>
                <w:szCs w:val="20"/>
              </w:rPr>
              <w:t>三级指标</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ascii="Times New Roman" w:hAnsi="Times New Roman"/>
                <w:b/>
                <w:sz w:val="20"/>
                <w:szCs w:val="20"/>
              </w:rPr>
            </w:pPr>
            <w:r>
              <w:rPr>
                <w:rFonts w:hint="eastAsia" w:ascii="Times New Roman" w:hAnsi="Times New Roman"/>
                <w:b/>
                <w:sz w:val="20"/>
                <w:szCs w:val="20"/>
              </w:rPr>
              <w:t>分值</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ascii="Times New Roman" w:hAnsi="Times New Roman"/>
                <w:b/>
                <w:sz w:val="20"/>
                <w:szCs w:val="20"/>
              </w:rPr>
            </w:pPr>
            <w:r>
              <w:rPr>
                <w:rFonts w:hint="eastAsia" w:ascii="Times New Roman" w:hAnsi="Times New Roman"/>
                <w:b/>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项目决策</w:t>
            </w:r>
          </w:p>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w:t>
            </w:r>
            <w:r>
              <w:rPr>
                <w:rFonts w:ascii="Times New Roman" w:hAnsi="Times New Roman"/>
                <w:sz w:val="20"/>
                <w:szCs w:val="20"/>
              </w:rPr>
              <w:t>20</w:t>
            </w:r>
            <w:r>
              <w:rPr>
                <w:rFonts w:hint="eastAsia" w:ascii="Times New Roman" w:hAnsi="Times New Roman"/>
                <w:sz w:val="20"/>
                <w:szCs w:val="20"/>
              </w:rPr>
              <w:t>分）</w:t>
            </w:r>
          </w:p>
        </w:tc>
        <w:tc>
          <w:tcPr>
            <w:tcW w:w="170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绩效目标</w:t>
            </w:r>
          </w:p>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w:t>
            </w:r>
            <w:r>
              <w:rPr>
                <w:rFonts w:ascii="Times New Roman" w:hAnsi="Times New Roman"/>
                <w:sz w:val="20"/>
                <w:szCs w:val="20"/>
              </w:rPr>
              <w:t>6</w:t>
            </w:r>
            <w:r>
              <w:rPr>
                <w:rFonts w:hint="eastAsia" w:ascii="Times New Roman" w:hAnsi="Times New Roman"/>
                <w:sz w:val="20"/>
                <w:szCs w:val="20"/>
              </w:rPr>
              <w:t>分）</w:t>
            </w: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目标内容</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keepNext w:val="0"/>
              <w:keepLines w:val="0"/>
              <w:pageBreakBefore w:val="0"/>
              <w:widowControl w:val="0"/>
              <w:kinsoku/>
              <w:wordWrap/>
              <w:overflowPunct/>
              <w:topLinePunct w:val="0"/>
              <w:autoSpaceDE/>
              <w:autoSpaceDN/>
              <w:bidi w:val="0"/>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进度计划</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keepNext w:val="0"/>
              <w:keepLines w:val="0"/>
              <w:pageBreakBefore w:val="0"/>
              <w:widowControl w:val="0"/>
              <w:kinsoku/>
              <w:wordWrap/>
              <w:overflowPunct/>
              <w:topLinePunct w:val="0"/>
              <w:autoSpaceDE/>
              <w:autoSpaceDN/>
              <w:bidi w:val="0"/>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目标匹配</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keepNext w:val="0"/>
              <w:keepLines w:val="0"/>
              <w:pageBreakBefore w:val="0"/>
              <w:widowControl w:val="0"/>
              <w:kinsoku/>
              <w:wordWrap/>
              <w:overflowPunct/>
              <w:topLinePunct w:val="0"/>
              <w:autoSpaceDE/>
              <w:autoSpaceDN/>
              <w:bidi w:val="0"/>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tc>
        <w:tc>
          <w:tcPr>
            <w:tcW w:w="170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决策依据</w:t>
            </w:r>
          </w:p>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w:t>
            </w:r>
            <w:r>
              <w:rPr>
                <w:rFonts w:ascii="Times New Roman" w:hAnsi="Times New Roman"/>
                <w:sz w:val="20"/>
                <w:szCs w:val="20"/>
              </w:rPr>
              <w:t>10</w:t>
            </w:r>
            <w:r>
              <w:rPr>
                <w:rFonts w:hint="eastAsia" w:ascii="Times New Roman" w:hAnsi="Times New Roman"/>
                <w:sz w:val="20"/>
                <w:szCs w:val="20"/>
              </w:rPr>
              <w:t>分）</w:t>
            </w: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政策依据</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keepNext w:val="0"/>
              <w:keepLines w:val="0"/>
              <w:pageBreakBefore w:val="0"/>
              <w:widowControl w:val="0"/>
              <w:kinsoku/>
              <w:wordWrap/>
              <w:overflowPunct/>
              <w:topLinePunct w:val="0"/>
              <w:autoSpaceDE/>
              <w:autoSpaceDN/>
              <w:bidi w:val="0"/>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程序严密</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keepNext w:val="0"/>
              <w:keepLines w:val="0"/>
              <w:pageBreakBefore w:val="0"/>
              <w:widowControl w:val="0"/>
              <w:kinsoku/>
              <w:wordWrap/>
              <w:overflowPunct/>
              <w:topLinePunct w:val="0"/>
              <w:autoSpaceDE/>
              <w:autoSpaceDN/>
              <w:bidi w:val="0"/>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结果符合</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keepNext w:val="0"/>
              <w:keepLines w:val="0"/>
              <w:pageBreakBefore w:val="0"/>
              <w:widowControl w:val="0"/>
              <w:kinsoku/>
              <w:wordWrap/>
              <w:overflowPunct/>
              <w:topLinePunct w:val="0"/>
              <w:autoSpaceDE/>
              <w:autoSpaceDN/>
              <w:bidi w:val="0"/>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实施规划</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4</w:t>
            </w:r>
          </w:p>
        </w:tc>
        <w:tc>
          <w:tcPr>
            <w:tcW w:w="1139" w:type="dxa"/>
            <w:vAlign w:val="center"/>
          </w:tcPr>
          <w:p>
            <w:pPr>
              <w:keepNext w:val="0"/>
              <w:keepLines w:val="0"/>
              <w:pageBreakBefore w:val="0"/>
              <w:widowControl w:val="0"/>
              <w:kinsoku/>
              <w:wordWrap/>
              <w:overflowPunct/>
              <w:topLinePunct w:val="0"/>
              <w:autoSpaceDE/>
              <w:autoSpaceDN/>
              <w:bidi w:val="0"/>
              <w:spacing w:line="260" w:lineRule="exact"/>
              <w:jc w:val="center"/>
              <w:rPr>
                <w:rFonts w:ascii="Times New Roman" w:hAnsi="Times New Roman"/>
                <w:color w:val="000000"/>
                <w:sz w:val="20"/>
                <w:szCs w:val="20"/>
              </w:rPr>
            </w:pPr>
            <w:r>
              <w:rPr>
                <w:rFonts w:hint="eastAsia" w:ascii="Times New Roman" w:hAnsi="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tc>
        <w:tc>
          <w:tcPr>
            <w:tcW w:w="170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分配结果</w:t>
            </w:r>
          </w:p>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w:t>
            </w:r>
            <w:r>
              <w:rPr>
                <w:rFonts w:ascii="Times New Roman" w:hAnsi="Times New Roman"/>
                <w:sz w:val="20"/>
                <w:szCs w:val="20"/>
              </w:rPr>
              <w:t>4</w:t>
            </w:r>
            <w:r>
              <w:rPr>
                <w:rFonts w:hint="eastAsia" w:ascii="Times New Roman" w:hAnsi="Times New Roman"/>
                <w:sz w:val="20"/>
                <w:szCs w:val="20"/>
              </w:rPr>
              <w:t>分）</w:t>
            </w: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分配过程</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keepNext w:val="0"/>
              <w:keepLines w:val="0"/>
              <w:pageBreakBefore w:val="0"/>
              <w:widowControl w:val="0"/>
              <w:kinsoku/>
              <w:wordWrap/>
              <w:overflowPunct/>
              <w:topLinePunct w:val="0"/>
              <w:autoSpaceDE/>
              <w:autoSpaceDN/>
              <w:bidi w:val="0"/>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审核把关</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keepNext w:val="0"/>
              <w:keepLines w:val="0"/>
              <w:pageBreakBefore w:val="0"/>
              <w:widowControl w:val="0"/>
              <w:kinsoku/>
              <w:wordWrap/>
              <w:overflowPunct/>
              <w:topLinePunct w:val="0"/>
              <w:autoSpaceDE/>
              <w:autoSpaceDN/>
              <w:bidi w:val="0"/>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91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项目管理</w:t>
            </w:r>
          </w:p>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w:t>
            </w:r>
            <w:r>
              <w:rPr>
                <w:rFonts w:ascii="Times New Roman" w:hAnsi="Times New Roman"/>
                <w:sz w:val="20"/>
                <w:szCs w:val="20"/>
              </w:rPr>
              <w:t>15</w:t>
            </w:r>
            <w:r>
              <w:rPr>
                <w:rFonts w:hint="eastAsia" w:ascii="Times New Roman" w:hAnsi="Times New Roman"/>
                <w:sz w:val="20"/>
                <w:szCs w:val="20"/>
              </w:rPr>
              <w:t>分）</w:t>
            </w:r>
          </w:p>
        </w:tc>
        <w:tc>
          <w:tcPr>
            <w:tcW w:w="170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资金到位</w:t>
            </w:r>
          </w:p>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w:t>
            </w:r>
            <w:r>
              <w:rPr>
                <w:rFonts w:ascii="Times New Roman" w:hAnsi="Times New Roman"/>
                <w:sz w:val="20"/>
                <w:szCs w:val="20"/>
              </w:rPr>
              <w:t>4</w:t>
            </w:r>
            <w:r>
              <w:rPr>
                <w:rFonts w:hint="eastAsia" w:ascii="Times New Roman" w:hAnsi="Times New Roman"/>
                <w:sz w:val="20"/>
                <w:szCs w:val="20"/>
              </w:rPr>
              <w:t>分）</w:t>
            </w: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分配时效</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keepNext w:val="0"/>
              <w:keepLines w:val="0"/>
              <w:pageBreakBefore w:val="0"/>
              <w:widowControl w:val="0"/>
              <w:kinsoku/>
              <w:wordWrap/>
              <w:overflowPunct/>
              <w:topLinePunct w:val="0"/>
              <w:autoSpaceDE/>
              <w:autoSpaceDN/>
              <w:bidi w:val="0"/>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资金拨付</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keepNext w:val="0"/>
              <w:keepLines w:val="0"/>
              <w:pageBreakBefore w:val="0"/>
              <w:widowControl w:val="0"/>
              <w:kinsoku/>
              <w:wordWrap/>
              <w:overflowPunct/>
              <w:topLinePunct w:val="0"/>
              <w:autoSpaceDE/>
              <w:autoSpaceDN/>
              <w:bidi w:val="0"/>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tc>
        <w:tc>
          <w:tcPr>
            <w:tcW w:w="170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资金管理</w:t>
            </w:r>
          </w:p>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w:t>
            </w:r>
            <w:r>
              <w:rPr>
                <w:rFonts w:ascii="Times New Roman" w:hAnsi="Times New Roman"/>
                <w:sz w:val="20"/>
                <w:szCs w:val="20"/>
              </w:rPr>
              <w:t>3</w:t>
            </w:r>
            <w:r>
              <w:rPr>
                <w:rFonts w:hint="eastAsia" w:ascii="Times New Roman" w:hAnsi="Times New Roman"/>
                <w:sz w:val="20"/>
                <w:szCs w:val="20"/>
              </w:rPr>
              <w:t>分）</w:t>
            </w: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使用范围</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ascii="Times New Roman" w:hAnsi="Times New Roman"/>
                <w:sz w:val="20"/>
                <w:szCs w:val="20"/>
              </w:rPr>
              <w:t>1</w:t>
            </w:r>
          </w:p>
        </w:tc>
        <w:tc>
          <w:tcPr>
            <w:tcW w:w="1139" w:type="dxa"/>
            <w:vAlign w:val="center"/>
          </w:tcPr>
          <w:p>
            <w:pPr>
              <w:keepNext w:val="0"/>
              <w:keepLines w:val="0"/>
              <w:pageBreakBefore w:val="0"/>
              <w:widowControl w:val="0"/>
              <w:kinsoku/>
              <w:wordWrap/>
              <w:overflowPunct/>
              <w:topLinePunct w:val="0"/>
              <w:autoSpaceDE/>
              <w:autoSpaceDN/>
              <w:bidi w:val="0"/>
              <w:spacing w:line="260" w:lineRule="exact"/>
              <w:jc w:val="center"/>
              <w:rPr>
                <w:rFonts w:ascii="Times New Roman" w:hAnsi="Times New Roman"/>
                <w:color w:val="000000"/>
                <w:sz w:val="20"/>
                <w:szCs w:val="20"/>
              </w:rPr>
            </w:pPr>
            <w:r>
              <w:rPr>
                <w:rFonts w:ascii="Times New Roman" w:hAnsi="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支付依据</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ascii="Times New Roman" w:hAnsi="Times New Roman"/>
                <w:sz w:val="20"/>
                <w:szCs w:val="20"/>
              </w:rPr>
              <w:t>1</w:t>
            </w:r>
          </w:p>
        </w:tc>
        <w:tc>
          <w:tcPr>
            <w:tcW w:w="1139" w:type="dxa"/>
            <w:vAlign w:val="center"/>
          </w:tcPr>
          <w:p>
            <w:pPr>
              <w:keepNext w:val="0"/>
              <w:keepLines w:val="0"/>
              <w:pageBreakBefore w:val="0"/>
              <w:widowControl w:val="0"/>
              <w:kinsoku/>
              <w:wordWrap/>
              <w:overflowPunct/>
              <w:topLinePunct w:val="0"/>
              <w:autoSpaceDE/>
              <w:autoSpaceDN/>
              <w:bidi w:val="0"/>
              <w:spacing w:line="260" w:lineRule="exact"/>
              <w:jc w:val="center"/>
              <w:rPr>
                <w:rFonts w:ascii="Times New Roman" w:hAnsi="Times New Roman"/>
                <w:color w:val="000000"/>
                <w:sz w:val="20"/>
                <w:szCs w:val="20"/>
              </w:rPr>
            </w:pPr>
            <w:r>
              <w:rPr>
                <w:rFonts w:ascii="Times New Roman" w:hAnsi="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开支标准</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ascii="Times New Roman" w:hAnsi="Times New Roman"/>
                <w:sz w:val="20"/>
                <w:szCs w:val="20"/>
              </w:rPr>
              <w:t>1</w:t>
            </w:r>
          </w:p>
        </w:tc>
        <w:tc>
          <w:tcPr>
            <w:tcW w:w="1139" w:type="dxa"/>
            <w:vAlign w:val="center"/>
          </w:tcPr>
          <w:p>
            <w:pPr>
              <w:keepNext w:val="0"/>
              <w:keepLines w:val="0"/>
              <w:pageBreakBefore w:val="0"/>
              <w:widowControl w:val="0"/>
              <w:kinsoku/>
              <w:wordWrap/>
              <w:overflowPunct/>
              <w:topLinePunct w:val="0"/>
              <w:autoSpaceDE/>
              <w:autoSpaceDN/>
              <w:bidi w:val="0"/>
              <w:spacing w:line="260" w:lineRule="exact"/>
              <w:jc w:val="center"/>
              <w:rPr>
                <w:rFonts w:ascii="Times New Roman" w:hAnsi="Times New Roman"/>
                <w:color w:val="000000"/>
                <w:sz w:val="20"/>
                <w:szCs w:val="20"/>
              </w:rPr>
            </w:pPr>
            <w:r>
              <w:rPr>
                <w:rFonts w:ascii="Times New Roman" w:hAnsi="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tc>
        <w:tc>
          <w:tcPr>
            <w:tcW w:w="170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财务管理</w:t>
            </w:r>
          </w:p>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w:t>
            </w:r>
            <w:r>
              <w:rPr>
                <w:rFonts w:ascii="Times New Roman" w:hAnsi="Times New Roman"/>
                <w:sz w:val="20"/>
                <w:szCs w:val="20"/>
              </w:rPr>
              <w:t>4</w:t>
            </w:r>
            <w:r>
              <w:rPr>
                <w:rFonts w:hint="eastAsia" w:ascii="Times New Roman" w:hAnsi="Times New Roman"/>
                <w:sz w:val="20"/>
                <w:szCs w:val="20"/>
              </w:rPr>
              <w:t>分）</w:t>
            </w: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财务制度</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keepNext w:val="0"/>
              <w:keepLines w:val="0"/>
              <w:pageBreakBefore w:val="0"/>
              <w:widowControl w:val="0"/>
              <w:kinsoku/>
              <w:wordWrap/>
              <w:overflowPunct/>
              <w:topLinePunct w:val="0"/>
              <w:autoSpaceDE/>
              <w:autoSpaceDN/>
              <w:bidi w:val="0"/>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会计核算</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keepNext w:val="0"/>
              <w:keepLines w:val="0"/>
              <w:pageBreakBefore w:val="0"/>
              <w:widowControl w:val="0"/>
              <w:kinsoku/>
              <w:wordWrap/>
              <w:overflowPunct/>
              <w:topLinePunct w:val="0"/>
              <w:autoSpaceDE/>
              <w:autoSpaceDN/>
              <w:bidi w:val="0"/>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tc>
        <w:tc>
          <w:tcPr>
            <w:tcW w:w="170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组织实施</w:t>
            </w:r>
          </w:p>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w:t>
            </w:r>
            <w:r>
              <w:rPr>
                <w:rFonts w:ascii="Times New Roman" w:hAnsi="Times New Roman"/>
                <w:sz w:val="20"/>
                <w:szCs w:val="20"/>
              </w:rPr>
              <w:t>4</w:t>
            </w:r>
            <w:r>
              <w:rPr>
                <w:rFonts w:hint="eastAsia" w:ascii="Times New Roman" w:hAnsi="Times New Roman"/>
                <w:sz w:val="20"/>
                <w:szCs w:val="20"/>
              </w:rPr>
              <w:t>分）</w:t>
            </w: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项目调整</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ascii="Times New Roman" w:hAnsi="Times New Roman"/>
                <w:sz w:val="20"/>
                <w:szCs w:val="20"/>
              </w:rPr>
              <w:t>1</w:t>
            </w:r>
          </w:p>
        </w:tc>
        <w:tc>
          <w:tcPr>
            <w:tcW w:w="1139" w:type="dxa"/>
            <w:vAlign w:val="center"/>
          </w:tcPr>
          <w:p>
            <w:pPr>
              <w:keepNext w:val="0"/>
              <w:keepLines w:val="0"/>
              <w:pageBreakBefore w:val="0"/>
              <w:widowControl w:val="0"/>
              <w:kinsoku/>
              <w:wordWrap/>
              <w:overflowPunct/>
              <w:topLinePunct w:val="0"/>
              <w:autoSpaceDE/>
              <w:autoSpaceDN/>
              <w:bidi w:val="0"/>
              <w:spacing w:line="260" w:lineRule="exact"/>
              <w:jc w:val="center"/>
              <w:rPr>
                <w:rFonts w:ascii="Times New Roman" w:hAnsi="Times New Roman"/>
                <w:color w:val="000000"/>
                <w:sz w:val="20"/>
                <w:szCs w:val="20"/>
              </w:rPr>
            </w:pPr>
            <w:r>
              <w:rPr>
                <w:rFonts w:ascii="Times New Roman" w:hAnsi="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投资变更</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ascii="Times New Roman" w:hAnsi="Times New Roman"/>
                <w:sz w:val="20"/>
                <w:szCs w:val="20"/>
              </w:rPr>
              <w:t>1</w:t>
            </w:r>
          </w:p>
        </w:tc>
        <w:tc>
          <w:tcPr>
            <w:tcW w:w="1139" w:type="dxa"/>
            <w:vAlign w:val="center"/>
          </w:tcPr>
          <w:p>
            <w:pPr>
              <w:keepNext w:val="0"/>
              <w:keepLines w:val="0"/>
              <w:pageBreakBefore w:val="0"/>
              <w:widowControl w:val="0"/>
              <w:kinsoku/>
              <w:wordWrap/>
              <w:overflowPunct/>
              <w:topLinePunct w:val="0"/>
              <w:autoSpaceDE/>
              <w:autoSpaceDN/>
              <w:bidi w:val="0"/>
              <w:spacing w:line="260" w:lineRule="exact"/>
              <w:jc w:val="center"/>
              <w:rPr>
                <w:rFonts w:ascii="Times New Roman" w:hAnsi="Times New Roman"/>
                <w:color w:val="000000"/>
                <w:sz w:val="20"/>
                <w:szCs w:val="20"/>
              </w:rPr>
            </w:pPr>
            <w:r>
              <w:rPr>
                <w:rFonts w:ascii="Times New Roman" w:hAnsi="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制度执行</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keepNext w:val="0"/>
              <w:keepLines w:val="0"/>
              <w:pageBreakBefore w:val="0"/>
              <w:widowControl w:val="0"/>
              <w:kinsoku/>
              <w:wordWrap/>
              <w:overflowPunct/>
              <w:topLinePunct w:val="0"/>
              <w:autoSpaceDE/>
              <w:autoSpaceDN/>
              <w:bidi w:val="0"/>
              <w:spacing w:line="260" w:lineRule="exact"/>
              <w:jc w:val="center"/>
              <w:rPr>
                <w:rFonts w:ascii="Times New Roman" w:hAnsi="Times New Roman"/>
                <w:color w:val="000000"/>
                <w:sz w:val="20"/>
                <w:szCs w:val="20"/>
              </w:rPr>
            </w:pPr>
            <w:r>
              <w:rPr>
                <w:rFonts w:hint="eastAsia"/>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项目绩效</w:t>
            </w:r>
          </w:p>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（特性指标</w:t>
            </w:r>
            <w:r>
              <w:rPr>
                <w:rFonts w:ascii="Times New Roman" w:hAnsi="Times New Roman"/>
                <w:sz w:val="20"/>
                <w:szCs w:val="20"/>
              </w:rPr>
              <w:t>65</w:t>
            </w:r>
            <w:r>
              <w:rPr>
                <w:rFonts w:hint="eastAsia" w:ascii="Times New Roman" w:hAnsi="Times New Roman"/>
                <w:sz w:val="20"/>
                <w:szCs w:val="20"/>
              </w:rPr>
              <w:t>分）</w:t>
            </w:r>
          </w:p>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tc>
        <w:tc>
          <w:tcPr>
            <w:tcW w:w="170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项目完成</w:t>
            </w:r>
          </w:p>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w:t>
            </w:r>
            <w:r>
              <w:rPr>
                <w:rFonts w:ascii="Times New Roman" w:hAnsi="Times New Roman"/>
                <w:sz w:val="20"/>
                <w:szCs w:val="20"/>
              </w:rPr>
              <w:t>20</w:t>
            </w:r>
            <w:r>
              <w:rPr>
                <w:rFonts w:hint="eastAsia" w:ascii="Times New Roman" w:hAnsi="Times New Roman"/>
                <w:sz w:val="20"/>
                <w:szCs w:val="20"/>
              </w:rPr>
              <w:t>分）</w:t>
            </w:r>
          </w:p>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项目完成</w:t>
            </w:r>
          </w:p>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w:t>
            </w:r>
            <w:r>
              <w:rPr>
                <w:rFonts w:ascii="Times New Roman" w:hAnsi="Times New Roman"/>
                <w:sz w:val="20"/>
                <w:szCs w:val="20"/>
              </w:rPr>
              <w:t>20</w:t>
            </w:r>
            <w:r>
              <w:rPr>
                <w:rFonts w:hint="eastAsia" w:ascii="Times New Roman" w:hAnsi="Times New Roman"/>
                <w:sz w:val="20"/>
                <w:szCs w:val="20"/>
              </w:rPr>
              <w:t>分）</w:t>
            </w:r>
          </w:p>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完成数量</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ascii="Times New Roman" w:hAnsi="Times New Roman"/>
                <w:sz w:val="20"/>
                <w:szCs w:val="20"/>
              </w:rPr>
              <w:t>4</w:t>
            </w:r>
          </w:p>
        </w:tc>
        <w:tc>
          <w:tcPr>
            <w:tcW w:w="1139" w:type="dxa"/>
            <w:vAlign w:val="center"/>
          </w:tcPr>
          <w:p>
            <w:pPr>
              <w:keepNext w:val="0"/>
              <w:keepLines w:val="0"/>
              <w:pageBreakBefore w:val="0"/>
              <w:widowControl w:val="0"/>
              <w:kinsoku/>
              <w:wordWrap/>
              <w:overflowPunct/>
              <w:topLinePunct w:val="0"/>
              <w:autoSpaceDE/>
              <w:autoSpaceDN/>
              <w:bidi w:val="0"/>
              <w:spacing w:line="260" w:lineRule="exact"/>
              <w:jc w:val="center"/>
              <w:rPr>
                <w:rFonts w:ascii="Times New Roman" w:hAnsi="Times New Roman"/>
                <w:color w:val="000000"/>
                <w:sz w:val="20"/>
                <w:szCs w:val="20"/>
              </w:rPr>
            </w:pPr>
            <w:r>
              <w:rPr>
                <w:rFonts w:ascii="Times New Roman" w:hAnsi="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完成质量</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ascii="Times New Roman" w:hAnsi="Times New Roman"/>
                <w:sz w:val="20"/>
                <w:szCs w:val="20"/>
              </w:rPr>
              <w:t>4</w:t>
            </w:r>
          </w:p>
        </w:tc>
        <w:tc>
          <w:tcPr>
            <w:tcW w:w="1139" w:type="dxa"/>
            <w:vAlign w:val="center"/>
          </w:tcPr>
          <w:p>
            <w:pPr>
              <w:keepNext w:val="0"/>
              <w:keepLines w:val="0"/>
              <w:pageBreakBefore w:val="0"/>
              <w:widowControl w:val="0"/>
              <w:kinsoku/>
              <w:wordWrap/>
              <w:overflowPunct/>
              <w:topLinePunct w:val="0"/>
              <w:autoSpaceDE/>
              <w:autoSpaceDN/>
              <w:bidi w:val="0"/>
              <w:spacing w:line="260" w:lineRule="exact"/>
              <w:jc w:val="center"/>
              <w:rPr>
                <w:rFonts w:ascii="Times New Roman" w:hAnsi="Times New Roman"/>
                <w:color w:val="000000"/>
                <w:sz w:val="20"/>
                <w:szCs w:val="20"/>
              </w:rPr>
            </w:pPr>
            <w:r>
              <w:rPr>
                <w:rFonts w:ascii="Times New Roman" w:hAnsi="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完成时效</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ascii="Times New Roman" w:hAnsi="Times New Roman"/>
                <w:sz w:val="20"/>
                <w:szCs w:val="20"/>
              </w:rPr>
              <w:t>4</w:t>
            </w:r>
          </w:p>
        </w:tc>
        <w:tc>
          <w:tcPr>
            <w:tcW w:w="1139" w:type="dxa"/>
            <w:vAlign w:val="center"/>
          </w:tcPr>
          <w:p>
            <w:pPr>
              <w:keepNext w:val="0"/>
              <w:keepLines w:val="0"/>
              <w:pageBreakBefore w:val="0"/>
              <w:widowControl w:val="0"/>
              <w:kinsoku/>
              <w:wordWrap/>
              <w:overflowPunct/>
              <w:topLinePunct w:val="0"/>
              <w:autoSpaceDE/>
              <w:autoSpaceDN/>
              <w:bidi w:val="0"/>
              <w:spacing w:line="260" w:lineRule="exact"/>
              <w:jc w:val="center"/>
              <w:rPr>
                <w:rFonts w:ascii="Times New Roman" w:hAnsi="Times New Roman"/>
                <w:color w:val="000000"/>
                <w:sz w:val="20"/>
                <w:szCs w:val="20"/>
              </w:rPr>
            </w:pPr>
            <w:r>
              <w:rPr>
                <w:rFonts w:ascii="Times New Roman" w:hAnsi="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完成成本</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ascii="Times New Roman" w:hAnsi="Times New Roman"/>
                <w:sz w:val="20"/>
                <w:szCs w:val="20"/>
              </w:rPr>
              <w:t>4</w:t>
            </w:r>
          </w:p>
        </w:tc>
        <w:tc>
          <w:tcPr>
            <w:tcW w:w="1139" w:type="dxa"/>
            <w:vAlign w:val="center"/>
          </w:tcPr>
          <w:p>
            <w:pPr>
              <w:keepNext w:val="0"/>
              <w:keepLines w:val="0"/>
              <w:pageBreakBefore w:val="0"/>
              <w:widowControl w:val="0"/>
              <w:kinsoku/>
              <w:wordWrap/>
              <w:overflowPunct/>
              <w:topLinePunct w:val="0"/>
              <w:autoSpaceDE/>
              <w:autoSpaceDN/>
              <w:bidi w:val="0"/>
              <w:spacing w:line="260" w:lineRule="exact"/>
              <w:jc w:val="center"/>
              <w:rPr>
                <w:rFonts w:ascii="Times New Roman" w:hAnsi="Times New Roman"/>
                <w:color w:val="000000"/>
                <w:sz w:val="20"/>
                <w:szCs w:val="20"/>
              </w:rPr>
            </w:pPr>
            <w:r>
              <w:rPr>
                <w:rFonts w:ascii="Times New Roman" w:hAnsi="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违规纪律</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ascii="Times New Roman" w:hAnsi="Times New Roman"/>
                <w:sz w:val="20"/>
                <w:szCs w:val="20"/>
              </w:rPr>
              <w:t>4</w:t>
            </w:r>
          </w:p>
        </w:tc>
        <w:tc>
          <w:tcPr>
            <w:tcW w:w="1139" w:type="dxa"/>
            <w:vAlign w:val="center"/>
          </w:tcPr>
          <w:p>
            <w:pPr>
              <w:keepNext w:val="0"/>
              <w:keepLines w:val="0"/>
              <w:pageBreakBefore w:val="0"/>
              <w:widowControl w:val="0"/>
              <w:kinsoku/>
              <w:wordWrap/>
              <w:overflowPunct/>
              <w:topLinePunct w:val="0"/>
              <w:autoSpaceDE/>
              <w:autoSpaceDN/>
              <w:bidi w:val="0"/>
              <w:spacing w:line="260" w:lineRule="exact"/>
              <w:jc w:val="center"/>
              <w:rPr>
                <w:rFonts w:ascii="Times New Roman" w:hAnsi="Times New Roman"/>
                <w:color w:val="000000"/>
                <w:sz w:val="20"/>
                <w:szCs w:val="20"/>
              </w:rPr>
            </w:pPr>
            <w:r>
              <w:rPr>
                <w:rFonts w:ascii="Times New Roman" w:hAnsi="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tc>
        <w:tc>
          <w:tcPr>
            <w:tcW w:w="170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项目效益</w:t>
            </w:r>
          </w:p>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w:t>
            </w:r>
            <w:r>
              <w:rPr>
                <w:rFonts w:ascii="Times New Roman" w:hAnsi="Times New Roman"/>
                <w:sz w:val="20"/>
                <w:szCs w:val="20"/>
              </w:rPr>
              <w:t>40</w:t>
            </w:r>
            <w:r>
              <w:rPr>
                <w:rFonts w:hint="eastAsia" w:ascii="Times New Roman" w:hAnsi="Times New Roman"/>
                <w:sz w:val="20"/>
                <w:szCs w:val="20"/>
              </w:rPr>
              <w:t>分）</w:t>
            </w: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经济效益</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ascii="Times New Roman" w:hAnsi="Times New Roman"/>
                <w:sz w:val="20"/>
                <w:szCs w:val="20"/>
              </w:rPr>
              <w:t>10</w:t>
            </w:r>
          </w:p>
        </w:tc>
        <w:tc>
          <w:tcPr>
            <w:tcW w:w="1139" w:type="dxa"/>
            <w:vAlign w:val="center"/>
          </w:tcPr>
          <w:p>
            <w:pPr>
              <w:keepNext w:val="0"/>
              <w:keepLines w:val="0"/>
              <w:pageBreakBefore w:val="0"/>
              <w:widowControl w:val="0"/>
              <w:kinsoku/>
              <w:wordWrap/>
              <w:overflowPunct/>
              <w:topLinePunct w:val="0"/>
              <w:autoSpaceDE/>
              <w:autoSpaceDN/>
              <w:bidi w:val="0"/>
              <w:spacing w:line="260" w:lineRule="exact"/>
              <w:jc w:val="center"/>
              <w:rPr>
                <w:rFonts w:ascii="Times New Roman" w:hAnsi="Times New Roman"/>
                <w:color w:val="000000"/>
                <w:sz w:val="20"/>
                <w:szCs w:val="20"/>
              </w:rPr>
            </w:pPr>
            <w:r>
              <w:rPr>
                <w:rFonts w:hint="eastAsia"/>
                <w:color w:val="000000"/>
                <w:sz w:val="20"/>
                <w:szCs w:val="2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社会效益</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ascii="Times New Roman" w:hAnsi="Times New Roman"/>
                <w:sz w:val="20"/>
                <w:szCs w:val="20"/>
              </w:rPr>
              <w:t>10</w:t>
            </w:r>
          </w:p>
        </w:tc>
        <w:tc>
          <w:tcPr>
            <w:tcW w:w="1139" w:type="dxa"/>
            <w:vAlign w:val="center"/>
          </w:tcPr>
          <w:p>
            <w:pPr>
              <w:keepNext w:val="0"/>
              <w:keepLines w:val="0"/>
              <w:pageBreakBefore w:val="0"/>
              <w:widowControl w:val="0"/>
              <w:kinsoku/>
              <w:wordWrap/>
              <w:overflowPunct/>
              <w:topLinePunct w:val="0"/>
              <w:autoSpaceDE/>
              <w:autoSpaceDN/>
              <w:bidi w:val="0"/>
              <w:spacing w:line="260" w:lineRule="exact"/>
              <w:jc w:val="center"/>
              <w:rPr>
                <w:rFonts w:ascii="Times New Roman" w:hAnsi="Times New Roman"/>
                <w:color w:val="000000"/>
                <w:sz w:val="20"/>
                <w:szCs w:val="20"/>
              </w:rPr>
            </w:pPr>
            <w:r>
              <w:rPr>
                <w:rFonts w:ascii="Times New Roman" w:hAnsi="Times New Roman"/>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生态效益</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ascii="Times New Roman" w:hAnsi="Times New Roman"/>
                <w:sz w:val="20"/>
                <w:szCs w:val="20"/>
              </w:rPr>
              <w:t>10</w:t>
            </w:r>
          </w:p>
        </w:tc>
        <w:tc>
          <w:tcPr>
            <w:tcW w:w="1139" w:type="dxa"/>
            <w:vAlign w:val="center"/>
          </w:tcPr>
          <w:p>
            <w:pPr>
              <w:keepNext w:val="0"/>
              <w:keepLines w:val="0"/>
              <w:pageBreakBefore w:val="0"/>
              <w:widowControl w:val="0"/>
              <w:kinsoku/>
              <w:wordWrap/>
              <w:overflowPunct/>
              <w:topLinePunct w:val="0"/>
              <w:autoSpaceDE/>
              <w:autoSpaceDN/>
              <w:bidi w:val="0"/>
              <w:spacing w:line="260" w:lineRule="exact"/>
              <w:jc w:val="center"/>
              <w:rPr>
                <w:rFonts w:ascii="Times New Roman" w:hAnsi="Times New Roman"/>
                <w:color w:val="000000"/>
                <w:sz w:val="20"/>
                <w:szCs w:val="20"/>
              </w:rPr>
            </w:pPr>
            <w:r>
              <w:rPr>
                <w:rFonts w:ascii="Times New Roman" w:hAnsi="Times New Roman"/>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可持续效益</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ascii="Times New Roman" w:hAnsi="Times New Roman"/>
                <w:sz w:val="20"/>
                <w:szCs w:val="20"/>
              </w:rPr>
              <w:t>10</w:t>
            </w:r>
          </w:p>
        </w:tc>
        <w:tc>
          <w:tcPr>
            <w:tcW w:w="1139" w:type="dxa"/>
            <w:vAlign w:val="center"/>
          </w:tcPr>
          <w:p>
            <w:pPr>
              <w:keepNext w:val="0"/>
              <w:keepLines w:val="0"/>
              <w:pageBreakBefore w:val="0"/>
              <w:widowControl w:val="0"/>
              <w:kinsoku/>
              <w:wordWrap/>
              <w:overflowPunct/>
              <w:topLinePunct w:val="0"/>
              <w:autoSpaceDE/>
              <w:autoSpaceDN/>
              <w:bidi w:val="0"/>
              <w:spacing w:line="260" w:lineRule="exact"/>
              <w:jc w:val="center"/>
              <w:rPr>
                <w:rFonts w:ascii="Times New Roman" w:hAnsi="Times New Roman"/>
                <w:color w:val="000000"/>
                <w:sz w:val="20"/>
                <w:szCs w:val="20"/>
              </w:rPr>
            </w:pPr>
            <w:r>
              <w:rPr>
                <w:rFonts w:ascii="Times New Roman" w:hAnsi="Times New Roman"/>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满意度</w:t>
            </w:r>
          </w:p>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w:t>
            </w:r>
            <w:r>
              <w:rPr>
                <w:rFonts w:ascii="Times New Roman" w:hAnsi="Times New Roman"/>
                <w:sz w:val="20"/>
                <w:szCs w:val="20"/>
              </w:rPr>
              <w:t>5</w:t>
            </w:r>
            <w:r>
              <w:rPr>
                <w:rFonts w:hint="eastAsia" w:ascii="Times New Roman" w:hAnsi="Times New Roman"/>
                <w:sz w:val="20"/>
                <w:szCs w:val="20"/>
              </w:rPr>
              <w:t>分）</w:t>
            </w: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服务对象满意度</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ascii="Times New Roman" w:hAnsi="Times New Roman"/>
                <w:sz w:val="20"/>
                <w:szCs w:val="20"/>
              </w:rPr>
              <w:t>5</w:t>
            </w:r>
          </w:p>
        </w:tc>
        <w:tc>
          <w:tcPr>
            <w:tcW w:w="1139" w:type="dxa"/>
            <w:vAlign w:val="center"/>
          </w:tcPr>
          <w:p>
            <w:pPr>
              <w:keepNext w:val="0"/>
              <w:keepLines w:val="0"/>
              <w:pageBreakBefore w:val="0"/>
              <w:widowControl w:val="0"/>
              <w:kinsoku/>
              <w:wordWrap/>
              <w:overflowPunct/>
              <w:topLinePunct w:val="0"/>
              <w:autoSpaceDE/>
              <w:autoSpaceDN/>
              <w:bidi w:val="0"/>
              <w:spacing w:line="260" w:lineRule="exact"/>
              <w:jc w:val="center"/>
              <w:rPr>
                <w:rFonts w:ascii="Times New Roman" w:hAnsi="Times New Roman"/>
                <w:color w:val="000000"/>
                <w:sz w:val="20"/>
                <w:szCs w:val="20"/>
              </w:rPr>
            </w:pPr>
            <w:r>
              <w:rPr>
                <w:rFonts w:ascii="Times New Roman" w:hAnsi="Times New Roman"/>
                <w:color w:val="00000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04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合　　　　计</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rPr>
                <w:rFonts w:ascii="Times New Roman" w:hAnsi="Times New Roman"/>
                <w:sz w:val="20"/>
                <w:szCs w:val="20"/>
              </w:rPr>
            </w:pPr>
            <w:r>
              <w:rPr>
                <w:rFonts w:ascii="Times New Roman" w:hAnsi="Times New Roman"/>
                <w:sz w:val="20"/>
                <w:szCs w:val="20"/>
              </w:rPr>
              <w:t>100</w:t>
            </w:r>
          </w:p>
        </w:tc>
        <w:tc>
          <w:tcPr>
            <w:tcW w:w="1139" w:type="dxa"/>
            <w:vAlign w:val="center"/>
          </w:tcPr>
          <w:p>
            <w:pPr>
              <w:keepNext w:val="0"/>
              <w:keepLines w:val="0"/>
              <w:pageBreakBefore w:val="0"/>
              <w:widowControl w:val="0"/>
              <w:kinsoku/>
              <w:wordWrap/>
              <w:overflowPunct/>
              <w:topLinePunct w:val="0"/>
              <w:autoSpaceDE/>
              <w:autoSpaceDN/>
              <w:bidi w:val="0"/>
              <w:spacing w:line="260" w:lineRule="exact"/>
              <w:jc w:val="center"/>
              <w:rPr>
                <w:rFonts w:ascii="Times New Roman" w:hAnsi="Times New Roman"/>
                <w:sz w:val="20"/>
                <w:szCs w:val="20"/>
              </w:rPr>
            </w:pPr>
            <w:r>
              <w:rPr>
                <w:rFonts w:ascii="Times New Roman" w:hAnsi="Times New Roman"/>
                <w:color w:val="000000"/>
                <w:kern w:val="0"/>
                <w:sz w:val="20"/>
                <w:szCs w:val="20"/>
              </w:rPr>
              <w:t>98</w:t>
            </w:r>
          </w:p>
        </w:tc>
      </w:tr>
    </w:tbl>
    <w:p>
      <w:pPr>
        <w:keepNext w:val="0"/>
        <w:keepLines w:val="0"/>
        <w:pageBreakBefore w:val="0"/>
        <w:widowControl w:val="0"/>
        <w:tabs>
          <w:tab w:val="left" w:pos="3885"/>
        </w:tabs>
        <w:kinsoku/>
        <w:wordWrap/>
        <w:overflowPunct/>
        <w:topLinePunct w:val="0"/>
        <w:autoSpaceDE/>
        <w:autoSpaceDN/>
        <w:bidi w:val="0"/>
        <w:snapToGrid w:val="0"/>
        <w:spacing w:line="560" w:lineRule="exact"/>
        <w:ind w:firstLine="640" w:firstLineChars="200"/>
        <w:textAlignment w:val="auto"/>
        <w:rPr>
          <w:rFonts w:ascii="方正黑体_GBK" w:hAnsi="方正黑体_GBK" w:eastAsia="黑体" w:cs="方正黑体_GBK"/>
          <w:sz w:val="32"/>
          <w:szCs w:val="33"/>
        </w:rPr>
      </w:pPr>
      <w:r>
        <w:rPr>
          <w:rFonts w:hint="eastAsia" w:ascii="方正黑体_GBK" w:hAnsi="方正黑体_GBK" w:eastAsia="黑体" w:cs="方正黑体_GBK"/>
          <w:sz w:val="32"/>
          <w:szCs w:val="33"/>
        </w:rPr>
        <w:t>四、绩效评价指标分析</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Times New Roman" w:hAnsi="Times New Roman" w:eastAsia="楷体_GB2312"/>
          <w:b/>
          <w:bCs/>
          <w:sz w:val="32"/>
          <w:szCs w:val="33"/>
        </w:rPr>
      </w:pPr>
      <w:r>
        <w:rPr>
          <w:rFonts w:ascii="Times New Roman" w:hAnsi="Times New Roman" w:eastAsia="楷体_GB2312"/>
          <w:b/>
          <w:bCs/>
          <w:sz w:val="32"/>
          <w:szCs w:val="33"/>
        </w:rPr>
        <w:t>（一）项目决策情况</w:t>
      </w:r>
    </w:p>
    <w:p>
      <w:pPr>
        <w:keepNext w:val="0"/>
        <w:keepLines w:val="0"/>
        <w:pageBreakBefore w:val="0"/>
        <w:widowControl w:val="0"/>
        <w:tabs>
          <w:tab w:val="left" w:pos="3885"/>
        </w:tabs>
        <w:kinsoku/>
        <w:wordWrap/>
        <w:overflowPunct/>
        <w:topLinePunct w:val="0"/>
        <w:autoSpaceDE/>
        <w:autoSpaceDN/>
        <w:bidi w:val="0"/>
        <w:snapToGrid w:val="0"/>
        <w:spacing w:line="560" w:lineRule="exact"/>
        <w:ind w:firstLine="640" w:firstLineChars="200"/>
        <w:textAlignment w:val="auto"/>
        <w:rPr>
          <w:rFonts w:ascii="Times New Roman" w:hAnsi="Times New Roman" w:eastAsia="仿宋_GB2312"/>
          <w:sz w:val="32"/>
          <w:szCs w:val="33"/>
        </w:rPr>
      </w:pPr>
      <w:r>
        <w:rPr>
          <w:rFonts w:hint="eastAsia" w:ascii="Times New Roman" w:hAnsi="Times New Roman" w:eastAsia="仿宋_GB2312"/>
          <w:sz w:val="32"/>
          <w:szCs w:val="33"/>
        </w:rPr>
        <w:t>该项目实施目的</w:t>
      </w:r>
      <w:r>
        <w:rPr>
          <w:rFonts w:hint="eastAsia" w:ascii="Times New Roman" w:hAnsi="Times New Roman" w:eastAsia="仿宋_GB2312"/>
          <w:sz w:val="32"/>
          <w:szCs w:val="33"/>
          <w:lang w:eastAsia="zh-CN"/>
        </w:rPr>
        <w:t>是为了满足</w:t>
      </w:r>
      <w:r>
        <w:rPr>
          <w:rFonts w:ascii="Times New Roman" w:hAnsi="Times New Roman" w:eastAsia="仿宋_GB2312"/>
          <w:sz w:val="32"/>
          <w:szCs w:val="33"/>
        </w:rPr>
        <w:t>2022</w:t>
      </w:r>
      <w:r>
        <w:rPr>
          <w:rFonts w:hint="eastAsia" w:ascii="Times New Roman" w:hAnsi="Times New Roman" w:eastAsia="仿宋_GB2312"/>
          <w:sz w:val="32"/>
          <w:szCs w:val="33"/>
        </w:rPr>
        <w:t>年区林业局开展森林草原火灾预防及早期火情处置需求，符合</w:t>
      </w:r>
      <w:r>
        <w:rPr>
          <w:rFonts w:hint="eastAsia" w:ascii="Times New Roman" w:hAnsi="Times New Roman" w:eastAsia="仿宋_GB2312"/>
          <w:sz w:val="32"/>
          <w:szCs w:val="33"/>
          <w:lang w:val="zh-CN"/>
        </w:rPr>
        <w:t>《森林防火条例》《四川省森林草原防火条例》《攀枝花市森林草原防灭火条例》</w:t>
      </w:r>
      <w:r>
        <w:rPr>
          <w:rFonts w:hint="eastAsia" w:ascii="Times New Roman" w:hAnsi="Times New Roman" w:eastAsia="仿宋_GB2312"/>
          <w:sz w:val="32"/>
          <w:szCs w:val="33"/>
        </w:rPr>
        <w:t>的规定。2022年1月30日，区林业局向区政府上报《关于追加2022年度森林草原防灭火专项经费的请示》；2022年10月27日区林业局向区政府上报《关于追加森林草原防灭火专项经费的请示》，</w:t>
      </w:r>
      <w:r>
        <w:rPr>
          <w:rFonts w:hint="eastAsia" w:ascii="Times New Roman" w:hAnsi="Times New Roman" w:eastAsia="仿宋_GB2312"/>
          <w:sz w:val="32"/>
          <w:szCs w:val="33"/>
          <w:lang w:eastAsia="zh-CN"/>
        </w:rPr>
        <w:t>共</w:t>
      </w:r>
      <w:r>
        <w:rPr>
          <w:rFonts w:hint="eastAsia" w:ascii="Times New Roman" w:hAnsi="Times New Roman" w:eastAsia="仿宋_GB2312"/>
          <w:sz w:val="32"/>
          <w:szCs w:val="33"/>
        </w:rPr>
        <w:t>申请解决2022年度森林草原防灭火专项经费预</w:t>
      </w:r>
      <w:r>
        <w:rPr>
          <w:rFonts w:hint="eastAsia" w:ascii="Times New Roman" w:hAnsi="Times New Roman" w:eastAsia="仿宋_GB2312"/>
          <w:spacing w:val="-6"/>
          <w:sz w:val="32"/>
          <w:szCs w:val="33"/>
        </w:rPr>
        <w:t>算</w:t>
      </w:r>
      <w:r>
        <w:rPr>
          <w:rFonts w:hint="eastAsia" w:ascii="Times New Roman" w:hAnsi="Times New Roman" w:eastAsia="仿宋_GB2312"/>
          <w:spacing w:val="-6"/>
          <w:sz w:val="32"/>
          <w:szCs w:val="33"/>
          <w:lang w:val="en-US" w:eastAsia="zh-CN"/>
        </w:rPr>
        <w:t>315万元</w:t>
      </w:r>
      <w:r>
        <w:rPr>
          <w:rFonts w:hint="eastAsia" w:ascii="Times New Roman" w:hAnsi="Times New Roman" w:eastAsia="仿宋_GB2312"/>
          <w:spacing w:val="-6"/>
          <w:sz w:val="32"/>
          <w:szCs w:val="33"/>
        </w:rPr>
        <w:t>，区财政局按程序报请区政府常务会</w:t>
      </w:r>
      <w:r>
        <w:rPr>
          <w:rFonts w:hint="eastAsia" w:ascii="Times New Roman" w:hAnsi="Times New Roman" w:eastAsia="仿宋_GB2312"/>
          <w:spacing w:val="-6"/>
          <w:sz w:val="32"/>
          <w:szCs w:val="33"/>
          <w:lang w:eastAsia="zh-CN"/>
        </w:rPr>
        <w:t>审批后安排资金</w:t>
      </w:r>
      <w:r>
        <w:rPr>
          <w:rFonts w:hint="eastAsia" w:ascii="Times New Roman" w:hAnsi="Times New Roman" w:eastAsia="仿宋_GB2312"/>
          <w:spacing w:val="-6"/>
          <w:sz w:val="32"/>
          <w:szCs w:val="33"/>
        </w:rPr>
        <w:t>。</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Times New Roman" w:hAnsi="Times New Roman" w:eastAsia="楷体_GB2312"/>
          <w:b/>
          <w:bCs/>
          <w:sz w:val="32"/>
          <w:szCs w:val="33"/>
        </w:rPr>
      </w:pPr>
      <w:r>
        <w:rPr>
          <w:rFonts w:ascii="Times New Roman" w:hAnsi="Times New Roman" w:eastAsia="楷体_GB2312"/>
          <w:b/>
          <w:bCs/>
          <w:sz w:val="32"/>
          <w:szCs w:val="33"/>
        </w:rPr>
        <w:t>（二）项目过程情况</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ascii="方正仿宋_GBK" w:hAnsi="方正仿宋_GBK" w:eastAsia="仿宋_GB2312" w:cs="方正仿宋_GBK"/>
          <w:sz w:val="32"/>
          <w:szCs w:val="33"/>
        </w:rPr>
      </w:pPr>
      <w:r>
        <w:rPr>
          <w:rFonts w:hint="eastAsia" w:ascii="Times New Roman" w:hAnsi="Times New Roman" w:eastAsia="仿宋_GB2312"/>
          <w:sz w:val="32"/>
          <w:szCs w:val="33"/>
        </w:rPr>
        <w:t>2022年区林业局共计收到森林草原防灭火专项经费315万元，资金到位率100%，资金到位非常及时，有效的保障了各项工作开展。</w:t>
      </w:r>
      <w:r>
        <w:rPr>
          <w:rFonts w:hint="eastAsia" w:ascii="Times New Roman" w:hAnsi="Times New Roman" w:eastAsia="仿宋_GB2312"/>
          <w:sz w:val="32"/>
          <w:szCs w:val="33"/>
          <w:lang w:val="zh-CN"/>
        </w:rPr>
        <w:t>截</w:t>
      </w:r>
      <w:r>
        <w:rPr>
          <w:rFonts w:hint="eastAsia" w:ascii="Times New Roman" w:hAnsi="Times New Roman" w:eastAsia="仿宋_GB2312"/>
          <w:sz w:val="32"/>
          <w:szCs w:val="33"/>
        </w:rPr>
        <w:t>至2022年底，区林业局共计支出森林草原防灭火专项经费315万元，</w:t>
      </w:r>
      <w:r>
        <w:rPr>
          <w:rFonts w:hint="eastAsia" w:ascii="Times New Roman" w:hAnsi="Times New Roman" w:eastAsia="仿宋_GB2312"/>
          <w:sz w:val="32"/>
          <w:szCs w:val="33"/>
          <w:lang w:eastAsia="zh-CN"/>
        </w:rPr>
        <w:t>支付率</w:t>
      </w:r>
      <w:r>
        <w:rPr>
          <w:rFonts w:hint="eastAsia" w:ascii="Times New Roman" w:hAnsi="Times New Roman" w:eastAsia="仿宋_GB2312"/>
          <w:sz w:val="32"/>
          <w:szCs w:val="33"/>
          <w:lang w:val="en-US" w:eastAsia="zh-CN"/>
        </w:rPr>
        <w:t>100%</w:t>
      </w:r>
      <w:r>
        <w:rPr>
          <w:rFonts w:hint="eastAsia" w:ascii="Times New Roman" w:hAnsi="Times New Roman" w:eastAsia="仿宋_GB2312"/>
          <w:sz w:val="32"/>
          <w:szCs w:val="33"/>
        </w:rPr>
        <w:t>。资金的使用严格按照区级规定的使用范围和标准执行，资金严格按照项目进度进行支付，支付依据合法合规。</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Times New Roman" w:hAnsi="Times New Roman" w:eastAsia="楷体_GB2312"/>
          <w:b/>
          <w:bCs/>
          <w:sz w:val="32"/>
          <w:szCs w:val="33"/>
        </w:rPr>
      </w:pPr>
      <w:r>
        <w:rPr>
          <w:rFonts w:ascii="Times New Roman" w:hAnsi="Times New Roman" w:eastAsia="楷体_GB2312"/>
          <w:b/>
          <w:bCs/>
          <w:sz w:val="32"/>
          <w:szCs w:val="33"/>
        </w:rPr>
        <w:t>（三）项目产出情况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ascii="Times New Roman" w:hAnsi="Times New Roman" w:eastAsia="仿宋_GB2312"/>
          <w:sz w:val="32"/>
          <w:szCs w:val="33"/>
          <w:lang w:val="zh-CN"/>
        </w:rPr>
      </w:pPr>
      <w:r>
        <w:rPr>
          <w:rFonts w:hint="eastAsia" w:ascii="Times New Roman" w:hAnsi="Times New Roman" w:eastAsia="仿宋_GB2312"/>
          <w:sz w:val="32"/>
          <w:szCs w:val="33"/>
        </w:rPr>
        <w:t>区林业局牵头完成了2022年50人专业扑火队、24人固定检查站值守人员、47人志愿巡护队、43人巡山护林员的组建，实施计划烧除</w:t>
      </w:r>
      <w:r>
        <w:rPr>
          <w:rFonts w:hint="eastAsia" w:ascii="Times New Roman" w:hAnsi="Times New Roman" w:eastAsia="仿宋_GB2312"/>
          <w:sz w:val="32"/>
          <w:szCs w:val="33"/>
          <w:lang w:eastAsia="zh-CN"/>
        </w:rPr>
        <w:t>防火隔离带</w:t>
      </w:r>
      <w:r>
        <w:rPr>
          <w:rFonts w:hint="eastAsia" w:ascii="Times New Roman" w:hAnsi="Times New Roman" w:eastAsia="仿宋_GB2312"/>
          <w:sz w:val="32"/>
          <w:szCs w:val="33"/>
        </w:rPr>
        <w:t>4552亩，</w:t>
      </w:r>
      <w:r>
        <w:rPr>
          <w:rFonts w:hint="eastAsia" w:ascii="Times New Roman" w:hAnsi="Times New Roman" w:eastAsia="仿宋_GB2312"/>
          <w:sz w:val="32"/>
          <w:szCs w:val="33"/>
          <w:lang w:eastAsia="zh-CN"/>
        </w:rPr>
        <w:t>“</w:t>
      </w:r>
      <w:r>
        <w:rPr>
          <w:rFonts w:hint="eastAsia" w:ascii="Times New Roman" w:hAnsi="Times New Roman" w:eastAsia="仿宋_GB2312"/>
          <w:sz w:val="32"/>
          <w:szCs w:val="33"/>
        </w:rPr>
        <w:t>人防、物防、技防</w:t>
      </w:r>
      <w:r>
        <w:rPr>
          <w:rFonts w:hint="eastAsia" w:ascii="Times New Roman" w:hAnsi="Times New Roman" w:eastAsia="仿宋_GB2312"/>
          <w:sz w:val="32"/>
          <w:szCs w:val="33"/>
          <w:lang w:eastAsia="zh-CN"/>
        </w:rPr>
        <w:t>”</w:t>
      </w:r>
      <w:r>
        <w:rPr>
          <w:rFonts w:hint="eastAsia" w:ascii="Times New Roman" w:hAnsi="Times New Roman" w:eastAsia="仿宋_GB2312"/>
          <w:sz w:val="32"/>
          <w:szCs w:val="33"/>
        </w:rPr>
        <w:t>措施落地见效，实现了守住山、管住人、防住火的目标。项目实施后，进一步提升了西区森林草原防灭火综合能力，2022年全区未发生森林草原火灾和扑火人员伤亡</w:t>
      </w:r>
      <w:r>
        <w:rPr>
          <w:rFonts w:hint="eastAsia" w:ascii="Times New Roman" w:hAnsi="Times New Roman" w:eastAsia="仿宋_GB2312"/>
          <w:sz w:val="32"/>
          <w:szCs w:val="33"/>
          <w:highlight w:val="none"/>
        </w:rPr>
        <w:t>事件。</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Times New Roman" w:hAnsi="Times New Roman" w:eastAsia="楷体_GB2312"/>
          <w:b/>
          <w:bCs/>
          <w:sz w:val="32"/>
          <w:szCs w:val="33"/>
        </w:rPr>
      </w:pPr>
      <w:r>
        <w:rPr>
          <w:rFonts w:ascii="Times New Roman" w:hAnsi="Times New Roman" w:eastAsia="楷体_GB2312"/>
          <w:b/>
          <w:bCs/>
          <w:sz w:val="32"/>
          <w:szCs w:val="33"/>
        </w:rPr>
        <w:t>（四）项目效益情况</w:t>
      </w:r>
    </w:p>
    <w:p>
      <w:pPr>
        <w:pStyle w:val="5"/>
        <w:keepNext w:val="0"/>
        <w:keepLines w:val="0"/>
        <w:pageBreakBefore w:val="0"/>
        <w:widowControl w:val="0"/>
        <w:kinsoku/>
        <w:wordWrap/>
        <w:overflowPunct/>
        <w:topLinePunct w:val="0"/>
        <w:autoSpaceDE/>
        <w:autoSpaceDN/>
        <w:bidi w:val="0"/>
        <w:spacing w:line="560" w:lineRule="exact"/>
        <w:ind w:firstLine="640" w:firstLineChars="200"/>
        <w:textAlignment w:val="auto"/>
      </w:pPr>
      <w:r>
        <w:rPr>
          <w:rFonts w:ascii="Times New Roman" w:hAnsi="Times New Roman" w:eastAsia="仿宋_GB2312"/>
          <w:sz w:val="32"/>
          <w:szCs w:val="33"/>
        </w:rPr>
        <w:t>项目的实施</w:t>
      </w:r>
      <w:r>
        <w:rPr>
          <w:rFonts w:hint="eastAsia" w:ascii="Times New Roman" w:hAnsi="Times New Roman" w:eastAsia="仿宋_GB2312"/>
          <w:sz w:val="32"/>
          <w:szCs w:val="33"/>
        </w:rPr>
        <w:t>为全区的经济发展、社会稳定打下坚实基础，有力维护了森林资源安全，生态效益和可持续效益明显，村组干部、巡山员、专业扑火队员等</w:t>
      </w:r>
      <w:r>
        <w:rPr>
          <w:rFonts w:hint="eastAsia" w:ascii="Times New Roman" w:hAnsi="Times New Roman" w:eastAsia="仿宋_GB2312"/>
          <w:sz w:val="32"/>
          <w:szCs w:val="33"/>
          <w:lang w:val="zh-CN"/>
        </w:rPr>
        <w:t>服务对象满意度较高。</w:t>
      </w:r>
    </w:p>
    <w:p>
      <w:pPr>
        <w:keepNext w:val="0"/>
        <w:keepLines w:val="0"/>
        <w:pageBreakBefore w:val="0"/>
        <w:widowControl w:val="0"/>
        <w:tabs>
          <w:tab w:val="left" w:pos="3885"/>
        </w:tabs>
        <w:kinsoku/>
        <w:wordWrap/>
        <w:overflowPunct/>
        <w:topLinePunct w:val="0"/>
        <w:autoSpaceDE/>
        <w:autoSpaceDN/>
        <w:bidi w:val="0"/>
        <w:snapToGrid w:val="0"/>
        <w:spacing w:line="560" w:lineRule="exact"/>
        <w:ind w:firstLine="640" w:firstLineChars="200"/>
        <w:textAlignment w:val="auto"/>
        <w:rPr>
          <w:rFonts w:ascii="方正黑体_GBK" w:hAnsi="方正黑体_GBK" w:eastAsia="黑体" w:cs="方正黑体_GBK"/>
          <w:sz w:val="32"/>
          <w:szCs w:val="33"/>
        </w:rPr>
      </w:pPr>
      <w:r>
        <w:rPr>
          <w:rFonts w:hint="eastAsia" w:ascii="方正黑体_GBK" w:hAnsi="方正黑体_GBK" w:eastAsia="黑体" w:cs="方正黑体_GBK"/>
          <w:sz w:val="32"/>
          <w:szCs w:val="33"/>
        </w:rPr>
        <w:t>五、存在主要问题</w:t>
      </w:r>
    </w:p>
    <w:p>
      <w:pPr>
        <w:keepNext w:val="0"/>
        <w:keepLines w:val="0"/>
        <w:pageBreakBefore w:val="0"/>
        <w:widowControl w:val="0"/>
        <w:tabs>
          <w:tab w:val="left" w:pos="3885"/>
        </w:tabs>
        <w:kinsoku/>
        <w:wordWrap/>
        <w:overflowPunct/>
        <w:topLinePunct w:val="0"/>
        <w:autoSpaceDE/>
        <w:autoSpaceDN/>
        <w:bidi w:val="0"/>
        <w:snapToGrid w:val="0"/>
        <w:spacing w:line="560" w:lineRule="exact"/>
        <w:ind w:firstLine="643" w:firstLineChars="200"/>
        <w:textAlignment w:val="auto"/>
        <w:rPr>
          <w:rFonts w:ascii="Times New Roman" w:hAnsi="Times New Roman" w:eastAsia="仿宋_GB2312"/>
          <w:sz w:val="32"/>
          <w:szCs w:val="33"/>
        </w:rPr>
      </w:pPr>
      <w:r>
        <w:rPr>
          <w:rFonts w:hint="eastAsia" w:ascii="Times New Roman" w:hAnsi="Times New Roman" w:eastAsia="仿宋_GB2312"/>
          <w:b/>
          <w:bCs/>
          <w:sz w:val="32"/>
          <w:szCs w:val="33"/>
        </w:rPr>
        <w:t>一是</w:t>
      </w:r>
      <w:r>
        <w:rPr>
          <w:rFonts w:hint="eastAsia" w:ascii="Times New Roman" w:hAnsi="Times New Roman" w:eastAsia="仿宋_GB2312"/>
          <w:sz w:val="32"/>
          <w:szCs w:val="33"/>
        </w:rPr>
        <w:t>该项目为</w:t>
      </w:r>
      <w:r>
        <w:rPr>
          <w:rFonts w:hint="eastAsia" w:ascii="Times New Roman" w:hAnsi="Times New Roman" w:eastAsia="仿宋_GB2312"/>
          <w:sz w:val="32"/>
          <w:szCs w:val="33"/>
          <w:lang w:val="zh-CN"/>
        </w:rPr>
        <w:t>《森林防火条例》《四川省森林草原防火条例》《攀枝花市森林草原防灭火条例》</w:t>
      </w:r>
      <w:r>
        <w:rPr>
          <w:rFonts w:hint="eastAsia" w:ascii="Times New Roman" w:hAnsi="Times New Roman" w:eastAsia="仿宋_GB2312"/>
          <w:sz w:val="32"/>
          <w:szCs w:val="33"/>
        </w:rPr>
        <w:t>中明确规定县级财政预算保障，国家、省、市缺少对该项目落地的专项经费补助，仅依托区财政保障该项目经费十分困难。</w:t>
      </w:r>
      <w:r>
        <w:rPr>
          <w:rFonts w:hint="eastAsia" w:ascii="Times New Roman" w:hAnsi="Times New Roman" w:eastAsia="仿宋_GB2312"/>
          <w:b/>
          <w:bCs/>
          <w:sz w:val="32"/>
          <w:szCs w:val="33"/>
        </w:rPr>
        <w:t>二是</w:t>
      </w:r>
      <w:r>
        <w:rPr>
          <w:rFonts w:hint="eastAsia" w:ascii="Times New Roman" w:hAnsi="Times New Roman" w:eastAsia="仿宋_GB2312"/>
          <w:sz w:val="32"/>
          <w:szCs w:val="33"/>
        </w:rPr>
        <w:t>该项目资金主要为解决专业扑火队、巡山护林员、卡点值守人员等森林草原防火一线人员劳务费，但是部分区域的人员安排较密集，难以确保资金绩效全面发挥。</w:t>
      </w:r>
    </w:p>
    <w:p>
      <w:pPr>
        <w:keepNext w:val="0"/>
        <w:keepLines w:val="0"/>
        <w:pageBreakBefore w:val="0"/>
        <w:widowControl w:val="0"/>
        <w:tabs>
          <w:tab w:val="left" w:pos="3885"/>
        </w:tabs>
        <w:kinsoku/>
        <w:wordWrap/>
        <w:overflowPunct/>
        <w:topLinePunct w:val="0"/>
        <w:autoSpaceDE/>
        <w:autoSpaceDN/>
        <w:bidi w:val="0"/>
        <w:snapToGrid w:val="0"/>
        <w:spacing w:line="560" w:lineRule="exact"/>
        <w:ind w:firstLine="640" w:firstLineChars="200"/>
        <w:textAlignment w:val="auto"/>
        <w:rPr>
          <w:rFonts w:ascii="方正黑体_GBK" w:hAnsi="方正黑体_GBK" w:eastAsia="黑体" w:cs="方正黑体_GBK"/>
          <w:sz w:val="32"/>
          <w:szCs w:val="33"/>
        </w:rPr>
      </w:pPr>
      <w:r>
        <w:rPr>
          <w:rFonts w:hint="eastAsia" w:ascii="方正黑体_GBK" w:hAnsi="方正黑体_GBK" w:eastAsia="黑体" w:cs="方正黑体_GBK"/>
          <w:sz w:val="32"/>
          <w:szCs w:val="33"/>
        </w:rPr>
        <w:t>六、有关建议</w:t>
      </w:r>
    </w:p>
    <w:p>
      <w:pPr>
        <w:keepNext w:val="0"/>
        <w:keepLines w:val="0"/>
        <w:pageBreakBefore w:val="0"/>
        <w:widowControl w:val="0"/>
        <w:tabs>
          <w:tab w:val="left" w:pos="3885"/>
        </w:tabs>
        <w:kinsoku/>
        <w:wordWrap/>
        <w:overflowPunct/>
        <w:topLinePunct w:val="0"/>
        <w:autoSpaceDE/>
        <w:autoSpaceDN/>
        <w:bidi w:val="0"/>
        <w:snapToGrid w:val="0"/>
        <w:spacing w:line="560" w:lineRule="exact"/>
        <w:ind w:firstLine="643" w:firstLineChars="200"/>
        <w:textAlignment w:val="auto"/>
        <w:rPr>
          <w:rFonts w:ascii="Times New Roman" w:hAnsi="Times New Roman" w:eastAsia="仿宋_GB2312"/>
          <w:sz w:val="32"/>
          <w:szCs w:val="33"/>
        </w:rPr>
      </w:pPr>
      <w:r>
        <w:rPr>
          <w:rFonts w:hint="eastAsia" w:ascii="Times New Roman" w:hAnsi="Times New Roman" w:eastAsia="仿宋_GB2312"/>
          <w:b/>
          <w:bCs/>
          <w:sz w:val="32"/>
          <w:szCs w:val="33"/>
        </w:rPr>
        <w:t>一是</w:t>
      </w:r>
      <w:r>
        <w:rPr>
          <w:rFonts w:hint="eastAsia" w:ascii="Times New Roman" w:hAnsi="Times New Roman" w:eastAsia="仿宋_GB2312"/>
          <w:sz w:val="32"/>
          <w:szCs w:val="33"/>
        </w:rPr>
        <w:t>区财政局、区林业局加强对上汇报，争取上级专项经费补助，缓解区财政压力。</w:t>
      </w:r>
      <w:r>
        <w:rPr>
          <w:rFonts w:hint="eastAsia" w:ascii="Times New Roman" w:hAnsi="Times New Roman" w:eastAsia="仿宋_GB2312"/>
          <w:b/>
          <w:bCs/>
          <w:sz w:val="32"/>
          <w:szCs w:val="33"/>
        </w:rPr>
        <w:t>二是</w:t>
      </w:r>
      <w:r>
        <w:rPr>
          <w:rFonts w:hint="eastAsia" w:ascii="Times New Roman" w:hAnsi="Times New Roman" w:eastAsia="仿宋_GB2312"/>
          <w:sz w:val="32"/>
          <w:szCs w:val="33"/>
        </w:rPr>
        <w:t>区林业局会同格里坪镇对2023年的志愿巡护人员力量进行合理调减优化，对巡山护林员、志愿巡护队员的巡护区域进行合理优化，确保人员力量部署合理，并加强对一线人员的管理考核力度。</w:t>
      </w:r>
    </w:p>
    <w:p>
      <w:pPr>
        <w:keepNext w:val="0"/>
        <w:keepLines w:val="0"/>
        <w:pageBreakBefore w:val="0"/>
        <w:widowControl w:val="0"/>
        <w:kinsoku/>
        <w:wordWrap/>
        <w:overflowPunct/>
        <w:topLinePunct w:val="0"/>
        <w:autoSpaceDE/>
        <w:autoSpaceDN/>
        <w:bidi w:val="0"/>
        <w:spacing w:line="560" w:lineRule="exact"/>
        <w:textAlignment w:val="auto"/>
      </w:pPr>
    </w:p>
    <w:p>
      <w:pPr>
        <w:pStyle w:val="2"/>
        <w:keepNext w:val="0"/>
        <w:keepLines w:val="0"/>
        <w:pageBreakBefore w:val="0"/>
        <w:widowControl w:val="0"/>
        <w:kinsoku/>
        <w:wordWrap/>
        <w:overflowPunct/>
        <w:topLinePunct w:val="0"/>
        <w:autoSpaceDE/>
        <w:autoSpaceDN/>
        <w:bidi w:val="0"/>
      </w:pPr>
    </w:p>
    <w:p>
      <w:pPr>
        <w:pStyle w:val="3"/>
      </w:pPr>
    </w:p>
    <w:p>
      <w:pPr>
        <w:spacing w:line="600" w:lineRule="exact"/>
        <w:rPr>
          <w:rFonts w:ascii="Times New Roman" w:hAnsi="Times New Roman" w:eastAsia="黑体"/>
          <w:sz w:val="32"/>
          <w:szCs w:val="33"/>
        </w:rPr>
      </w:pPr>
      <w:r>
        <w:rPr>
          <w:rFonts w:ascii="Times New Roman" w:hAnsi="Times New Roman" w:eastAsia="黑体"/>
          <w:sz w:val="32"/>
          <w:szCs w:val="33"/>
        </w:rPr>
        <w:t>附件6</w:t>
      </w:r>
    </w:p>
    <w:p>
      <w:pPr>
        <w:snapToGrid w:val="0"/>
        <w:spacing w:line="60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rPr>
        <w:t>2022年食堂运行经费绩效评价报告</w:t>
      </w:r>
    </w:p>
    <w:p>
      <w:pPr>
        <w:pStyle w:val="2"/>
        <w:keepNext w:val="0"/>
        <w:keepLines w:val="0"/>
        <w:pageBreakBefore w:val="0"/>
        <w:widowControl w:val="0"/>
        <w:kinsoku/>
        <w:wordWrap/>
        <w:overflowPunct/>
        <w:topLinePunct w:val="0"/>
        <w:autoSpaceDE/>
        <w:autoSpaceDN/>
        <w:bidi w:val="0"/>
        <w:adjustRightInd/>
        <w:snapToGrid/>
        <w:spacing w:before="157" w:beforeLines="50" w:line="560" w:lineRule="exact"/>
        <w:ind w:left="0" w:firstLine="640" w:firstLineChars="200"/>
        <w:textAlignment w:val="baseline"/>
      </w:pPr>
      <w:r>
        <w:rPr>
          <w:rFonts w:ascii="Times New Roman" w:hAnsi="Times New Roman" w:eastAsia="仿宋_GB2312"/>
          <w:sz w:val="32"/>
          <w:szCs w:val="33"/>
        </w:rPr>
        <w:t>根据《中华人民共和国预算法》《中共四川省委 四川省人民政府关于全面实施预算绩效管理的实施意见》以及市第十届人大常委会第四次会议提出的</w:t>
      </w:r>
      <w:r>
        <w:rPr>
          <w:rFonts w:hint="eastAsia" w:ascii="Times New Roman" w:hAnsi="Times New Roman" w:eastAsia="仿宋_GB2312"/>
          <w:sz w:val="32"/>
          <w:szCs w:val="33"/>
          <w:lang w:eastAsia="zh-CN"/>
        </w:rPr>
        <w:t>“</w:t>
      </w:r>
      <w:r>
        <w:rPr>
          <w:rFonts w:ascii="Times New Roman" w:hAnsi="Times New Roman" w:eastAsia="仿宋_GB2312"/>
          <w:sz w:val="32"/>
          <w:szCs w:val="33"/>
        </w:rPr>
        <w:t>进一步完善财政支出绩效评价制度，尤其是对评价结果的运用制度</w:t>
      </w:r>
      <w:r>
        <w:rPr>
          <w:rFonts w:hint="eastAsia" w:ascii="Times New Roman" w:hAnsi="Times New Roman" w:eastAsia="仿宋_GB2312"/>
          <w:sz w:val="32"/>
          <w:szCs w:val="33"/>
          <w:lang w:eastAsia="zh-CN"/>
        </w:rPr>
        <w:t>”</w:t>
      </w:r>
      <w:r>
        <w:rPr>
          <w:rFonts w:ascii="Times New Roman" w:hAnsi="Times New Roman" w:eastAsia="仿宋_GB2312"/>
          <w:sz w:val="32"/>
          <w:szCs w:val="33"/>
        </w:rPr>
        <w:t>等要求，于20</w:t>
      </w:r>
      <w:r>
        <w:rPr>
          <w:rFonts w:hint="eastAsia" w:ascii="Times New Roman" w:hAnsi="Times New Roman" w:eastAsia="仿宋_GB2312"/>
          <w:sz w:val="32"/>
          <w:szCs w:val="33"/>
        </w:rPr>
        <w:t>2</w:t>
      </w:r>
      <w:r>
        <w:rPr>
          <w:rFonts w:ascii="Times New Roman" w:hAnsi="Times New Roman" w:eastAsia="仿宋_GB2312"/>
          <w:sz w:val="32"/>
          <w:szCs w:val="33"/>
        </w:rPr>
        <w:t>3年6月至7月对</w:t>
      </w:r>
      <w:r>
        <w:rPr>
          <w:rFonts w:hint="eastAsia" w:ascii="Times New Roman" w:hAnsi="Times New Roman" w:eastAsia="仿宋_GB2312"/>
          <w:sz w:val="32"/>
          <w:szCs w:val="33"/>
        </w:rPr>
        <w:t>2022年食堂运行经费</w:t>
      </w:r>
      <w:r>
        <w:rPr>
          <w:rFonts w:ascii="Times New Roman" w:hAnsi="Times New Roman" w:eastAsia="仿宋_GB2312"/>
          <w:sz w:val="32"/>
          <w:szCs w:val="33"/>
        </w:rPr>
        <w:t>开展了绩效评价，现将有关情况报告如下。</w:t>
      </w:r>
    </w:p>
    <w:p>
      <w:pPr>
        <w:keepNext w:val="0"/>
        <w:keepLines w:val="0"/>
        <w:pageBreakBefore w:val="0"/>
        <w:widowControl w:val="0"/>
        <w:tabs>
          <w:tab w:val="left" w:pos="3885"/>
        </w:tabs>
        <w:kinsoku/>
        <w:wordWrap/>
        <w:overflowPunct/>
        <w:topLinePunct w:val="0"/>
        <w:autoSpaceDE/>
        <w:autoSpaceDN/>
        <w:bidi w:val="0"/>
        <w:adjustRightInd/>
        <w:snapToGrid w:val="0"/>
        <w:spacing w:line="560" w:lineRule="exact"/>
        <w:ind w:firstLine="640" w:firstLineChars="200"/>
        <w:rPr>
          <w:rFonts w:ascii="方正黑体_GBK" w:hAnsi="方正黑体_GBK" w:eastAsia="黑体" w:cs="方正黑体_GBK"/>
          <w:sz w:val="32"/>
          <w:szCs w:val="33"/>
        </w:rPr>
      </w:pPr>
      <w:r>
        <w:rPr>
          <w:rFonts w:hint="eastAsia" w:ascii="方正黑体_GBK" w:hAnsi="方正黑体_GBK" w:eastAsia="黑体" w:cs="方正黑体_GBK"/>
          <w:sz w:val="32"/>
          <w:szCs w:val="33"/>
        </w:rPr>
        <w:t>一、基本情况</w:t>
      </w:r>
    </w:p>
    <w:p>
      <w:pPr>
        <w:keepNext w:val="0"/>
        <w:keepLines w:val="0"/>
        <w:pageBreakBefore w:val="0"/>
        <w:widowControl w:val="0"/>
        <w:tabs>
          <w:tab w:val="left" w:pos="3885"/>
        </w:tabs>
        <w:kinsoku/>
        <w:wordWrap/>
        <w:overflowPunct/>
        <w:topLinePunct w:val="0"/>
        <w:autoSpaceDE/>
        <w:autoSpaceDN/>
        <w:bidi w:val="0"/>
        <w:adjustRightInd/>
        <w:snapToGrid w:val="0"/>
        <w:spacing w:line="560" w:lineRule="exact"/>
        <w:ind w:firstLine="643" w:firstLineChars="200"/>
        <w:rPr>
          <w:rFonts w:ascii="方正楷体_GBK" w:hAnsi="方正楷体_GBK" w:eastAsia="楷体_GB2312" w:cs="方正楷体_GBK"/>
          <w:b/>
          <w:sz w:val="32"/>
          <w:szCs w:val="33"/>
        </w:rPr>
      </w:pPr>
      <w:r>
        <w:rPr>
          <w:rFonts w:hint="eastAsia" w:ascii="方正楷体_GBK" w:hAnsi="方正楷体_GBK" w:eastAsia="楷体_GB2312" w:cs="方正楷体_GBK"/>
          <w:b/>
          <w:sz w:val="32"/>
          <w:szCs w:val="33"/>
        </w:rPr>
        <w:t>（一）项目概况</w:t>
      </w:r>
    </w:p>
    <w:p>
      <w:pPr>
        <w:pStyle w:val="15"/>
        <w:keepNext w:val="0"/>
        <w:keepLines w:val="0"/>
        <w:pageBreakBefore w:val="0"/>
        <w:widowControl w:val="0"/>
        <w:tabs>
          <w:tab w:val="left" w:pos="3885"/>
        </w:tabs>
        <w:kinsoku/>
        <w:wordWrap/>
        <w:overflowPunct/>
        <w:topLinePunct w:val="0"/>
        <w:autoSpaceDE/>
        <w:autoSpaceDN/>
        <w:bidi w:val="0"/>
        <w:adjustRightInd/>
        <w:snapToGrid w:val="0"/>
        <w:spacing w:line="560" w:lineRule="exact"/>
        <w:ind w:firstLine="660"/>
        <w:rPr>
          <w:rFonts w:ascii="Times New Roman" w:hAnsi="Times New Roman" w:eastAsia="仿宋_GB2312"/>
          <w:sz w:val="32"/>
          <w:szCs w:val="33"/>
        </w:rPr>
      </w:pPr>
      <w:r>
        <w:rPr>
          <w:rFonts w:hint="eastAsia" w:ascii="Times New Roman" w:hAnsi="Times New Roman" w:eastAsia="仿宋_GB2312"/>
          <w:sz w:val="32"/>
          <w:szCs w:val="33"/>
        </w:rPr>
        <w:t>2022年食堂运行经费，主要用于</w:t>
      </w:r>
      <w:r>
        <w:rPr>
          <w:rFonts w:ascii="Times New Roman" w:hAnsi="Times New Roman" w:eastAsia="仿宋_GB2312"/>
          <w:sz w:val="32"/>
          <w:szCs w:val="33"/>
        </w:rPr>
        <w:t>机关食堂运行经费，开展机关食堂建设管理工作，致力于为职工打造一个干净、舒适的就餐环境，</w:t>
      </w:r>
      <w:r>
        <w:rPr>
          <w:rFonts w:hint="eastAsia" w:ascii="Times New Roman" w:hAnsi="Times New Roman" w:eastAsia="仿宋_GB2312"/>
          <w:sz w:val="32"/>
          <w:szCs w:val="33"/>
        </w:rPr>
        <w:t>项目申报与政策和需求相符合，2022年食堂运行经费预算资金为</w:t>
      </w:r>
      <w:r>
        <w:rPr>
          <w:rFonts w:hint="eastAsia" w:ascii="Times New Roman" w:hAnsi="Times New Roman" w:eastAsia="仿宋_GB2312"/>
          <w:sz w:val="32"/>
          <w:szCs w:val="33"/>
          <w:lang w:val="en-US" w:eastAsia="zh-CN"/>
        </w:rPr>
        <w:t>290</w:t>
      </w:r>
      <w:r>
        <w:rPr>
          <w:rFonts w:hint="eastAsia" w:ascii="Times New Roman" w:hAnsi="Times New Roman" w:eastAsia="仿宋_GB2312"/>
          <w:sz w:val="32"/>
          <w:szCs w:val="33"/>
        </w:rPr>
        <w:t>万元，截至2022年12月31日，项目资金已支付</w:t>
      </w:r>
      <w:r>
        <w:rPr>
          <w:rFonts w:ascii="Times New Roman" w:hAnsi="Times New Roman" w:eastAsia="仿宋_GB2312"/>
          <w:sz w:val="32"/>
          <w:szCs w:val="33"/>
        </w:rPr>
        <w:t>274.16</w:t>
      </w:r>
      <w:r>
        <w:rPr>
          <w:rFonts w:hint="eastAsia" w:ascii="Times New Roman" w:hAnsi="Times New Roman" w:eastAsia="仿宋_GB2312"/>
          <w:sz w:val="32"/>
          <w:szCs w:val="33"/>
          <w:lang w:eastAsia="zh-CN"/>
        </w:rPr>
        <w:t>万元，资金支付率为</w:t>
      </w:r>
      <w:r>
        <w:rPr>
          <w:rFonts w:hint="eastAsia" w:ascii="Times New Roman" w:hAnsi="Times New Roman" w:eastAsia="仿宋_GB2312"/>
          <w:sz w:val="32"/>
          <w:szCs w:val="33"/>
          <w:lang w:val="en-US" w:eastAsia="zh-CN"/>
        </w:rPr>
        <w:t>94.54%</w:t>
      </w:r>
      <w:r>
        <w:rPr>
          <w:rFonts w:hint="eastAsia" w:ascii="Times New Roman" w:hAnsi="Times New Roman" w:eastAsia="仿宋_GB2312"/>
          <w:sz w:val="32"/>
          <w:szCs w:val="33"/>
        </w:rPr>
        <w:t>。</w:t>
      </w:r>
    </w:p>
    <w:p>
      <w:pPr>
        <w:keepNext w:val="0"/>
        <w:keepLines w:val="0"/>
        <w:pageBreakBefore w:val="0"/>
        <w:widowControl w:val="0"/>
        <w:kinsoku/>
        <w:wordWrap/>
        <w:overflowPunct/>
        <w:topLinePunct w:val="0"/>
        <w:autoSpaceDE/>
        <w:autoSpaceDN/>
        <w:bidi w:val="0"/>
        <w:adjustRightInd/>
        <w:spacing w:line="560" w:lineRule="exact"/>
        <w:ind w:firstLine="643" w:firstLineChars="200"/>
        <w:rPr>
          <w:rFonts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（二）项目绩效目标</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pPr>
      <w:r>
        <w:rPr>
          <w:rFonts w:ascii="Times New Roman" w:hAnsi="Times New Roman" w:eastAsia="仿宋_GB2312"/>
          <w:sz w:val="32"/>
          <w:szCs w:val="33"/>
        </w:rPr>
        <w:t>2022</w:t>
      </w:r>
      <w:r>
        <w:rPr>
          <w:rFonts w:hint="eastAsia" w:ascii="Times New Roman" w:hAnsi="Times New Roman" w:eastAsia="仿宋_GB2312"/>
          <w:sz w:val="32"/>
          <w:szCs w:val="33"/>
        </w:rPr>
        <w:t>年机关食堂共计2186899人次就餐，机关食堂高效运转、管理规范，保障了工作人员的用餐需求，</w:t>
      </w:r>
      <w:r>
        <w:rPr>
          <w:rFonts w:hint="eastAsia" w:ascii="Times New Roman" w:hAnsi="Times New Roman" w:eastAsia="仿宋_GB2312"/>
          <w:sz w:val="32"/>
          <w:szCs w:val="33"/>
          <w:lang w:eastAsia="zh-CN"/>
        </w:rPr>
        <w:t>较好的</w:t>
      </w:r>
      <w:r>
        <w:rPr>
          <w:rFonts w:hint="eastAsia" w:ascii="Times New Roman" w:hAnsi="Times New Roman" w:eastAsia="仿宋_GB2312"/>
          <w:sz w:val="32"/>
          <w:szCs w:val="33"/>
        </w:rPr>
        <w:t>发挥了后勤保障职能。</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ascii="Times New Roman" w:hAnsi="Times New Roman" w:eastAsia="黑体"/>
          <w:sz w:val="32"/>
          <w:szCs w:val="33"/>
        </w:rPr>
      </w:pPr>
      <w:r>
        <w:rPr>
          <w:rFonts w:ascii="Times New Roman" w:hAnsi="Times New Roman" w:eastAsia="黑体"/>
          <w:sz w:val="32"/>
          <w:szCs w:val="33"/>
        </w:rPr>
        <w:t>二、绩效评价工作开展情况</w:t>
      </w:r>
    </w:p>
    <w:p>
      <w:pPr>
        <w:keepNext w:val="0"/>
        <w:keepLines w:val="0"/>
        <w:pageBreakBefore w:val="0"/>
        <w:widowControl w:val="0"/>
        <w:kinsoku/>
        <w:wordWrap/>
        <w:overflowPunct/>
        <w:topLinePunct w:val="0"/>
        <w:autoSpaceDE/>
        <w:autoSpaceDN/>
        <w:bidi w:val="0"/>
        <w:adjustRightInd/>
        <w:spacing w:line="560" w:lineRule="exact"/>
        <w:ind w:firstLine="643" w:firstLineChars="200"/>
        <w:rPr>
          <w:rFonts w:ascii="方正楷体_GBK" w:hAnsi="方正楷体_GBK" w:eastAsia="楷体_GB2312" w:cs="方正楷体_GBK"/>
          <w:sz w:val="32"/>
          <w:szCs w:val="33"/>
        </w:rPr>
      </w:pPr>
      <w:r>
        <w:rPr>
          <w:rFonts w:hint="eastAsia" w:ascii="方正楷体_GBK" w:hAnsi="方正楷体_GBK" w:eastAsia="楷体_GB2312" w:cs="方正楷体_GBK"/>
          <w:b/>
          <w:bCs/>
          <w:sz w:val="32"/>
          <w:szCs w:val="33"/>
        </w:rPr>
        <w:t>（一）绩效评价目的、对象和范围</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ascii="Times New Roman" w:hAnsi="Times New Roman" w:eastAsia="仿宋_GB2312"/>
          <w:sz w:val="32"/>
          <w:szCs w:val="33"/>
        </w:rPr>
      </w:pPr>
      <w:r>
        <w:rPr>
          <w:rFonts w:hint="eastAsia" w:ascii="Times New Roman" w:hAnsi="Times New Roman" w:eastAsia="仿宋_GB2312"/>
          <w:sz w:val="32"/>
          <w:szCs w:val="33"/>
        </w:rPr>
        <w:t>从决策、过程、产出、效益、满意度等维度对</w:t>
      </w:r>
      <w:r>
        <w:rPr>
          <w:rFonts w:ascii="Times New Roman" w:hAnsi="Times New Roman" w:eastAsia="仿宋_GB2312"/>
          <w:sz w:val="32"/>
          <w:szCs w:val="33"/>
        </w:rPr>
        <w:t>20</w:t>
      </w:r>
      <w:r>
        <w:rPr>
          <w:rFonts w:hint="eastAsia" w:ascii="Times New Roman" w:hAnsi="Times New Roman" w:eastAsia="仿宋_GB2312"/>
          <w:sz w:val="32"/>
          <w:szCs w:val="33"/>
        </w:rPr>
        <w:t>22</w:t>
      </w:r>
      <w:r>
        <w:rPr>
          <w:rFonts w:ascii="Times New Roman" w:hAnsi="Times New Roman" w:eastAsia="仿宋_GB2312"/>
          <w:sz w:val="32"/>
          <w:szCs w:val="33"/>
        </w:rPr>
        <w:t>年</w:t>
      </w:r>
      <w:r>
        <w:rPr>
          <w:rFonts w:hint="eastAsia" w:ascii="Times New Roman" w:hAnsi="Times New Roman" w:eastAsia="仿宋_GB2312"/>
          <w:sz w:val="32"/>
          <w:szCs w:val="33"/>
        </w:rPr>
        <w:t>食堂运行经费管理、审核和目标达成情况进行绩效评价，旨在总结工作成绩，发现实施管理中存在的问题和不足，提出改进意见和建议，强化项目管理，提高财政资金使用效益。</w:t>
      </w:r>
    </w:p>
    <w:p>
      <w:pPr>
        <w:keepNext w:val="0"/>
        <w:keepLines w:val="0"/>
        <w:pageBreakBefore w:val="0"/>
        <w:widowControl w:val="0"/>
        <w:kinsoku/>
        <w:wordWrap/>
        <w:overflowPunct/>
        <w:topLinePunct w:val="0"/>
        <w:autoSpaceDE/>
        <w:autoSpaceDN/>
        <w:bidi w:val="0"/>
        <w:adjustRightInd/>
        <w:spacing w:line="560" w:lineRule="exact"/>
        <w:ind w:firstLine="643" w:firstLineChars="200"/>
        <w:rPr>
          <w:rFonts w:ascii="方正楷体_GBK" w:hAnsi="方正楷体_GBK" w:eastAsia="楷体_GB2312" w:cs="方正楷体_GBK"/>
          <w:sz w:val="32"/>
          <w:szCs w:val="33"/>
        </w:rPr>
      </w:pPr>
      <w:r>
        <w:rPr>
          <w:rFonts w:hint="eastAsia" w:ascii="方正楷体_GBK" w:hAnsi="方正楷体_GBK" w:eastAsia="楷体_GB2312" w:cs="方正楷体_GBK"/>
          <w:b/>
          <w:bCs/>
          <w:sz w:val="32"/>
          <w:szCs w:val="33"/>
        </w:rPr>
        <w:t>（二）年度绩效评价原则、评价指标体系、评价方法、评价标准等</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ascii="Times New Roman" w:hAnsi="Times New Roman"/>
          <w:color w:val="000000"/>
          <w:szCs w:val="32"/>
        </w:rPr>
      </w:pPr>
      <w:r>
        <w:rPr>
          <w:rFonts w:hint="eastAsia" w:ascii="Times New Roman" w:hAnsi="Times New Roman" w:eastAsia="仿宋_GB2312"/>
          <w:sz w:val="32"/>
          <w:szCs w:val="33"/>
        </w:rPr>
        <w:t>本次绩效评价秉承科学公正、统筹兼顾、公开透明等原则，坚持定量与定性相结合的方式，综合运用成本效益分析法、比较法、因素分析法、公众评判法、标杆管理法等，分别依据计划标准、行业标准、历史标准等评价标准，对</w:t>
      </w:r>
      <w:r>
        <w:rPr>
          <w:rFonts w:ascii="Times New Roman" w:hAnsi="Times New Roman" w:eastAsia="仿宋_GB2312"/>
          <w:sz w:val="32"/>
          <w:szCs w:val="33"/>
        </w:rPr>
        <w:t>20</w:t>
      </w:r>
      <w:r>
        <w:rPr>
          <w:rFonts w:hint="eastAsia" w:ascii="Times New Roman" w:hAnsi="Times New Roman" w:eastAsia="仿宋_GB2312"/>
          <w:sz w:val="32"/>
          <w:szCs w:val="33"/>
        </w:rPr>
        <w:t>22</w:t>
      </w:r>
      <w:r>
        <w:rPr>
          <w:rFonts w:ascii="Times New Roman" w:hAnsi="Times New Roman" w:eastAsia="仿宋_GB2312"/>
          <w:sz w:val="32"/>
          <w:szCs w:val="33"/>
        </w:rPr>
        <w:t>年</w:t>
      </w:r>
      <w:r>
        <w:rPr>
          <w:rFonts w:hint="eastAsia" w:ascii="Times New Roman" w:hAnsi="Times New Roman" w:eastAsia="仿宋_GB2312"/>
          <w:sz w:val="32"/>
          <w:szCs w:val="33"/>
        </w:rPr>
        <w:t>食堂运行经费进行全面绩效评价。</w:t>
      </w:r>
    </w:p>
    <w:p>
      <w:pPr>
        <w:keepNext w:val="0"/>
        <w:keepLines w:val="0"/>
        <w:pageBreakBefore w:val="0"/>
        <w:widowControl w:val="0"/>
        <w:kinsoku/>
        <w:wordWrap/>
        <w:overflowPunct/>
        <w:topLinePunct w:val="0"/>
        <w:autoSpaceDE/>
        <w:autoSpaceDN/>
        <w:bidi w:val="0"/>
        <w:adjustRightInd/>
        <w:spacing w:line="560" w:lineRule="exact"/>
        <w:ind w:firstLine="643" w:firstLineChars="200"/>
        <w:rPr>
          <w:rFonts w:ascii="楷体_GB2312" w:hAnsi="楷体_GB2312" w:eastAsia="楷体_GB2312" w:cs="楷体_GB2312"/>
          <w:b/>
          <w:bCs/>
          <w:sz w:val="32"/>
          <w:szCs w:val="33"/>
        </w:rPr>
      </w:pPr>
      <w:r>
        <w:rPr>
          <w:rFonts w:hint="eastAsia" w:ascii="方正楷体_GBK" w:hAnsi="方正楷体_GBK" w:eastAsia="楷体_GB2312" w:cs="方正楷体_GBK"/>
          <w:b/>
          <w:bCs/>
          <w:sz w:val="32"/>
          <w:szCs w:val="33"/>
        </w:rPr>
        <w:t>（三）绩效评价方法及过程</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ascii="Times New Roman" w:hAnsi="Times New Roman" w:eastAsia="仿宋_GB2312"/>
          <w:sz w:val="32"/>
          <w:szCs w:val="33"/>
        </w:rPr>
      </w:pPr>
      <w:r>
        <w:rPr>
          <w:rFonts w:hint="eastAsia" w:ascii="Times New Roman" w:hAnsi="Times New Roman" w:eastAsia="仿宋_GB2312"/>
          <w:sz w:val="32"/>
          <w:szCs w:val="33"/>
        </w:rPr>
        <w:t>区财政局根据财政支出绩效评价指标体系及项目的实际情况设计指标体系进行评价，组织相关人员对该项目进行评价检查。</w:t>
      </w:r>
    </w:p>
    <w:p>
      <w:pPr>
        <w:keepNext w:val="0"/>
        <w:keepLines w:val="0"/>
        <w:pageBreakBefore w:val="0"/>
        <w:widowControl w:val="0"/>
        <w:kinsoku/>
        <w:wordWrap/>
        <w:overflowPunct/>
        <w:topLinePunct w:val="0"/>
        <w:autoSpaceDE/>
        <w:autoSpaceDN/>
        <w:bidi w:val="0"/>
        <w:adjustRightInd/>
        <w:spacing w:line="560" w:lineRule="exact"/>
        <w:ind w:firstLine="619" w:firstLineChars="200"/>
        <w:rPr>
          <w:rFonts w:ascii="Times New Roman" w:hAnsi="Times New Roman" w:eastAsia="仿宋_GB2312"/>
          <w:sz w:val="32"/>
          <w:szCs w:val="33"/>
        </w:rPr>
      </w:pPr>
      <w:r>
        <w:rPr>
          <w:rFonts w:hint="eastAsia" w:ascii="Times New Roman" w:hAnsi="Times New Roman" w:eastAsia="仿宋_GB2312"/>
          <w:b/>
          <w:bCs/>
          <w:spacing w:val="-6"/>
          <w:sz w:val="32"/>
          <w:szCs w:val="33"/>
        </w:rPr>
        <w:t>1.资料收集。</w:t>
      </w:r>
      <w:r>
        <w:rPr>
          <w:rFonts w:hint="eastAsia" w:ascii="Times New Roman" w:hAnsi="Times New Roman" w:eastAsia="仿宋_GB2312"/>
          <w:spacing w:val="-6"/>
          <w:sz w:val="32"/>
          <w:szCs w:val="33"/>
        </w:rPr>
        <w:t>梳理项目资料，核实项目情况，统计项目数据。</w:t>
      </w:r>
    </w:p>
    <w:p>
      <w:pPr>
        <w:keepNext w:val="0"/>
        <w:keepLines w:val="0"/>
        <w:pageBreakBefore w:val="0"/>
        <w:widowControl w:val="0"/>
        <w:kinsoku/>
        <w:wordWrap/>
        <w:overflowPunct/>
        <w:topLinePunct w:val="0"/>
        <w:autoSpaceDE/>
        <w:autoSpaceDN/>
        <w:bidi w:val="0"/>
        <w:adjustRightInd/>
        <w:spacing w:line="560" w:lineRule="exact"/>
        <w:ind w:firstLine="643" w:firstLineChars="200"/>
        <w:rPr>
          <w:rFonts w:ascii="Times New Roman" w:hAnsi="Times New Roman" w:eastAsia="仿宋_GB2312"/>
          <w:sz w:val="32"/>
          <w:szCs w:val="33"/>
        </w:rPr>
      </w:pPr>
      <w:r>
        <w:rPr>
          <w:rFonts w:hint="eastAsia" w:ascii="Times New Roman" w:hAnsi="Times New Roman" w:eastAsia="仿宋_GB2312"/>
          <w:b/>
          <w:bCs/>
          <w:sz w:val="32"/>
          <w:szCs w:val="33"/>
        </w:rPr>
        <w:t>2.绩效评价。</w:t>
      </w:r>
      <w:r>
        <w:rPr>
          <w:rFonts w:hint="eastAsia" w:ascii="Times New Roman" w:hAnsi="Times New Roman" w:eastAsia="仿宋_GB2312"/>
          <w:sz w:val="32"/>
          <w:szCs w:val="33"/>
        </w:rPr>
        <w:t>根据资料收集的情况，按照支出绩效评价指标体系，以定量与定性相结合的方式，对项目绩效情况进行判断，对项目存在的问题进行分析，对各项考评指标进行自评。</w:t>
      </w:r>
    </w:p>
    <w:p>
      <w:pPr>
        <w:keepNext w:val="0"/>
        <w:keepLines w:val="0"/>
        <w:pageBreakBefore w:val="0"/>
        <w:widowControl w:val="0"/>
        <w:kinsoku/>
        <w:wordWrap/>
        <w:overflowPunct/>
        <w:topLinePunct w:val="0"/>
        <w:autoSpaceDE/>
        <w:autoSpaceDN/>
        <w:bidi w:val="0"/>
        <w:adjustRightInd/>
        <w:spacing w:line="560" w:lineRule="exact"/>
        <w:ind w:firstLine="643" w:firstLineChars="200"/>
        <w:rPr>
          <w:rFonts w:ascii="Times New Roman" w:hAnsi="Times New Roman" w:eastAsia="仿宋_GB2312"/>
          <w:sz w:val="32"/>
          <w:szCs w:val="33"/>
        </w:rPr>
      </w:pPr>
      <w:r>
        <w:rPr>
          <w:rFonts w:hint="eastAsia" w:ascii="Times New Roman" w:hAnsi="Times New Roman" w:eastAsia="仿宋_GB2312"/>
          <w:b/>
          <w:bCs/>
          <w:sz w:val="32"/>
          <w:szCs w:val="33"/>
        </w:rPr>
        <w:t>3.撰写报告。</w:t>
      </w:r>
      <w:r>
        <w:rPr>
          <w:rFonts w:hint="eastAsia" w:ascii="Times New Roman" w:hAnsi="Times New Roman" w:eastAsia="仿宋_GB2312"/>
          <w:sz w:val="32"/>
          <w:szCs w:val="33"/>
        </w:rPr>
        <w:t>结合项目定性与定量评价分析，得出评价结论，并撰写评价报告。</w:t>
      </w:r>
    </w:p>
    <w:p>
      <w:pPr>
        <w:keepNext w:val="0"/>
        <w:keepLines w:val="0"/>
        <w:pageBreakBefore w:val="0"/>
        <w:widowControl w:val="0"/>
        <w:tabs>
          <w:tab w:val="left" w:pos="3885"/>
        </w:tabs>
        <w:kinsoku/>
        <w:wordWrap/>
        <w:overflowPunct/>
        <w:topLinePunct w:val="0"/>
        <w:autoSpaceDE/>
        <w:autoSpaceDN/>
        <w:bidi w:val="0"/>
        <w:adjustRightInd/>
        <w:snapToGrid w:val="0"/>
        <w:spacing w:line="560" w:lineRule="exact"/>
        <w:ind w:firstLine="640" w:firstLineChars="200"/>
        <w:rPr>
          <w:rFonts w:ascii="方正黑体_GBK" w:hAnsi="方正黑体_GBK" w:eastAsia="黑体" w:cs="方正黑体_GBK"/>
          <w:sz w:val="32"/>
          <w:szCs w:val="33"/>
        </w:rPr>
      </w:pPr>
      <w:r>
        <w:rPr>
          <w:rFonts w:hint="eastAsia" w:ascii="方正黑体_GBK" w:hAnsi="方正黑体_GBK" w:eastAsia="黑体" w:cs="方正黑体_GBK"/>
          <w:sz w:val="32"/>
          <w:szCs w:val="33"/>
        </w:rPr>
        <w:t>三、评价结论</w:t>
      </w:r>
    </w:p>
    <w:p>
      <w:pPr>
        <w:pStyle w:val="15"/>
        <w:keepNext w:val="0"/>
        <w:keepLines w:val="0"/>
        <w:pageBreakBefore w:val="0"/>
        <w:widowControl w:val="0"/>
        <w:tabs>
          <w:tab w:val="left" w:pos="3885"/>
        </w:tabs>
        <w:kinsoku/>
        <w:wordWrap/>
        <w:overflowPunct/>
        <w:topLinePunct w:val="0"/>
        <w:autoSpaceDE/>
        <w:autoSpaceDN/>
        <w:bidi w:val="0"/>
        <w:adjustRightInd/>
        <w:snapToGrid w:val="0"/>
        <w:spacing w:line="560" w:lineRule="exact"/>
        <w:ind w:firstLine="660"/>
        <w:rPr>
          <w:rFonts w:ascii="Times New Roman" w:hAnsi="Times New Roman" w:eastAsia="仿宋_GB2312"/>
          <w:sz w:val="32"/>
          <w:szCs w:val="33"/>
        </w:rPr>
      </w:pPr>
      <w:r>
        <w:rPr>
          <w:rFonts w:hint="eastAsia" w:ascii="Times New Roman" w:hAnsi="Times New Roman" w:eastAsia="仿宋_GB2312"/>
          <w:sz w:val="32"/>
          <w:szCs w:val="33"/>
        </w:rPr>
        <w:t>总体来看</w:t>
      </w:r>
      <w:r>
        <w:rPr>
          <w:rFonts w:hint="eastAsia" w:ascii="Times New Roman" w:hAnsi="Times New Roman" w:eastAsia="仿宋_GB2312"/>
          <w:sz w:val="32"/>
          <w:szCs w:val="33"/>
          <w:highlight w:val="none"/>
        </w:rPr>
        <w:t>，</w:t>
      </w:r>
      <w:r>
        <w:rPr>
          <w:rFonts w:ascii="Times New Roman" w:hAnsi="Times New Roman" w:eastAsia="仿宋_GB2312"/>
          <w:sz w:val="32"/>
          <w:szCs w:val="33"/>
          <w:highlight w:val="none"/>
        </w:rPr>
        <w:t>2022</w:t>
      </w:r>
      <w:r>
        <w:rPr>
          <w:rFonts w:hint="eastAsia" w:ascii="Times New Roman" w:hAnsi="Times New Roman" w:eastAsia="仿宋_GB2312"/>
          <w:sz w:val="32"/>
          <w:szCs w:val="33"/>
          <w:highlight w:val="none"/>
        </w:rPr>
        <w:t>年机关食堂运行经费</w:t>
      </w:r>
      <w:r>
        <w:rPr>
          <w:rFonts w:hint="eastAsia" w:ascii="Times New Roman" w:hAnsi="Times New Roman" w:eastAsia="仿宋_GB2312"/>
          <w:sz w:val="32"/>
          <w:szCs w:val="33"/>
          <w:highlight w:val="none"/>
          <w:lang w:eastAsia="zh-CN"/>
        </w:rPr>
        <w:t>在</w:t>
      </w:r>
      <w:r>
        <w:rPr>
          <w:rFonts w:hint="eastAsia" w:ascii="Times New Roman" w:hAnsi="Times New Roman" w:eastAsia="仿宋_GB2312"/>
          <w:sz w:val="32"/>
          <w:szCs w:val="33"/>
          <w:highlight w:val="none"/>
        </w:rPr>
        <w:t>分配方法制定、分配要素设定、基础数据应用、测算依据选取等方面较为科学合理，分配结果公平合理。政策实施对象中不存在排他性规定，项目实施后保障218689</w:t>
      </w:r>
      <w:r>
        <w:rPr>
          <w:rFonts w:hint="eastAsia" w:ascii="Times New Roman" w:hAnsi="Times New Roman" w:eastAsia="仿宋_GB2312"/>
          <w:sz w:val="32"/>
          <w:szCs w:val="33"/>
        </w:rPr>
        <w:t>9人次就餐，为全区机关事业单位提供了稳定的后勤保障，财政资金充分发挥了财政效益，基本达到预期目标。绩效评价结果为良好，总体评价得分9</w:t>
      </w:r>
      <w:r>
        <w:rPr>
          <w:rFonts w:hint="eastAsia" w:ascii="Times New Roman" w:hAnsi="Times New Roman" w:eastAsia="仿宋_GB2312"/>
          <w:sz w:val="32"/>
          <w:szCs w:val="33"/>
          <w:lang w:val="en-US" w:eastAsia="zh-CN"/>
        </w:rPr>
        <w:t>5</w:t>
      </w:r>
      <w:r>
        <w:rPr>
          <w:rFonts w:hint="eastAsia" w:ascii="Times New Roman" w:hAnsi="Times New Roman" w:eastAsia="仿宋_GB2312"/>
          <w:sz w:val="32"/>
          <w:szCs w:val="33"/>
        </w:rPr>
        <w:t>分。具体评价情况见下表。</w:t>
      </w:r>
    </w:p>
    <w:p>
      <w:pPr>
        <w:adjustRightInd w:val="0"/>
        <w:snapToGrid w:val="0"/>
        <w:spacing w:before="93" w:beforeLines="30" w:after="93" w:afterLines="30"/>
        <w:jc w:val="center"/>
        <w:rPr>
          <w:rFonts w:ascii="Times New Roman" w:hAnsi="Times New Roman"/>
          <w:szCs w:val="32"/>
        </w:rPr>
      </w:pPr>
      <w:r>
        <w:rPr>
          <w:rFonts w:hint="eastAsia" w:ascii="Times New Roman" w:hAnsi="Times New Roman"/>
          <w:b/>
          <w:sz w:val="24"/>
          <w:szCs w:val="32"/>
        </w:rPr>
        <w:t>2022年</w:t>
      </w:r>
      <w:r>
        <w:rPr>
          <w:rFonts w:hint="eastAsia" w:ascii="Times New Roman" w:hAnsi="Times New Roman"/>
          <w:b/>
          <w:sz w:val="24"/>
          <w:szCs w:val="32"/>
          <w:lang w:val="zh-CN"/>
        </w:rPr>
        <w:t>食堂运行经费项目绩效得分表</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1701"/>
        <w:gridCol w:w="2427"/>
        <w:gridCol w:w="1343"/>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12" w:type="dxa"/>
            <w:vAlign w:val="center"/>
          </w:tcPr>
          <w:p>
            <w:pPr>
              <w:adjustRightInd w:val="0"/>
              <w:snapToGrid w:val="0"/>
              <w:jc w:val="center"/>
              <w:rPr>
                <w:rFonts w:ascii="Times New Roman" w:hAnsi="Times New Roman"/>
                <w:b/>
                <w:sz w:val="20"/>
                <w:szCs w:val="20"/>
              </w:rPr>
            </w:pPr>
            <w:r>
              <w:rPr>
                <w:rFonts w:hint="eastAsia" w:ascii="Times New Roman" w:hAnsi="Times New Roman"/>
                <w:b/>
                <w:sz w:val="20"/>
                <w:szCs w:val="20"/>
              </w:rPr>
              <w:t>一级指标</w:t>
            </w:r>
            <w:r>
              <mc:AlternateContent>
                <mc:Choice Requires="wps">
                  <w:drawing>
                    <wp:anchor distT="0" distB="0" distL="114300" distR="114300" simplePos="0" relativeHeight="251685888"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85888;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e&#10;SAOW1QAAAAkBAAAPAAAAAAAAAAEAIAAAACIAAABkcnMvZG93bnJldi54bWxQSwECFAAUAAAACACH&#10;TuJAdCcCqu4BAADkAwAADgAAAAAAAAABACAAAAAkAQAAZHJzL2Uyb0RvYy54bWxQSwUGAAAAAAYA&#10;BgBZAQAAh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6912"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86912;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e&#10;SAOW1QAAAAkBAAAPAAAAAAAAAAEAIAAAACIAAABkcnMvZG93bnJldi54bWxQSwECFAAUAAAACACH&#10;TuJAfxFAz+4BAADkAwAADgAAAAAAAAABACAAAAAkAQAAZHJzL2Uyb0RvYy54bWxQSwUGAAAAAAYA&#10;BgBZAQAAh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7936"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87936;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e&#10;SAOW1QAAAAkBAAAPAAAAAAAAAAEAIAAAACIAAABkcnMvZG93bnJldi54bWxQSwECFAAUAAAACACH&#10;TuJA5xhrF+4BAADkAwAADgAAAAAAAAABACAAAAAkAQAAZHJzL2Uyb0RvYy54bWxQSwUGAAAAAAYA&#10;BgBZAQAAh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8960"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88960;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kgDltUAAAAJAQAADwAAAAAAAAABACAAAAAiAAAAZHJzL2Rvd25yZXYueG1sUEsBAhQAFAAAAAgA&#10;h07iQA4EZ6TvAQAA5AMAAA4AAAAAAAAAAQAgAAAAJAEAAGRycy9lMm9Eb2MueG1sUEsFBgAAAAAG&#10;AAYAWQEAAIUFAAAAAA==&#10;">
                      <v:fill on="f" focussize="0,0"/>
                      <v:stroke color="#000000" joinstyle="round"/>
                      <v:imagedata o:title=""/>
                      <o:lock v:ext="edit" aspectratio="f"/>
                    </v:line>
                  </w:pict>
                </mc:Fallback>
              </mc:AlternateContent>
            </w:r>
          </w:p>
        </w:tc>
        <w:tc>
          <w:tcPr>
            <w:tcW w:w="1701" w:type="dxa"/>
            <w:vAlign w:val="center"/>
          </w:tcPr>
          <w:p>
            <w:pPr>
              <w:adjustRightInd w:val="0"/>
              <w:snapToGrid w:val="0"/>
              <w:jc w:val="center"/>
              <w:rPr>
                <w:rFonts w:ascii="Times New Roman" w:hAnsi="Times New Roman"/>
                <w:b/>
                <w:sz w:val="20"/>
                <w:szCs w:val="20"/>
              </w:rPr>
            </w:pPr>
            <w:r>
              <w:rPr>
                <w:rFonts w:hint="eastAsia" w:ascii="Times New Roman" w:hAnsi="Times New Roman"/>
                <w:b/>
                <w:sz w:val="20"/>
                <w:szCs w:val="20"/>
              </w:rPr>
              <w:t>二级指标</w:t>
            </w:r>
          </w:p>
        </w:tc>
        <w:tc>
          <w:tcPr>
            <w:tcW w:w="2427" w:type="dxa"/>
            <w:vAlign w:val="center"/>
          </w:tcPr>
          <w:p>
            <w:pPr>
              <w:adjustRightInd w:val="0"/>
              <w:snapToGrid w:val="0"/>
              <w:jc w:val="center"/>
              <w:rPr>
                <w:rFonts w:ascii="Times New Roman" w:hAnsi="Times New Roman"/>
                <w:b/>
                <w:sz w:val="20"/>
                <w:szCs w:val="20"/>
              </w:rPr>
            </w:pPr>
            <w:r>
              <w:rPr>
                <w:rFonts w:hint="eastAsia" w:ascii="Times New Roman" w:hAnsi="Times New Roman"/>
                <w:b/>
                <w:sz w:val="20"/>
                <w:szCs w:val="20"/>
              </w:rPr>
              <w:t>三级指标</w:t>
            </w:r>
          </w:p>
        </w:tc>
        <w:tc>
          <w:tcPr>
            <w:tcW w:w="1343" w:type="dxa"/>
            <w:vAlign w:val="center"/>
          </w:tcPr>
          <w:p>
            <w:pPr>
              <w:adjustRightInd w:val="0"/>
              <w:snapToGrid w:val="0"/>
              <w:jc w:val="center"/>
              <w:rPr>
                <w:rFonts w:ascii="Times New Roman" w:hAnsi="Times New Roman"/>
                <w:b/>
                <w:sz w:val="20"/>
                <w:szCs w:val="20"/>
              </w:rPr>
            </w:pPr>
            <w:r>
              <w:rPr>
                <w:rFonts w:hint="eastAsia" w:ascii="Times New Roman" w:hAnsi="Times New Roman"/>
                <w:b/>
                <w:sz w:val="20"/>
                <w:szCs w:val="20"/>
              </w:rPr>
              <w:t>分值</w:t>
            </w:r>
          </w:p>
        </w:tc>
        <w:tc>
          <w:tcPr>
            <w:tcW w:w="1139" w:type="dxa"/>
            <w:vAlign w:val="center"/>
          </w:tcPr>
          <w:p>
            <w:pPr>
              <w:adjustRightInd w:val="0"/>
              <w:snapToGrid w:val="0"/>
              <w:jc w:val="center"/>
              <w:rPr>
                <w:rFonts w:ascii="Times New Roman" w:hAnsi="Times New Roman"/>
                <w:b/>
                <w:sz w:val="20"/>
                <w:szCs w:val="20"/>
              </w:rPr>
            </w:pPr>
            <w:r>
              <w:rPr>
                <w:rFonts w:hint="eastAsia" w:ascii="Times New Roman" w:hAnsi="Times New Roman"/>
                <w:b/>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restart"/>
            <w:vAlign w:val="center"/>
          </w:tcPr>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项目决策</w:t>
            </w:r>
          </w:p>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w:t>
            </w:r>
            <w:r>
              <w:rPr>
                <w:rFonts w:ascii="Times New Roman" w:hAnsi="Times New Roman"/>
                <w:sz w:val="20"/>
                <w:szCs w:val="20"/>
              </w:rPr>
              <w:t>20</w:t>
            </w:r>
            <w:r>
              <w:rPr>
                <w:rFonts w:hint="eastAsia" w:ascii="Times New Roman" w:hAnsi="Times New Roman"/>
                <w:sz w:val="20"/>
                <w:szCs w:val="20"/>
              </w:rPr>
              <w:t>分）</w:t>
            </w:r>
          </w:p>
        </w:tc>
        <w:tc>
          <w:tcPr>
            <w:tcW w:w="1701" w:type="dxa"/>
            <w:vMerge w:val="restart"/>
            <w:vAlign w:val="center"/>
          </w:tcPr>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绩效目标</w:t>
            </w:r>
          </w:p>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w:t>
            </w:r>
            <w:r>
              <w:rPr>
                <w:rFonts w:ascii="Times New Roman" w:hAnsi="Times New Roman"/>
                <w:sz w:val="20"/>
                <w:szCs w:val="20"/>
              </w:rPr>
              <w:t>6</w:t>
            </w:r>
            <w:r>
              <w:rPr>
                <w:rFonts w:hint="eastAsia" w:ascii="Times New Roman" w:hAnsi="Times New Roman"/>
                <w:sz w:val="20"/>
                <w:szCs w:val="20"/>
              </w:rPr>
              <w:t>分）</w:t>
            </w:r>
          </w:p>
        </w:tc>
        <w:tc>
          <w:tcPr>
            <w:tcW w:w="2427" w:type="dxa"/>
            <w:vAlign w:val="center"/>
          </w:tcPr>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目标内容</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spacing w:line="260" w:lineRule="exact"/>
              <w:jc w:val="center"/>
              <w:rPr>
                <w:rFonts w:hint="eastAsia" w:ascii="Times New Roman" w:hAnsi="Times New Roman" w:eastAsia="仿宋_GB2312"/>
                <w:color w:val="000000"/>
                <w:sz w:val="20"/>
                <w:szCs w:val="20"/>
                <w:lang w:eastAsia="zh-CN"/>
              </w:rPr>
            </w:pPr>
            <w:r>
              <w:rPr>
                <w:rFonts w:hint="eastAsia" w:ascii="Times New Roman" w:hAnsi="Times New Roman"/>
                <w:color w:val="00000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Merge w:val="continue"/>
            <w:vAlign w:val="center"/>
          </w:tcPr>
          <w:p>
            <w:pPr>
              <w:adjustRightInd w:val="0"/>
              <w:snapToGrid w:val="0"/>
              <w:spacing w:line="260" w:lineRule="exact"/>
              <w:jc w:val="center"/>
              <w:rPr>
                <w:rFonts w:ascii="Times New Roman" w:hAnsi="Times New Roman"/>
                <w:sz w:val="20"/>
                <w:szCs w:val="20"/>
              </w:rPr>
            </w:pPr>
          </w:p>
        </w:tc>
        <w:tc>
          <w:tcPr>
            <w:tcW w:w="2427" w:type="dxa"/>
            <w:vAlign w:val="center"/>
          </w:tcPr>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进度计划</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Merge w:val="continue"/>
            <w:vAlign w:val="center"/>
          </w:tcPr>
          <w:p>
            <w:pPr>
              <w:adjustRightInd w:val="0"/>
              <w:snapToGrid w:val="0"/>
              <w:spacing w:line="260" w:lineRule="exact"/>
              <w:jc w:val="center"/>
              <w:rPr>
                <w:rFonts w:ascii="Times New Roman" w:hAnsi="Times New Roman"/>
                <w:sz w:val="20"/>
                <w:szCs w:val="20"/>
              </w:rPr>
            </w:pPr>
          </w:p>
        </w:tc>
        <w:tc>
          <w:tcPr>
            <w:tcW w:w="2427" w:type="dxa"/>
            <w:vAlign w:val="center"/>
          </w:tcPr>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目标匹配</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Merge w:val="restart"/>
            <w:vAlign w:val="center"/>
          </w:tcPr>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决策依据</w:t>
            </w:r>
          </w:p>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w:t>
            </w:r>
            <w:r>
              <w:rPr>
                <w:rFonts w:ascii="Times New Roman" w:hAnsi="Times New Roman"/>
                <w:sz w:val="20"/>
                <w:szCs w:val="20"/>
              </w:rPr>
              <w:t>10</w:t>
            </w:r>
            <w:r>
              <w:rPr>
                <w:rFonts w:hint="eastAsia" w:ascii="Times New Roman" w:hAnsi="Times New Roman"/>
                <w:sz w:val="20"/>
                <w:szCs w:val="20"/>
              </w:rPr>
              <w:t>分）</w:t>
            </w:r>
          </w:p>
        </w:tc>
        <w:tc>
          <w:tcPr>
            <w:tcW w:w="2427" w:type="dxa"/>
            <w:vAlign w:val="center"/>
          </w:tcPr>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政策依据</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Merge w:val="continue"/>
            <w:vAlign w:val="center"/>
          </w:tcPr>
          <w:p>
            <w:pPr>
              <w:adjustRightInd w:val="0"/>
              <w:snapToGrid w:val="0"/>
              <w:spacing w:line="260" w:lineRule="exact"/>
              <w:jc w:val="center"/>
              <w:rPr>
                <w:rFonts w:ascii="Times New Roman" w:hAnsi="Times New Roman"/>
                <w:sz w:val="20"/>
                <w:szCs w:val="20"/>
              </w:rPr>
            </w:pPr>
          </w:p>
        </w:tc>
        <w:tc>
          <w:tcPr>
            <w:tcW w:w="2427" w:type="dxa"/>
            <w:vAlign w:val="center"/>
          </w:tcPr>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程序严密</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Merge w:val="continue"/>
            <w:vAlign w:val="center"/>
          </w:tcPr>
          <w:p>
            <w:pPr>
              <w:adjustRightInd w:val="0"/>
              <w:snapToGrid w:val="0"/>
              <w:spacing w:line="260" w:lineRule="exact"/>
              <w:jc w:val="center"/>
              <w:rPr>
                <w:rFonts w:ascii="Times New Roman" w:hAnsi="Times New Roman"/>
                <w:sz w:val="20"/>
                <w:szCs w:val="20"/>
              </w:rPr>
            </w:pPr>
          </w:p>
        </w:tc>
        <w:tc>
          <w:tcPr>
            <w:tcW w:w="2427" w:type="dxa"/>
            <w:vAlign w:val="center"/>
          </w:tcPr>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结果符合</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Merge w:val="continue"/>
            <w:vAlign w:val="center"/>
          </w:tcPr>
          <w:p>
            <w:pPr>
              <w:adjustRightInd w:val="0"/>
              <w:snapToGrid w:val="0"/>
              <w:spacing w:line="260" w:lineRule="exact"/>
              <w:jc w:val="center"/>
              <w:rPr>
                <w:rFonts w:ascii="Times New Roman" w:hAnsi="Times New Roman"/>
                <w:sz w:val="20"/>
                <w:szCs w:val="20"/>
              </w:rPr>
            </w:pPr>
          </w:p>
        </w:tc>
        <w:tc>
          <w:tcPr>
            <w:tcW w:w="2427" w:type="dxa"/>
            <w:vAlign w:val="center"/>
          </w:tcPr>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实施规划</w:t>
            </w:r>
          </w:p>
        </w:tc>
        <w:tc>
          <w:tcPr>
            <w:tcW w:w="1343" w:type="dxa"/>
            <w:vAlign w:val="center"/>
          </w:tcPr>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4</w:t>
            </w:r>
          </w:p>
        </w:tc>
        <w:tc>
          <w:tcPr>
            <w:tcW w:w="1139" w:type="dxa"/>
            <w:vAlign w:val="center"/>
          </w:tcPr>
          <w:p>
            <w:pPr>
              <w:spacing w:line="260" w:lineRule="exact"/>
              <w:jc w:val="center"/>
              <w:rPr>
                <w:rFonts w:ascii="Times New Roman" w:hAnsi="Times New Roman"/>
                <w:color w:val="000000"/>
                <w:sz w:val="20"/>
                <w:szCs w:val="20"/>
              </w:rPr>
            </w:pPr>
            <w:r>
              <w:rPr>
                <w:rFonts w:hint="eastAsia" w:ascii="Times New Roman" w:hAnsi="Times New Roman"/>
                <w:color w:val="00000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Merge w:val="restart"/>
            <w:vAlign w:val="center"/>
          </w:tcPr>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分配结果</w:t>
            </w:r>
          </w:p>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w:t>
            </w:r>
            <w:r>
              <w:rPr>
                <w:rFonts w:ascii="Times New Roman" w:hAnsi="Times New Roman"/>
                <w:sz w:val="20"/>
                <w:szCs w:val="20"/>
              </w:rPr>
              <w:t>4</w:t>
            </w:r>
            <w:r>
              <w:rPr>
                <w:rFonts w:hint="eastAsia" w:ascii="Times New Roman" w:hAnsi="Times New Roman"/>
                <w:sz w:val="20"/>
                <w:szCs w:val="20"/>
              </w:rPr>
              <w:t>分）</w:t>
            </w:r>
          </w:p>
        </w:tc>
        <w:tc>
          <w:tcPr>
            <w:tcW w:w="2427" w:type="dxa"/>
            <w:vAlign w:val="center"/>
          </w:tcPr>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分配过程</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Merge w:val="continue"/>
            <w:vAlign w:val="center"/>
          </w:tcPr>
          <w:p>
            <w:pPr>
              <w:adjustRightInd w:val="0"/>
              <w:snapToGrid w:val="0"/>
              <w:spacing w:line="260" w:lineRule="exact"/>
              <w:jc w:val="center"/>
              <w:rPr>
                <w:rFonts w:ascii="Times New Roman" w:hAnsi="Times New Roman"/>
                <w:sz w:val="20"/>
                <w:szCs w:val="20"/>
              </w:rPr>
            </w:pPr>
          </w:p>
        </w:tc>
        <w:tc>
          <w:tcPr>
            <w:tcW w:w="2427" w:type="dxa"/>
            <w:vAlign w:val="center"/>
          </w:tcPr>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审核把关</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912" w:type="dxa"/>
            <w:vMerge w:val="restart"/>
            <w:vAlign w:val="center"/>
          </w:tcPr>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项目管理</w:t>
            </w:r>
          </w:p>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w:t>
            </w:r>
            <w:r>
              <w:rPr>
                <w:rFonts w:ascii="Times New Roman" w:hAnsi="Times New Roman"/>
                <w:sz w:val="20"/>
                <w:szCs w:val="20"/>
              </w:rPr>
              <w:t>15</w:t>
            </w:r>
            <w:r>
              <w:rPr>
                <w:rFonts w:hint="eastAsia" w:ascii="Times New Roman" w:hAnsi="Times New Roman"/>
                <w:sz w:val="20"/>
                <w:szCs w:val="20"/>
              </w:rPr>
              <w:t>分）</w:t>
            </w:r>
          </w:p>
        </w:tc>
        <w:tc>
          <w:tcPr>
            <w:tcW w:w="1701" w:type="dxa"/>
            <w:vMerge w:val="restart"/>
            <w:vAlign w:val="center"/>
          </w:tcPr>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资金到位</w:t>
            </w:r>
          </w:p>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w:t>
            </w:r>
            <w:r>
              <w:rPr>
                <w:rFonts w:ascii="Times New Roman" w:hAnsi="Times New Roman"/>
                <w:sz w:val="20"/>
                <w:szCs w:val="20"/>
              </w:rPr>
              <w:t>4</w:t>
            </w:r>
            <w:r>
              <w:rPr>
                <w:rFonts w:hint="eastAsia" w:ascii="Times New Roman" w:hAnsi="Times New Roman"/>
                <w:sz w:val="20"/>
                <w:szCs w:val="20"/>
              </w:rPr>
              <w:t>分）</w:t>
            </w:r>
          </w:p>
        </w:tc>
        <w:tc>
          <w:tcPr>
            <w:tcW w:w="2427" w:type="dxa"/>
            <w:vAlign w:val="center"/>
          </w:tcPr>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分配时效</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Merge w:val="continue"/>
            <w:vAlign w:val="center"/>
          </w:tcPr>
          <w:p>
            <w:pPr>
              <w:adjustRightInd w:val="0"/>
              <w:snapToGrid w:val="0"/>
              <w:spacing w:line="260" w:lineRule="exact"/>
              <w:jc w:val="center"/>
              <w:rPr>
                <w:rFonts w:ascii="Times New Roman" w:hAnsi="Times New Roman"/>
                <w:sz w:val="20"/>
                <w:szCs w:val="20"/>
              </w:rPr>
            </w:pPr>
          </w:p>
        </w:tc>
        <w:tc>
          <w:tcPr>
            <w:tcW w:w="2427" w:type="dxa"/>
            <w:vAlign w:val="center"/>
          </w:tcPr>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资金拨付</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Merge w:val="restart"/>
            <w:vAlign w:val="center"/>
          </w:tcPr>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资金管理</w:t>
            </w:r>
          </w:p>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w:t>
            </w:r>
            <w:r>
              <w:rPr>
                <w:rFonts w:ascii="Times New Roman" w:hAnsi="Times New Roman"/>
                <w:sz w:val="20"/>
                <w:szCs w:val="20"/>
              </w:rPr>
              <w:t>3</w:t>
            </w:r>
            <w:r>
              <w:rPr>
                <w:rFonts w:hint="eastAsia" w:ascii="Times New Roman" w:hAnsi="Times New Roman"/>
                <w:sz w:val="20"/>
                <w:szCs w:val="20"/>
              </w:rPr>
              <w:t>分）</w:t>
            </w:r>
          </w:p>
        </w:tc>
        <w:tc>
          <w:tcPr>
            <w:tcW w:w="2427" w:type="dxa"/>
            <w:vAlign w:val="center"/>
          </w:tcPr>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使用范围</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Merge w:val="continue"/>
            <w:vAlign w:val="center"/>
          </w:tcPr>
          <w:p>
            <w:pPr>
              <w:adjustRightInd w:val="0"/>
              <w:snapToGrid w:val="0"/>
              <w:spacing w:line="260" w:lineRule="exact"/>
              <w:jc w:val="center"/>
              <w:rPr>
                <w:rFonts w:ascii="Times New Roman" w:hAnsi="Times New Roman"/>
                <w:sz w:val="20"/>
                <w:szCs w:val="20"/>
              </w:rPr>
            </w:pPr>
          </w:p>
        </w:tc>
        <w:tc>
          <w:tcPr>
            <w:tcW w:w="2427" w:type="dxa"/>
            <w:vAlign w:val="center"/>
          </w:tcPr>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支付依据</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Merge w:val="continue"/>
            <w:vAlign w:val="center"/>
          </w:tcPr>
          <w:p>
            <w:pPr>
              <w:adjustRightInd w:val="0"/>
              <w:snapToGrid w:val="0"/>
              <w:spacing w:line="260" w:lineRule="exact"/>
              <w:jc w:val="center"/>
              <w:rPr>
                <w:rFonts w:ascii="Times New Roman" w:hAnsi="Times New Roman"/>
                <w:sz w:val="20"/>
                <w:szCs w:val="20"/>
              </w:rPr>
            </w:pPr>
          </w:p>
        </w:tc>
        <w:tc>
          <w:tcPr>
            <w:tcW w:w="2427" w:type="dxa"/>
            <w:vAlign w:val="center"/>
          </w:tcPr>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开支标准</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Merge w:val="restart"/>
            <w:vAlign w:val="center"/>
          </w:tcPr>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财务管理</w:t>
            </w:r>
          </w:p>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w:t>
            </w:r>
            <w:r>
              <w:rPr>
                <w:rFonts w:ascii="Times New Roman" w:hAnsi="Times New Roman"/>
                <w:sz w:val="20"/>
                <w:szCs w:val="20"/>
              </w:rPr>
              <w:t>4</w:t>
            </w:r>
            <w:r>
              <w:rPr>
                <w:rFonts w:hint="eastAsia" w:ascii="Times New Roman" w:hAnsi="Times New Roman"/>
                <w:sz w:val="20"/>
                <w:szCs w:val="20"/>
              </w:rPr>
              <w:t>分）</w:t>
            </w:r>
          </w:p>
        </w:tc>
        <w:tc>
          <w:tcPr>
            <w:tcW w:w="2427" w:type="dxa"/>
            <w:vAlign w:val="center"/>
          </w:tcPr>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财务制度</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Merge w:val="continue"/>
            <w:vAlign w:val="center"/>
          </w:tcPr>
          <w:p>
            <w:pPr>
              <w:adjustRightInd w:val="0"/>
              <w:snapToGrid w:val="0"/>
              <w:spacing w:line="260" w:lineRule="exact"/>
              <w:jc w:val="center"/>
              <w:rPr>
                <w:rFonts w:ascii="Times New Roman" w:hAnsi="Times New Roman"/>
                <w:sz w:val="20"/>
                <w:szCs w:val="20"/>
              </w:rPr>
            </w:pPr>
          </w:p>
        </w:tc>
        <w:tc>
          <w:tcPr>
            <w:tcW w:w="2427" w:type="dxa"/>
            <w:vAlign w:val="center"/>
          </w:tcPr>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会计核算</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Merge w:val="restart"/>
            <w:vAlign w:val="center"/>
          </w:tcPr>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组织实施</w:t>
            </w:r>
          </w:p>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w:t>
            </w:r>
            <w:r>
              <w:rPr>
                <w:rFonts w:ascii="Times New Roman" w:hAnsi="Times New Roman"/>
                <w:sz w:val="20"/>
                <w:szCs w:val="20"/>
              </w:rPr>
              <w:t>4</w:t>
            </w:r>
            <w:r>
              <w:rPr>
                <w:rFonts w:hint="eastAsia" w:ascii="Times New Roman" w:hAnsi="Times New Roman"/>
                <w:sz w:val="20"/>
                <w:szCs w:val="20"/>
              </w:rPr>
              <w:t>分）</w:t>
            </w:r>
          </w:p>
        </w:tc>
        <w:tc>
          <w:tcPr>
            <w:tcW w:w="2427" w:type="dxa"/>
            <w:vAlign w:val="center"/>
          </w:tcPr>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项目调整</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Merge w:val="continue"/>
            <w:vAlign w:val="center"/>
          </w:tcPr>
          <w:p>
            <w:pPr>
              <w:adjustRightInd w:val="0"/>
              <w:snapToGrid w:val="0"/>
              <w:spacing w:line="260" w:lineRule="exact"/>
              <w:jc w:val="center"/>
              <w:rPr>
                <w:rFonts w:ascii="Times New Roman" w:hAnsi="Times New Roman"/>
                <w:sz w:val="20"/>
                <w:szCs w:val="20"/>
              </w:rPr>
            </w:pPr>
          </w:p>
        </w:tc>
        <w:tc>
          <w:tcPr>
            <w:tcW w:w="2427" w:type="dxa"/>
            <w:vAlign w:val="center"/>
          </w:tcPr>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投资变更</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Merge w:val="continue"/>
            <w:vAlign w:val="center"/>
          </w:tcPr>
          <w:p>
            <w:pPr>
              <w:adjustRightInd w:val="0"/>
              <w:snapToGrid w:val="0"/>
              <w:spacing w:line="260" w:lineRule="exact"/>
              <w:jc w:val="center"/>
              <w:rPr>
                <w:rFonts w:ascii="Times New Roman" w:hAnsi="Times New Roman"/>
                <w:sz w:val="20"/>
                <w:szCs w:val="20"/>
              </w:rPr>
            </w:pPr>
          </w:p>
        </w:tc>
        <w:tc>
          <w:tcPr>
            <w:tcW w:w="2427" w:type="dxa"/>
            <w:vAlign w:val="center"/>
          </w:tcPr>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制度执行</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spacing w:line="260" w:lineRule="exact"/>
              <w:jc w:val="center"/>
              <w:rPr>
                <w:rFonts w:ascii="Times New Roman" w:hAnsi="Times New Roman"/>
                <w:color w:val="000000"/>
                <w:sz w:val="20"/>
                <w:szCs w:val="20"/>
              </w:rPr>
            </w:pPr>
            <w:r>
              <w:rPr>
                <w:rFonts w:hint="eastAsia" w:ascii="Times New Roman" w:hAnsi="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restart"/>
            <w:vAlign w:val="center"/>
          </w:tcPr>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项目绩效</w:t>
            </w:r>
          </w:p>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（特性指标</w:t>
            </w:r>
            <w:r>
              <w:rPr>
                <w:rFonts w:ascii="Times New Roman" w:hAnsi="Times New Roman"/>
                <w:sz w:val="20"/>
                <w:szCs w:val="20"/>
              </w:rPr>
              <w:t>65</w:t>
            </w:r>
            <w:r>
              <w:rPr>
                <w:rFonts w:hint="eastAsia" w:ascii="Times New Roman" w:hAnsi="Times New Roman"/>
                <w:sz w:val="20"/>
                <w:szCs w:val="20"/>
              </w:rPr>
              <w:t>分）</w:t>
            </w:r>
          </w:p>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项目绩效</w:t>
            </w:r>
          </w:p>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（特性指标</w:t>
            </w:r>
            <w:r>
              <w:rPr>
                <w:rFonts w:ascii="Times New Roman" w:hAnsi="Times New Roman"/>
                <w:sz w:val="20"/>
                <w:szCs w:val="20"/>
              </w:rPr>
              <w:t>65</w:t>
            </w:r>
            <w:r>
              <w:rPr>
                <w:rFonts w:hint="eastAsia" w:ascii="Times New Roman" w:hAnsi="Times New Roman"/>
                <w:sz w:val="20"/>
                <w:szCs w:val="20"/>
              </w:rPr>
              <w:t>分）</w:t>
            </w:r>
          </w:p>
          <w:p>
            <w:pPr>
              <w:adjustRightInd w:val="0"/>
              <w:snapToGrid w:val="0"/>
              <w:spacing w:line="260" w:lineRule="exact"/>
              <w:jc w:val="center"/>
              <w:rPr>
                <w:rFonts w:ascii="Times New Roman" w:hAnsi="Times New Roman"/>
                <w:sz w:val="20"/>
                <w:szCs w:val="20"/>
              </w:rPr>
            </w:pPr>
          </w:p>
        </w:tc>
        <w:tc>
          <w:tcPr>
            <w:tcW w:w="1701" w:type="dxa"/>
            <w:vMerge w:val="restart"/>
            <w:vAlign w:val="center"/>
          </w:tcPr>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项目完成</w:t>
            </w:r>
          </w:p>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w:t>
            </w:r>
            <w:r>
              <w:rPr>
                <w:rFonts w:ascii="Times New Roman" w:hAnsi="Times New Roman"/>
                <w:sz w:val="20"/>
                <w:szCs w:val="20"/>
              </w:rPr>
              <w:t>20</w:t>
            </w:r>
            <w:r>
              <w:rPr>
                <w:rFonts w:hint="eastAsia" w:ascii="Times New Roman" w:hAnsi="Times New Roman"/>
                <w:sz w:val="20"/>
                <w:szCs w:val="20"/>
              </w:rPr>
              <w:t>分）</w:t>
            </w:r>
          </w:p>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项目完成</w:t>
            </w:r>
          </w:p>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w:t>
            </w:r>
            <w:r>
              <w:rPr>
                <w:rFonts w:ascii="Times New Roman" w:hAnsi="Times New Roman"/>
                <w:sz w:val="20"/>
                <w:szCs w:val="20"/>
              </w:rPr>
              <w:t>20</w:t>
            </w:r>
            <w:r>
              <w:rPr>
                <w:rFonts w:hint="eastAsia" w:ascii="Times New Roman" w:hAnsi="Times New Roman"/>
                <w:sz w:val="20"/>
                <w:szCs w:val="20"/>
              </w:rPr>
              <w:t>分）</w:t>
            </w:r>
          </w:p>
          <w:p>
            <w:pPr>
              <w:adjustRightInd w:val="0"/>
              <w:snapToGrid w:val="0"/>
              <w:spacing w:line="260" w:lineRule="exact"/>
              <w:jc w:val="center"/>
              <w:rPr>
                <w:rFonts w:ascii="Times New Roman" w:hAnsi="Times New Roman"/>
                <w:sz w:val="20"/>
                <w:szCs w:val="20"/>
              </w:rPr>
            </w:pPr>
          </w:p>
        </w:tc>
        <w:tc>
          <w:tcPr>
            <w:tcW w:w="2427" w:type="dxa"/>
            <w:vAlign w:val="center"/>
          </w:tcPr>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完成数量</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Merge w:val="continue"/>
            <w:vAlign w:val="center"/>
          </w:tcPr>
          <w:p>
            <w:pPr>
              <w:adjustRightInd w:val="0"/>
              <w:snapToGrid w:val="0"/>
              <w:spacing w:line="260" w:lineRule="exact"/>
              <w:jc w:val="center"/>
              <w:rPr>
                <w:rFonts w:ascii="Times New Roman" w:hAnsi="Times New Roman"/>
                <w:sz w:val="20"/>
                <w:szCs w:val="20"/>
              </w:rPr>
            </w:pPr>
          </w:p>
        </w:tc>
        <w:tc>
          <w:tcPr>
            <w:tcW w:w="2427" w:type="dxa"/>
            <w:vAlign w:val="center"/>
          </w:tcPr>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完成质量</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w:t>
            </w:r>
          </w:p>
        </w:tc>
        <w:tc>
          <w:tcPr>
            <w:tcW w:w="1139" w:type="dxa"/>
            <w:vAlign w:val="center"/>
          </w:tcPr>
          <w:p>
            <w:pPr>
              <w:spacing w:line="260" w:lineRule="exact"/>
              <w:jc w:val="center"/>
              <w:rPr>
                <w:rFonts w:ascii="Times New Roman" w:hAnsi="Times New Roman"/>
                <w:color w:val="000000"/>
                <w:sz w:val="20"/>
                <w:szCs w:val="20"/>
              </w:rPr>
            </w:pPr>
            <w:r>
              <w:rPr>
                <w:rFonts w:hint="eastAsia" w:ascii="Times New Roman" w:hAnsi="Times New Roman"/>
                <w:color w:val="00000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Merge w:val="continue"/>
            <w:vAlign w:val="center"/>
          </w:tcPr>
          <w:p>
            <w:pPr>
              <w:adjustRightInd w:val="0"/>
              <w:snapToGrid w:val="0"/>
              <w:spacing w:line="260" w:lineRule="exact"/>
              <w:jc w:val="center"/>
              <w:rPr>
                <w:rFonts w:ascii="Times New Roman" w:hAnsi="Times New Roman"/>
                <w:sz w:val="20"/>
                <w:szCs w:val="20"/>
              </w:rPr>
            </w:pPr>
          </w:p>
        </w:tc>
        <w:tc>
          <w:tcPr>
            <w:tcW w:w="2427" w:type="dxa"/>
            <w:vAlign w:val="center"/>
          </w:tcPr>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完成时效</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Merge w:val="continue"/>
            <w:vAlign w:val="center"/>
          </w:tcPr>
          <w:p>
            <w:pPr>
              <w:adjustRightInd w:val="0"/>
              <w:snapToGrid w:val="0"/>
              <w:spacing w:line="260" w:lineRule="exact"/>
              <w:jc w:val="center"/>
              <w:rPr>
                <w:rFonts w:ascii="Times New Roman" w:hAnsi="Times New Roman"/>
                <w:sz w:val="20"/>
                <w:szCs w:val="20"/>
              </w:rPr>
            </w:pPr>
          </w:p>
        </w:tc>
        <w:tc>
          <w:tcPr>
            <w:tcW w:w="2427" w:type="dxa"/>
            <w:vAlign w:val="center"/>
          </w:tcPr>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完成成本</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Merge w:val="continue"/>
            <w:vAlign w:val="center"/>
          </w:tcPr>
          <w:p>
            <w:pPr>
              <w:adjustRightInd w:val="0"/>
              <w:snapToGrid w:val="0"/>
              <w:spacing w:line="260" w:lineRule="exact"/>
              <w:jc w:val="center"/>
              <w:rPr>
                <w:rFonts w:ascii="Times New Roman" w:hAnsi="Times New Roman"/>
                <w:sz w:val="20"/>
                <w:szCs w:val="20"/>
              </w:rPr>
            </w:pPr>
          </w:p>
        </w:tc>
        <w:tc>
          <w:tcPr>
            <w:tcW w:w="2427" w:type="dxa"/>
            <w:vAlign w:val="center"/>
          </w:tcPr>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违规纪律</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Merge w:val="restart"/>
            <w:vAlign w:val="center"/>
          </w:tcPr>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项目效益</w:t>
            </w:r>
          </w:p>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w:t>
            </w:r>
            <w:r>
              <w:rPr>
                <w:rFonts w:ascii="Times New Roman" w:hAnsi="Times New Roman"/>
                <w:sz w:val="20"/>
                <w:szCs w:val="20"/>
              </w:rPr>
              <w:t>40</w:t>
            </w:r>
            <w:r>
              <w:rPr>
                <w:rFonts w:hint="eastAsia" w:ascii="Times New Roman" w:hAnsi="Times New Roman"/>
                <w:sz w:val="20"/>
                <w:szCs w:val="20"/>
              </w:rPr>
              <w:t>分）</w:t>
            </w:r>
          </w:p>
        </w:tc>
        <w:tc>
          <w:tcPr>
            <w:tcW w:w="2427" w:type="dxa"/>
            <w:vAlign w:val="center"/>
          </w:tcPr>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经济效益</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10</w:t>
            </w:r>
          </w:p>
        </w:tc>
        <w:tc>
          <w:tcPr>
            <w:tcW w:w="1139" w:type="dxa"/>
            <w:vAlign w:val="center"/>
          </w:tcPr>
          <w:p>
            <w:pPr>
              <w:spacing w:line="260" w:lineRule="exact"/>
              <w:jc w:val="center"/>
              <w:rPr>
                <w:rFonts w:ascii="Times New Roman" w:hAnsi="Times New Roman"/>
                <w:color w:val="000000"/>
                <w:sz w:val="20"/>
                <w:szCs w:val="20"/>
              </w:rPr>
            </w:pPr>
            <w:r>
              <w:rPr>
                <w:rFonts w:hint="eastAsia" w:ascii="Times New Roman" w:hAnsi="Times New Roman"/>
                <w:color w:val="000000"/>
                <w:sz w:val="20"/>
                <w:szCs w:val="2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Merge w:val="continue"/>
            <w:vAlign w:val="center"/>
          </w:tcPr>
          <w:p>
            <w:pPr>
              <w:adjustRightInd w:val="0"/>
              <w:snapToGrid w:val="0"/>
              <w:spacing w:line="260" w:lineRule="exact"/>
              <w:jc w:val="center"/>
              <w:rPr>
                <w:rFonts w:ascii="Times New Roman" w:hAnsi="Times New Roman"/>
                <w:sz w:val="20"/>
                <w:szCs w:val="20"/>
              </w:rPr>
            </w:pPr>
          </w:p>
        </w:tc>
        <w:tc>
          <w:tcPr>
            <w:tcW w:w="2427" w:type="dxa"/>
            <w:vAlign w:val="center"/>
          </w:tcPr>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社会效益</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10</w:t>
            </w:r>
          </w:p>
        </w:tc>
        <w:tc>
          <w:tcPr>
            <w:tcW w:w="1139" w:type="dxa"/>
            <w:vAlign w:val="center"/>
          </w:tcPr>
          <w:p>
            <w:pPr>
              <w:spacing w:line="260" w:lineRule="exact"/>
              <w:jc w:val="center"/>
              <w:rPr>
                <w:rFonts w:hint="default" w:ascii="Times New Roman" w:hAnsi="Times New Roman" w:eastAsia="仿宋_GB2312"/>
                <w:color w:val="000000"/>
                <w:sz w:val="20"/>
                <w:szCs w:val="20"/>
                <w:lang w:val="en-US" w:eastAsia="zh-CN"/>
              </w:rPr>
            </w:pPr>
            <w:r>
              <w:rPr>
                <w:rFonts w:hint="eastAsia" w:ascii="Times New Roman" w:hAnsi="Times New Roman"/>
                <w:color w:val="00000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Merge w:val="continue"/>
            <w:vAlign w:val="center"/>
          </w:tcPr>
          <w:p>
            <w:pPr>
              <w:adjustRightInd w:val="0"/>
              <w:snapToGrid w:val="0"/>
              <w:spacing w:line="260" w:lineRule="exact"/>
              <w:jc w:val="center"/>
              <w:rPr>
                <w:rFonts w:ascii="Times New Roman" w:hAnsi="Times New Roman"/>
                <w:sz w:val="20"/>
                <w:szCs w:val="20"/>
              </w:rPr>
            </w:pPr>
          </w:p>
        </w:tc>
        <w:tc>
          <w:tcPr>
            <w:tcW w:w="2427" w:type="dxa"/>
            <w:vAlign w:val="center"/>
          </w:tcPr>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生态效益</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10</w:t>
            </w:r>
          </w:p>
        </w:tc>
        <w:tc>
          <w:tcPr>
            <w:tcW w:w="1139" w:type="dxa"/>
            <w:vAlign w:val="center"/>
          </w:tcPr>
          <w:p>
            <w:pPr>
              <w:spacing w:line="260" w:lineRule="exact"/>
              <w:jc w:val="center"/>
              <w:rPr>
                <w:rFonts w:ascii="Times New Roman" w:hAnsi="Times New Roman"/>
                <w:color w:val="000000"/>
                <w:sz w:val="20"/>
                <w:szCs w:val="20"/>
              </w:rPr>
            </w:pPr>
            <w:r>
              <w:rPr>
                <w:rFonts w:hint="eastAsia" w:ascii="Times New Roman" w:hAnsi="Times New Roman"/>
                <w:color w:val="000000"/>
                <w:sz w:val="20"/>
                <w:szCs w:val="2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Merge w:val="continue"/>
            <w:vAlign w:val="center"/>
          </w:tcPr>
          <w:p>
            <w:pPr>
              <w:adjustRightInd w:val="0"/>
              <w:snapToGrid w:val="0"/>
              <w:spacing w:line="260" w:lineRule="exact"/>
              <w:jc w:val="center"/>
              <w:rPr>
                <w:rFonts w:ascii="Times New Roman" w:hAnsi="Times New Roman"/>
                <w:sz w:val="20"/>
                <w:szCs w:val="20"/>
              </w:rPr>
            </w:pPr>
          </w:p>
        </w:tc>
        <w:tc>
          <w:tcPr>
            <w:tcW w:w="2427" w:type="dxa"/>
            <w:vAlign w:val="center"/>
          </w:tcPr>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可持续效益</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10</w:t>
            </w:r>
          </w:p>
        </w:tc>
        <w:tc>
          <w:tcPr>
            <w:tcW w:w="1139" w:type="dxa"/>
            <w:vAlign w:val="center"/>
          </w:tcPr>
          <w:p>
            <w:pPr>
              <w:spacing w:line="260" w:lineRule="exact"/>
              <w:jc w:val="center"/>
              <w:rPr>
                <w:rFonts w:hint="default" w:ascii="Times New Roman" w:hAnsi="Times New Roman" w:eastAsia="仿宋_GB2312"/>
                <w:color w:val="000000"/>
                <w:sz w:val="20"/>
                <w:szCs w:val="20"/>
                <w:lang w:val="en-US" w:eastAsia="zh-CN"/>
              </w:rPr>
            </w:pPr>
            <w:r>
              <w:rPr>
                <w:rFonts w:hint="eastAsia" w:ascii="Times New Roman" w:hAnsi="Times New Roman"/>
                <w:color w:val="00000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Align w:val="center"/>
          </w:tcPr>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满意度</w:t>
            </w:r>
          </w:p>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w:t>
            </w:r>
            <w:r>
              <w:rPr>
                <w:rFonts w:ascii="Times New Roman" w:hAnsi="Times New Roman"/>
                <w:sz w:val="20"/>
                <w:szCs w:val="20"/>
              </w:rPr>
              <w:t>5</w:t>
            </w:r>
            <w:r>
              <w:rPr>
                <w:rFonts w:hint="eastAsia" w:ascii="Times New Roman" w:hAnsi="Times New Roman"/>
                <w:sz w:val="20"/>
                <w:szCs w:val="20"/>
              </w:rPr>
              <w:t>分）</w:t>
            </w:r>
          </w:p>
        </w:tc>
        <w:tc>
          <w:tcPr>
            <w:tcW w:w="2427" w:type="dxa"/>
            <w:vAlign w:val="center"/>
          </w:tcPr>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服务对象满意度</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5</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040" w:type="dxa"/>
            <w:gridSpan w:val="3"/>
            <w:vAlign w:val="center"/>
          </w:tcPr>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合　　　　计</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100</w:t>
            </w:r>
          </w:p>
        </w:tc>
        <w:tc>
          <w:tcPr>
            <w:tcW w:w="1139" w:type="dxa"/>
            <w:vAlign w:val="center"/>
          </w:tcPr>
          <w:p>
            <w:pPr>
              <w:widowControl/>
              <w:spacing w:line="260" w:lineRule="exact"/>
              <w:jc w:val="center"/>
              <w:rPr>
                <w:rFonts w:hint="default" w:ascii="Times New Roman" w:hAnsi="Times New Roman" w:eastAsia="仿宋_GB2312"/>
                <w:sz w:val="20"/>
                <w:szCs w:val="20"/>
                <w:lang w:val="en-US" w:eastAsia="zh-CN"/>
              </w:rPr>
            </w:pPr>
            <w:r>
              <w:rPr>
                <w:rFonts w:hint="eastAsia" w:ascii="Times New Roman" w:hAnsi="Times New Roman"/>
                <w:color w:val="000000"/>
                <w:kern w:val="0"/>
                <w:sz w:val="20"/>
                <w:szCs w:val="20"/>
                <w:lang w:val="en-US" w:eastAsia="zh-CN"/>
              </w:rPr>
              <w:t>95</w:t>
            </w:r>
          </w:p>
        </w:tc>
      </w:tr>
    </w:tbl>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黑体"/>
          <w:sz w:val="32"/>
          <w:szCs w:val="33"/>
        </w:rPr>
      </w:pPr>
      <w:r>
        <w:rPr>
          <w:rFonts w:hint="eastAsia" w:ascii="Times New Roman" w:hAnsi="Times New Roman" w:eastAsia="黑体"/>
          <w:sz w:val="32"/>
          <w:szCs w:val="33"/>
        </w:rPr>
        <w:t>四、</w:t>
      </w:r>
      <w:r>
        <w:rPr>
          <w:rFonts w:ascii="Times New Roman" w:hAnsi="Times New Roman" w:eastAsia="黑体"/>
          <w:sz w:val="32"/>
          <w:szCs w:val="33"/>
        </w:rPr>
        <w:t>绩效评价指标分析</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（一）项目决策情况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Times New Roman"/>
          <w:kern w:val="2"/>
          <w:sz w:val="32"/>
          <w:szCs w:val="33"/>
          <w:lang w:val="zh-CN" w:eastAsia="zh-CN" w:bidi="ar-SA"/>
        </w:rPr>
      </w:pPr>
      <w:r>
        <w:rPr>
          <w:rFonts w:hint="eastAsia" w:ascii="Times New Roman" w:hAnsi="Times New Roman" w:eastAsia="仿宋_GB2312" w:cs="Times New Roman"/>
          <w:kern w:val="2"/>
          <w:sz w:val="32"/>
          <w:szCs w:val="33"/>
          <w:lang w:val="en-US" w:eastAsia="zh-CN" w:bidi="ar-SA"/>
        </w:rPr>
        <w:t>根据公开招标的购买服务价格、食材供应价格、2021年实际支付食堂运行经费以及2022年当年实际物价水平，作为资金申报依据，由区机关事务服务中心根据相关规定，将食堂运行经费纳入2022年年初部门预算，区财政局审核后出具正式预算批复（攀西财〔2022〕101号）。项目批复预算资金290万元，年底据实结算。</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楷体_GB2312" w:hAnsi="楷体_GB2312" w:eastAsia="楷体_GB2312" w:cs="楷体_GB2312"/>
          <w:b/>
          <w:bCs/>
          <w:sz w:val="32"/>
          <w:szCs w:val="33"/>
        </w:rPr>
      </w:pPr>
      <w:r>
        <w:rPr>
          <w:rFonts w:hint="eastAsia" w:ascii="方正楷体_GBK" w:hAnsi="方正楷体_GBK" w:eastAsia="楷体_GB2312" w:cs="方正楷体_GBK"/>
          <w:b/>
          <w:bCs/>
          <w:sz w:val="32"/>
          <w:szCs w:val="33"/>
        </w:rPr>
        <w:t>（二）项目过程情况</w:t>
      </w:r>
    </w:p>
    <w:p>
      <w:pPr>
        <w:pStyle w:val="15"/>
        <w:keepNext w:val="0"/>
        <w:keepLines w:val="0"/>
        <w:pageBreakBefore w:val="0"/>
        <w:widowControl w:val="0"/>
        <w:tabs>
          <w:tab w:val="left" w:pos="3885"/>
        </w:tabs>
        <w:kinsoku/>
        <w:wordWrap/>
        <w:overflowPunct/>
        <w:topLinePunct w:val="0"/>
        <w:autoSpaceDE/>
        <w:autoSpaceDN/>
        <w:bidi w:val="0"/>
        <w:adjustRightInd/>
        <w:snapToGrid w:val="0"/>
        <w:spacing w:line="560" w:lineRule="exact"/>
        <w:ind w:firstLine="660"/>
        <w:textAlignment w:val="auto"/>
        <w:rPr>
          <w:rFonts w:ascii="Times New Roman" w:hAnsi="Times New Roman" w:eastAsia="仿宋_GB2312"/>
          <w:sz w:val="32"/>
          <w:szCs w:val="33"/>
        </w:rPr>
      </w:pPr>
      <w:r>
        <w:rPr>
          <w:rFonts w:hint="eastAsia" w:ascii="Times New Roman" w:hAnsi="Times New Roman" w:eastAsia="仿宋_GB2312"/>
          <w:sz w:val="32"/>
          <w:szCs w:val="33"/>
        </w:rPr>
        <w:t>项目资金分配结果与计划一致，严格按照实买实付、所有款项按时支付的原则进行资金分配。资金使用情况符合相关的财务管理制度规定。全年实际支付食堂服务费62.44万元、采购食材费180.24万元、购买米线1.74万元、机关食堂扩建后购置桌椅、厨具以及零星维修费用13.64万元、购买疫情防控一次性餐盒和部分食物2.6万元、其他零星采购费用（如抽纸、一次性筷子、手套、清洗服务费等其他食堂食品安全、卫生相关的费用）13.5万元。</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（三）项目产出情况</w:t>
      </w:r>
    </w:p>
    <w:p>
      <w:pPr>
        <w:pStyle w:val="15"/>
        <w:keepNext w:val="0"/>
        <w:keepLines w:val="0"/>
        <w:pageBreakBefore w:val="0"/>
        <w:widowControl w:val="0"/>
        <w:tabs>
          <w:tab w:val="left" w:pos="3885"/>
        </w:tabs>
        <w:kinsoku/>
        <w:wordWrap/>
        <w:overflowPunct/>
        <w:topLinePunct w:val="0"/>
        <w:autoSpaceDE/>
        <w:autoSpaceDN/>
        <w:bidi w:val="0"/>
        <w:adjustRightInd/>
        <w:snapToGrid w:val="0"/>
        <w:spacing w:line="560" w:lineRule="exact"/>
        <w:ind w:firstLine="660"/>
        <w:textAlignment w:val="auto"/>
        <w:rPr>
          <w:rFonts w:ascii="Times New Roman" w:hAnsi="Times New Roman" w:eastAsia="仿宋_GB2312"/>
          <w:sz w:val="32"/>
          <w:szCs w:val="33"/>
        </w:rPr>
      </w:pPr>
      <w:r>
        <w:rPr>
          <w:rFonts w:hint="eastAsia" w:ascii="Times New Roman" w:hAnsi="Times New Roman" w:eastAsia="仿宋_GB2312"/>
          <w:sz w:val="32"/>
          <w:szCs w:val="33"/>
        </w:rPr>
        <w:t>2022年初计划全年食堂服务费80万元、采购食材费200万元、其他开支10万元。2022年年初区财政批复该项目预算资金290万元，当年食堂运行经费项目总支出274.16万元，资金结余15.84万元，其原因为2022年部分食材费用还未支付。</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（四）项目效益情况</w:t>
      </w:r>
    </w:p>
    <w:p>
      <w:pPr>
        <w:pStyle w:val="15"/>
        <w:keepNext w:val="0"/>
        <w:keepLines w:val="0"/>
        <w:pageBreakBefore w:val="0"/>
        <w:widowControl w:val="0"/>
        <w:tabs>
          <w:tab w:val="left" w:pos="3885"/>
        </w:tabs>
        <w:kinsoku/>
        <w:wordWrap/>
        <w:overflowPunct/>
        <w:topLinePunct w:val="0"/>
        <w:autoSpaceDE/>
        <w:autoSpaceDN/>
        <w:bidi w:val="0"/>
        <w:adjustRightInd/>
        <w:snapToGrid w:val="0"/>
        <w:spacing w:line="560" w:lineRule="exact"/>
        <w:ind w:firstLine="660"/>
        <w:textAlignment w:val="auto"/>
        <w:rPr>
          <w:rFonts w:ascii="Times New Roman" w:hAnsi="Times New Roman" w:eastAsia="仿宋_GB2312"/>
          <w:sz w:val="32"/>
          <w:szCs w:val="33"/>
        </w:rPr>
      </w:pPr>
      <w:r>
        <w:rPr>
          <w:rFonts w:hint="eastAsia" w:ascii="Times New Roman" w:hAnsi="Times New Roman" w:eastAsia="仿宋_GB2312"/>
          <w:sz w:val="32"/>
          <w:szCs w:val="33"/>
        </w:rPr>
        <w:t>保质保量完成了食堂的各项服务工作、解决了职工全天就餐问题，并足额支付各项费用，保障了食堂全年正常运行。</w:t>
      </w:r>
    </w:p>
    <w:p>
      <w:pPr>
        <w:keepNext w:val="0"/>
        <w:keepLines w:val="0"/>
        <w:pageBreakBefore w:val="0"/>
        <w:widowControl w:val="0"/>
        <w:tabs>
          <w:tab w:val="left" w:pos="3885"/>
        </w:tabs>
        <w:kinsoku/>
        <w:wordWrap/>
        <w:overflowPunct/>
        <w:topLinePunct w:val="0"/>
        <w:autoSpaceDE/>
        <w:autoSpaceDN/>
        <w:bidi w:val="0"/>
        <w:adjustRightInd/>
        <w:snapToGrid w:val="0"/>
        <w:spacing w:line="560" w:lineRule="exact"/>
        <w:ind w:firstLine="640" w:firstLineChars="200"/>
        <w:textAlignment w:val="auto"/>
        <w:rPr>
          <w:rFonts w:ascii="方正黑体_GBK" w:hAnsi="方正黑体_GBK" w:eastAsia="黑体" w:cs="方正黑体_GBK"/>
          <w:sz w:val="32"/>
          <w:szCs w:val="33"/>
        </w:rPr>
      </w:pPr>
      <w:r>
        <w:rPr>
          <w:rFonts w:hint="eastAsia" w:ascii="方正黑体_GBK" w:hAnsi="方正黑体_GBK" w:eastAsia="黑体" w:cs="方正黑体_GBK"/>
          <w:sz w:val="32"/>
          <w:szCs w:val="33"/>
        </w:rPr>
        <w:t>五、存在主要问题</w:t>
      </w:r>
    </w:p>
    <w:p>
      <w:pPr>
        <w:keepNext w:val="0"/>
        <w:keepLines w:val="0"/>
        <w:pageBreakBefore w:val="0"/>
        <w:widowControl w:val="0"/>
        <w:tabs>
          <w:tab w:val="left" w:pos="3885"/>
        </w:tabs>
        <w:kinsoku/>
        <w:wordWrap/>
        <w:overflowPunct/>
        <w:topLinePunct w:val="0"/>
        <w:autoSpaceDE/>
        <w:autoSpaceDN/>
        <w:bidi w:val="0"/>
        <w:adjustRightInd/>
        <w:snapToGrid w:val="0"/>
        <w:spacing w:line="560" w:lineRule="exact"/>
        <w:ind w:firstLine="643" w:firstLineChars="200"/>
        <w:textAlignment w:val="auto"/>
        <w:rPr>
          <w:rFonts w:ascii="Times New Roman" w:hAnsi="Times New Roman" w:eastAsia="仿宋_GB2312"/>
          <w:sz w:val="32"/>
          <w:szCs w:val="33"/>
        </w:rPr>
      </w:pPr>
      <w:r>
        <w:rPr>
          <w:rFonts w:hint="eastAsia" w:ascii="方正仿宋_GBK" w:hAnsi="方正仿宋_GBK" w:eastAsia="仿宋_GB2312" w:cs="方正仿宋_GBK"/>
          <w:b/>
          <w:bCs/>
          <w:kern w:val="0"/>
          <w:sz w:val="32"/>
          <w:szCs w:val="33"/>
        </w:rPr>
        <w:t>一是</w:t>
      </w:r>
      <w:r>
        <w:rPr>
          <w:rFonts w:hint="eastAsia" w:ascii="Times New Roman" w:hAnsi="Times New Roman" w:eastAsia="仿宋_GB2312"/>
          <w:sz w:val="32"/>
          <w:szCs w:val="33"/>
        </w:rPr>
        <w:t>食堂管理制度不够精细，存在管理漏洞，服务水平有待提升，食堂外包服务团队服务意识不足，缺乏相关培训。</w:t>
      </w:r>
      <w:r>
        <w:rPr>
          <w:rFonts w:hint="eastAsia" w:ascii="方正仿宋_GBK" w:hAnsi="方正仿宋_GBK" w:eastAsia="仿宋_GB2312" w:cs="方正仿宋_GBK"/>
          <w:b/>
          <w:bCs/>
          <w:kern w:val="0"/>
          <w:sz w:val="32"/>
          <w:szCs w:val="33"/>
        </w:rPr>
        <w:t>二是</w:t>
      </w:r>
      <w:r>
        <w:rPr>
          <w:rFonts w:hint="eastAsia" w:ascii="Times New Roman" w:hAnsi="Times New Roman" w:eastAsia="仿宋_GB2312"/>
          <w:sz w:val="32"/>
          <w:szCs w:val="33"/>
        </w:rPr>
        <w:t>食品浪费现象依旧存在，节约意识未能深入人心。</w:t>
      </w:r>
    </w:p>
    <w:p>
      <w:pPr>
        <w:keepNext w:val="0"/>
        <w:keepLines w:val="0"/>
        <w:pageBreakBefore w:val="0"/>
        <w:widowControl w:val="0"/>
        <w:tabs>
          <w:tab w:val="left" w:pos="3885"/>
        </w:tabs>
        <w:kinsoku/>
        <w:wordWrap/>
        <w:overflowPunct/>
        <w:topLinePunct w:val="0"/>
        <w:autoSpaceDE/>
        <w:autoSpaceDN/>
        <w:bidi w:val="0"/>
        <w:adjustRightInd/>
        <w:snapToGrid w:val="0"/>
        <w:spacing w:line="560" w:lineRule="exact"/>
        <w:ind w:firstLine="640" w:firstLineChars="200"/>
        <w:textAlignment w:val="auto"/>
        <w:rPr>
          <w:rFonts w:ascii="方正黑体_GBK" w:hAnsi="方正黑体_GBK" w:eastAsia="黑体" w:cs="方正黑体_GBK"/>
          <w:sz w:val="32"/>
          <w:szCs w:val="33"/>
        </w:rPr>
      </w:pPr>
      <w:r>
        <w:rPr>
          <w:rFonts w:hint="eastAsia" w:ascii="方正黑体_GBK" w:hAnsi="方正黑体_GBK" w:eastAsia="黑体" w:cs="方正黑体_GBK"/>
          <w:sz w:val="32"/>
          <w:szCs w:val="33"/>
        </w:rPr>
        <w:t>六、相关措施建议</w:t>
      </w:r>
    </w:p>
    <w:p>
      <w:pPr>
        <w:keepNext w:val="0"/>
        <w:keepLines w:val="0"/>
        <w:pageBreakBefore w:val="0"/>
        <w:widowControl w:val="0"/>
        <w:tabs>
          <w:tab w:val="left" w:pos="3885"/>
        </w:tabs>
        <w:kinsoku/>
        <w:wordWrap/>
        <w:overflowPunct/>
        <w:topLinePunct w:val="0"/>
        <w:autoSpaceDE/>
        <w:autoSpaceDN/>
        <w:bidi w:val="0"/>
        <w:adjustRightInd/>
        <w:snapToGrid w:val="0"/>
        <w:spacing w:line="560" w:lineRule="exact"/>
        <w:ind w:firstLine="643" w:firstLineChars="200"/>
        <w:textAlignment w:val="auto"/>
        <w:rPr>
          <w:rFonts w:ascii="Times New Roman" w:hAnsi="Times New Roman" w:eastAsia="仿宋_GB2312"/>
          <w:sz w:val="32"/>
          <w:szCs w:val="33"/>
        </w:rPr>
      </w:pPr>
      <w:r>
        <w:rPr>
          <w:rFonts w:hint="eastAsia" w:ascii="方正仿宋_GBK" w:hAnsi="方正仿宋_GBK" w:eastAsia="仿宋_GB2312" w:cs="方正仿宋_GBK"/>
          <w:b/>
          <w:bCs/>
          <w:kern w:val="0"/>
          <w:sz w:val="32"/>
          <w:szCs w:val="33"/>
        </w:rPr>
        <w:t>一是</w:t>
      </w:r>
      <w:r>
        <w:rPr>
          <w:rFonts w:hint="eastAsia" w:ascii="Times New Roman" w:hAnsi="Times New Roman" w:eastAsia="仿宋_GB2312"/>
          <w:sz w:val="32"/>
          <w:szCs w:val="33"/>
        </w:rPr>
        <w:t>强化经济核算和成本控制，加强粮食、副食品和原材料的采购、储存及加工管理。实行精细化管理，改进供餐、用餐方式，在餐厅摆放提示牌或张贴宣传画，提醒用餐人员注意节约，管理人员要加强巡视，对造成浪费的要进行批评教育。</w:t>
      </w:r>
      <w:r>
        <w:rPr>
          <w:rFonts w:hint="eastAsia" w:ascii="方正仿宋_GBK" w:hAnsi="方正仿宋_GBK" w:eastAsia="仿宋_GB2312" w:cs="方正仿宋_GBK"/>
          <w:b/>
          <w:bCs/>
          <w:kern w:val="0"/>
          <w:sz w:val="32"/>
          <w:szCs w:val="33"/>
        </w:rPr>
        <w:t>二是</w:t>
      </w:r>
      <w:r>
        <w:rPr>
          <w:rFonts w:hint="eastAsia" w:ascii="Times New Roman" w:hAnsi="Times New Roman" w:eastAsia="仿宋_GB2312"/>
          <w:sz w:val="32"/>
          <w:szCs w:val="33"/>
        </w:rPr>
        <w:t>提升项目资金使用效率，根据财政专项资金管理办法对项目资金的支付进行审核，并在支付全过程严格执行会计核算规范程序，从根本上确保项目资金使用效率。</w:t>
      </w:r>
    </w:p>
    <w:p>
      <w:r>
        <w:br w:type="page"/>
      </w:r>
    </w:p>
    <w:p>
      <w:pPr>
        <w:spacing w:line="600" w:lineRule="exact"/>
        <w:rPr>
          <w:rFonts w:ascii="Times New Roman" w:hAnsi="Times New Roman" w:eastAsia="黑体"/>
          <w:sz w:val="32"/>
          <w:szCs w:val="33"/>
        </w:rPr>
      </w:pPr>
      <w:r>
        <w:rPr>
          <w:rFonts w:ascii="Times New Roman" w:hAnsi="Times New Roman" w:eastAsia="黑体"/>
          <w:sz w:val="32"/>
          <w:szCs w:val="33"/>
        </w:rPr>
        <w:t>附件7</w:t>
      </w:r>
    </w:p>
    <w:p>
      <w:pPr>
        <w:snapToGrid w:val="0"/>
        <w:spacing w:line="60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rPr>
        <w:t>2022年火红年华廉洁文化教育基地建设项目</w:t>
      </w:r>
    </w:p>
    <w:p>
      <w:pPr>
        <w:snapToGrid w:val="0"/>
        <w:spacing w:line="60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rPr>
        <w:t>经费绩效评价报告</w:t>
      </w:r>
    </w:p>
    <w:p>
      <w:pPr>
        <w:pStyle w:val="8"/>
        <w:keepNext w:val="0"/>
        <w:keepLines w:val="0"/>
        <w:pageBreakBefore w:val="0"/>
        <w:widowControl w:val="0"/>
        <w:kinsoku/>
        <w:wordWrap/>
        <w:overflowPunct/>
        <w:topLinePunct w:val="0"/>
        <w:autoSpaceDE/>
        <w:autoSpaceDN/>
        <w:bidi w:val="0"/>
        <w:adjustRightInd/>
        <w:snapToGrid w:val="0"/>
        <w:spacing w:before="157" w:beforeLines="50" w:line="560" w:lineRule="exact"/>
        <w:ind w:firstLine="640" w:firstLineChars="200"/>
        <w:jc w:val="both"/>
        <w:textAlignment w:val="auto"/>
        <w:rPr>
          <w:rFonts w:ascii="Times New Roman" w:hAnsi="Times New Roman" w:eastAsia="方正小标宋_GBK"/>
          <w:b/>
          <w:bCs/>
          <w:sz w:val="36"/>
          <w:szCs w:val="36"/>
        </w:rPr>
      </w:pPr>
      <w:r>
        <w:rPr>
          <w:rFonts w:ascii="Times New Roman" w:hAnsi="Times New Roman" w:eastAsia="仿宋_GB2312"/>
          <w:sz w:val="32"/>
          <w:szCs w:val="33"/>
        </w:rPr>
        <w:t>根据《中华人民共和国预算法》《中共四川省委 四川省人民政府关于全面实施预算绩效管理的实施意见》以及市第十届人大常委会第四次会议提出的</w:t>
      </w:r>
      <w:r>
        <w:rPr>
          <w:rFonts w:hint="eastAsia" w:ascii="Times New Roman" w:hAnsi="Times New Roman" w:eastAsia="仿宋_GB2312"/>
          <w:sz w:val="32"/>
          <w:szCs w:val="33"/>
          <w:lang w:eastAsia="zh-CN"/>
        </w:rPr>
        <w:t>“</w:t>
      </w:r>
      <w:r>
        <w:rPr>
          <w:rFonts w:ascii="Times New Roman" w:hAnsi="Times New Roman" w:eastAsia="仿宋_GB2312"/>
          <w:sz w:val="32"/>
          <w:szCs w:val="33"/>
        </w:rPr>
        <w:t>进一步完善财政支出绩效评价制度，尤其是对评价结果的运用制度</w:t>
      </w:r>
      <w:r>
        <w:rPr>
          <w:rFonts w:hint="eastAsia" w:ascii="Times New Roman" w:hAnsi="Times New Roman" w:eastAsia="仿宋_GB2312"/>
          <w:sz w:val="32"/>
          <w:szCs w:val="33"/>
          <w:lang w:eastAsia="zh-CN"/>
        </w:rPr>
        <w:t>”</w:t>
      </w:r>
      <w:r>
        <w:rPr>
          <w:rFonts w:ascii="Times New Roman" w:hAnsi="Times New Roman" w:eastAsia="仿宋_GB2312"/>
          <w:sz w:val="32"/>
          <w:szCs w:val="33"/>
        </w:rPr>
        <w:t>等要求，于20</w:t>
      </w:r>
      <w:r>
        <w:rPr>
          <w:rFonts w:hint="eastAsia" w:ascii="Times New Roman" w:hAnsi="Times New Roman" w:eastAsia="仿宋_GB2312"/>
          <w:sz w:val="32"/>
          <w:szCs w:val="33"/>
        </w:rPr>
        <w:t>2</w:t>
      </w:r>
      <w:r>
        <w:rPr>
          <w:rFonts w:ascii="Times New Roman" w:hAnsi="Times New Roman" w:eastAsia="仿宋_GB2312"/>
          <w:sz w:val="32"/>
          <w:szCs w:val="33"/>
        </w:rPr>
        <w:t>3年6月至7月对</w:t>
      </w:r>
      <w:r>
        <w:rPr>
          <w:rFonts w:hint="eastAsia" w:ascii="Times New Roman" w:hAnsi="Times New Roman" w:eastAsia="仿宋_GB2312"/>
          <w:sz w:val="32"/>
          <w:szCs w:val="33"/>
        </w:rPr>
        <w:t>2022年火红年华廉洁文化教育基地建设项目经费</w:t>
      </w:r>
      <w:r>
        <w:rPr>
          <w:rFonts w:ascii="Times New Roman" w:hAnsi="Times New Roman" w:eastAsia="仿宋_GB2312"/>
          <w:sz w:val="32"/>
          <w:szCs w:val="33"/>
        </w:rPr>
        <w:t>开展了绩效评价，现将有关情况报告如下。</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ascii="Times New Roman" w:hAnsi="Times New Roman" w:eastAsia="黑体"/>
          <w:sz w:val="32"/>
          <w:szCs w:val="33"/>
        </w:rPr>
      </w:pPr>
      <w:r>
        <w:rPr>
          <w:rFonts w:ascii="Times New Roman" w:hAnsi="Times New Roman" w:eastAsia="黑体"/>
          <w:sz w:val="32"/>
          <w:szCs w:val="33"/>
        </w:rPr>
        <w:t>一、基本情况</w:t>
      </w:r>
    </w:p>
    <w:p>
      <w:pPr>
        <w:keepNext w:val="0"/>
        <w:keepLines w:val="0"/>
        <w:pageBreakBefore w:val="0"/>
        <w:widowControl w:val="0"/>
        <w:kinsoku/>
        <w:wordWrap/>
        <w:overflowPunct/>
        <w:topLinePunct w:val="0"/>
        <w:autoSpaceDE/>
        <w:autoSpaceDN/>
        <w:bidi w:val="0"/>
        <w:adjustRightInd/>
        <w:spacing w:line="560" w:lineRule="exact"/>
        <w:ind w:firstLine="643" w:firstLineChars="200"/>
        <w:rPr>
          <w:rFonts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（一）项目概况</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ascii="Times New Roman" w:hAnsi="Times New Roman" w:eastAsia="仿宋_GB2312"/>
          <w:sz w:val="32"/>
          <w:szCs w:val="33"/>
        </w:rPr>
      </w:pPr>
      <w:r>
        <w:rPr>
          <w:rFonts w:hint="eastAsia" w:ascii="Times New Roman" w:hAnsi="Times New Roman" w:eastAsia="仿宋_GB2312"/>
          <w:sz w:val="32"/>
          <w:szCs w:val="33"/>
        </w:rPr>
        <w:t>按照中共中央办公厅《关于加强新时代廉洁文化建设的意见》，河门口街办以西区丰富的工业文化元素及《火红年华》拍摄基地室内外实景资源为基础，紧扣</w:t>
      </w:r>
      <w:r>
        <w:rPr>
          <w:rFonts w:hint="eastAsia" w:ascii="Times New Roman" w:hAnsi="Times New Roman" w:eastAsia="仿宋_GB2312"/>
          <w:sz w:val="32"/>
          <w:szCs w:val="33"/>
          <w:lang w:eastAsia="zh-CN"/>
        </w:rPr>
        <w:t>“</w:t>
      </w:r>
      <w:r>
        <w:rPr>
          <w:rFonts w:hint="eastAsia" w:ascii="Times New Roman" w:hAnsi="Times New Roman" w:eastAsia="仿宋_GB2312"/>
          <w:sz w:val="32"/>
          <w:szCs w:val="33"/>
        </w:rPr>
        <w:t>廉洁正气</w:t>
      </w:r>
      <w:r>
        <w:rPr>
          <w:rFonts w:hint="eastAsia" w:ascii="Times New Roman" w:hAnsi="Times New Roman" w:eastAsia="仿宋_GB2312"/>
          <w:sz w:val="32"/>
          <w:szCs w:val="33"/>
          <w:lang w:eastAsia="zh-CN"/>
        </w:rPr>
        <w:t>”</w:t>
      </w:r>
      <w:r>
        <w:rPr>
          <w:rFonts w:hint="eastAsia" w:ascii="Times New Roman" w:hAnsi="Times New Roman" w:eastAsia="仿宋_GB2312"/>
          <w:sz w:val="32"/>
          <w:szCs w:val="33"/>
        </w:rPr>
        <w:t>主题，打造</w:t>
      </w:r>
      <w:r>
        <w:rPr>
          <w:rFonts w:hint="eastAsia" w:ascii="Times New Roman" w:hAnsi="Times New Roman" w:eastAsia="仿宋_GB2312"/>
          <w:sz w:val="32"/>
          <w:szCs w:val="33"/>
          <w:lang w:eastAsia="zh-CN"/>
        </w:rPr>
        <w:t>“</w:t>
      </w:r>
      <w:r>
        <w:rPr>
          <w:rFonts w:hint="eastAsia" w:ascii="Times New Roman" w:hAnsi="Times New Roman" w:eastAsia="仿宋_GB2312"/>
          <w:sz w:val="32"/>
          <w:szCs w:val="33"/>
        </w:rPr>
        <w:t>金沙练兵场、火红记忆苑、廉洁留声馆、初心传习课</w:t>
      </w:r>
      <w:r>
        <w:rPr>
          <w:rFonts w:hint="eastAsia" w:ascii="Times New Roman" w:hAnsi="Times New Roman" w:eastAsia="仿宋_GB2312"/>
          <w:sz w:val="32"/>
          <w:szCs w:val="33"/>
          <w:lang w:eastAsia="zh-CN"/>
        </w:rPr>
        <w:t>”</w:t>
      </w:r>
      <w:r>
        <w:rPr>
          <w:rFonts w:hint="eastAsia" w:ascii="Times New Roman" w:hAnsi="Times New Roman" w:eastAsia="仿宋_GB2312"/>
          <w:sz w:val="32"/>
          <w:szCs w:val="33"/>
        </w:rPr>
        <w:t>四大区块。2022年火红年华廉洁文化教育基地建设项目资金为125.5万元</w:t>
      </w:r>
      <w:r>
        <w:rPr>
          <w:rFonts w:ascii="Times New Roman" w:hAnsi="Times New Roman" w:eastAsia="仿宋_GB2312"/>
          <w:sz w:val="32"/>
          <w:szCs w:val="33"/>
        </w:rPr>
        <w:t>，</w:t>
      </w:r>
      <w:r>
        <w:rPr>
          <w:rFonts w:hint="eastAsia" w:ascii="Times New Roman" w:hAnsi="Times New Roman" w:eastAsia="仿宋_GB2312"/>
          <w:sz w:val="32"/>
          <w:szCs w:val="33"/>
        </w:rPr>
        <w:t>截至目前</w:t>
      </w:r>
      <w:r>
        <w:rPr>
          <w:rFonts w:ascii="Times New Roman" w:hAnsi="Times New Roman" w:eastAsia="仿宋_GB2312"/>
          <w:sz w:val="32"/>
          <w:szCs w:val="33"/>
        </w:rPr>
        <w:t>，项目资金已全部支付。</w:t>
      </w:r>
    </w:p>
    <w:p>
      <w:pPr>
        <w:keepNext w:val="0"/>
        <w:keepLines w:val="0"/>
        <w:pageBreakBefore w:val="0"/>
        <w:widowControl w:val="0"/>
        <w:kinsoku/>
        <w:wordWrap/>
        <w:overflowPunct/>
        <w:topLinePunct w:val="0"/>
        <w:autoSpaceDE/>
        <w:autoSpaceDN/>
        <w:bidi w:val="0"/>
        <w:adjustRightInd/>
        <w:spacing w:line="560" w:lineRule="exact"/>
        <w:ind w:firstLine="643" w:firstLineChars="200"/>
        <w:rPr>
          <w:rFonts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（二）项目绩效目标</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ascii="Times New Roman" w:hAnsi="Times New Roman" w:eastAsia="仿宋_GB2312"/>
          <w:sz w:val="32"/>
          <w:szCs w:val="33"/>
        </w:rPr>
      </w:pPr>
      <w:r>
        <w:rPr>
          <w:rFonts w:hint="eastAsia" w:ascii="Times New Roman" w:hAnsi="Times New Roman" w:eastAsia="仿宋_GB2312"/>
          <w:sz w:val="32"/>
          <w:szCs w:val="33"/>
        </w:rPr>
        <w:t>该项目依托攀枝花西区丰富的工业文化元素及辖区《火红年华》拍摄基地实景资源，综合运用</w:t>
      </w:r>
      <w:r>
        <w:rPr>
          <w:rFonts w:hint="eastAsia" w:ascii="Times New Roman" w:hAnsi="Times New Roman" w:eastAsia="仿宋_GB2312"/>
          <w:sz w:val="32"/>
          <w:szCs w:val="33"/>
          <w:lang w:eastAsia="zh-CN"/>
        </w:rPr>
        <w:t>“</w:t>
      </w:r>
      <w:r>
        <w:rPr>
          <w:rFonts w:hint="eastAsia" w:ascii="Times New Roman" w:hAnsi="Times New Roman" w:eastAsia="仿宋_GB2312"/>
          <w:sz w:val="32"/>
          <w:szCs w:val="33"/>
        </w:rPr>
        <w:t>一场一苑一馆一课</w:t>
      </w:r>
      <w:r>
        <w:rPr>
          <w:rFonts w:hint="eastAsia" w:ascii="Times New Roman" w:hAnsi="Times New Roman" w:eastAsia="仿宋_GB2312"/>
          <w:sz w:val="32"/>
          <w:szCs w:val="33"/>
          <w:lang w:eastAsia="zh-CN"/>
        </w:rPr>
        <w:t>”</w:t>
      </w:r>
      <w:r>
        <w:rPr>
          <w:rFonts w:hint="eastAsia" w:ascii="Times New Roman" w:hAnsi="Times New Roman" w:eastAsia="仿宋_GB2312"/>
          <w:sz w:val="32"/>
          <w:szCs w:val="33"/>
        </w:rPr>
        <w:t>，点线面、虚与实相结合，让观众身临其境走入《火红年华》剧情，重温在攀枝花开发建设发展过程中，一代代攀枝花人艰苦创业、勤俭立身、心系家国、无私奉献的高尚品格，展现新时代攀枝花人激昂奋进新征程的蓬勃朝气，建成之后可面对全市、全省乃至全国开展党性教育、廉洁文化教育。</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ascii="Times New Roman" w:hAnsi="Times New Roman" w:eastAsia="黑体"/>
          <w:sz w:val="32"/>
          <w:szCs w:val="33"/>
        </w:rPr>
      </w:pPr>
      <w:r>
        <w:rPr>
          <w:rFonts w:ascii="Times New Roman" w:hAnsi="Times New Roman" w:eastAsia="黑体"/>
          <w:sz w:val="32"/>
          <w:szCs w:val="33"/>
        </w:rPr>
        <w:t>二、绩效评价工作开展情况</w:t>
      </w:r>
    </w:p>
    <w:p>
      <w:pPr>
        <w:keepNext w:val="0"/>
        <w:keepLines w:val="0"/>
        <w:pageBreakBefore w:val="0"/>
        <w:widowControl w:val="0"/>
        <w:kinsoku/>
        <w:wordWrap/>
        <w:overflowPunct/>
        <w:topLinePunct w:val="0"/>
        <w:autoSpaceDE/>
        <w:autoSpaceDN/>
        <w:bidi w:val="0"/>
        <w:adjustRightInd/>
        <w:spacing w:line="560" w:lineRule="exact"/>
        <w:ind w:firstLine="643" w:firstLineChars="200"/>
        <w:rPr>
          <w:rFonts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（一）绩效评价目的、对象和范围</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Times New Roman" w:hAnsi="Times New Roman" w:eastAsia="仿宋_GB2312" w:cs="Times New Roman"/>
          <w:kern w:val="2"/>
          <w:sz w:val="32"/>
          <w:szCs w:val="33"/>
          <w:lang w:val="en-US" w:eastAsia="zh-CN" w:bidi="ar-SA"/>
        </w:rPr>
      </w:pPr>
      <w:r>
        <w:rPr>
          <w:rFonts w:hint="eastAsia" w:ascii="Times New Roman" w:hAnsi="Times New Roman" w:eastAsia="仿宋_GB2312" w:cs="Times New Roman"/>
          <w:kern w:val="2"/>
          <w:sz w:val="32"/>
          <w:szCs w:val="33"/>
          <w:lang w:val="en-US" w:eastAsia="zh-CN" w:bidi="ar-SA"/>
        </w:rPr>
        <w:t>加强廉洁文化教育，丰富《火红年华》拍摄基地内容；盘活闲置房屋资产，改善周边居民生活环境。</w:t>
      </w:r>
    </w:p>
    <w:p>
      <w:pPr>
        <w:keepNext w:val="0"/>
        <w:keepLines w:val="0"/>
        <w:pageBreakBefore w:val="0"/>
        <w:widowControl w:val="0"/>
        <w:kinsoku/>
        <w:wordWrap/>
        <w:overflowPunct/>
        <w:topLinePunct w:val="0"/>
        <w:autoSpaceDE/>
        <w:autoSpaceDN/>
        <w:bidi w:val="0"/>
        <w:adjustRightInd/>
        <w:spacing w:line="560" w:lineRule="exact"/>
        <w:ind w:firstLine="643" w:firstLineChars="200"/>
        <w:rPr>
          <w:rFonts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（二）年度绩效评价原则、评价指标体系、评价方法、评价标准等</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ascii="Times New Roman" w:hAnsi="Times New Roman" w:eastAsia="仿宋_GB2312"/>
          <w:sz w:val="32"/>
          <w:szCs w:val="33"/>
        </w:rPr>
      </w:pPr>
      <w:r>
        <w:rPr>
          <w:rFonts w:hint="eastAsia" w:ascii="Times New Roman" w:hAnsi="Times New Roman" w:eastAsia="仿宋_GB2312"/>
          <w:sz w:val="32"/>
          <w:szCs w:val="33"/>
        </w:rPr>
        <w:t>该专项资金绩效评价指标体系按照《财政部关于印发&lt;项目支出绩效评价管理办法&gt;的通知》（财预〔2020〕10号）</w:t>
      </w:r>
      <w:r>
        <w:rPr>
          <w:rFonts w:hint="eastAsia" w:ascii="Times New Roman" w:hAnsi="Times New Roman" w:eastAsia="仿宋_GB2312"/>
          <w:spacing w:val="6"/>
          <w:sz w:val="32"/>
          <w:szCs w:val="33"/>
        </w:rPr>
        <w:t>要求，参考设定的绩效目标，结合项目的实施内容和特点进行设计，从决策、过程、产出、效益等方面进行综合评价</w:t>
      </w:r>
      <w:r>
        <w:rPr>
          <w:rFonts w:hint="eastAsia" w:ascii="Times New Roman" w:hAnsi="Times New Roman" w:eastAsia="仿宋_GB2312"/>
          <w:sz w:val="32"/>
          <w:szCs w:val="33"/>
        </w:rPr>
        <w:t>。</w:t>
      </w:r>
    </w:p>
    <w:p>
      <w:pPr>
        <w:keepNext w:val="0"/>
        <w:keepLines w:val="0"/>
        <w:pageBreakBefore w:val="0"/>
        <w:widowControl w:val="0"/>
        <w:kinsoku/>
        <w:wordWrap/>
        <w:overflowPunct/>
        <w:topLinePunct w:val="0"/>
        <w:autoSpaceDE/>
        <w:autoSpaceDN/>
        <w:bidi w:val="0"/>
        <w:adjustRightInd/>
        <w:spacing w:line="560" w:lineRule="exact"/>
        <w:ind w:firstLine="643" w:firstLineChars="200"/>
        <w:rPr>
          <w:rFonts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（三）绩效评价方法及过程</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ascii="Times New Roman" w:hAnsi="Times New Roman"/>
          <w:color w:val="000000"/>
          <w:szCs w:val="32"/>
        </w:rPr>
      </w:pPr>
      <w:r>
        <w:rPr>
          <w:rFonts w:hint="eastAsia" w:ascii="Times New Roman" w:hAnsi="Times New Roman" w:eastAsia="仿宋_GB2312"/>
          <w:sz w:val="32"/>
          <w:szCs w:val="33"/>
          <w:highlight w:val="none"/>
        </w:rPr>
        <w:t>从决策、过程、产出、效益、满意度等维度对2022年火红年华廉洁文化教育基地建设</w:t>
      </w:r>
      <w:r>
        <w:rPr>
          <w:rFonts w:ascii="Times New Roman" w:hAnsi="Times New Roman" w:eastAsia="仿宋_GB2312"/>
          <w:sz w:val="32"/>
          <w:szCs w:val="33"/>
          <w:highlight w:val="none"/>
        </w:rPr>
        <w:t>项目</w:t>
      </w:r>
      <w:r>
        <w:rPr>
          <w:rFonts w:hint="eastAsia" w:ascii="Times New Roman" w:hAnsi="Times New Roman" w:eastAsia="仿宋_GB2312"/>
          <w:sz w:val="32"/>
          <w:szCs w:val="33"/>
          <w:highlight w:val="none"/>
        </w:rPr>
        <w:t>资金使用单位的管理、审核和目标达成情况进行绩效评价，旨在总</w:t>
      </w:r>
      <w:r>
        <w:rPr>
          <w:rFonts w:hint="eastAsia" w:ascii="Times New Roman" w:hAnsi="Times New Roman" w:eastAsia="仿宋_GB2312"/>
          <w:sz w:val="32"/>
          <w:szCs w:val="33"/>
        </w:rPr>
        <w:t>结工作成绩，发现实施管理中存在的问题和不足，提出改进意见和建议，强化项目管理，提高财政资金使用效益。</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ascii="Times New Roman" w:hAnsi="Times New Roman" w:eastAsia="黑体"/>
          <w:sz w:val="32"/>
          <w:szCs w:val="33"/>
        </w:rPr>
      </w:pPr>
      <w:r>
        <w:rPr>
          <w:rFonts w:ascii="Times New Roman" w:hAnsi="Times New Roman" w:eastAsia="黑体"/>
          <w:sz w:val="32"/>
          <w:szCs w:val="33"/>
        </w:rPr>
        <w:t>三、综合评价情况及评价结论（附相关评分表）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3"/>
        </w:rPr>
      </w:pPr>
      <w:r>
        <w:rPr>
          <w:rFonts w:ascii="Times New Roman" w:hAnsi="Times New Roman" w:eastAsia="仿宋_GB2312"/>
          <w:sz w:val="32"/>
          <w:szCs w:val="33"/>
        </w:rPr>
        <w:t>总体来看</w:t>
      </w:r>
      <w:r>
        <w:rPr>
          <w:rFonts w:hint="eastAsia" w:ascii="Times New Roman" w:hAnsi="Times New Roman" w:eastAsia="仿宋_GB2312"/>
          <w:sz w:val="32"/>
          <w:szCs w:val="33"/>
        </w:rPr>
        <w:t>，</w:t>
      </w:r>
      <w:r>
        <w:rPr>
          <w:rFonts w:ascii="Times New Roman" w:hAnsi="Times New Roman" w:eastAsia="仿宋_GB2312"/>
          <w:sz w:val="32"/>
          <w:szCs w:val="33"/>
        </w:rPr>
        <w:t>20</w:t>
      </w:r>
      <w:r>
        <w:rPr>
          <w:rFonts w:hint="eastAsia" w:ascii="Times New Roman" w:hAnsi="Times New Roman" w:eastAsia="仿宋_GB2312"/>
          <w:sz w:val="32"/>
          <w:szCs w:val="33"/>
        </w:rPr>
        <w:t>22年火红年华廉洁文化教育基地建设资金</w:t>
      </w:r>
      <w:r>
        <w:rPr>
          <w:rFonts w:ascii="Times New Roman" w:hAnsi="Times New Roman" w:eastAsia="仿宋_GB2312"/>
          <w:sz w:val="32"/>
          <w:szCs w:val="33"/>
        </w:rPr>
        <w:t>绩效目标量化具体、合理，管理制度健全，综合效益明显</w:t>
      </w:r>
      <w:r>
        <w:rPr>
          <w:rFonts w:hint="eastAsia" w:ascii="Times New Roman" w:hAnsi="Times New Roman" w:eastAsia="仿宋_GB2312"/>
          <w:sz w:val="32"/>
          <w:szCs w:val="33"/>
        </w:rPr>
        <w:t>，绩效评价结果为良好，总体评价得分95分。具体评价情况见下表。</w:t>
      </w:r>
    </w:p>
    <w:p>
      <w:pPr>
        <w:adjustRightInd w:val="0"/>
        <w:snapToGrid w:val="0"/>
        <w:spacing w:before="93" w:beforeLines="30" w:after="93" w:afterLines="30"/>
        <w:jc w:val="center"/>
        <w:rPr>
          <w:rFonts w:ascii="Times New Roman" w:hAnsi="Times New Roman"/>
          <w:szCs w:val="32"/>
        </w:rPr>
      </w:pPr>
      <w:r>
        <w:rPr>
          <w:rFonts w:hint="eastAsia" w:ascii="Times New Roman" w:hAnsi="Times New Roman"/>
          <w:b/>
          <w:sz w:val="24"/>
          <w:szCs w:val="32"/>
        </w:rPr>
        <w:t>2022年火红年华廉洁文化教育基地建设资金</w:t>
      </w:r>
      <w:r>
        <w:rPr>
          <w:rFonts w:ascii="Times New Roman" w:hAnsi="Times New Roman"/>
          <w:b/>
          <w:sz w:val="24"/>
          <w:szCs w:val="32"/>
          <w:lang w:val="zh-CN"/>
        </w:rPr>
        <w:t>绩效得分表</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1701"/>
        <w:gridCol w:w="2427"/>
        <w:gridCol w:w="1343"/>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Align w:val="center"/>
          </w:tcPr>
          <w:p>
            <w:pPr>
              <w:adjustRightInd w:val="0"/>
              <w:snapToGrid w:val="0"/>
              <w:jc w:val="center"/>
              <w:rPr>
                <w:rFonts w:ascii="Times New Roman" w:hAnsi="Times New Roman"/>
                <w:b/>
                <w:sz w:val="20"/>
                <w:szCs w:val="20"/>
              </w:rPr>
            </w:pPr>
            <w:r>
              <w:rPr>
                <w:rFonts w:ascii="Times New Roman" w:hAnsi="Times New Roman"/>
                <w:b/>
                <w:sz w:val="20"/>
                <w:szCs w:val="20"/>
              </w:rPr>
              <w:t>一级指标</w:t>
            </w:r>
            <w:r>
              <w:rPr>
                <w:rFonts w:ascii="Times New Roman" w:hAnsi="Times New Roman"/>
                <w:b/>
                <w:sz w:val="20"/>
                <w:szCs w:val="20"/>
              </w:rPr>
              <mc:AlternateContent>
                <mc:Choice Requires="wps">
                  <w:drawing>
                    <wp:anchor distT="0" distB="0" distL="114300" distR="114300" simplePos="0" relativeHeight="251689984"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85" name="直接连接符 8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89984;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e&#10;SAOW1QAAAAkBAAAPAAAAAAAAAAEAIAAAACIAAABkcnMvZG93bnJldi54bWxQSwECFAAUAAAACACH&#10;TuJAZLLCdO4BAADkAwAADgAAAAAAAAABACAAAAAkAQAAZHJzL2Uyb0RvYy54bWxQSwUGAAAAAAYA&#10;BgBZAQAAhAUAAAAA&#10;">
                      <v:fill on="f" focussize="0,0"/>
                      <v:stroke color="#000000" joinstyle="round"/>
                      <v:imagedata o:title=""/>
                      <o:lock v:ext="edit" aspectratio="f"/>
                    </v:line>
                  </w:pict>
                </mc:Fallback>
              </mc:AlternateContent>
            </w:r>
            <w:r>
              <w:rPr>
                <w:rFonts w:ascii="Times New Roman" w:hAnsi="Times New Roman"/>
                <w:b/>
                <w:sz w:val="20"/>
                <w:szCs w:val="20"/>
              </w:rPr>
              <mc:AlternateContent>
                <mc:Choice Requires="wps">
                  <w:drawing>
                    <wp:anchor distT="0" distB="0" distL="114300" distR="114300" simplePos="0" relativeHeight="251691008"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86" name="直接连接符 8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91008;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kgDltUAAAAJAQAADwAAAAAAAAABACAAAAAiAAAAZHJzL2Rvd25yZXYueG1sUEsBAhQAFAAAAAgA&#10;h07iQI2uzsfvAQAA5AMAAA4AAAAAAAAAAQAgAAAAJAEAAGRycy9lMm9Eb2MueG1sUEsFBgAAAAAG&#10;AAYAWQEAAIUFAAAAAA==&#10;">
                      <v:fill on="f" focussize="0,0"/>
                      <v:stroke color="#000000" joinstyle="round"/>
                      <v:imagedata o:title=""/>
                      <o:lock v:ext="edit" aspectratio="f"/>
                    </v:line>
                  </w:pict>
                </mc:Fallback>
              </mc:AlternateContent>
            </w:r>
            <w:r>
              <w:rPr>
                <w:rFonts w:ascii="Times New Roman" w:hAnsi="Times New Roman"/>
                <w:b/>
                <w:sz w:val="20"/>
                <w:szCs w:val="20"/>
              </w:rPr>
              <mc:AlternateContent>
                <mc:Choice Requires="wps">
                  <w:drawing>
                    <wp:anchor distT="0" distB="0" distL="114300" distR="114300" simplePos="0" relativeHeight="251692032"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87" name="直接连接符 8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92032;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kgDltUAAAAJAQAADwAAAAAAAAABACAAAAAiAAAAZHJzL2Rvd25yZXYueG1sUEsBAhQAFAAAAAgA&#10;h07iQBWn5R/vAQAA5AMAAA4AAAAAAAAAAQAgAAAAJAEAAGRycy9lMm9Eb2MueG1sUEsFBgAAAAAG&#10;AAYAWQEAAIUFAAAAAA==&#10;">
                      <v:fill on="f" focussize="0,0"/>
                      <v:stroke color="#000000" joinstyle="round"/>
                      <v:imagedata o:title=""/>
                      <o:lock v:ext="edit" aspectratio="f"/>
                    </v:line>
                  </w:pict>
                </mc:Fallback>
              </mc:AlternateContent>
            </w:r>
            <w:r>
              <w:rPr>
                <w:rFonts w:ascii="Times New Roman" w:hAnsi="Times New Roman"/>
                <w:b/>
                <w:sz w:val="20"/>
                <w:szCs w:val="20"/>
              </w:rPr>
              <mc:AlternateContent>
                <mc:Choice Requires="wps">
                  <w:drawing>
                    <wp:anchor distT="0" distB="0" distL="114300" distR="114300" simplePos="0" relativeHeight="251693056"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88" name="直接连接符 8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93056;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kgDltUAAAAJAQAADwAAAAAAAAABACAAAAAiAAAAZHJzL2Rvd25yZXYueG1sUEsBAhQAFAAAAAgA&#10;h07iQJvCSg3vAQAA5AMAAA4AAAAAAAAAAQAgAAAAJAEAAGRycy9lMm9Eb2MueG1sUEsFBgAAAAAG&#10;AAYAWQEAAIUFAAAAAA==&#10;">
                      <v:fill on="f" focussize="0,0"/>
                      <v:stroke color="#000000" joinstyle="round"/>
                      <v:imagedata o:title=""/>
                      <o:lock v:ext="edit" aspectratio="f"/>
                    </v:line>
                  </w:pict>
                </mc:Fallback>
              </mc:AlternateContent>
            </w:r>
          </w:p>
        </w:tc>
        <w:tc>
          <w:tcPr>
            <w:tcW w:w="1701" w:type="dxa"/>
            <w:vAlign w:val="center"/>
          </w:tcPr>
          <w:p>
            <w:pPr>
              <w:adjustRightInd w:val="0"/>
              <w:snapToGrid w:val="0"/>
              <w:jc w:val="center"/>
              <w:rPr>
                <w:rFonts w:ascii="Times New Roman" w:hAnsi="Times New Roman"/>
                <w:b/>
                <w:sz w:val="20"/>
                <w:szCs w:val="20"/>
              </w:rPr>
            </w:pPr>
            <w:r>
              <w:rPr>
                <w:rFonts w:ascii="Times New Roman" w:hAnsi="Times New Roman"/>
                <w:b/>
                <w:sz w:val="20"/>
                <w:szCs w:val="20"/>
              </w:rPr>
              <w:t>二级指标</w:t>
            </w:r>
          </w:p>
        </w:tc>
        <w:tc>
          <w:tcPr>
            <w:tcW w:w="2427" w:type="dxa"/>
            <w:vAlign w:val="center"/>
          </w:tcPr>
          <w:p>
            <w:pPr>
              <w:adjustRightInd w:val="0"/>
              <w:snapToGrid w:val="0"/>
              <w:jc w:val="center"/>
              <w:rPr>
                <w:rFonts w:ascii="Times New Roman" w:hAnsi="Times New Roman"/>
                <w:b/>
                <w:sz w:val="20"/>
                <w:szCs w:val="20"/>
              </w:rPr>
            </w:pPr>
            <w:r>
              <w:rPr>
                <w:rFonts w:ascii="Times New Roman" w:hAnsi="Times New Roman"/>
                <w:b/>
                <w:sz w:val="20"/>
                <w:szCs w:val="20"/>
              </w:rPr>
              <w:t>三级指标</w:t>
            </w:r>
          </w:p>
        </w:tc>
        <w:tc>
          <w:tcPr>
            <w:tcW w:w="1343" w:type="dxa"/>
            <w:vAlign w:val="center"/>
          </w:tcPr>
          <w:p>
            <w:pPr>
              <w:adjustRightInd w:val="0"/>
              <w:snapToGrid w:val="0"/>
              <w:jc w:val="center"/>
              <w:rPr>
                <w:rFonts w:ascii="Times New Roman" w:hAnsi="Times New Roman"/>
                <w:b/>
                <w:sz w:val="20"/>
                <w:szCs w:val="20"/>
              </w:rPr>
            </w:pPr>
            <w:r>
              <w:rPr>
                <w:rFonts w:ascii="Times New Roman" w:hAnsi="Times New Roman"/>
                <w:b/>
                <w:sz w:val="20"/>
                <w:szCs w:val="20"/>
              </w:rPr>
              <w:t>分值</w:t>
            </w:r>
          </w:p>
        </w:tc>
        <w:tc>
          <w:tcPr>
            <w:tcW w:w="1139" w:type="dxa"/>
            <w:vAlign w:val="center"/>
          </w:tcPr>
          <w:p>
            <w:pPr>
              <w:adjustRightInd w:val="0"/>
              <w:snapToGrid w:val="0"/>
              <w:jc w:val="center"/>
              <w:rPr>
                <w:rFonts w:ascii="Times New Roman" w:hAnsi="Times New Roman"/>
                <w:b/>
                <w:sz w:val="20"/>
                <w:szCs w:val="20"/>
              </w:rPr>
            </w:pPr>
            <w:r>
              <w:rPr>
                <w:rFonts w:ascii="Times New Roman" w:hAnsi="Times New Roman"/>
                <w:b/>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restart"/>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项目决策</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（20分）</w:t>
            </w:r>
          </w:p>
        </w:tc>
        <w:tc>
          <w:tcPr>
            <w:tcW w:w="1701" w:type="dxa"/>
            <w:vMerge w:val="restart"/>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绩效目标</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（6分）</w:t>
            </w:r>
          </w:p>
        </w:tc>
        <w:tc>
          <w:tcPr>
            <w:tcW w:w="2427"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目标内容</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Merge w:val="continue"/>
            <w:vAlign w:val="center"/>
          </w:tcPr>
          <w:p>
            <w:pPr>
              <w:adjustRightInd w:val="0"/>
              <w:snapToGrid w:val="0"/>
              <w:spacing w:line="260" w:lineRule="exact"/>
              <w:jc w:val="center"/>
              <w:rPr>
                <w:rFonts w:ascii="Times New Roman" w:hAnsi="Times New Roman"/>
                <w:sz w:val="20"/>
                <w:szCs w:val="20"/>
              </w:rPr>
            </w:pPr>
          </w:p>
        </w:tc>
        <w:tc>
          <w:tcPr>
            <w:tcW w:w="2427"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进度计划</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Merge w:val="continue"/>
            <w:vAlign w:val="center"/>
          </w:tcPr>
          <w:p>
            <w:pPr>
              <w:adjustRightInd w:val="0"/>
              <w:snapToGrid w:val="0"/>
              <w:spacing w:line="260" w:lineRule="exact"/>
              <w:jc w:val="center"/>
              <w:rPr>
                <w:rFonts w:ascii="Times New Roman" w:hAnsi="Times New Roman"/>
                <w:sz w:val="20"/>
                <w:szCs w:val="20"/>
              </w:rPr>
            </w:pPr>
          </w:p>
        </w:tc>
        <w:tc>
          <w:tcPr>
            <w:tcW w:w="2427"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目标匹配</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Merge w:val="restart"/>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决策依据</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（10分）</w:t>
            </w:r>
          </w:p>
        </w:tc>
        <w:tc>
          <w:tcPr>
            <w:tcW w:w="2427"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政策依据</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Merge w:val="continue"/>
            <w:vAlign w:val="center"/>
          </w:tcPr>
          <w:p>
            <w:pPr>
              <w:adjustRightInd w:val="0"/>
              <w:snapToGrid w:val="0"/>
              <w:spacing w:line="260" w:lineRule="exact"/>
              <w:jc w:val="center"/>
              <w:rPr>
                <w:rFonts w:ascii="Times New Roman" w:hAnsi="Times New Roman"/>
                <w:sz w:val="20"/>
                <w:szCs w:val="20"/>
              </w:rPr>
            </w:pPr>
          </w:p>
        </w:tc>
        <w:tc>
          <w:tcPr>
            <w:tcW w:w="2427"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程序严密</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Merge w:val="continue"/>
            <w:vAlign w:val="center"/>
          </w:tcPr>
          <w:p>
            <w:pPr>
              <w:adjustRightInd w:val="0"/>
              <w:snapToGrid w:val="0"/>
              <w:spacing w:line="260" w:lineRule="exact"/>
              <w:jc w:val="center"/>
              <w:rPr>
                <w:rFonts w:ascii="Times New Roman" w:hAnsi="Times New Roman"/>
                <w:sz w:val="20"/>
                <w:szCs w:val="20"/>
              </w:rPr>
            </w:pPr>
          </w:p>
        </w:tc>
        <w:tc>
          <w:tcPr>
            <w:tcW w:w="2427"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结果符合</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Merge w:val="continue"/>
            <w:vAlign w:val="center"/>
          </w:tcPr>
          <w:p>
            <w:pPr>
              <w:adjustRightInd w:val="0"/>
              <w:snapToGrid w:val="0"/>
              <w:spacing w:line="260" w:lineRule="exact"/>
              <w:jc w:val="center"/>
              <w:rPr>
                <w:rFonts w:ascii="Times New Roman" w:hAnsi="Times New Roman"/>
                <w:sz w:val="20"/>
                <w:szCs w:val="20"/>
              </w:rPr>
            </w:pPr>
          </w:p>
        </w:tc>
        <w:tc>
          <w:tcPr>
            <w:tcW w:w="2427"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实施规划</w:t>
            </w:r>
          </w:p>
        </w:tc>
        <w:tc>
          <w:tcPr>
            <w:tcW w:w="1343" w:type="dxa"/>
            <w:vAlign w:val="center"/>
          </w:tcPr>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4</w:t>
            </w:r>
          </w:p>
        </w:tc>
        <w:tc>
          <w:tcPr>
            <w:tcW w:w="1139" w:type="dxa"/>
            <w:vAlign w:val="center"/>
          </w:tcPr>
          <w:p>
            <w:pPr>
              <w:spacing w:line="260" w:lineRule="exact"/>
              <w:jc w:val="center"/>
              <w:rPr>
                <w:rFonts w:ascii="Times New Roman" w:hAnsi="Times New Roman"/>
                <w:color w:val="000000"/>
                <w:sz w:val="20"/>
                <w:szCs w:val="20"/>
              </w:rPr>
            </w:pPr>
            <w:r>
              <w:rPr>
                <w:rFonts w:hint="eastAsia" w:ascii="Times New Roman" w:hAnsi="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Merge w:val="restart"/>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分配结果</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（4分）</w:t>
            </w:r>
          </w:p>
        </w:tc>
        <w:tc>
          <w:tcPr>
            <w:tcW w:w="2427"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分配过程</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Merge w:val="continue"/>
            <w:vAlign w:val="center"/>
          </w:tcPr>
          <w:p>
            <w:pPr>
              <w:adjustRightInd w:val="0"/>
              <w:snapToGrid w:val="0"/>
              <w:spacing w:line="260" w:lineRule="exact"/>
              <w:jc w:val="center"/>
              <w:rPr>
                <w:rFonts w:ascii="Times New Roman" w:hAnsi="Times New Roman"/>
                <w:sz w:val="20"/>
                <w:szCs w:val="20"/>
              </w:rPr>
            </w:pPr>
          </w:p>
        </w:tc>
        <w:tc>
          <w:tcPr>
            <w:tcW w:w="2427"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审核把关</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restart"/>
            <w:vAlign w:val="center"/>
          </w:tcPr>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项目管理</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（15分）</w:t>
            </w:r>
          </w:p>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项目管理</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（15分）</w:t>
            </w:r>
          </w:p>
        </w:tc>
        <w:tc>
          <w:tcPr>
            <w:tcW w:w="1701" w:type="dxa"/>
            <w:vMerge w:val="restart"/>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资金到位</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（4分）</w:t>
            </w:r>
          </w:p>
        </w:tc>
        <w:tc>
          <w:tcPr>
            <w:tcW w:w="2427"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分配时效</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spacing w:line="260" w:lineRule="exact"/>
              <w:jc w:val="center"/>
              <w:rPr>
                <w:rFonts w:ascii="Times New Roman" w:hAnsi="Times New Roman"/>
                <w:color w:val="000000"/>
                <w:sz w:val="20"/>
                <w:szCs w:val="20"/>
              </w:rPr>
            </w:pPr>
            <w:r>
              <w:rPr>
                <w:rFonts w:hint="eastAsia"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Merge w:val="continue"/>
            <w:vAlign w:val="center"/>
          </w:tcPr>
          <w:p>
            <w:pPr>
              <w:adjustRightInd w:val="0"/>
              <w:snapToGrid w:val="0"/>
              <w:spacing w:line="260" w:lineRule="exact"/>
              <w:jc w:val="center"/>
              <w:rPr>
                <w:rFonts w:ascii="Times New Roman" w:hAnsi="Times New Roman"/>
                <w:sz w:val="20"/>
                <w:szCs w:val="20"/>
              </w:rPr>
            </w:pPr>
          </w:p>
        </w:tc>
        <w:tc>
          <w:tcPr>
            <w:tcW w:w="2427"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资金拨付</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spacing w:line="260" w:lineRule="exact"/>
              <w:jc w:val="center"/>
              <w:rPr>
                <w:rFonts w:ascii="Times New Roman" w:hAnsi="Times New Roman"/>
                <w:color w:val="000000"/>
                <w:sz w:val="20"/>
                <w:szCs w:val="20"/>
              </w:rPr>
            </w:pPr>
            <w:r>
              <w:rPr>
                <w:rFonts w:hint="eastAsia" w:ascii="Times New Roman" w:hAnsi="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Merge w:val="restart"/>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资金管理</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（3分）</w:t>
            </w:r>
          </w:p>
        </w:tc>
        <w:tc>
          <w:tcPr>
            <w:tcW w:w="2427"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使用范围</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Merge w:val="continue"/>
            <w:vAlign w:val="center"/>
          </w:tcPr>
          <w:p>
            <w:pPr>
              <w:adjustRightInd w:val="0"/>
              <w:snapToGrid w:val="0"/>
              <w:spacing w:line="260" w:lineRule="exact"/>
              <w:jc w:val="center"/>
              <w:rPr>
                <w:rFonts w:ascii="Times New Roman" w:hAnsi="Times New Roman"/>
                <w:sz w:val="20"/>
                <w:szCs w:val="20"/>
              </w:rPr>
            </w:pPr>
          </w:p>
        </w:tc>
        <w:tc>
          <w:tcPr>
            <w:tcW w:w="2427"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支付依据</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Merge w:val="continue"/>
            <w:vAlign w:val="center"/>
          </w:tcPr>
          <w:p>
            <w:pPr>
              <w:adjustRightInd w:val="0"/>
              <w:snapToGrid w:val="0"/>
              <w:spacing w:line="260" w:lineRule="exact"/>
              <w:jc w:val="center"/>
              <w:rPr>
                <w:rFonts w:ascii="Times New Roman" w:hAnsi="Times New Roman"/>
                <w:sz w:val="20"/>
                <w:szCs w:val="20"/>
              </w:rPr>
            </w:pPr>
          </w:p>
        </w:tc>
        <w:tc>
          <w:tcPr>
            <w:tcW w:w="2427"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开支标准</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Merge w:val="restart"/>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财务管理</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（4分）</w:t>
            </w:r>
          </w:p>
        </w:tc>
        <w:tc>
          <w:tcPr>
            <w:tcW w:w="2427"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财务制度</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Merge w:val="continue"/>
            <w:vAlign w:val="center"/>
          </w:tcPr>
          <w:p>
            <w:pPr>
              <w:adjustRightInd w:val="0"/>
              <w:snapToGrid w:val="0"/>
              <w:spacing w:line="260" w:lineRule="exact"/>
              <w:jc w:val="center"/>
              <w:rPr>
                <w:rFonts w:ascii="Times New Roman" w:hAnsi="Times New Roman"/>
                <w:sz w:val="20"/>
                <w:szCs w:val="20"/>
              </w:rPr>
            </w:pPr>
          </w:p>
        </w:tc>
        <w:tc>
          <w:tcPr>
            <w:tcW w:w="2427"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会计核算</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Merge w:val="restart"/>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组织实施</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（4分）</w:t>
            </w:r>
          </w:p>
        </w:tc>
        <w:tc>
          <w:tcPr>
            <w:tcW w:w="2427"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项目调整</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Merge w:val="continue"/>
            <w:vAlign w:val="center"/>
          </w:tcPr>
          <w:p>
            <w:pPr>
              <w:adjustRightInd w:val="0"/>
              <w:snapToGrid w:val="0"/>
              <w:spacing w:line="260" w:lineRule="exact"/>
              <w:jc w:val="center"/>
              <w:rPr>
                <w:rFonts w:ascii="Times New Roman" w:hAnsi="Times New Roman"/>
                <w:sz w:val="20"/>
                <w:szCs w:val="20"/>
              </w:rPr>
            </w:pPr>
          </w:p>
        </w:tc>
        <w:tc>
          <w:tcPr>
            <w:tcW w:w="2427"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投资变更</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Merge w:val="continue"/>
            <w:vAlign w:val="center"/>
          </w:tcPr>
          <w:p>
            <w:pPr>
              <w:adjustRightInd w:val="0"/>
              <w:snapToGrid w:val="0"/>
              <w:spacing w:line="260" w:lineRule="exact"/>
              <w:jc w:val="center"/>
              <w:rPr>
                <w:rFonts w:ascii="Times New Roman" w:hAnsi="Times New Roman"/>
                <w:sz w:val="20"/>
                <w:szCs w:val="20"/>
              </w:rPr>
            </w:pPr>
          </w:p>
        </w:tc>
        <w:tc>
          <w:tcPr>
            <w:tcW w:w="2427"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制度执行</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restart"/>
            <w:vAlign w:val="center"/>
          </w:tcPr>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项目绩效</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（特性指标65分）</w:t>
            </w:r>
          </w:p>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p>
        </w:tc>
        <w:tc>
          <w:tcPr>
            <w:tcW w:w="1701" w:type="dxa"/>
            <w:vMerge w:val="restart"/>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项目完成</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（20分）</w:t>
            </w:r>
          </w:p>
          <w:p>
            <w:pPr>
              <w:adjustRightInd w:val="0"/>
              <w:snapToGrid w:val="0"/>
              <w:spacing w:line="260" w:lineRule="exact"/>
              <w:jc w:val="center"/>
              <w:rPr>
                <w:rFonts w:ascii="Times New Roman" w:hAnsi="Times New Roman"/>
                <w:sz w:val="20"/>
                <w:szCs w:val="20"/>
              </w:rPr>
            </w:pPr>
          </w:p>
        </w:tc>
        <w:tc>
          <w:tcPr>
            <w:tcW w:w="2427"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完成数量</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Merge w:val="continue"/>
            <w:vAlign w:val="center"/>
          </w:tcPr>
          <w:p>
            <w:pPr>
              <w:adjustRightInd w:val="0"/>
              <w:snapToGrid w:val="0"/>
              <w:spacing w:line="260" w:lineRule="exact"/>
              <w:jc w:val="center"/>
              <w:rPr>
                <w:rFonts w:ascii="Times New Roman" w:hAnsi="Times New Roman"/>
                <w:sz w:val="20"/>
                <w:szCs w:val="20"/>
              </w:rPr>
            </w:pPr>
          </w:p>
        </w:tc>
        <w:tc>
          <w:tcPr>
            <w:tcW w:w="2427"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完成质量</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Merge w:val="continue"/>
            <w:vAlign w:val="center"/>
          </w:tcPr>
          <w:p>
            <w:pPr>
              <w:adjustRightInd w:val="0"/>
              <w:snapToGrid w:val="0"/>
              <w:spacing w:line="260" w:lineRule="exact"/>
              <w:jc w:val="center"/>
              <w:rPr>
                <w:rFonts w:ascii="Times New Roman" w:hAnsi="Times New Roman"/>
                <w:sz w:val="20"/>
                <w:szCs w:val="20"/>
              </w:rPr>
            </w:pPr>
          </w:p>
        </w:tc>
        <w:tc>
          <w:tcPr>
            <w:tcW w:w="2427"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完成时效</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Merge w:val="continue"/>
            <w:vAlign w:val="center"/>
          </w:tcPr>
          <w:p>
            <w:pPr>
              <w:adjustRightInd w:val="0"/>
              <w:snapToGrid w:val="0"/>
              <w:spacing w:line="260" w:lineRule="exact"/>
              <w:jc w:val="center"/>
              <w:rPr>
                <w:rFonts w:ascii="Times New Roman" w:hAnsi="Times New Roman"/>
                <w:sz w:val="20"/>
                <w:szCs w:val="20"/>
              </w:rPr>
            </w:pPr>
          </w:p>
        </w:tc>
        <w:tc>
          <w:tcPr>
            <w:tcW w:w="2427"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完成成本</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Merge w:val="continue"/>
            <w:vAlign w:val="center"/>
          </w:tcPr>
          <w:p>
            <w:pPr>
              <w:adjustRightInd w:val="0"/>
              <w:snapToGrid w:val="0"/>
              <w:spacing w:line="260" w:lineRule="exact"/>
              <w:jc w:val="center"/>
              <w:rPr>
                <w:rFonts w:ascii="Times New Roman" w:hAnsi="Times New Roman"/>
                <w:sz w:val="20"/>
                <w:szCs w:val="20"/>
              </w:rPr>
            </w:pPr>
          </w:p>
        </w:tc>
        <w:tc>
          <w:tcPr>
            <w:tcW w:w="2427"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违规纪律</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Merge w:val="restart"/>
            <w:vAlign w:val="center"/>
          </w:tcPr>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项目效益</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（40分）</w:t>
            </w:r>
          </w:p>
        </w:tc>
        <w:tc>
          <w:tcPr>
            <w:tcW w:w="2427"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经济效益</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10</w:t>
            </w:r>
          </w:p>
        </w:tc>
        <w:tc>
          <w:tcPr>
            <w:tcW w:w="1139" w:type="dxa"/>
            <w:vAlign w:val="center"/>
          </w:tcPr>
          <w:p>
            <w:pPr>
              <w:spacing w:line="260" w:lineRule="exact"/>
              <w:jc w:val="center"/>
              <w:rPr>
                <w:rFonts w:ascii="Times New Roman" w:hAnsi="Times New Roman"/>
                <w:color w:val="000000"/>
                <w:sz w:val="20"/>
                <w:szCs w:val="20"/>
              </w:rPr>
            </w:pPr>
            <w:r>
              <w:rPr>
                <w:rFonts w:hint="eastAsia" w:ascii="Times New Roman" w:hAnsi="Times New Roman"/>
                <w:color w:val="000000"/>
                <w:sz w:val="20"/>
                <w:szCs w:val="2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Merge w:val="continue"/>
            <w:vAlign w:val="center"/>
          </w:tcPr>
          <w:p>
            <w:pPr>
              <w:adjustRightInd w:val="0"/>
              <w:snapToGrid w:val="0"/>
              <w:spacing w:line="260" w:lineRule="exact"/>
              <w:jc w:val="center"/>
              <w:rPr>
                <w:rFonts w:ascii="Times New Roman" w:hAnsi="Times New Roman"/>
                <w:sz w:val="20"/>
                <w:szCs w:val="20"/>
              </w:rPr>
            </w:pPr>
          </w:p>
        </w:tc>
        <w:tc>
          <w:tcPr>
            <w:tcW w:w="2427"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社会效益</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10</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Merge w:val="continue"/>
            <w:vAlign w:val="center"/>
          </w:tcPr>
          <w:p>
            <w:pPr>
              <w:adjustRightInd w:val="0"/>
              <w:snapToGrid w:val="0"/>
              <w:spacing w:line="260" w:lineRule="exact"/>
              <w:jc w:val="center"/>
              <w:rPr>
                <w:rFonts w:ascii="Times New Roman" w:hAnsi="Times New Roman"/>
                <w:sz w:val="20"/>
                <w:szCs w:val="20"/>
              </w:rPr>
            </w:pPr>
          </w:p>
        </w:tc>
        <w:tc>
          <w:tcPr>
            <w:tcW w:w="2427"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生态效益</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10</w:t>
            </w:r>
          </w:p>
        </w:tc>
        <w:tc>
          <w:tcPr>
            <w:tcW w:w="1139" w:type="dxa"/>
            <w:vAlign w:val="center"/>
          </w:tcPr>
          <w:p>
            <w:pPr>
              <w:spacing w:line="260" w:lineRule="exact"/>
              <w:jc w:val="center"/>
              <w:rPr>
                <w:rFonts w:ascii="Times New Roman" w:hAnsi="Times New Roman"/>
                <w:color w:val="000000"/>
                <w:sz w:val="20"/>
                <w:szCs w:val="20"/>
              </w:rPr>
            </w:pPr>
            <w:r>
              <w:rPr>
                <w:rFonts w:hint="eastAsia" w:ascii="Times New Roman" w:hAnsi="Times New Roman"/>
                <w:color w:val="00000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Merge w:val="continue"/>
            <w:vAlign w:val="center"/>
          </w:tcPr>
          <w:p>
            <w:pPr>
              <w:adjustRightInd w:val="0"/>
              <w:snapToGrid w:val="0"/>
              <w:spacing w:line="260" w:lineRule="exact"/>
              <w:jc w:val="center"/>
              <w:rPr>
                <w:rFonts w:ascii="Times New Roman" w:hAnsi="Times New Roman"/>
                <w:sz w:val="20"/>
                <w:szCs w:val="20"/>
              </w:rPr>
            </w:pPr>
          </w:p>
        </w:tc>
        <w:tc>
          <w:tcPr>
            <w:tcW w:w="2427"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可持续效益</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10</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adjustRightInd w:val="0"/>
              <w:snapToGrid w:val="0"/>
              <w:spacing w:line="260" w:lineRule="exact"/>
              <w:jc w:val="center"/>
              <w:rPr>
                <w:rFonts w:ascii="Times New Roman" w:hAnsi="Times New Roman"/>
                <w:sz w:val="20"/>
                <w:szCs w:val="20"/>
              </w:rPr>
            </w:pPr>
          </w:p>
        </w:tc>
        <w:tc>
          <w:tcPr>
            <w:tcW w:w="170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满意度</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（5分）</w:t>
            </w:r>
          </w:p>
        </w:tc>
        <w:tc>
          <w:tcPr>
            <w:tcW w:w="2427"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服务对象满意度</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5</w:t>
            </w:r>
          </w:p>
        </w:tc>
        <w:tc>
          <w:tcPr>
            <w:tcW w:w="1139"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40" w:type="dxa"/>
            <w:gridSpan w:val="3"/>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合　　　　计</w:t>
            </w:r>
          </w:p>
        </w:tc>
        <w:tc>
          <w:tcPr>
            <w:tcW w:w="1343"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100</w:t>
            </w:r>
          </w:p>
        </w:tc>
        <w:tc>
          <w:tcPr>
            <w:tcW w:w="1139" w:type="dxa"/>
            <w:vAlign w:val="center"/>
          </w:tcPr>
          <w:p>
            <w:pPr>
              <w:widowControl/>
              <w:spacing w:line="260" w:lineRule="exact"/>
              <w:jc w:val="center"/>
              <w:rPr>
                <w:rFonts w:ascii="Times New Roman" w:hAnsi="Times New Roman"/>
                <w:sz w:val="20"/>
                <w:szCs w:val="20"/>
              </w:rPr>
            </w:pPr>
            <w:r>
              <w:rPr>
                <w:rFonts w:ascii="Times New Roman" w:hAnsi="Times New Roman"/>
                <w:color w:val="000000"/>
                <w:kern w:val="0"/>
                <w:sz w:val="20"/>
                <w:szCs w:val="20"/>
              </w:rPr>
              <w:t>9</w:t>
            </w:r>
            <w:r>
              <w:rPr>
                <w:rFonts w:hint="eastAsia" w:ascii="Times New Roman" w:hAnsi="Times New Roman"/>
                <w:color w:val="000000"/>
                <w:kern w:val="0"/>
                <w:sz w:val="20"/>
                <w:szCs w:val="20"/>
              </w:rPr>
              <w:t>5</w:t>
            </w:r>
          </w:p>
        </w:tc>
      </w:tr>
    </w:tbl>
    <w:p>
      <w:pPr>
        <w:spacing w:before="156" w:beforeLines="50" w:line="560" w:lineRule="exact"/>
        <w:ind w:firstLine="640" w:firstLineChars="200"/>
        <w:rPr>
          <w:rFonts w:ascii="Times New Roman" w:hAnsi="Times New Roman" w:eastAsia="黑体"/>
          <w:sz w:val="32"/>
          <w:szCs w:val="33"/>
        </w:rPr>
      </w:pPr>
      <w:r>
        <w:rPr>
          <w:rFonts w:hint="eastAsia" w:ascii="Times New Roman" w:hAnsi="Times New Roman" w:eastAsia="黑体"/>
          <w:sz w:val="32"/>
          <w:szCs w:val="33"/>
        </w:rPr>
        <w:t>四、</w:t>
      </w:r>
      <w:r>
        <w:rPr>
          <w:rFonts w:ascii="Times New Roman" w:hAnsi="Times New Roman" w:eastAsia="黑体"/>
          <w:sz w:val="32"/>
          <w:szCs w:val="33"/>
        </w:rPr>
        <w:t>绩效评价指标分析</w:t>
      </w:r>
    </w:p>
    <w:p>
      <w:pPr>
        <w:spacing w:line="560" w:lineRule="exact"/>
        <w:ind w:firstLine="643" w:firstLineChars="200"/>
        <w:rPr>
          <w:rFonts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（一）项目决策情况</w:t>
      </w:r>
    </w:p>
    <w:p>
      <w:pPr>
        <w:pStyle w:val="2"/>
        <w:spacing w:line="560" w:lineRule="exact"/>
        <w:ind w:firstLine="640" w:firstLineChars="200"/>
        <w:rPr>
          <w:rFonts w:ascii="Times New Roman" w:hAnsi="Times New Roman" w:eastAsia="仿宋_GB2312"/>
          <w:sz w:val="32"/>
          <w:szCs w:val="33"/>
        </w:rPr>
      </w:pPr>
      <w:r>
        <w:rPr>
          <w:rFonts w:hint="eastAsia" w:ascii="Times New Roman" w:hAnsi="Times New Roman" w:eastAsia="仿宋_GB2312"/>
          <w:sz w:val="32"/>
          <w:szCs w:val="33"/>
        </w:rPr>
        <w:t>根据中共中央办公厅《关于加强新时代廉洁文化建设的意见》，2022年8月，街道向区财政局申请预算，经区政府十二届第18次常务会议审议通过后，区财政局批复预算。</w:t>
      </w:r>
    </w:p>
    <w:p>
      <w:pPr>
        <w:spacing w:line="560" w:lineRule="exact"/>
        <w:ind w:firstLine="643" w:firstLineChars="200"/>
        <w:rPr>
          <w:rFonts w:ascii="楷体_GB2312" w:hAnsi="楷体_GB2312" w:eastAsia="楷体_GB2312" w:cs="楷体_GB2312"/>
          <w:sz w:val="32"/>
          <w:szCs w:val="33"/>
        </w:rPr>
      </w:pPr>
      <w:r>
        <w:rPr>
          <w:rFonts w:hint="eastAsia" w:ascii="方正楷体_GBK" w:hAnsi="方正楷体_GBK" w:eastAsia="楷体_GB2312" w:cs="方正楷体_GBK"/>
          <w:b/>
          <w:bCs/>
          <w:sz w:val="32"/>
          <w:szCs w:val="33"/>
        </w:rPr>
        <w:t>（二）项目过程情况</w:t>
      </w:r>
    </w:p>
    <w:p>
      <w:pPr>
        <w:spacing w:line="560" w:lineRule="exact"/>
        <w:ind w:firstLine="640" w:firstLineChars="200"/>
        <w:rPr>
          <w:rFonts w:ascii="Times New Roman" w:hAnsi="Times New Roman" w:eastAsia="仿宋_GB2312"/>
          <w:sz w:val="32"/>
          <w:szCs w:val="33"/>
        </w:rPr>
      </w:pPr>
      <w:r>
        <w:rPr>
          <w:rFonts w:hint="eastAsia" w:ascii="Times New Roman" w:hAnsi="Times New Roman" w:eastAsia="仿宋_GB2312"/>
          <w:sz w:val="32"/>
          <w:szCs w:val="33"/>
        </w:rPr>
        <w:t>该项目由区纪委监委牵头，河门口街办作为业主，通过集中采购的方式确定施工单位实施，截至2022年底，完成了70%的设施设备采购，于2023年年中完成项目全部建设，并投入使用。</w:t>
      </w:r>
    </w:p>
    <w:p>
      <w:pPr>
        <w:spacing w:line="560" w:lineRule="exact"/>
        <w:ind w:firstLine="643" w:firstLineChars="200"/>
        <w:rPr>
          <w:rFonts w:ascii="楷体_GB2312" w:hAnsi="楷体_GB2312" w:eastAsia="楷体_GB2312" w:cs="楷体_GB2312"/>
          <w:sz w:val="32"/>
          <w:szCs w:val="33"/>
        </w:rPr>
      </w:pPr>
      <w:r>
        <w:rPr>
          <w:rFonts w:hint="eastAsia" w:ascii="方正楷体_GBK" w:hAnsi="方正楷体_GBK" w:eastAsia="楷体_GB2312" w:cs="方正楷体_GBK"/>
          <w:b/>
          <w:bCs/>
          <w:sz w:val="32"/>
          <w:szCs w:val="33"/>
        </w:rPr>
        <w:t>（三）项目产出情况</w:t>
      </w:r>
    </w:p>
    <w:p>
      <w:pPr>
        <w:spacing w:line="560" w:lineRule="exact"/>
        <w:ind w:firstLine="640" w:firstLineChars="200"/>
        <w:rPr>
          <w:rFonts w:ascii="Times New Roman" w:hAnsi="Times New Roman" w:eastAsia="仿宋_GB2312"/>
          <w:sz w:val="32"/>
          <w:szCs w:val="33"/>
        </w:rPr>
      </w:pPr>
      <w:r>
        <w:rPr>
          <w:rFonts w:hint="eastAsia" w:ascii="Times New Roman" w:hAnsi="Times New Roman" w:eastAsia="仿宋_GB2312"/>
          <w:sz w:val="32"/>
          <w:szCs w:val="33"/>
        </w:rPr>
        <w:t>截至2022年底，已采购的设施设备质量符合国家质量要求及合同约定，项目整体完成进度较好，成本可控，居民满意度100%。</w:t>
      </w:r>
    </w:p>
    <w:p>
      <w:pPr>
        <w:spacing w:line="560" w:lineRule="exact"/>
        <w:ind w:firstLine="643" w:firstLineChars="200"/>
        <w:rPr>
          <w:rFonts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（四）项目效益情况</w:t>
      </w:r>
    </w:p>
    <w:p>
      <w:pPr>
        <w:spacing w:line="560" w:lineRule="exact"/>
        <w:ind w:firstLine="640" w:firstLineChars="200"/>
        <w:rPr>
          <w:rFonts w:ascii="Times New Roman" w:hAnsi="Times New Roman" w:eastAsia="仿宋_GB2312"/>
          <w:sz w:val="32"/>
          <w:szCs w:val="33"/>
        </w:rPr>
      </w:pPr>
      <w:r>
        <w:rPr>
          <w:rFonts w:hint="eastAsia" w:ascii="Times New Roman" w:hAnsi="Times New Roman" w:eastAsia="仿宋_GB2312"/>
          <w:sz w:val="32"/>
          <w:szCs w:val="33"/>
          <w:lang w:val="zh-CN"/>
        </w:rPr>
        <w:t>2022年火红年华廉洁文化教育基地建设项目，丰富了《火红年华》影视基地内容，盘活了闲置的国有资产，改善了周边居民的生活环境。建成后，可吸引市内外党性教育团体到本地学习参观，带动本地服务行业发展，深化廉洁文化教育，为进一步传承弘扬三线精神和涵养清廉政风起到了积极的作用。</w:t>
      </w:r>
    </w:p>
    <w:p>
      <w:pPr>
        <w:spacing w:line="560" w:lineRule="exact"/>
        <w:ind w:firstLine="640" w:firstLineChars="200"/>
        <w:rPr>
          <w:rFonts w:ascii="Times New Roman" w:hAnsi="Times New Roman" w:eastAsia="黑体"/>
          <w:sz w:val="32"/>
          <w:szCs w:val="33"/>
        </w:rPr>
      </w:pPr>
      <w:r>
        <w:rPr>
          <w:rFonts w:hint="eastAsia" w:ascii="Times New Roman" w:hAnsi="Times New Roman" w:eastAsia="黑体"/>
          <w:sz w:val="32"/>
          <w:szCs w:val="33"/>
        </w:rPr>
        <w:t>五、主要经验及做法、存在的问题及原因分析</w:t>
      </w:r>
    </w:p>
    <w:p>
      <w:pPr>
        <w:spacing w:line="560" w:lineRule="exact"/>
        <w:ind w:firstLine="643" w:firstLineChars="200"/>
        <w:rPr>
          <w:rFonts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（一）主要经验</w:t>
      </w:r>
    </w:p>
    <w:p>
      <w:pPr>
        <w:spacing w:line="560" w:lineRule="exact"/>
        <w:ind w:firstLine="640" w:firstLineChars="200"/>
        <w:rPr>
          <w:rFonts w:ascii="Times New Roman" w:hAnsi="Times New Roman" w:eastAsia="仿宋_GB2312"/>
          <w:sz w:val="32"/>
          <w:szCs w:val="33"/>
        </w:rPr>
      </w:pPr>
      <w:r>
        <w:rPr>
          <w:rFonts w:hint="eastAsia" w:ascii="Times New Roman" w:hAnsi="Times New Roman" w:eastAsia="仿宋_GB2312"/>
          <w:sz w:val="32"/>
          <w:szCs w:val="33"/>
        </w:rPr>
        <w:t>该项目建立了项目财务管理制度，并设置了项目实施工作专班，明确专人负责会计核算和账务处理，严格执行财务管理制度</w:t>
      </w:r>
      <w:r>
        <w:rPr>
          <w:rFonts w:hint="eastAsia" w:ascii="Times New Roman" w:hAnsi="Times New Roman" w:eastAsia="仿宋_GB2312"/>
          <w:sz w:val="32"/>
          <w:szCs w:val="33"/>
          <w:lang w:eastAsia="zh-CN"/>
        </w:rPr>
        <w:t>，</w:t>
      </w:r>
      <w:r>
        <w:rPr>
          <w:rFonts w:hint="eastAsia" w:ascii="Times New Roman" w:hAnsi="Times New Roman" w:eastAsia="仿宋_GB2312"/>
          <w:sz w:val="32"/>
          <w:szCs w:val="33"/>
        </w:rPr>
        <w:t>财务处理及时、会计核算规范，</w:t>
      </w:r>
      <w:r>
        <w:rPr>
          <w:rFonts w:ascii="Times New Roman" w:hAnsi="Times New Roman" w:eastAsia="仿宋_GB2312"/>
          <w:sz w:val="32"/>
          <w:szCs w:val="33"/>
        </w:rPr>
        <w:t>保障项目资金使用效益</w:t>
      </w:r>
      <w:r>
        <w:rPr>
          <w:rFonts w:hint="eastAsia" w:ascii="Times New Roman" w:hAnsi="Times New Roman" w:eastAsia="仿宋_GB2312"/>
          <w:sz w:val="32"/>
          <w:szCs w:val="33"/>
        </w:rPr>
        <w:t>。</w:t>
      </w:r>
    </w:p>
    <w:p>
      <w:pPr>
        <w:spacing w:line="560" w:lineRule="exact"/>
        <w:ind w:firstLine="643" w:firstLineChars="200"/>
        <w:rPr>
          <w:rFonts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（二）存在的问题</w:t>
      </w:r>
    </w:p>
    <w:p>
      <w:pPr>
        <w:spacing w:line="560" w:lineRule="exact"/>
        <w:ind w:firstLine="640" w:firstLineChars="200"/>
        <w:rPr>
          <w:rFonts w:ascii="Times New Roman" w:hAnsi="Times New Roman" w:eastAsia="仿宋_GB2312"/>
          <w:sz w:val="32"/>
          <w:szCs w:val="33"/>
        </w:rPr>
      </w:pPr>
      <w:r>
        <w:rPr>
          <w:rFonts w:hint="eastAsia" w:ascii="Times New Roman" w:hAnsi="Times New Roman" w:eastAsia="仿宋_GB2312"/>
          <w:sz w:val="32"/>
          <w:szCs w:val="33"/>
        </w:rPr>
        <w:t>绩效目标设置不够明确，细化、量化程度不足。</w:t>
      </w:r>
      <w:r>
        <w:rPr>
          <w:rFonts w:hint="eastAsia" w:ascii="Times New Roman" w:hAnsi="Times New Roman" w:eastAsia="仿宋_GB2312"/>
          <w:b/>
          <w:bCs/>
          <w:sz w:val="32"/>
          <w:szCs w:val="33"/>
          <w:lang w:eastAsia="zh-CN"/>
        </w:rPr>
        <w:t>一</w:t>
      </w:r>
      <w:r>
        <w:rPr>
          <w:rFonts w:hint="eastAsia" w:ascii="Times New Roman" w:hAnsi="Times New Roman" w:eastAsia="仿宋_GB2312"/>
          <w:b/>
          <w:bCs/>
          <w:sz w:val="32"/>
          <w:szCs w:val="33"/>
        </w:rPr>
        <w:t>是</w:t>
      </w:r>
      <w:r>
        <w:rPr>
          <w:rFonts w:hint="eastAsia" w:ascii="Times New Roman" w:hAnsi="Times New Roman" w:eastAsia="仿宋_GB2312"/>
          <w:sz w:val="32"/>
          <w:szCs w:val="33"/>
        </w:rPr>
        <w:t>绩效目标覆盖面窄，没有全面覆盖资金使用范围。</w:t>
      </w:r>
      <w:r>
        <w:rPr>
          <w:rFonts w:hint="eastAsia" w:ascii="Times New Roman" w:hAnsi="Times New Roman" w:eastAsia="仿宋_GB2312"/>
          <w:b/>
          <w:bCs/>
          <w:sz w:val="32"/>
          <w:szCs w:val="33"/>
          <w:lang w:eastAsia="zh-CN"/>
        </w:rPr>
        <w:t>二</w:t>
      </w:r>
      <w:r>
        <w:rPr>
          <w:rFonts w:hint="eastAsia" w:ascii="Times New Roman" w:hAnsi="Times New Roman" w:eastAsia="仿宋_GB2312"/>
          <w:b/>
          <w:bCs/>
          <w:sz w:val="32"/>
          <w:szCs w:val="33"/>
        </w:rPr>
        <w:t>是</w:t>
      </w:r>
      <w:r>
        <w:rPr>
          <w:rFonts w:hint="eastAsia" w:ascii="Times New Roman" w:hAnsi="Times New Roman" w:eastAsia="仿宋_GB2312"/>
          <w:sz w:val="32"/>
          <w:szCs w:val="33"/>
        </w:rPr>
        <w:t>绩效管理水平不高，对绩效目标的认识及理解程度不足，存在绩效目标设置不够明确、细化、量化程度不足等问题，对绩效目标理解不透彻，对自身职责理解不清，项目主管部门仍存在绩效目标指标设置过于简单的情况，未充分发挥绩效目标的前置性作用。</w:t>
      </w:r>
    </w:p>
    <w:p>
      <w:pPr>
        <w:spacing w:line="560" w:lineRule="exact"/>
        <w:ind w:firstLine="640" w:firstLineChars="200"/>
        <w:rPr>
          <w:rFonts w:ascii="Times New Roman" w:hAnsi="Times New Roman" w:eastAsia="黑体"/>
          <w:sz w:val="32"/>
          <w:szCs w:val="33"/>
        </w:rPr>
      </w:pPr>
      <w:r>
        <w:rPr>
          <w:rFonts w:hint="eastAsia" w:ascii="Times New Roman" w:hAnsi="Times New Roman" w:eastAsia="黑体"/>
          <w:sz w:val="32"/>
          <w:szCs w:val="33"/>
        </w:rPr>
        <w:t>六、有关建议</w:t>
      </w:r>
    </w:p>
    <w:p>
      <w:pPr>
        <w:spacing w:line="560" w:lineRule="exact"/>
        <w:ind w:firstLine="640" w:firstLineChars="200"/>
        <w:rPr>
          <w:rFonts w:ascii="Times New Roman" w:hAnsi="Times New Roman" w:eastAsia="仿宋_GB2312"/>
          <w:sz w:val="32"/>
          <w:szCs w:val="33"/>
        </w:rPr>
      </w:pPr>
      <w:r>
        <w:rPr>
          <w:rFonts w:hint="eastAsia" w:ascii="Times New Roman" w:hAnsi="Times New Roman" w:eastAsia="仿宋_GB2312"/>
          <w:sz w:val="32"/>
          <w:szCs w:val="33"/>
        </w:rPr>
        <w:t>统筹项目预算编制、项目预算管理、项目预算执行和项目绩效评价工作，落实</w:t>
      </w:r>
      <w:r>
        <w:rPr>
          <w:rFonts w:hint="eastAsia" w:ascii="Times New Roman" w:hAnsi="Times New Roman" w:eastAsia="仿宋_GB2312"/>
          <w:sz w:val="32"/>
          <w:szCs w:val="33"/>
          <w:lang w:eastAsia="zh-CN"/>
        </w:rPr>
        <w:t>“</w:t>
      </w:r>
      <w:r>
        <w:rPr>
          <w:rFonts w:hint="eastAsia" w:ascii="Times New Roman" w:hAnsi="Times New Roman" w:eastAsia="仿宋_GB2312"/>
          <w:sz w:val="32"/>
          <w:szCs w:val="33"/>
        </w:rPr>
        <w:t>项目预算编制有目标、项目预算执行有监控、项目预算完成有评价、项目评价结果有反馈、项目反馈结果有应用</w:t>
      </w:r>
      <w:r>
        <w:rPr>
          <w:rFonts w:hint="eastAsia" w:ascii="Times New Roman" w:hAnsi="Times New Roman" w:eastAsia="仿宋_GB2312"/>
          <w:sz w:val="32"/>
          <w:szCs w:val="33"/>
          <w:lang w:eastAsia="zh-CN"/>
        </w:rPr>
        <w:t>”</w:t>
      </w:r>
      <w:r>
        <w:rPr>
          <w:rFonts w:hint="eastAsia" w:ascii="Times New Roman" w:hAnsi="Times New Roman" w:eastAsia="仿宋_GB2312"/>
          <w:sz w:val="32"/>
          <w:szCs w:val="33"/>
        </w:rPr>
        <w:t>的全过程预算绩效管理机制，真正做到</w:t>
      </w:r>
      <w:r>
        <w:rPr>
          <w:rFonts w:hint="eastAsia" w:ascii="Times New Roman" w:hAnsi="Times New Roman" w:eastAsia="仿宋_GB2312"/>
          <w:sz w:val="32"/>
          <w:szCs w:val="33"/>
          <w:lang w:eastAsia="zh-CN"/>
        </w:rPr>
        <w:t>“</w:t>
      </w:r>
      <w:r>
        <w:rPr>
          <w:rFonts w:hint="eastAsia" w:ascii="Times New Roman" w:hAnsi="Times New Roman" w:eastAsia="仿宋_GB2312"/>
          <w:sz w:val="32"/>
          <w:szCs w:val="33"/>
        </w:rPr>
        <w:t>花钱必问效，无效必问责</w:t>
      </w:r>
      <w:r>
        <w:rPr>
          <w:rFonts w:hint="eastAsia" w:ascii="Times New Roman" w:hAnsi="Times New Roman" w:eastAsia="仿宋_GB2312"/>
          <w:sz w:val="32"/>
          <w:szCs w:val="33"/>
          <w:lang w:eastAsia="zh-CN"/>
        </w:rPr>
        <w:t>”</w:t>
      </w:r>
      <w:r>
        <w:rPr>
          <w:rFonts w:hint="eastAsia" w:ascii="Times New Roman" w:hAnsi="Times New Roman" w:eastAsia="仿宋_GB2312"/>
          <w:sz w:val="32"/>
          <w:szCs w:val="33"/>
        </w:rPr>
        <w:t>。</w:t>
      </w:r>
    </w:p>
    <w:p>
      <w:r>
        <w:br w:type="page"/>
      </w:r>
    </w:p>
    <w:p>
      <w:pPr>
        <w:spacing w:line="600" w:lineRule="exact"/>
        <w:rPr>
          <w:rFonts w:ascii="Times New Roman" w:hAnsi="Times New Roman" w:eastAsia="黑体"/>
          <w:sz w:val="32"/>
          <w:szCs w:val="33"/>
        </w:rPr>
      </w:pPr>
      <w:r>
        <w:rPr>
          <w:rFonts w:ascii="Times New Roman" w:hAnsi="Times New Roman" w:eastAsia="黑体"/>
          <w:sz w:val="32"/>
          <w:szCs w:val="33"/>
        </w:rPr>
        <w:t>附件8</w:t>
      </w:r>
    </w:p>
    <w:p>
      <w:pPr>
        <w:snapToGrid w:val="0"/>
        <w:spacing w:line="60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rPr>
        <w:t>2022年核酸检测专项经费绩效评价报告</w:t>
      </w:r>
    </w:p>
    <w:p>
      <w:pPr>
        <w:pStyle w:val="16"/>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rPr>
          <w:rFonts w:ascii="Times New Roman" w:hAnsi="Times New Roman" w:eastAsia="仿宋_GB2312"/>
          <w:color w:val="auto"/>
          <w:kern w:val="2"/>
          <w:sz w:val="32"/>
          <w:szCs w:val="33"/>
          <w:lang w:val="en-US"/>
        </w:rPr>
      </w:pPr>
      <w:r>
        <w:rPr>
          <w:rFonts w:ascii="Times New Roman" w:hAnsi="Times New Roman" w:eastAsia="仿宋_GB2312"/>
          <w:color w:val="auto"/>
          <w:kern w:val="2"/>
          <w:sz w:val="32"/>
          <w:szCs w:val="33"/>
          <w:lang w:val="en-US"/>
        </w:rPr>
        <w:t>根据《中华人民共和国预算法》《中共四川省委 四川省人民政府关于全面实施预算绩效管理的实施意见》以及市第十届人大常委会第四次会议提出的</w:t>
      </w:r>
      <w:r>
        <w:rPr>
          <w:rFonts w:hint="eastAsia" w:ascii="Times New Roman" w:hAnsi="Times New Roman" w:eastAsia="仿宋_GB2312"/>
          <w:color w:val="auto"/>
          <w:kern w:val="2"/>
          <w:sz w:val="32"/>
          <w:szCs w:val="33"/>
          <w:lang w:val="en-US" w:eastAsia="zh-CN"/>
        </w:rPr>
        <w:t>“</w:t>
      </w:r>
      <w:r>
        <w:rPr>
          <w:rFonts w:ascii="Times New Roman" w:hAnsi="Times New Roman" w:eastAsia="仿宋_GB2312"/>
          <w:color w:val="auto"/>
          <w:kern w:val="2"/>
          <w:sz w:val="32"/>
          <w:szCs w:val="33"/>
          <w:lang w:val="en-US"/>
        </w:rPr>
        <w:t>进一步完善财政支出绩效评价制度，尤其是对评价结果的运用制度</w:t>
      </w:r>
      <w:r>
        <w:rPr>
          <w:rFonts w:hint="eastAsia" w:ascii="Times New Roman" w:hAnsi="Times New Roman" w:eastAsia="仿宋_GB2312"/>
          <w:color w:val="auto"/>
          <w:kern w:val="2"/>
          <w:sz w:val="32"/>
          <w:szCs w:val="33"/>
          <w:lang w:val="en-US" w:eastAsia="zh-CN"/>
        </w:rPr>
        <w:t>”</w:t>
      </w:r>
      <w:r>
        <w:rPr>
          <w:rFonts w:ascii="Times New Roman" w:hAnsi="Times New Roman" w:eastAsia="仿宋_GB2312"/>
          <w:color w:val="auto"/>
          <w:kern w:val="2"/>
          <w:sz w:val="32"/>
          <w:szCs w:val="33"/>
          <w:lang w:val="en-US"/>
        </w:rPr>
        <w:t>等要求，于20</w:t>
      </w:r>
      <w:r>
        <w:rPr>
          <w:rFonts w:hint="eastAsia" w:ascii="Times New Roman" w:hAnsi="Times New Roman" w:eastAsia="仿宋_GB2312"/>
          <w:color w:val="auto"/>
          <w:kern w:val="2"/>
          <w:sz w:val="32"/>
          <w:szCs w:val="33"/>
          <w:lang w:val="en-US"/>
        </w:rPr>
        <w:t>2</w:t>
      </w:r>
      <w:r>
        <w:rPr>
          <w:rFonts w:ascii="Times New Roman" w:hAnsi="Times New Roman" w:eastAsia="仿宋_GB2312"/>
          <w:color w:val="auto"/>
          <w:kern w:val="2"/>
          <w:sz w:val="32"/>
          <w:szCs w:val="33"/>
          <w:lang w:val="en-US"/>
        </w:rPr>
        <w:t>3年6月至7月对</w:t>
      </w:r>
      <w:r>
        <w:rPr>
          <w:rFonts w:hint="eastAsia" w:ascii="Times New Roman" w:hAnsi="Times New Roman" w:eastAsia="仿宋_GB2312"/>
          <w:sz w:val="32"/>
          <w:szCs w:val="33"/>
        </w:rPr>
        <w:t>202</w:t>
      </w:r>
      <w:r>
        <w:rPr>
          <w:rFonts w:ascii="Times New Roman" w:hAnsi="Times New Roman" w:eastAsia="仿宋_GB2312"/>
          <w:sz w:val="32"/>
          <w:szCs w:val="33"/>
        </w:rPr>
        <w:t>2</w:t>
      </w:r>
      <w:r>
        <w:rPr>
          <w:rFonts w:hint="eastAsia" w:ascii="Times New Roman" w:hAnsi="Times New Roman" w:eastAsia="仿宋_GB2312"/>
          <w:sz w:val="32"/>
          <w:szCs w:val="33"/>
        </w:rPr>
        <w:t>年核酸检测专项经费</w:t>
      </w:r>
      <w:r>
        <w:rPr>
          <w:rFonts w:ascii="Times New Roman" w:hAnsi="Times New Roman" w:eastAsia="仿宋_GB2312"/>
          <w:color w:val="auto"/>
          <w:kern w:val="2"/>
          <w:sz w:val="32"/>
          <w:szCs w:val="33"/>
          <w:lang w:val="en-US"/>
        </w:rPr>
        <w:t>开展了绩效评价，现将有关情况报告如下。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3"/>
        </w:rPr>
      </w:pPr>
      <w:r>
        <w:rPr>
          <w:rFonts w:ascii="Times New Roman" w:hAnsi="Times New Roman" w:eastAsia="黑体"/>
          <w:sz w:val="32"/>
          <w:szCs w:val="33"/>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3"/>
        </w:rPr>
      </w:pPr>
      <w:r>
        <w:rPr>
          <w:rFonts w:hint="eastAsia" w:ascii="Times New Roman" w:hAnsi="Times New Roman" w:eastAsia="仿宋_GB2312"/>
          <w:sz w:val="32"/>
          <w:szCs w:val="33"/>
        </w:rPr>
        <w:t>202</w:t>
      </w:r>
      <w:r>
        <w:rPr>
          <w:rFonts w:ascii="Times New Roman" w:hAnsi="Times New Roman" w:eastAsia="仿宋_GB2312"/>
          <w:sz w:val="32"/>
          <w:szCs w:val="33"/>
        </w:rPr>
        <w:t>2</w:t>
      </w:r>
      <w:r>
        <w:rPr>
          <w:rFonts w:hint="eastAsia" w:ascii="Times New Roman" w:hAnsi="Times New Roman" w:eastAsia="仿宋_GB2312"/>
          <w:sz w:val="32"/>
          <w:szCs w:val="33"/>
        </w:rPr>
        <w:t>年核酸检测专项经费</w:t>
      </w:r>
      <w:r>
        <w:rPr>
          <w:rFonts w:ascii="Times New Roman" w:hAnsi="Times New Roman" w:eastAsia="仿宋_GB2312"/>
          <w:sz w:val="32"/>
          <w:szCs w:val="33"/>
        </w:rPr>
        <w:t>，主要用于</w:t>
      </w:r>
      <w:r>
        <w:rPr>
          <w:rFonts w:hint="eastAsia" w:ascii="Times New Roman" w:hAnsi="Times New Roman" w:eastAsia="仿宋_GB2312"/>
          <w:sz w:val="32"/>
          <w:szCs w:val="33"/>
        </w:rPr>
        <w:t>采购应急物资，包括实验仪器设备、病毒采样管、医用垫单、快速温筛仪、防护用品等；购买实验室核酸检测试剂、实验耗材，包括核酸检测试剂、提取试剂、纯化试剂、质控品等。为保证此项工作有序运行，需设立核酸检测项目经费，项目申报与政策和需求相吻合。202</w:t>
      </w:r>
      <w:r>
        <w:rPr>
          <w:rFonts w:ascii="Times New Roman" w:hAnsi="Times New Roman" w:eastAsia="仿宋_GB2312"/>
          <w:sz w:val="32"/>
          <w:szCs w:val="33"/>
        </w:rPr>
        <w:t>2</w:t>
      </w:r>
      <w:r>
        <w:rPr>
          <w:rFonts w:hint="eastAsia" w:ascii="Times New Roman" w:hAnsi="Times New Roman" w:eastAsia="仿宋_GB2312"/>
          <w:sz w:val="32"/>
          <w:szCs w:val="33"/>
        </w:rPr>
        <w:t>年核酸检测专项经费</w:t>
      </w:r>
      <w:r>
        <w:rPr>
          <w:rFonts w:ascii="Times New Roman" w:hAnsi="Times New Roman" w:eastAsia="仿宋_GB2312"/>
          <w:sz w:val="32"/>
          <w:szCs w:val="33"/>
        </w:rPr>
        <w:t>预算资金为100.04</w:t>
      </w:r>
      <w:r>
        <w:rPr>
          <w:rFonts w:hint="eastAsia" w:ascii="Times New Roman" w:hAnsi="Times New Roman" w:eastAsia="仿宋_GB2312"/>
          <w:sz w:val="32"/>
          <w:szCs w:val="33"/>
        </w:rPr>
        <w:t>万元</w:t>
      </w:r>
      <w:r>
        <w:rPr>
          <w:rFonts w:ascii="Times New Roman" w:hAnsi="Times New Roman" w:eastAsia="仿宋_GB2312"/>
          <w:sz w:val="32"/>
          <w:szCs w:val="33"/>
        </w:rPr>
        <w:t>，</w:t>
      </w:r>
      <w:r>
        <w:rPr>
          <w:rFonts w:hint="eastAsia" w:ascii="Times New Roman" w:hAnsi="Times New Roman" w:eastAsia="仿宋_GB2312"/>
          <w:sz w:val="32"/>
          <w:szCs w:val="33"/>
        </w:rPr>
        <w:t>截至</w:t>
      </w:r>
      <w:r>
        <w:rPr>
          <w:rFonts w:ascii="Times New Roman" w:hAnsi="Times New Roman" w:eastAsia="仿宋_GB2312"/>
          <w:sz w:val="32"/>
          <w:szCs w:val="33"/>
        </w:rPr>
        <w:t>2022年12月31日，项目资金已全部支付。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（二）项目绩效目标</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ascii="Times New Roman" w:hAnsi="Times New Roman" w:eastAsia="仿宋_GB2312"/>
          <w:sz w:val="32"/>
          <w:szCs w:val="33"/>
        </w:rPr>
      </w:pPr>
      <w:r>
        <w:rPr>
          <w:rFonts w:hint="eastAsia" w:ascii="Times New Roman" w:hAnsi="Times New Roman" w:eastAsia="仿宋_GB2312"/>
          <w:b/>
          <w:bCs/>
          <w:sz w:val="32"/>
          <w:szCs w:val="33"/>
        </w:rPr>
        <w:t>一是</w:t>
      </w:r>
      <w:r>
        <w:rPr>
          <w:rFonts w:hint="eastAsia" w:ascii="Times New Roman" w:hAnsi="Times New Roman" w:eastAsia="仿宋_GB2312"/>
          <w:sz w:val="32"/>
          <w:szCs w:val="33"/>
        </w:rPr>
        <w:t>承担全区重点人群、隔离点、便民采样点的核酸检测任务。</w:t>
      </w:r>
      <w:r>
        <w:rPr>
          <w:rFonts w:hint="eastAsia" w:ascii="Times New Roman" w:hAnsi="Times New Roman" w:eastAsia="仿宋_GB2312"/>
          <w:b/>
          <w:bCs/>
          <w:sz w:val="32"/>
          <w:szCs w:val="33"/>
        </w:rPr>
        <w:t>二是</w:t>
      </w:r>
      <w:r>
        <w:rPr>
          <w:rFonts w:hint="eastAsia" w:ascii="Times New Roman" w:hAnsi="Times New Roman" w:eastAsia="仿宋_GB2312"/>
          <w:sz w:val="32"/>
          <w:szCs w:val="33"/>
        </w:rPr>
        <w:t>确保疫情防控</w:t>
      </w:r>
      <w:r>
        <w:rPr>
          <w:rFonts w:ascii="Times New Roman" w:hAnsi="Times New Roman" w:eastAsia="仿宋_GB2312"/>
          <w:sz w:val="32"/>
          <w:szCs w:val="33"/>
        </w:rPr>
        <w:t>物资能满足医疗机构满负荷30天的储备量</w:t>
      </w:r>
      <w:r>
        <w:rPr>
          <w:rFonts w:hint="eastAsia" w:ascii="Times New Roman" w:hAnsi="Times New Roman" w:eastAsia="仿宋_GB2312"/>
          <w:sz w:val="32"/>
          <w:szCs w:val="33"/>
        </w:rPr>
        <w:t>。</w:t>
      </w:r>
      <w:r>
        <w:rPr>
          <w:rFonts w:hint="eastAsia" w:ascii="Times New Roman" w:hAnsi="Times New Roman" w:eastAsia="仿宋_GB2312"/>
          <w:b/>
          <w:bCs/>
          <w:sz w:val="32"/>
          <w:szCs w:val="33"/>
        </w:rPr>
        <w:t>三是</w:t>
      </w:r>
      <w:r>
        <w:rPr>
          <w:rFonts w:hint="eastAsia" w:ascii="Times New Roman" w:hAnsi="Times New Roman" w:eastAsia="仿宋_GB2312"/>
          <w:sz w:val="32"/>
          <w:szCs w:val="33"/>
        </w:rPr>
        <w:t>高效精准开展流调溯源。</w:t>
      </w:r>
      <w:r>
        <w:rPr>
          <w:rFonts w:hint="eastAsia" w:ascii="Times New Roman" w:hAnsi="Times New Roman" w:eastAsia="仿宋_GB2312"/>
          <w:b/>
          <w:bCs/>
          <w:sz w:val="32"/>
          <w:szCs w:val="33"/>
        </w:rPr>
        <w:t>四是</w:t>
      </w:r>
      <w:r>
        <w:rPr>
          <w:rFonts w:hint="eastAsia" w:ascii="Times New Roman" w:hAnsi="Times New Roman" w:eastAsia="仿宋_GB2312"/>
          <w:sz w:val="32"/>
          <w:szCs w:val="33"/>
        </w:rPr>
        <w:t>严格落实新冠肺炎多点监测。</w:t>
      </w:r>
      <w:r>
        <w:rPr>
          <w:rFonts w:hint="eastAsia" w:ascii="Times New Roman" w:hAnsi="Times New Roman" w:eastAsia="仿宋_GB2312"/>
          <w:b/>
          <w:bCs/>
          <w:sz w:val="32"/>
          <w:szCs w:val="33"/>
        </w:rPr>
        <w:t>五是</w:t>
      </w:r>
      <w:r>
        <w:rPr>
          <w:rFonts w:hint="eastAsia" w:ascii="Times New Roman" w:hAnsi="Times New Roman" w:eastAsia="仿宋_GB2312"/>
          <w:sz w:val="32"/>
          <w:szCs w:val="33"/>
        </w:rPr>
        <w:t>全面做好技术培训、指导和应急演练工作。全面应对可能出现的局部聚集性疫情，有效控制疫情的爆发与流行，维护国家安全、保障人民生命健康。</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黑体"/>
          <w:sz w:val="32"/>
          <w:szCs w:val="33"/>
        </w:rPr>
      </w:pPr>
      <w:r>
        <w:rPr>
          <w:rFonts w:ascii="Times New Roman" w:hAnsi="Times New Roman" w:eastAsia="黑体"/>
          <w:sz w:val="32"/>
          <w:szCs w:val="33"/>
        </w:rPr>
        <w:t>二、绩效评价工作开展情况</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ascii="方正楷体_GBK" w:hAnsi="方正楷体_GBK" w:eastAsia="楷体_GB2312" w:cs="方正楷体_GBK"/>
          <w:sz w:val="32"/>
          <w:szCs w:val="33"/>
        </w:rPr>
      </w:pPr>
      <w:r>
        <w:rPr>
          <w:rFonts w:hint="eastAsia" w:ascii="方正楷体_GBK" w:hAnsi="方正楷体_GBK" w:eastAsia="楷体_GB2312" w:cs="方正楷体_GBK"/>
          <w:b/>
          <w:bCs/>
          <w:sz w:val="32"/>
          <w:szCs w:val="33"/>
        </w:rPr>
        <w:t>（一）绩效评价目的、对象和范围</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仿宋_GB2312"/>
          <w:sz w:val="32"/>
          <w:szCs w:val="33"/>
        </w:rPr>
      </w:pPr>
      <w:r>
        <w:rPr>
          <w:rFonts w:hint="eastAsia" w:ascii="Times New Roman" w:hAnsi="Times New Roman" w:eastAsia="仿宋_GB2312"/>
          <w:sz w:val="32"/>
          <w:szCs w:val="33"/>
          <w:highlight w:val="none"/>
        </w:rPr>
        <w:t>从决策、过程、产出、效益、满意度等维度对202</w:t>
      </w:r>
      <w:r>
        <w:rPr>
          <w:rFonts w:ascii="Times New Roman" w:hAnsi="Times New Roman" w:eastAsia="仿宋_GB2312"/>
          <w:sz w:val="32"/>
          <w:szCs w:val="33"/>
          <w:highlight w:val="none"/>
        </w:rPr>
        <w:t>2</w:t>
      </w:r>
      <w:r>
        <w:rPr>
          <w:rFonts w:hint="eastAsia" w:ascii="Times New Roman" w:hAnsi="Times New Roman" w:eastAsia="仿宋_GB2312"/>
          <w:sz w:val="32"/>
          <w:szCs w:val="33"/>
          <w:highlight w:val="none"/>
        </w:rPr>
        <w:t>年核酸检测专项</w:t>
      </w:r>
      <w:r>
        <w:rPr>
          <w:rFonts w:ascii="Times New Roman" w:hAnsi="Times New Roman" w:eastAsia="仿宋_GB2312"/>
          <w:sz w:val="32"/>
          <w:szCs w:val="33"/>
          <w:highlight w:val="none"/>
        </w:rPr>
        <w:t>资金</w:t>
      </w:r>
      <w:r>
        <w:rPr>
          <w:rFonts w:hint="eastAsia" w:ascii="Times New Roman" w:hAnsi="Times New Roman" w:eastAsia="仿宋_GB2312"/>
          <w:sz w:val="32"/>
          <w:szCs w:val="33"/>
          <w:highlight w:val="none"/>
          <w:lang w:eastAsia="zh-CN"/>
        </w:rPr>
        <w:t>的</w:t>
      </w:r>
      <w:r>
        <w:rPr>
          <w:rFonts w:hint="eastAsia" w:ascii="Times New Roman" w:hAnsi="Times New Roman" w:eastAsia="仿宋_GB2312"/>
          <w:sz w:val="32"/>
          <w:szCs w:val="33"/>
          <w:highlight w:val="none"/>
        </w:rPr>
        <w:t>管理、审核和目标达成情况进行绩效评价，旨在总结工作成绩，发现实施管理中存在的问题和不足，提出</w:t>
      </w:r>
      <w:r>
        <w:rPr>
          <w:rFonts w:hint="eastAsia" w:ascii="Times New Roman" w:hAnsi="Times New Roman" w:eastAsia="仿宋_GB2312"/>
          <w:sz w:val="32"/>
          <w:szCs w:val="33"/>
        </w:rPr>
        <w:t>改进意见和建议，强化项目管理，提高财政资金使用效益。</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ascii="方正楷体_GBK" w:hAnsi="方正楷体_GBK" w:eastAsia="楷体_GB2312" w:cs="方正楷体_GBK"/>
          <w:sz w:val="32"/>
          <w:szCs w:val="33"/>
        </w:rPr>
      </w:pPr>
      <w:r>
        <w:rPr>
          <w:rFonts w:hint="eastAsia" w:ascii="方正楷体_GBK" w:hAnsi="方正楷体_GBK" w:eastAsia="楷体_GB2312" w:cs="方正楷体_GBK"/>
          <w:b/>
          <w:bCs/>
          <w:sz w:val="32"/>
          <w:szCs w:val="33"/>
        </w:rPr>
        <w:t>（二）年度绩效评价原则、评价指标体系、评价方法、评价标准等</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color w:val="000000"/>
          <w:szCs w:val="32"/>
        </w:rPr>
      </w:pPr>
      <w:r>
        <w:rPr>
          <w:rFonts w:hint="eastAsia" w:ascii="Times New Roman" w:hAnsi="Times New Roman" w:eastAsia="仿宋_GB2312"/>
          <w:sz w:val="32"/>
          <w:szCs w:val="33"/>
        </w:rPr>
        <w:t>本次绩效评价秉承科学公正、统筹兼顾、公开透明等原则，坚持定量与定性相结合的方式，综合运用成本效益分析法、比较法、因素分析法、公众评判法、标杆管理法等，分别依据计划标准、行业标准、历史标准等评价标准，对202</w:t>
      </w:r>
      <w:r>
        <w:rPr>
          <w:rFonts w:ascii="Times New Roman" w:hAnsi="Times New Roman" w:eastAsia="仿宋_GB2312"/>
          <w:sz w:val="32"/>
          <w:szCs w:val="33"/>
        </w:rPr>
        <w:t>2</w:t>
      </w:r>
      <w:r>
        <w:rPr>
          <w:rFonts w:hint="eastAsia" w:ascii="Times New Roman" w:hAnsi="Times New Roman" w:eastAsia="仿宋_GB2312"/>
          <w:sz w:val="32"/>
          <w:szCs w:val="33"/>
        </w:rPr>
        <w:t>年核酸检测</w:t>
      </w:r>
      <w:r>
        <w:rPr>
          <w:rFonts w:ascii="Times New Roman" w:hAnsi="Times New Roman" w:eastAsia="仿宋_GB2312"/>
          <w:sz w:val="32"/>
          <w:szCs w:val="33"/>
        </w:rPr>
        <w:t>项目</w:t>
      </w:r>
      <w:r>
        <w:rPr>
          <w:rFonts w:hint="eastAsia" w:ascii="Times New Roman" w:hAnsi="Times New Roman" w:eastAsia="仿宋_GB2312"/>
          <w:sz w:val="32"/>
          <w:szCs w:val="33"/>
        </w:rPr>
        <w:t>进行全面绩效评价。</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ascii="楷体_GB2312" w:hAnsi="楷体_GB2312" w:eastAsia="楷体_GB2312" w:cs="楷体_GB2312"/>
          <w:b/>
          <w:bCs/>
          <w:sz w:val="32"/>
          <w:szCs w:val="33"/>
        </w:rPr>
      </w:pPr>
      <w:r>
        <w:rPr>
          <w:rFonts w:hint="eastAsia" w:ascii="方正楷体_GBK" w:hAnsi="方正楷体_GBK" w:eastAsia="楷体_GB2312" w:cs="方正楷体_GBK"/>
          <w:b/>
          <w:bCs/>
          <w:sz w:val="32"/>
          <w:szCs w:val="33"/>
        </w:rPr>
        <w:t>（三）绩效评价方法及过程</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仿宋_GB2312"/>
          <w:sz w:val="32"/>
          <w:szCs w:val="33"/>
        </w:rPr>
      </w:pPr>
      <w:r>
        <w:rPr>
          <w:rFonts w:hint="eastAsia" w:ascii="Times New Roman" w:hAnsi="Times New Roman" w:eastAsia="仿宋_GB2312"/>
          <w:sz w:val="32"/>
          <w:szCs w:val="33"/>
        </w:rPr>
        <w:t>区财政局根据财政支出绩效评价指标体系及项目的实际情况设计指标体系进行评价，组织相关人员对该项目进行评价检查。</w:t>
      </w:r>
    </w:p>
    <w:p>
      <w:pPr>
        <w:keepNext w:val="0"/>
        <w:keepLines w:val="0"/>
        <w:pageBreakBefore w:val="0"/>
        <w:widowControl w:val="0"/>
        <w:kinsoku/>
        <w:wordWrap/>
        <w:overflowPunct/>
        <w:topLinePunct w:val="0"/>
        <w:autoSpaceDE/>
        <w:autoSpaceDN/>
        <w:bidi w:val="0"/>
        <w:adjustRightInd/>
        <w:snapToGrid/>
        <w:spacing w:line="550" w:lineRule="exact"/>
        <w:ind w:firstLine="619" w:firstLineChars="200"/>
        <w:textAlignment w:val="auto"/>
        <w:rPr>
          <w:rFonts w:ascii="Times New Roman" w:hAnsi="Times New Roman" w:eastAsia="仿宋_GB2312"/>
          <w:spacing w:val="-6"/>
          <w:sz w:val="32"/>
          <w:szCs w:val="33"/>
        </w:rPr>
      </w:pPr>
      <w:r>
        <w:rPr>
          <w:rFonts w:hint="eastAsia" w:ascii="Times New Roman" w:hAnsi="Times New Roman" w:eastAsia="仿宋_GB2312"/>
          <w:b/>
          <w:bCs/>
          <w:spacing w:val="-6"/>
          <w:sz w:val="32"/>
          <w:szCs w:val="33"/>
        </w:rPr>
        <w:t>1.资料收集。</w:t>
      </w:r>
      <w:r>
        <w:rPr>
          <w:rFonts w:hint="eastAsia" w:ascii="Times New Roman" w:hAnsi="Times New Roman" w:eastAsia="仿宋_GB2312"/>
          <w:spacing w:val="-6"/>
          <w:sz w:val="32"/>
          <w:szCs w:val="33"/>
        </w:rPr>
        <w:t>梳理项目资料，核实项目情况，统计项目数据。</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ascii="Times New Roman" w:hAnsi="Times New Roman" w:eastAsia="仿宋_GB2312"/>
          <w:sz w:val="32"/>
          <w:szCs w:val="33"/>
        </w:rPr>
      </w:pPr>
      <w:r>
        <w:rPr>
          <w:rFonts w:hint="eastAsia" w:ascii="Times New Roman" w:hAnsi="Times New Roman" w:eastAsia="仿宋_GB2312"/>
          <w:b/>
          <w:bCs/>
          <w:sz w:val="32"/>
          <w:szCs w:val="33"/>
        </w:rPr>
        <w:t>2.绩效评价。</w:t>
      </w:r>
      <w:r>
        <w:rPr>
          <w:rFonts w:hint="eastAsia" w:ascii="Times New Roman" w:hAnsi="Times New Roman" w:eastAsia="仿宋_GB2312"/>
          <w:sz w:val="32"/>
          <w:szCs w:val="33"/>
        </w:rPr>
        <w:t>根据资料收集的情况，按照支出绩效评价指标体系，以定量与定性相结合的方式，对项目绩效情况进行判断，对项目存在的问题进行分析，对各项考评指标进行自评。</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ascii="Times New Roman" w:hAnsi="Times New Roman" w:eastAsia="仿宋_GB2312"/>
          <w:sz w:val="32"/>
          <w:szCs w:val="33"/>
        </w:rPr>
      </w:pPr>
      <w:r>
        <w:rPr>
          <w:rFonts w:hint="eastAsia" w:ascii="Times New Roman" w:hAnsi="Times New Roman" w:eastAsia="仿宋_GB2312"/>
          <w:b/>
          <w:bCs/>
          <w:sz w:val="32"/>
          <w:szCs w:val="33"/>
        </w:rPr>
        <w:t>3.撰写报告。</w:t>
      </w:r>
      <w:r>
        <w:rPr>
          <w:rFonts w:hint="eastAsia" w:ascii="Times New Roman" w:hAnsi="Times New Roman" w:eastAsia="仿宋_GB2312"/>
          <w:sz w:val="32"/>
          <w:szCs w:val="33"/>
        </w:rPr>
        <w:t>结合项目定性与定量评价分析，得出评价结论，并撰写评价报告。</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黑体"/>
          <w:sz w:val="32"/>
          <w:szCs w:val="33"/>
        </w:rPr>
      </w:pPr>
      <w:r>
        <w:rPr>
          <w:rFonts w:ascii="Times New Roman" w:hAnsi="Times New Roman" w:eastAsia="黑体"/>
          <w:sz w:val="32"/>
          <w:szCs w:val="33"/>
        </w:rPr>
        <w:t>三、综合评价情况及评价结论（附相关评分表）</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sz w:val="33"/>
          <w:szCs w:val="33"/>
        </w:rPr>
      </w:pPr>
      <w:r>
        <w:rPr>
          <w:rFonts w:ascii="Times New Roman" w:hAnsi="Times New Roman" w:eastAsia="仿宋_GB2312"/>
          <w:sz w:val="32"/>
          <w:szCs w:val="33"/>
        </w:rPr>
        <w:t>总体来看</w:t>
      </w:r>
      <w:r>
        <w:rPr>
          <w:rFonts w:hint="eastAsia" w:ascii="Times New Roman" w:hAnsi="Times New Roman" w:eastAsia="仿宋_GB2312"/>
          <w:sz w:val="32"/>
          <w:szCs w:val="33"/>
        </w:rPr>
        <w:t>，202</w:t>
      </w:r>
      <w:r>
        <w:rPr>
          <w:rFonts w:ascii="Times New Roman" w:hAnsi="Times New Roman" w:eastAsia="仿宋_GB2312"/>
          <w:sz w:val="32"/>
          <w:szCs w:val="33"/>
        </w:rPr>
        <w:t>2</w:t>
      </w:r>
      <w:r>
        <w:rPr>
          <w:rFonts w:hint="eastAsia" w:ascii="Times New Roman" w:hAnsi="Times New Roman" w:eastAsia="仿宋_GB2312"/>
          <w:sz w:val="32"/>
          <w:szCs w:val="33"/>
        </w:rPr>
        <w:t>年核酸检测专项经费</w:t>
      </w:r>
      <w:r>
        <w:rPr>
          <w:rFonts w:ascii="Times New Roman" w:hAnsi="Times New Roman" w:eastAsia="仿宋_GB2312"/>
          <w:sz w:val="32"/>
          <w:szCs w:val="33"/>
        </w:rPr>
        <w:t>资金分配较及时</w:t>
      </w:r>
      <w:r>
        <w:rPr>
          <w:rFonts w:hint="eastAsia" w:ascii="Times New Roman" w:hAnsi="Times New Roman" w:eastAsia="仿宋_GB2312"/>
          <w:sz w:val="32"/>
          <w:szCs w:val="33"/>
        </w:rPr>
        <w:t>，</w:t>
      </w:r>
      <w:r>
        <w:rPr>
          <w:rFonts w:ascii="Times New Roman" w:hAnsi="Times New Roman" w:eastAsia="仿宋_GB2312"/>
          <w:sz w:val="32"/>
          <w:szCs w:val="33"/>
        </w:rPr>
        <w:t>项目管理较规范，工作开展成效明显，资金使用绩效</w:t>
      </w:r>
      <w:r>
        <w:rPr>
          <w:rFonts w:hint="eastAsia" w:ascii="Times New Roman" w:hAnsi="Times New Roman" w:eastAsia="仿宋_GB2312"/>
          <w:sz w:val="32"/>
          <w:szCs w:val="33"/>
        </w:rPr>
        <w:t>较</w:t>
      </w:r>
      <w:r>
        <w:rPr>
          <w:rFonts w:ascii="Times New Roman" w:hAnsi="Times New Roman" w:eastAsia="仿宋_GB2312"/>
          <w:sz w:val="32"/>
          <w:szCs w:val="33"/>
        </w:rPr>
        <w:t>好。绩效评价结果为良好，总体评价得分9</w:t>
      </w:r>
      <w:r>
        <w:rPr>
          <w:rFonts w:hint="eastAsia" w:ascii="Times New Roman" w:hAnsi="Times New Roman" w:eastAsia="仿宋_GB2312"/>
          <w:sz w:val="32"/>
          <w:szCs w:val="33"/>
        </w:rPr>
        <w:t>7</w:t>
      </w:r>
      <w:r>
        <w:rPr>
          <w:rFonts w:ascii="Times New Roman" w:hAnsi="Times New Roman" w:eastAsia="仿宋_GB2312"/>
          <w:sz w:val="32"/>
          <w:szCs w:val="33"/>
        </w:rPr>
        <w:t>分。具体评价情况见下表。</w:t>
      </w:r>
    </w:p>
    <w:p>
      <w:pPr>
        <w:adjustRightInd w:val="0"/>
        <w:snapToGrid w:val="0"/>
        <w:spacing w:before="93" w:beforeLines="30" w:after="93" w:afterLines="30"/>
        <w:jc w:val="center"/>
        <w:rPr>
          <w:rFonts w:ascii="Times New Roman" w:hAnsi="Times New Roman"/>
          <w:szCs w:val="32"/>
        </w:rPr>
      </w:pPr>
      <w:r>
        <w:rPr>
          <w:rFonts w:hint="eastAsia" w:ascii="Times New Roman" w:hAnsi="Times New Roman"/>
          <w:b/>
          <w:sz w:val="24"/>
          <w:szCs w:val="32"/>
          <w:lang w:val="zh-CN"/>
        </w:rPr>
        <w:t>202</w:t>
      </w:r>
      <w:r>
        <w:rPr>
          <w:rFonts w:ascii="Times New Roman" w:hAnsi="Times New Roman"/>
          <w:b/>
          <w:sz w:val="24"/>
          <w:szCs w:val="32"/>
          <w:lang w:val="zh-CN"/>
        </w:rPr>
        <w:t>2</w:t>
      </w:r>
      <w:r>
        <w:rPr>
          <w:rFonts w:hint="eastAsia" w:ascii="Times New Roman" w:hAnsi="Times New Roman"/>
          <w:b/>
          <w:sz w:val="24"/>
          <w:szCs w:val="32"/>
          <w:lang w:val="zh-CN"/>
        </w:rPr>
        <w:t>年核酸检测专项经费</w:t>
      </w:r>
      <w:r>
        <w:rPr>
          <w:rFonts w:ascii="Times New Roman" w:hAnsi="Times New Roman"/>
          <w:b/>
          <w:sz w:val="24"/>
          <w:szCs w:val="32"/>
          <w:lang w:val="zh-CN"/>
        </w:rPr>
        <w:t>绩效得分表</w:t>
      </w:r>
    </w:p>
    <w:tbl>
      <w:tblPr>
        <w:tblStyle w:val="12"/>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1724"/>
        <w:gridCol w:w="2460"/>
        <w:gridCol w:w="1361"/>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938" w:type="dxa"/>
            <w:vAlign w:val="center"/>
          </w:tcPr>
          <w:p>
            <w:pPr>
              <w:adjustRightInd w:val="0"/>
              <w:snapToGrid w:val="0"/>
              <w:jc w:val="center"/>
              <w:rPr>
                <w:rFonts w:ascii="Times New Roman" w:hAnsi="Times New Roman"/>
                <w:b/>
                <w:sz w:val="20"/>
                <w:szCs w:val="20"/>
              </w:rPr>
            </w:pPr>
            <w:r>
              <w:rPr>
                <w:rFonts w:ascii="Times New Roman" w:hAnsi="Times New Roman"/>
                <w:b/>
                <w:sz w:val="20"/>
                <w:szCs w:val="20"/>
              </w:rPr>
              <w:t>一级指标</w:t>
            </w:r>
            <w:r>
              <w:rPr>
                <w:rFonts w:ascii="Times New Roman" w:hAnsi="Times New Roman"/>
                <w:b/>
                <w:sz w:val="20"/>
                <w:szCs w:val="20"/>
              </w:rPr>
              <mc:AlternateContent>
                <mc:Choice Requires="wps">
                  <w:drawing>
                    <wp:anchor distT="0" distB="0" distL="114300" distR="114300" simplePos="0" relativeHeight="251694080"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94080;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e&#10;SAOW1QAAAAkBAAAPAAAAAAAAAAEAIAAAACIAAABkcnMvZG93bnJldi54bWxQSwECFAAUAAAACACH&#10;TuJAlg1MfO4BAADkAwAADgAAAAAAAAABACAAAAAkAQAAZHJzL2Uyb0RvYy54bWxQSwUGAAAAAAYA&#10;BgBZAQAAhAUAAAAA&#10;">
                      <v:fill on="f" focussize="0,0"/>
                      <v:stroke color="#000000" joinstyle="round"/>
                      <v:imagedata o:title=""/>
                      <o:lock v:ext="edit" aspectratio="f"/>
                    </v:line>
                  </w:pict>
                </mc:Fallback>
              </mc:AlternateContent>
            </w:r>
            <w:r>
              <w:rPr>
                <w:rFonts w:ascii="Times New Roman" w:hAnsi="Times New Roman"/>
                <w:b/>
                <w:sz w:val="20"/>
                <w:szCs w:val="20"/>
              </w:rPr>
              <mc:AlternateContent>
                <mc:Choice Requires="wps">
                  <w:drawing>
                    <wp:anchor distT="0" distB="0" distL="114300" distR="114300" simplePos="0" relativeHeight="251695104"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95104;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e&#10;SAOW1QAAAAkBAAAPAAAAAAAAAAEAIAAAACIAAABkcnMvZG93bnJldi54bWxQSwECFAAUAAAACACH&#10;TuJAGGjjbu4BAADkAwAADgAAAAAAAAABACAAAAAkAQAAZHJzL2Uyb0RvYy54bWxQSwUGAAAAAAYA&#10;BgBZAQAAhAUAAAAA&#10;">
                      <v:fill on="f" focussize="0,0"/>
                      <v:stroke color="#000000" joinstyle="round"/>
                      <v:imagedata o:title=""/>
                      <o:lock v:ext="edit" aspectratio="f"/>
                    </v:line>
                  </w:pict>
                </mc:Fallback>
              </mc:AlternateContent>
            </w:r>
            <w:r>
              <w:rPr>
                <w:rFonts w:ascii="Times New Roman" w:hAnsi="Times New Roman"/>
                <w:b/>
                <w:sz w:val="20"/>
                <w:szCs w:val="20"/>
              </w:rPr>
              <mc:AlternateContent>
                <mc:Choice Requires="wps">
                  <w:drawing>
                    <wp:anchor distT="0" distB="0" distL="114300" distR="114300" simplePos="0" relativeHeight="251696128"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19" name="直接连接符 1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96128;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e&#10;SAOW1QAAAAkBAAAPAAAAAAAAAAEAIAAAACIAAABkcnMvZG93bnJldi54bWxQSwECFAAUAAAACACH&#10;TuJAgGHItu4BAADkAwAADgAAAAAAAAABACAAAAAkAQAAZHJzL2Uyb0RvYy54bWxQSwUGAAAAAAYA&#10;BgBZAQAAhAUAAAAA&#10;">
                      <v:fill on="f" focussize="0,0"/>
                      <v:stroke color="#000000" joinstyle="round"/>
                      <v:imagedata o:title=""/>
                      <o:lock v:ext="edit" aspectratio="f"/>
                    </v:line>
                  </w:pict>
                </mc:Fallback>
              </mc:AlternateContent>
            </w:r>
            <w:r>
              <w:rPr>
                <w:rFonts w:ascii="Times New Roman" w:hAnsi="Times New Roman"/>
                <w:b/>
                <w:sz w:val="20"/>
                <w:szCs w:val="20"/>
              </w:rPr>
              <mc:AlternateContent>
                <mc:Choice Requires="wps">
                  <w:drawing>
                    <wp:anchor distT="0" distB="0" distL="114300" distR="114300" simplePos="0" relativeHeight="251697152"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20" name="直接连接符 20"/>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97152;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e&#10;SAOW1QAAAAkBAAAPAAAAAAAAAAEAIAAAACIAAABkcnMvZG93bnJldi54bWxQSwECFAAUAAAACACH&#10;TuJAXW1rwO4BAADkAwAADgAAAAAAAAABACAAAAAkAQAAZHJzL2Uyb0RvYy54bWxQSwUGAAAAAAYA&#10;BgBZAQAAhAUAAAAA&#10;">
                      <v:fill on="f" focussize="0,0"/>
                      <v:stroke color="#000000" joinstyle="round"/>
                      <v:imagedata o:title=""/>
                      <o:lock v:ext="edit" aspectratio="f"/>
                    </v:line>
                  </w:pict>
                </mc:Fallback>
              </mc:AlternateContent>
            </w:r>
          </w:p>
        </w:tc>
        <w:tc>
          <w:tcPr>
            <w:tcW w:w="1724" w:type="dxa"/>
            <w:vAlign w:val="center"/>
          </w:tcPr>
          <w:p>
            <w:pPr>
              <w:adjustRightInd w:val="0"/>
              <w:snapToGrid w:val="0"/>
              <w:jc w:val="center"/>
              <w:rPr>
                <w:rFonts w:ascii="Times New Roman" w:hAnsi="Times New Roman"/>
                <w:b/>
                <w:sz w:val="20"/>
                <w:szCs w:val="20"/>
              </w:rPr>
            </w:pPr>
            <w:r>
              <w:rPr>
                <w:rFonts w:ascii="Times New Roman" w:hAnsi="Times New Roman"/>
                <w:b/>
                <w:sz w:val="20"/>
                <w:szCs w:val="20"/>
              </w:rPr>
              <w:t>二级指标</w:t>
            </w:r>
          </w:p>
        </w:tc>
        <w:tc>
          <w:tcPr>
            <w:tcW w:w="2460" w:type="dxa"/>
            <w:vAlign w:val="center"/>
          </w:tcPr>
          <w:p>
            <w:pPr>
              <w:adjustRightInd w:val="0"/>
              <w:snapToGrid w:val="0"/>
              <w:jc w:val="center"/>
              <w:rPr>
                <w:rFonts w:ascii="Times New Roman" w:hAnsi="Times New Roman"/>
                <w:b/>
                <w:sz w:val="20"/>
                <w:szCs w:val="20"/>
              </w:rPr>
            </w:pPr>
            <w:r>
              <w:rPr>
                <w:rFonts w:ascii="Times New Roman" w:hAnsi="Times New Roman"/>
                <w:b/>
                <w:sz w:val="20"/>
                <w:szCs w:val="20"/>
              </w:rPr>
              <w:t>三级指标</w:t>
            </w:r>
          </w:p>
        </w:tc>
        <w:tc>
          <w:tcPr>
            <w:tcW w:w="1361" w:type="dxa"/>
            <w:vAlign w:val="center"/>
          </w:tcPr>
          <w:p>
            <w:pPr>
              <w:adjustRightInd w:val="0"/>
              <w:snapToGrid w:val="0"/>
              <w:jc w:val="center"/>
              <w:rPr>
                <w:rFonts w:ascii="Times New Roman" w:hAnsi="Times New Roman"/>
                <w:b/>
                <w:sz w:val="20"/>
                <w:szCs w:val="20"/>
              </w:rPr>
            </w:pPr>
            <w:r>
              <w:rPr>
                <w:rFonts w:ascii="Times New Roman" w:hAnsi="Times New Roman"/>
                <w:b/>
                <w:sz w:val="20"/>
                <w:szCs w:val="20"/>
              </w:rPr>
              <w:t>分值</w:t>
            </w:r>
          </w:p>
        </w:tc>
        <w:tc>
          <w:tcPr>
            <w:tcW w:w="1155" w:type="dxa"/>
            <w:vAlign w:val="center"/>
          </w:tcPr>
          <w:p>
            <w:pPr>
              <w:adjustRightInd w:val="0"/>
              <w:snapToGrid w:val="0"/>
              <w:jc w:val="center"/>
              <w:rPr>
                <w:rFonts w:ascii="Times New Roman" w:hAnsi="Times New Roman"/>
                <w:b/>
                <w:sz w:val="20"/>
                <w:szCs w:val="20"/>
              </w:rPr>
            </w:pPr>
            <w:r>
              <w:rPr>
                <w:rFonts w:ascii="Times New Roman" w:hAnsi="Times New Roman"/>
                <w:b/>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restart"/>
            <w:vAlign w:val="center"/>
          </w:tcPr>
          <w:p>
            <w:pPr>
              <w:adjustRightInd w:val="0"/>
              <w:snapToGrid w:val="0"/>
              <w:spacing w:line="260" w:lineRule="exact"/>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项目决策</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（20分）</w:t>
            </w:r>
          </w:p>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p>
          <w:p>
            <w:pPr>
              <w:adjustRightInd w:val="0"/>
              <w:snapToGrid w:val="0"/>
              <w:spacing w:line="260" w:lineRule="exact"/>
              <w:rPr>
                <w:rFonts w:ascii="Times New Roman" w:hAnsi="Times New Roman"/>
                <w:sz w:val="20"/>
                <w:szCs w:val="20"/>
              </w:rPr>
            </w:pPr>
          </w:p>
        </w:tc>
        <w:tc>
          <w:tcPr>
            <w:tcW w:w="1724" w:type="dxa"/>
            <w:vMerge w:val="restart"/>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绩效目标</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（6分）</w:t>
            </w: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目标内容</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进度计划</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目标匹配</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restart"/>
            <w:vAlign w:val="center"/>
          </w:tcPr>
          <w:p>
            <w:pPr>
              <w:adjustRightInd w:val="0"/>
              <w:snapToGrid w:val="0"/>
              <w:spacing w:line="260" w:lineRule="exact"/>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决策依据</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（10分）</w:t>
            </w:r>
          </w:p>
          <w:p>
            <w:pPr>
              <w:adjustRightInd w:val="0"/>
              <w:snapToGrid w:val="0"/>
              <w:spacing w:line="260" w:lineRule="exact"/>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政策依据</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程序严密</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结果符合</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实施规划</w:t>
            </w:r>
          </w:p>
        </w:tc>
        <w:tc>
          <w:tcPr>
            <w:tcW w:w="1361" w:type="dxa"/>
            <w:vAlign w:val="center"/>
          </w:tcPr>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4</w:t>
            </w:r>
          </w:p>
        </w:tc>
        <w:tc>
          <w:tcPr>
            <w:tcW w:w="1155" w:type="dxa"/>
            <w:vAlign w:val="center"/>
          </w:tcPr>
          <w:p>
            <w:pPr>
              <w:spacing w:line="260" w:lineRule="exact"/>
              <w:jc w:val="center"/>
              <w:rPr>
                <w:rFonts w:ascii="Times New Roman" w:hAnsi="Times New Roman"/>
                <w:color w:val="000000"/>
                <w:sz w:val="20"/>
                <w:szCs w:val="20"/>
              </w:rPr>
            </w:pPr>
            <w:r>
              <w:rPr>
                <w:rFonts w:hint="eastAsia" w:ascii="Times New Roman" w:hAnsi="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restart"/>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分配结果</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（4分）</w:t>
            </w: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分配过程</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审核把关</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restart"/>
            <w:vAlign w:val="center"/>
          </w:tcPr>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项目管理</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（15分）</w:t>
            </w:r>
          </w:p>
          <w:p>
            <w:pPr>
              <w:adjustRightInd w:val="0"/>
              <w:snapToGrid w:val="0"/>
              <w:spacing w:line="260" w:lineRule="exact"/>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p>
        </w:tc>
        <w:tc>
          <w:tcPr>
            <w:tcW w:w="1724" w:type="dxa"/>
            <w:vMerge w:val="restart"/>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资金到位</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（4分）</w:t>
            </w: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分配时效</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hint="eastAsia"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资金拨付</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restart"/>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资金管理</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（3分）</w:t>
            </w: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使用范围</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支付依据</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开支标准</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restart"/>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财务管理</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（4分）</w:t>
            </w: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财务制度</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会计核算</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restart"/>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组织实施</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（4分）</w:t>
            </w: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项目调整</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投资变更</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制度执行</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restart"/>
            <w:vAlign w:val="center"/>
          </w:tcPr>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项目绩效</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（特性指标65分）</w:t>
            </w:r>
          </w:p>
          <w:p>
            <w:pPr>
              <w:pStyle w:val="2"/>
              <w:spacing w:line="260" w:lineRule="exact"/>
              <w:rPr>
                <w:rFonts w:ascii="Times New Roman" w:hAnsi="Times New Roman"/>
                <w:sz w:val="20"/>
                <w:szCs w:val="20"/>
              </w:rPr>
            </w:pPr>
          </w:p>
          <w:p>
            <w:pPr>
              <w:pStyle w:val="3"/>
              <w:spacing w:line="260" w:lineRule="exact"/>
            </w:pPr>
          </w:p>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项目绩效</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（特性指标65分）</w:t>
            </w:r>
          </w:p>
          <w:p>
            <w:pPr>
              <w:pStyle w:val="2"/>
              <w:spacing w:line="260" w:lineRule="exact"/>
              <w:ind w:left="0"/>
              <w:rPr>
                <w:rFonts w:ascii="Times New Roman" w:hAnsi="Times New Roman"/>
                <w:sz w:val="20"/>
                <w:szCs w:val="20"/>
              </w:rPr>
            </w:pPr>
          </w:p>
          <w:p>
            <w:pPr>
              <w:adjustRightInd w:val="0"/>
              <w:snapToGrid w:val="0"/>
              <w:spacing w:line="260" w:lineRule="exact"/>
              <w:rPr>
                <w:rFonts w:ascii="Times New Roman" w:hAnsi="Times New Roman"/>
                <w:sz w:val="20"/>
                <w:szCs w:val="20"/>
              </w:rPr>
            </w:pPr>
          </w:p>
        </w:tc>
        <w:tc>
          <w:tcPr>
            <w:tcW w:w="1724" w:type="dxa"/>
            <w:vMerge w:val="restart"/>
            <w:vAlign w:val="center"/>
          </w:tcPr>
          <w:p>
            <w:pPr>
              <w:adjustRightInd w:val="0"/>
              <w:snapToGrid w:val="0"/>
              <w:spacing w:line="260" w:lineRule="exact"/>
              <w:jc w:val="center"/>
              <w:rPr>
                <w:rFonts w:ascii="Times New Roman" w:hAnsi="Times New Roman"/>
                <w:sz w:val="20"/>
                <w:szCs w:val="20"/>
              </w:rPr>
            </w:pPr>
          </w:p>
          <w:p>
            <w:pPr>
              <w:adjustRightInd w:val="0"/>
              <w:snapToGrid w:val="0"/>
              <w:spacing w:line="260" w:lineRule="exact"/>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项目完成</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（20分）</w:t>
            </w:r>
          </w:p>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完成数量</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完成质量</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完成时效</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完成成本</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违规纪律</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restart"/>
            <w:vAlign w:val="center"/>
          </w:tcPr>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项目效益</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（40分）</w:t>
            </w: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经济效益</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10</w:t>
            </w:r>
          </w:p>
        </w:tc>
        <w:tc>
          <w:tcPr>
            <w:tcW w:w="1155" w:type="dxa"/>
            <w:vAlign w:val="center"/>
          </w:tcPr>
          <w:p>
            <w:pPr>
              <w:spacing w:line="260" w:lineRule="exact"/>
              <w:jc w:val="center"/>
              <w:rPr>
                <w:rFonts w:ascii="Times New Roman" w:hAnsi="Times New Roman"/>
                <w:color w:val="000000"/>
                <w:sz w:val="20"/>
                <w:szCs w:val="20"/>
              </w:rPr>
            </w:pPr>
            <w:r>
              <w:rPr>
                <w:rFonts w:hint="eastAsia" w:ascii="Times New Roman" w:hAnsi="Times New Roman"/>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社会效益</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10</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生态效益</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10</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可持续效益</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10</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满意度</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（5分）</w:t>
            </w: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服务对象满意度</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5</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6122" w:type="dxa"/>
            <w:gridSpan w:val="3"/>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合　　　　计</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100</w:t>
            </w:r>
          </w:p>
        </w:tc>
        <w:tc>
          <w:tcPr>
            <w:tcW w:w="1155" w:type="dxa"/>
            <w:vAlign w:val="center"/>
          </w:tcPr>
          <w:p>
            <w:pPr>
              <w:widowControl/>
              <w:spacing w:line="260" w:lineRule="exact"/>
              <w:jc w:val="center"/>
              <w:textAlignment w:val="center"/>
              <w:rPr>
                <w:rFonts w:ascii="Times New Roman" w:hAnsi="Times New Roman"/>
                <w:sz w:val="20"/>
                <w:szCs w:val="20"/>
              </w:rPr>
            </w:pPr>
            <w:r>
              <w:rPr>
                <w:rFonts w:ascii="Times New Roman" w:hAnsi="Times New Roman"/>
                <w:sz w:val="20"/>
                <w:szCs w:val="20"/>
              </w:rPr>
              <w:t>97</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Times New Roman" w:hAnsi="Times New Roman" w:eastAsia="黑体"/>
          <w:sz w:val="32"/>
          <w:szCs w:val="33"/>
        </w:rPr>
      </w:pPr>
      <w:r>
        <w:rPr>
          <w:rFonts w:hint="eastAsia" w:ascii="Times New Roman" w:hAnsi="Times New Roman" w:eastAsia="黑体"/>
          <w:sz w:val="32"/>
          <w:szCs w:val="33"/>
        </w:rPr>
        <w:t>四、</w:t>
      </w:r>
      <w:r>
        <w:rPr>
          <w:rFonts w:ascii="Times New Roman" w:hAnsi="Times New Roman" w:eastAsia="黑体"/>
          <w:sz w:val="32"/>
          <w:szCs w:val="33"/>
        </w:rPr>
        <w:t>绩效评价指标分析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（一）项目决策情况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sz w:val="32"/>
          <w:szCs w:val="33"/>
        </w:rPr>
      </w:pPr>
      <w:r>
        <w:rPr>
          <w:rFonts w:hint="eastAsia" w:ascii="Times New Roman" w:hAnsi="Times New Roman" w:eastAsia="仿宋_GB2312"/>
          <w:sz w:val="32"/>
          <w:szCs w:val="33"/>
          <w:lang w:val="en-US" w:eastAsia="zh-CN"/>
        </w:rPr>
        <w:t>为充分做好全区采样、检验检测、信息登记等所需物资储备，全面应对可能出现的局部聚集性疫情，有效控制疫情的爆发与流行，维护国家安全、保障人民生命健康。按照《国务院应对新型冠状病毒感染肺炎疫情联防联控机制（医疗救治组）印发〈城市新型冠状病毒核酸检测组织实施能力验收工作方案〉的通知》（联防联控机制医疗发〔2021〕）78号）文件要求开展</w:t>
      </w:r>
      <w:r>
        <w:rPr>
          <w:rFonts w:hint="eastAsia" w:ascii="Times New Roman" w:hAnsi="Times New Roman" w:eastAsia="仿宋_GB2312"/>
          <w:sz w:val="32"/>
          <w:szCs w:val="33"/>
          <w:lang w:val="zh-CN" w:eastAsia="zh-CN"/>
        </w:rPr>
        <w:t>核酸检测项目资金申报</w:t>
      </w:r>
      <w:r>
        <w:rPr>
          <w:rFonts w:hint="eastAsia" w:ascii="Times New Roman" w:hAnsi="Times New Roman" w:eastAsia="仿宋_GB2312"/>
          <w:sz w:val="32"/>
          <w:szCs w:val="33"/>
          <w:lang w:val="en-US" w:eastAsia="zh-CN"/>
        </w:rPr>
        <w:t>，2022年区疾病预防控制中心共收到核酸检测专项经费100.04万元。2022年5月20日下达第一批次资金指标35万元，2022年7月27日下达第二批次资金指标45.04万元，2022年9月2日第三批次资金下达指标20万元，三批资金已于2022年全部使用完毕，资金使用率100%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ascii="楷体_GB2312" w:hAnsi="楷体_GB2312" w:eastAsia="楷体_GB2312" w:cs="楷体_GB2312"/>
          <w:b/>
          <w:bCs/>
          <w:sz w:val="32"/>
          <w:szCs w:val="33"/>
        </w:rPr>
      </w:pPr>
      <w:r>
        <w:rPr>
          <w:rFonts w:hint="eastAsia" w:ascii="方正楷体_GBK" w:hAnsi="方正楷体_GBK" w:eastAsia="楷体_GB2312" w:cs="方正楷体_GBK"/>
          <w:b/>
          <w:bCs/>
          <w:sz w:val="32"/>
          <w:szCs w:val="33"/>
        </w:rPr>
        <w:t>（二）项目过程情况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Times New Roman" w:hAnsi="Times New Roman" w:eastAsia="仿宋_GB2312"/>
          <w:sz w:val="32"/>
          <w:szCs w:val="33"/>
        </w:rPr>
      </w:pPr>
      <w:r>
        <w:rPr>
          <w:rFonts w:hint="eastAsia" w:ascii="Times New Roman" w:hAnsi="Times New Roman" w:eastAsia="仿宋_GB2312"/>
          <w:sz w:val="32"/>
          <w:szCs w:val="33"/>
        </w:rPr>
        <w:t>为</w:t>
      </w:r>
      <w:r>
        <w:rPr>
          <w:rFonts w:ascii="Times New Roman" w:hAnsi="Times New Roman" w:eastAsia="仿宋_GB2312"/>
          <w:sz w:val="32"/>
          <w:szCs w:val="33"/>
        </w:rPr>
        <w:t>了顺利完成</w:t>
      </w:r>
      <w:r>
        <w:rPr>
          <w:rFonts w:hint="eastAsia" w:ascii="Times New Roman" w:hAnsi="Times New Roman" w:eastAsia="仿宋_GB2312"/>
          <w:sz w:val="32"/>
          <w:szCs w:val="33"/>
        </w:rPr>
        <w:t>疫情防控期间全区重点人群、隔离点、便民采样点的核酸检测任务，保证核酸结果准确性的同时也为疫情处置和研判提供有力的数据支撑，</w:t>
      </w:r>
      <w:r>
        <w:rPr>
          <w:rFonts w:hint="eastAsia" w:ascii="Times New Roman" w:hAnsi="Times New Roman" w:eastAsia="仿宋_GB2312"/>
          <w:sz w:val="32"/>
          <w:szCs w:val="33"/>
          <w:lang w:eastAsia="zh-CN"/>
        </w:rPr>
        <w:t>使用</w:t>
      </w:r>
      <w:r>
        <w:rPr>
          <w:rFonts w:hint="eastAsia" w:ascii="Times New Roman" w:hAnsi="Times New Roman" w:eastAsia="仿宋_GB2312"/>
          <w:sz w:val="32"/>
          <w:szCs w:val="33"/>
        </w:rPr>
        <w:t>核酸检测</w:t>
      </w:r>
      <w:r>
        <w:rPr>
          <w:rFonts w:hint="eastAsia" w:ascii="Times New Roman" w:hAnsi="Times New Roman" w:eastAsia="仿宋_GB2312"/>
          <w:sz w:val="32"/>
          <w:szCs w:val="33"/>
          <w:lang w:eastAsia="zh-CN"/>
        </w:rPr>
        <w:t>专项经费</w:t>
      </w:r>
      <w:r>
        <w:rPr>
          <w:rFonts w:hint="eastAsia" w:ascii="Times New Roman" w:hAnsi="Times New Roman" w:eastAsia="仿宋_GB2312"/>
          <w:sz w:val="32"/>
          <w:szCs w:val="33"/>
        </w:rPr>
        <w:t>购买了实验室核酸检验检测试剂耗材、实验耗材、仪器设备、防护物资配置、采样物资配置等。物资采购严格执行政府采购相关制度，确保专项资金专款专用。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（三）项目产出情况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Times New Roman" w:hAnsi="Times New Roman" w:eastAsia="仿宋_GB2312"/>
          <w:sz w:val="32"/>
          <w:szCs w:val="33"/>
        </w:rPr>
      </w:pPr>
      <w:r>
        <w:rPr>
          <w:rFonts w:hint="eastAsia" w:ascii="Times New Roman" w:hAnsi="Times New Roman" w:eastAsia="仿宋_GB2312"/>
          <w:sz w:val="32"/>
          <w:szCs w:val="33"/>
        </w:rPr>
        <w:t>202</w:t>
      </w:r>
      <w:r>
        <w:rPr>
          <w:rFonts w:ascii="Times New Roman" w:hAnsi="Times New Roman" w:eastAsia="仿宋_GB2312"/>
          <w:sz w:val="32"/>
          <w:szCs w:val="33"/>
        </w:rPr>
        <w:t>2</w:t>
      </w:r>
      <w:r>
        <w:rPr>
          <w:rFonts w:hint="eastAsia" w:ascii="Times New Roman" w:hAnsi="Times New Roman" w:eastAsia="仿宋_GB2312"/>
          <w:sz w:val="32"/>
          <w:szCs w:val="33"/>
        </w:rPr>
        <w:t>年，累计开展流调溯源工作233次，排查管理各类风险人员1689人次，新冠感染者13人，累计检测各类重点人员咽拭子526040份、环境（物体及物体表面）样品18250份。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（四）项目效益情况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Times New Roman" w:hAnsi="Times New Roman" w:eastAsia="仿宋_GB2312"/>
          <w:sz w:val="32"/>
          <w:szCs w:val="33"/>
        </w:rPr>
      </w:pPr>
      <w:r>
        <w:rPr>
          <w:rFonts w:hint="eastAsia" w:ascii="Times New Roman" w:hAnsi="Times New Roman" w:eastAsia="仿宋_GB2312"/>
          <w:sz w:val="32"/>
          <w:szCs w:val="33"/>
        </w:rPr>
        <w:t>通过该项目的有效实施，准确把握疫情形势变化，立足全局、着眼大局，统筹</w:t>
      </w:r>
      <w:r>
        <w:rPr>
          <w:rFonts w:hint="eastAsia" w:ascii="Times New Roman" w:hAnsi="Times New Roman" w:eastAsia="仿宋_GB2312"/>
          <w:sz w:val="32"/>
          <w:szCs w:val="33"/>
          <w:lang w:eastAsia="zh-CN"/>
        </w:rPr>
        <w:t>抓好</w:t>
      </w:r>
      <w:r>
        <w:rPr>
          <w:rFonts w:hint="eastAsia" w:ascii="Times New Roman" w:hAnsi="Times New Roman" w:eastAsia="仿宋_GB2312"/>
          <w:sz w:val="32"/>
          <w:szCs w:val="33"/>
        </w:rPr>
        <w:t>疫情防控和经济社会发展，坚持依法防控、科学防控，推动落实分区分级精准复工复产，最大限度保障人民生产生活。有效遏制了疫情大面积蔓延，最大限度保护了人民生命安全和身体健康，具有良好的社会效益和可持续影响，辖区居民满意度普遍较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方正黑体_GBK" w:hAnsi="方正黑体_GBK" w:eastAsia="黑体" w:cs="方正黑体_GBK"/>
          <w:sz w:val="32"/>
          <w:szCs w:val="33"/>
        </w:rPr>
      </w:pPr>
      <w:r>
        <w:rPr>
          <w:rFonts w:hint="eastAsia" w:ascii="方正黑体_GBK" w:hAnsi="方正黑体_GBK" w:eastAsia="黑体" w:cs="方正黑体_GBK"/>
          <w:sz w:val="32"/>
          <w:szCs w:val="33"/>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（一）主要经验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Times New Roman" w:hAnsi="Times New Roman" w:eastAsia="仿宋_GB2312"/>
          <w:sz w:val="32"/>
          <w:szCs w:val="33"/>
        </w:rPr>
      </w:pPr>
      <w:r>
        <w:rPr>
          <w:rFonts w:hint="eastAsia" w:ascii="Times New Roman" w:hAnsi="Times New Roman" w:eastAsia="仿宋_GB2312"/>
          <w:sz w:val="32"/>
          <w:szCs w:val="33"/>
        </w:rPr>
        <w:t>该项目主要责任人为单位主要负责人，分管责任人为财务分管领导和业务分管领导，项目实施责任人为业务股室主要负责人。实施流程由业务股室进行相关资料收集审核，分管领导复核，单位主要负责人终审。在资金管理上，按照内部控制建设要求，制定了财务管理制度、资产管理制度等，在资金使用上，严格按照资金用途进行审核审批，项目管理规范有序</w:t>
      </w:r>
      <w:r>
        <w:rPr>
          <w:rFonts w:ascii="Times New Roman" w:hAnsi="Times New Roman" w:eastAsia="仿宋_GB2312"/>
          <w:sz w:val="32"/>
          <w:szCs w:val="33"/>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（二）存在的问题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Times New Roman" w:hAnsi="Times New Roman" w:eastAsia="仿宋_GB2312"/>
          <w:sz w:val="32"/>
          <w:szCs w:val="33"/>
        </w:rPr>
      </w:pPr>
      <w:r>
        <w:rPr>
          <w:rFonts w:ascii="Times New Roman" w:hAnsi="Times New Roman" w:eastAsia="仿宋_GB2312"/>
          <w:sz w:val="32"/>
          <w:szCs w:val="33"/>
        </w:rPr>
        <w:t>绩效目标指标设置过于简单</w:t>
      </w:r>
      <w:r>
        <w:rPr>
          <w:rFonts w:hint="eastAsia" w:ascii="Times New Roman" w:hAnsi="Times New Roman" w:eastAsia="仿宋_GB2312"/>
          <w:sz w:val="32"/>
          <w:szCs w:val="33"/>
        </w:rPr>
        <w:t>，</w:t>
      </w:r>
      <w:r>
        <w:rPr>
          <w:rFonts w:ascii="Times New Roman" w:hAnsi="Times New Roman" w:eastAsia="仿宋_GB2312"/>
          <w:sz w:val="32"/>
          <w:szCs w:val="33"/>
        </w:rPr>
        <w:t>目标设置不够明确</w:t>
      </w:r>
      <w:r>
        <w:rPr>
          <w:rFonts w:hint="eastAsia" w:ascii="Times New Roman" w:hAnsi="Times New Roman" w:eastAsia="仿宋_GB2312"/>
          <w:sz w:val="32"/>
          <w:szCs w:val="33"/>
        </w:rPr>
        <w:t>，</w:t>
      </w:r>
      <w:r>
        <w:rPr>
          <w:rFonts w:ascii="Times New Roman" w:hAnsi="Times New Roman" w:eastAsia="仿宋_GB2312"/>
          <w:sz w:val="32"/>
          <w:szCs w:val="33"/>
        </w:rPr>
        <w:t>细化、量化程度不足，未充分发挥绩效目标的前置性作用。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Times New Roman" w:hAnsi="Times New Roman" w:eastAsia="黑体"/>
          <w:sz w:val="32"/>
          <w:szCs w:val="33"/>
        </w:rPr>
      </w:pPr>
      <w:r>
        <w:rPr>
          <w:rFonts w:hint="eastAsia" w:ascii="Times New Roman" w:hAnsi="Times New Roman" w:eastAsia="黑体"/>
          <w:sz w:val="32"/>
          <w:szCs w:val="33"/>
        </w:rPr>
        <w:t>六、有关建议</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3" w:firstLineChars="200"/>
      </w:pPr>
      <w:r>
        <w:rPr>
          <w:rFonts w:hint="eastAsia" w:eastAsia="仿宋_GB2312"/>
          <w:b/>
          <w:bCs/>
          <w:sz w:val="32"/>
          <w:szCs w:val="33"/>
        </w:rPr>
        <w:t>一</w:t>
      </w:r>
      <w:r>
        <w:rPr>
          <w:rFonts w:eastAsia="仿宋_GB2312"/>
          <w:b/>
          <w:bCs/>
          <w:sz w:val="32"/>
          <w:szCs w:val="33"/>
        </w:rPr>
        <w:t>是</w:t>
      </w:r>
      <w:r>
        <w:rPr>
          <w:rFonts w:hint="eastAsia" w:eastAsia="仿宋_GB2312"/>
          <w:sz w:val="32"/>
          <w:szCs w:val="33"/>
        </w:rPr>
        <w:t>进一步重视预算的编制工作，提高预算编制的精确度，提高财政资金使用效率。</w:t>
      </w:r>
      <w:r>
        <w:rPr>
          <w:rFonts w:hint="eastAsia" w:eastAsia="仿宋_GB2312"/>
          <w:b/>
          <w:bCs/>
          <w:sz w:val="32"/>
          <w:szCs w:val="33"/>
        </w:rPr>
        <w:t>二是</w:t>
      </w:r>
      <w:r>
        <w:rPr>
          <w:rFonts w:hint="eastAsia" w:eastAsia="仿宋_GB2312"/>
          <w:sz w:val="32"/>
          <w:szCs w:val="33"/>
        </w:rPr>
        <w:t>加强与上级主管部门沟通，</w:t>
      </w:r>
      <w:r>
        <w:rPr>
          <w:rFonts w:eastAsia="仿宋_GB2312"/>
          <w:spacing w:val="-6"/>
          <w:sz w:val="32"/>
          <w:szCs w:val="33"/>
        </w:rPr>
        <w:t>向上</w:t>
      </w:r>
      <w:r>
        <w:rPr>
          <w:rFonts w:hint="eastAsia" w:eastAsia="仿宋_GB2312"/>
          <w:spacing w:val="-6"/>
          <w:sz w:val="32"/>
          <w:szCs w:val="33"/>
        </w:rPr>
        <w:t>争取补助资金，保障民生项目支出需求，维护社会和谐稳定。</w:t>
      </w:r>
    </w:p>
    <w:p>
      <w:pPr>
        <w:keepNext w:val="0"/>
        <w:keepLines w:val="0"/>
        <w:pageBreakBefore w:val="0"/>
        <w:widowControl w:val="0"/>
        <w:kinsoku/>
        <w:wordWrap/>
        <w:overflowPunct/>
        <w:topLinePunct w:val="0"/>
        <w:autoSpaceDE/>
        <w:autoSpaceDN/>
        <w:bidi w:val="0"/>
        <w:adjustRightInd/>
        <w:snapToGrid/>
        <w:spacing w:line="560" w:lineRule="exact"/>
      </w:pPr>
      <w:r>
        <w:br w:type="page"/>
      </w:r>
    </w:p>
    <w:p>
      <w:pPr>
        <w:spacing w:line="600" w:lineRule="exact"/>
        <w:rPr>
          <w:rFonts w:hint="default" w:ascii="Times New Roman" w:hAnsi="Times New Roman" w:eastAsia="黑体" w:cs="Times New Roman"/>
          <w:sz w:val="32"/>
          <w:szCs w:val="33"/>
        </w:rPr>
      </w:pPr>
      <w:r>
        <w:rPr>
          <w:rFonts w:hint="default" w:ascii="Times New Roman" w:hAnsi="Times New Roman" w:eastAsia="黑体" w:cs="Times New Roman"/>
          <w:sz w:val="32"/>
          <w:szCs w:val="33"/>
        </w:rPr>
        <w:t>附件9</w:t>
      </w:r>
    </w:p>
    <w:p>
      <w:pPr>
        <w:snapToGrid w:val="0"/>
        <w:spacing w:line="60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rPr>
        <w:t>2022年国家基本公共卫生服务项目</w:t>
      </w:r>
    </w:p>
    <w:p>
      <w:pPr>
        <w:snapToGrid w:val="0"/>
        <w:spacing w:line="60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rPr>
        <w:t>经费绩效评价报告</w:t>
      </w:r>
    </w:p>
    <w:p>
      <w:pPr>
        <w:pStyle w:val="16"/>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rPr>
          <w:rFonts w:ascii="Times New Roman" w:hAnsi="Times New Roman" w:eastAsia="仿宋_GB2312"/>
          <w:color w:val="auto"/>
          <w:kern w:val="2"/>
          <w:sz w:val="32"/>
          <w:szCs w:val="33"/>
          <w:lang w:val="en-US"/>
        </w:rPr>
      </w:pPr>
      <w:r>
        <w:rPr>
          <w:rFonts w:ascii="Times New Roman" w:hAnsi="Times New Roman" w:eastAsia="仿宋_GB2312"/>
          <w:color w:val="auto"/>
          <w:kern w:val="2"/>
          <w:sz w:val="32"/>
          <w:szCs w:val="33"/>
          <w:lang w:val="en-US"/>
        </w:rPr>
        <w:t>根据《中华人民共和国预算法》《中共四川省委 四川省人民政府关于全面实施预算绩效管理的实施意见》以及市第十届人大常委会第四次会议提出的</w:t>
      </w:r>
      <w:r>
        <w:rPr>
          <w:rFonts w:hint="eastAsia" w:ascii="Times New Roman" w:hAnsi="Times New Roman" w:eastAsia="仿宋_GB2312"/>
          <w:color w:val="auto"/>
          <w:kern w:val="2"/>
          <w:sz w:val="32"/>
          <w:szCs w:val="33"/>
          <w:lang w:val="en-US" w:eastAsia="zh-CN"/>
        </w:rPr>
        <w:t>“</w:t>
      </w:r>
      <w:r>
        <w:rPr>
          <w:rFonts w:ascii="Times New Roman" w:hAnsi="Times New Roman" w:eastAsia="仿宋_GB2312"/>
          <w:color w:val="auto"/>
          <w:kern w:val="2"/>
          <w:sz w:val="32"/>
          <w:szCs w:val="33"/>
          <w:lang w:val="en-US"/>
        </w:rPr>
        <w:t>进一步完善财政支出绩效评价制度，尤其是对评价结果的运用制度</w:t>
      </w:r>
      <w:r>
        <w:rPr>
          <w:rFonts w:hint="eastAsia" w:ascii="Times New Roman" w:hAnsi="Times New Roman" w:eastAsia="仿宋_GB2312"/>
          <w:color w:val="auto"/>
          <w:kern w:val="2"/>
          <w:sz w:val="32"/>
          <w:szCs w:val="33"/>
          <w:lang w:val="en-US" w:eastAsia="zh-CN"/>
        </w:rPr>
        <w:t>”</w:t>
      </w:r>
      <w:r>
        <w:rPr>
          <w:rFonts w:ascii="Times New Roman" w:hAnsi="Times New Roman" w:eastAsia="仿宋_GB2312"/>
          <w:color w:val="auto"/>
          <w:kern w:val="2"/>
          <w:sz w:val="32"/>
          <w:szCs w:val="33"/>
          <w:lang w:val="en-US"/>
        </w:rPr>
        <w:t>等要求，于20</w:t>
      </w:r>
      <w:r>
        <w:rPr>
          <w:rFonts w:hint="eastAsia" w:ascii="Times New Roman" w:hAnsi="Times New Roman" w:eastAsia="仿宋_GB2312"/>
          <w:color w:val="auto"/>
          <w:kern w:val="2"/>
          <w:sz w:val="32"/>
          <w:szCs w:val="33"/>
          <w:lang w:val="en-US"/>
        </w:rPr>
        <w:t>2</w:t>
      </w:r>
      <w:r>
        <w:rPr>
          <w:rFonts w:ascii="Times New Roman" w:hAnsi="Times New Roman" w:eastAsia="仿宋_GB2312"/>
          <w:color w:val="auto"/>
          <w:kern w:val="2"/>
          <w:sz w:val="32"/>
          <w:szCs w:val="33"/>
          <w:lang w:val="en-US"/>
        </w:rPr>
        <w:t>3年6月至7月对</w:t>
      </w:r>
      <w:r>
        <w:rPr>
          <w:rFonts w:hint="eastAsia" w:ascii="Times New Roman" w:hAnsi="Times New Roman" w:eastAsia="仿宋_GB2312"/>
          <w:color w:val="auto"/>
          <w:kern w:val="2"/>
          <w:sz w:val="32"/>
          <w:szCs w:val="33"/>
          <w:lang w:val="en-US"/>
        </w:rPr>
        <w:t>2022年国家基本公共卫生服务专项经费</w:t>
      </w:r>
      <w:r>
        <w:rPr>
          <w:rFonts w:ascii="Times New Roman" w:hAnsi="Times New Roman" w:eastAsia="仿宋_GB2312"/>
          <w:color w:val="auto"/>
          <w:kern w:val="2"/>
          <w:sz w:val="32"/>
          <w:szCs w:val="33"/>
          <w:lang w:val="en-US"/>
        </w:rPr>
        <w:t>开展了绩效评价，现将有关情况报告如下。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黑体"/>
          <w:sz w:val="32"/>
          <w:szCs w:val="33"/>
        </w:rPr>
      </w:pPr>
      <w:r>
        <w:rPr>
          <w:rFonts w:ascii="Times New Roman" w:hAnsi="Times New Roman" w:eastAsia="黑体"/>
          <w:sz w:val="32"/>
          <w:szCs w:val="33"/>
        </w:rPr>
        <w:t>一、基本情况</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（一）项目概况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cs="仿宋_GB2312"/>
        </w:rPr>
      </w:pPr>
      <w:r>
        <w:rPr>
          <w:rFonts w:hint="eastAsia" w:ascii="Times New Roman" w:hAnsi="Times New Roman" w:eastAsia="仿宋_GB2312"/>
          <w:sz w:val="32"/>
          <w:szCs w:val="33"/>
        </w:rPr>
        <w:t>2022年国家基本公共卫生服务专项经费</w:t>
      </w:r>
      <w:r>
        <w:rPr>
          <w:rFonts w:ascii="Times New Roman" w:hAnsi="Times New Roman" w:eastAsia="仿宋_GB2312"/>
          <w:sz w:val="32"/>
          <w:szCs w:val="33"/>
        </w:rPr>
        <w:t>，主要用于</w:t>
      </w:r>
      <w:r>
        <w:rPr>
          <w:rFonts w:hint="eastAsia" w:ascii="Times New Roman" w:hAnsi="Times New Roman" w:eastAsia="仿宋_GB2312"/>
          <w:sz w:val="32"/>
          <w:szCs w:val="33"/>
        </w:rPr>
        <w:t>免费向全</w:t>
      </w:r>
      <w:r>
        <w:rPr>
          <w:rFonts w:ascii="Times New Roman" w:hAnsi="Times New Roman" w:eastAsia="仿宋_GB2312"/>
          <w:sz w:val="32"/>
          <w:szCs w:val="33"/>
        </w:rPr>
        <w:t>区</w:t>
      </w:r>
      <w:r>
        <w:rPr>
          <w:rFonts w:hint="eastAsia" w:ascii="Times New Roman" w:hAnsi="Times New Roman" w:eastAsia="仿宋_GB2312"/>
          <w:sz w:val="32"/>
          <w:szCs w:val="33"/>
        </w:rPr>
        <w:t>常住城乡居民提供12类国家基本公共卫生服务。为保证此项工作有序</w:t>
      </w:r>
      <w:r>
        <w:rPr>
          <w:rFonts w:hint="eastAsia" w:ascii="Times New Roman" w:hAnsi="Times New Roman" w:eastAsia="仿宋_GB2312"/>
          <w:sz w:val="32"/>
          <w:szCs w:val="33"/>
          <w:lang w:eastAsia="zh-CN"/>
        </w:rPr>
        <w:t>开展</w:t>
      </w:r>
      <w:r>
        <w:rPr>
          <w:rFonts w:hint="eastAsia" w:ascii="Times New Roman" w:hAnsi="Times New Roman" w:eastAsia="仿宋_GB2312"/>
          <w:sz w:val="32"/>
          <w:szCs w:val="33"/>
        </w:rPr>
        <w:t>，需设立国家基本公共卫生服务项目经费，项目申报与政策和需求相吻合。202</w:t>
      </w:r>
      <w:r>
        <w:rPr>
          <w:rFonts w:ascii="Times New Roman" w:hAnsi="Times New Roman" w:eastAsia="仿宋_GB2312"/>
          <w:sz w:val="32"/>
          <w:szCs w:val="33"/>
        </w:rPr>
        <w:t>2</w:t>
      </w:r>
      <w:r>
        <w:rPr>
          <w:rFonts w:hint="eastAsia" w:ascii="Times New Roman" w:hAnsi="Times New Roman" w:eastAsia="仿宋_GB2312"/>
          <w:sz w:val="32"/>
          <w:szCs w:val="33"/>
        </w:rPr>
        <w:t>年共安排基本公共卫生服务项目资金</w:t>
      </w:r>
      <w:r>
        <w:rPr>
          <w:rFonts w:ascii="Times New Roman" w:hAnsi="Times New Roman" w:eastAsia="仿宋_GB2312"/>
          <w:sz w:val="32"/>
          <w:szCs w:val="33"/>
        </w:rPr>
        <w:t>1012.71</w:t>
      </w:r>
      <w:r>
        <w:rPr>
          <w:rFonts w:hint="eastAsia" w:ascii="Times New Roman" w:hAnsi="Times New Roman" w:eastAsia="仿宋_GB2312"/>
          <w:sz w:val="32"/>
          <w:szCs w:val="33"/>
        </w:rPr>
        <w:t>万元，其中：中央资金7</w:t>
      </w:r>
      <w:r>
        <w:rPr>
          <w:rFonts w:ascii="Times New Roman" w:hAnsi="Times New Roman" w:eastAsia="仿宋_GB2312"/>
          <w:sz w:val="32"/>
          <w:szCs w:val="33"/>
        </w:rPr>
        <w:t>82.07万元</w:t>
      </w:r>
      <w:r>
        <w:rPr>
          <w:rFonts w:hint="eastAsia" w:ascii="Times New Roman" w:hAnsi="Times New Roman" w:eastAsia="仿宋_GB2312"/>
          <w:sz w:val="32"/>
          <w:szCs w:val="33"/>
        </w:rPr>
        <w:t>、省级资金6</w:t>
      </w:r>
      <w:r>
        <w:rPr>
          <w:rFonts w:ascii="Times New Roman" w:hAnsi="Times New Roman" w:eastAsia="仿宋_GB2312"/>
          <w:sz w:val="32"/>
          <w:szCs w:val="33"/>
        </w:rPr>
        <w:t>7.08万元</w:t>
      </w:r>
      <w:r>
        <w:rPr>
          <w:rFonts w:hint="eastAsia" w:ascii="Times New Roman" w:hAnsi="Times New Roman" w:eastAsia="仿宋_GB2312"/>
          <w:sz w:val="32"/>
          <w:szCs w:val="33"/>
        </w:rPr>
        <w:t>、</w:t>
      </w:r>
      <w:r>
        <w:rPr>
          <w:rFonts w:ascii="Times New Roman" w:hAnsi="Times New Roman" w:eastAsia="仿宋_GB2312"/>
          <w:sz w:val="32"/>
          <w:szCs w:val="33"/>
        </w:rPr>
        <w:t>市级资金</w:t>
      </w:r>
      <w:r>
        <w:rPr>
          <w:rFonts w:hint="eastAsia" w:ascii="Times New Roman" w:hAnsi="Times New Roman" w:eastAsia="仿宋_GB2312"/>
          <w:sz w:val="32"/>
          <w:szCs w:val="33"/>
        </w:rPr>
        <w:t>7</w:t>
      </w:r>
      <w:r>
        <w:rPr>
          <w:rFonts w:ascii="Times New Roman" w:hAnsi="Times New Roman" w:eastAsia="仿宋_GB2312"/>
          <w:sz w:val="32"/>
          <w:szCs w:val="33"/>
        </w:rPr>
        <w:t>4.82万元</w:t>
      </w:r>
      <w:r>
        <w:rPr>
          <w:rFonts w:hint="eastAsia" w:ascii="Times New Roman" w:hAnsi="Times New Roman" w:eastAsia="仿宋_GB2312"/>
          <w:sz w:val="32"/>
          <w:szCs w:val="33"/>
        </w:rPr>
        <w:t>、</w:t>
      </w:r>
      <w:r>
        <w:rPr>
          <w:rFonts w:ascii="Times New Roman" w:hAnsi="Times New Roman" w:eastAsia="仿宋_GB2312"/>
          <w:sz w:val="32"/>
          <w:szCs w:val="33"/>
        </w:rPr>
        <w:t>区级资金</w:t>
      </w:r>
      <w:r>
        <w:rPr>
          <w:rFonts w:hint="eastAsia" w:ascii="Times New Roman" w:hAnsi="Times New Roman" w:eastAsia="仿宋_GB2312"/>
          <w:sz w:val="32"/>
          <w:szCs w:val="33"/>
        </w:rPr>
        <w:t>8</w:t>
      </w:r>
      <w:r>
        <w:rPr>
          <w:rFonts w:ascii="Times New Roman" w:hAnsi="Times New Roman" w:eastAsia="仿宋_GB2312"/>
          <w:sz w:val="32"/>
          <w:szCs w:val="33"/>
        </w:rPr>
        <w:t>8.74万元</w:t>
      </w:r>
      <w:r>
        <w:rPr>
          <w:rFonts w:hint="eastAsia" w:ascii="Times New Roman" w:hAnsi="Times New Roman" w:eastAsia="仿宋_GB2312"/>
          <w:sz w:val="32"/>
          <w:szCs w:val="33"/>
        </w:rPr>
        <w:t>。截至</w:t>
      </w:r>
      <w:r>
        <w:rPr>
          <w:rFonts w:ascii="Times New Roman" w:hAnsi="Times New Roman" w:eastAsia="仿宋_GB2312"/>
          <w:sz w:val="32"/>
          <w:szCs w:val="33"/>
        </w:rPr>
        <w:t>2022年12月31日，项目资金</w:t>
      </w:r>
      <w:r>
        <w:rPr>
          <w:rFonts w:hint="eastAsia" w:ascii="Times New Roman" w:hAnsi="Times New Roman" w:eastAsia="仿宋_GB2312"/>
          <w:sz w:val="32"/>
          <w:szCs w:val="33"/>
        </w:rPr>
        <w:t>实际支付</w:t>
      </w:r>
      <w:r>
        <w:rPr>
          <w:rFonts w:ascii="Times New Roman" w:hAnsi="Times New Roman" w:eastAsia="仿宋_GB2312"/>
          <w:sz w:val="32"/>
          <w:szCs w:val="33"/>
        </w:rPr>
        <w:t>998.79</w:t>
      </w:r>
      <w:r>
        <w:rPr>
          <w:rFonts w:hint="eastAsia" w:ascii="Times New Roman" w:hAnsi="Times New Roman" w:eastAsia="仿宋_GB2312"/>
          <w:sz w:val="32"/>
          <w:szCs w:val="33"/>
        </w:rPr>
        <w:t>万元，支付进度</w:t>
      </w:r>
      <w:r>
        <w:rPr>
          <w:rFonts w:ascii="Times New Roman" w:hAnsi="Times New Roman" w:eastAsia="仿宋_GB2312"/>
          <w:sz w:val="32"/>
          <w:szCs w:val="33"/>
        </w:rPr>
        <w:t>98.63</w:t>
      </w:r>
      <w:r>
        <w:rPr>
          <w:rFonts w:hint="eastAsia" w:ascii="Times New Roman" w:hAnsi="Times New Roman" w:eastAsia="仿宋_GB2312"/>
          <w:sz w:val="32"/>
          <w:szCs w:val="33"/>
        </w:rPr>
        <w:t>%</w:t>
      </w:r>
      <w:r>
        <w:rPr>
          <w:rFonts w:ascii="Times New Roman" w:hAnsi="Times New Roman" w:eastAsia="仿宋_GB2312"/>
          <w:sz w:val="32"/>
          <w:szCs w:val="33"/>
        </w:rPr>
        <w:t>。</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（二）项目绩效目标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3"/>
        </w:rPr>
      </w:pPr>
      <w:r>
        <w:rPr>
          <w:rFonts w:hint="eastAsia" w:ascii="Times New Roman" w:hAnsi="Times New Roman" w:eastAsia="仿宋_GB2312"/>
          <w:sz w:val="32"/>
          <w:szCs w:val="33"/>
        </w:rPr>
        <w:t>全区基层医疗卫生机构持续为辖区12.93万常住城乡居民免费提供12类国家基本公共卫生服务，促进</w:t>
      </w:r>
      <w:r>
        <w:rPr>
          <w:rFonts w:ascii="Times New Roman" w:hAnsi="Times New Roman" w:eastAsia="仿宋_GB2312"/>
          <w:sz w:val="32"/>
          <w:szCs w:val="33"/>
        </w:rPr>
        <w:t>居民健康意识的提高和不良生活方式的改变，逐步树立起自我健康管理的理念；提高公共卫生服务和突发公共卫生服务应急处置能力</w:t>
      </w:r>
      <w:r>
        <w:rPr>
          <w:rFonts w:hint="eastAsia" w:ascii="Times New Roman" w:hAnsi="Times New Roman" w:eastAsia="仿宋_GB2312"/>
          <w:sz w:val="32"/>
          <w:szCs w:val="33"/>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黑体"/>
          <w:sz w:val="32"/>
          <w:szCs w:val="33"/>
        </w:rPr>
      </w:pPr>
      <w:r>
        <w:rPr>
          <w:rFonts w:ascii="Times New Roman" w:hAnsi="Times New Roman" w:eastAsia="黑体"/>
          <w:sz w:val="32"/>
          <w:szCs w:val="33"/>
        </w:rPr>
        <w:t>二、绩效评价工作开展情况</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方正楷体_GBK" w:hAnsi="方正楷体_GBK" w:eastAsia="楷体_GB2312" w:cs="方正楷体_GBK"/>
          <w:sz w:val="32"/>
          <w:szCs w:val="33"/>
        </w:rPr>
      </w:pPr>
      <w:r>
        <w:rPr>
          <w:rFonts w:hint="eastAsia" w:ascii="方正楷体_GBK" w:hAnsi="方正楷体_GBK" w:eastAsia="楷体_GB2312" w:cs="方正楷体_GBK"/>
          <w:b/>
          <w:bCs/>
          <w:sz w:val="32"/>
          <w:szCs w:val="33"/>
        </w:rPr>
        <w:t>（一）绩效评价目的、对象和范围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3"/>
        </w:rPr>
      </w:pPr>
      <w:r>
        <w:rPr>
          <w:rFonts w:hint="eastAsia" w:ascii="Times New Roman" w:hAnsi="Times New Roman" w:eastAsia="仿宋_GB2312"/>
          <w:sz w:val="32"/>
          <w:szCs w:val="33"/>
          <w:highlight w:val="none"/>
        </w:rPr>
        <w:t>从决策、过程、产出、效益、满意度等维度对2022年国家基本公共卫生服务项目的管理、审核和目标达成情况进行绩效评价，旨在总结工作成绩，发现</w:t>
      </w:r>
      <w:r>
        <w:rPr>
          <w:rFonts w:hint="eastAsia" w:ascii="Times New Roman" w:hAnsi="Times New Roman" w:eastAsia="仿宋_GB2312"/>
          <w:sz w:val="32"/>
          <w:szCs w:val="33"/>
        </w:rPr>
        <w:t>实施管理中存在的问题和不足，提出改进意见和建议，强化项目管理，提高财政资金使用效益。</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方正楷体_GBK" w:hAnsi="方正楷体_GBK" w:eastAsia="楷体_GB2312" w:cs="方正楷体_GBK"/>
          <w:sz w:val="32"/>
          <w:szCs w:val="33"/>
        </w:rPr>
      </w:pPr>
      <w:r>
        <w:rPr>
          <w:rFonts w:hint="eastAsia" w:ascii="方正楷体_GBK" w:hAnsi="方正楷体_GBK" w:eastAsia="楷体_GB2312" w:cs="方正楷体_GBK"/>
          <w:b/>
          <w:bCs/>
          <w:sz w:val="32"/>
          <w:szCs w:val="33"/>
        </w:rPr>
        <w:t>（二）年度绩效评价原则、评价指标体系、评价方法、评价标准等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color w:val="000000"/>
          <w:szCs w:val="32"/>
        </w:rPr>
      </w:pPr>
      <w:r>
        <w:rPr>
          <w:rFonts w:hint="eastAsia" w:ascii="Times New Roman" w:hAnsi="Times New Roman" w:eastAsia="仿宋_GB2312"/>
          <w:sz w:val="32"/>
          <w:szCs w:val="33"/>
        </w:rPr>
        <w:t>本次绩效评价秉承科学公正、统筹兼顾、公开透明等原则，按照《财政部关于印发&lt;项目支出绩效评价管理办法&gt;的通知》（财预〔2020〕10号）要求，参考设定的绩效目标，结合项目的实施内容和特点进行设计，从决策、过程、产出、效益等方面对2022年国家基本公共卫生服务</w:t>
      </w:r>
      <w:r>
        <w:rPr>
          <w:rFonts w:ascii="Times New Roman" w:hAnsi="Times New Roman" w:eastAsia="仿宋_GB2312"/>
          <w:sz w:val="32"/>
          <w:szCs w:val="33"/>
        </w:rPr>
        <w:t>项目</w:t>
      </w:r>
      <w:r>
        <w:rPr>
          <w:rFonts w:hint="eastAsia" w:ascii="Times New Roman" w:hAnsi="Times New Roman" w:eastAsia="仿宋_GB2312"/>
          <w:sz w:val="32"/>
          <w:szCs w:val="33"/>
        </w:rPr>
        <w:t>进行综合绩效评价。</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楷体_GB2312" w:hAnsi="楷体_GB2312" w:eastAsia="楷体_GB2312" w:cs="楷体_GB2312"/>
          <w:b/>
          <w:bCs/>
          <w:sz w:val="32"/>
          <w:szCs w:val="33"/>
        </w:rPr>
      </w:pPr>
      <w:r>
        <w:rPr>
          <w:rFonts w:hint="eastAsia" w:ascii="方正楷体_GBK" w:hAnsi="方正楷体_GBK" w:eastAsia="楷体_GB2312" w:cs="方正楷体_GBK"/>
          <w:b/>
          <w:bCs/>
          <w:sz w:val="32"/>
          <w:szCs w:val="33"/>
        </w:rPr>
        <w:t>（三）绩效评价方法及过程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3"/>
        </w:rPr>
      </w:pPr>
      <w:r>
        <w:rPr>
          <w:rFonts w:hint="eastAsia" w:ascii="Times New Roman" w:hAnsi="Times New Roman" w:eastAsia="仿宋_GB2312"/>
          <w:sz w:val="32"/>
          <w:szCs w:val="33"/>
        </w:rPr>
        <w:t>区财政局根据财政支出绩效评价指标体系及项目的实际情况设计指标体系进行评价，组织相关人员对该项目进行评价检查。</w:t>
      </w:r>
    </w:p>
    <w:p>
      <w:pPr>
        <w:keepNext w:val="0"/>
        <w:keepLines w:val="0"/>
        <w:pageBreakBefore w:val="0"/>
        <w:widowControl w:val="0"/>
        <w:kinsoku/>
        <w:wordWrap/>
        <w:overflowPunct/>
        <w:topLinePunct w:val="0"/>
        <w:autoSpaceDE/>
        <w:autoSpaceDN/>
        <w:bidi w:val="0"/>
        <w:spacing w:line="560" w:lineRule="exact"/>
        <w:ind w:firstLine="619" w:firstLineChars="200"/>
        <w:textAlignment w:val="auto"/>
        <w:rPr>
          <w:rFonts w:ascii="Times New Roman" w:hAnsi="Times New Roman" w:eastAsia="仿宋_GB2312"/>
          <w:spacing w:val="-6"/>
          <w:sz w:val="32"/>
          <w:szCs w:val="33"/>
        </w:rPr>
      </w:pPr>
      <w:r>
        <w:rPr>
          <w:rFonts w:hint="eastAsia" w:ascii="Times New Roman" w:hAnsi="Times New Roman" w:eastAsia="仿宋_GB2312"/>
          <w:b/>
          <w:bCs/>
          <w:spacing w:val="-6"/>
          <w:sz w:val="32"/>
          <w:szCs w:val="33"/>
        </w:rPr>
        <w:t>1.资料收集。</w:t>
      </w:r>
      <w:r>
        <w:rPr>
          <w:rFonts w:hint="eastAsia" w:ascii="Times New Roman" w:hAnsi="Times New Roman" w:eastAsia="仿宋_GB2312"/>
          <w:spacing w:val="-6"/>
          <w:sz w:val="32"/>
          <w:szCs w:val="33"/>
        </w:rPr>
        <w:t>梳理项目资料，核实项目情况，统计项目数据。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仿宋_GB2312"/>
          <w:sz w:val="32"/>
          <w:szCs w:val="33"/>
        </w:rPr>
      </w:pPr>
      <w:r>
        <w:rPr>
          <w:rFonts w:hint="eastAsia" w:ascii="Times New Roman" w:hAnsi="Times New Roman" w:eastAsia="仿宋_GB2312"/>
          <w:b/>
          <w:bCs/>
          <w:sz w:val="32"/>
          <w:szCs w:val="33"/>
        </w:rPr>
        <w:t>2.绩效评价</w:t>
      </w:r>
      <w:r>
        <w:rPr>
          <w:rFonts w:hint="eastAsia" w:ascii="Times New Roman" w:hAnsi="Times New Roman" w:eastAsia="仿宋_GB2312"/>
          <w:sz w:val="32"/>
          <w:szCs w:val="33"/>
        </w:rPr>
        <w:t>。根据资料收集的情况，按照支出绩效评价指标体系，</w:t>
      </w:r>
      <w:r>
        <w:rPr>
          <w:rFonts w:ascii="Times New Roman" w:hAnsi="Times New Roman" w:eastAsia="仿宋_GB2312"/>
          <w:sz w:val="32"/>
          <w:szCs w:val="33"/>
        </w:rPr>
        <w:t>对项目概况、项目资金使用、管理、实施情况以及项目的绩效情况</w:t>
      </w:r>
      <w:r>
        <w:rPr>
          <w:rFonts w:hint="eastAsia" w:ascii="Times New Roman" w:hAnsi="Times New Roman" w:eastAsia="仿宋_GB2312"/>
          <w:sz w:val="32"/>
          <w:szCs w:val="33"/>
        </w:rPr>
        <w:t>进行分析，对各项考评指标进行评价。</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仿宋_GB2312"/>
          <w:sz w:val="32"/>
          <w:szCs w:val="33"/>
        </w:rPr>
      </w:pPr>
      <w:r>
        <w:rPr>
          <w:rFonts w:hint="eastAsia" w:ascii="Times New Roman" w:hAnsi="Times New Roman" w:eastAsia="仿宋_GB2312"/>
          <w:b/>
          <w:bCs/>
          <w:sz w:val="32"/>
          <w:szCs w:val="33"/>
        </w:rPr>
        <w:t>3.撰写报告。</w:t>
      </w:r>
      <w:r>
        <w:rPr>
          <w:rFonts w:hint="eastAsia" w:ascii="Times New Roman" w:hAnsi="Times New Roman" w:eastAsia="仿宋_GB2312"/>
          <w:sz w:val="32"/>
          <w:szCs w:val="33"/>
        </w:rPr>
        <w:t>结合项目定性与定量评价分析，得出评价结论，并撰写评价报告。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黑体"/>
          <w:sz w:val="32"/>
          <w:szCs w:val="33"/>
        </w:rPr>
      </w:pPr>
      <w:r>
        <w:rPr>
          <w:rFonts w:ascii="Times New Roman" w:hAnsi="Times New Roman" w:eastAsia="黑体"/>
          <w:sz w:val="32"/>
          <w:szCs w:val="33"/>
        </w:rPr>
        <w:t>三、综合评价情况及评价结论（附相关评分表）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sz w:val="33"/>
          <w:szCs w:val="33"/>
        </w:rPr>
      </w:pPr>
      <w:r>
        <w:rPr>
          <w:rFonts w:ascii="Times New Roman" w:hAnsi="Times New Roman" w:eastAsia="仿宋_GB2312"/>
          <w:sz w:val="32"/>
          <w:szCs w:val="33"/>
        </w:rPr>
        <w:t>总体来看</w:t>
      </w:r>
      <w:r>
        <w:rPr>
          <w:rFonts w:hint="eastAsia" w:ascii="Times New Roman" w:hAnsi="Times New Roman" w:eastAsia="仿宋_GB2312"/>
          <w:sz w:val="32"/>
          <w:szCs w:val="33"/>
        </w:rPr>
        <w:t>，2022年国家基本公共卫生服务专</w:t>
      </w:r>
      <w:r>
        <w:rPr>
          <w:rFonts w:ascii="Times New Roman" w:hAnsi="Times New Roman" w:eastAsia="仿宋_GB2312"/>
          <w:sz w:val="32"/>
          <w:szCs w:val="33"/>
        </w:rPr>
        <w:t>项</w:t>
      </w:r>
      <w:r>
        <w:rPr>
          <w:rFonts w:hint="eastAsia" w:ascii="Times New Roman" w:hAnsi="Times New Roman" w:eastAsia="仿宋_GB2312"/>
          <w:sz w:val="32"/>
          <w:szCs w:val="33"/>
        </w:rPr>
        <w:t>经费</w:t>
      </w:r>
      <w:r>
        <w:rPr>
          <w:rFonts w:ascii="Times New Roman" w:hAnsi="Times New Roman" w:eastAsia="仿宋_GB2312"/>
          <w:sz w:val="32"/>
          <w:szCs w:val="33"/>
        </w:rPr>
        <w:t>绩效目标量化具体、合理，管理制度健全，综合效益明显，总体绩效评价良好，</w:t>
      </w:r>
      <w:r>
        <w:rPr>
          <w:rFonts w:hint="eastAsia" w:ascii="Times New Roman" w:hAnsi="Times New Roman" w:eastAsia="仿宋_GB2312"/>
          <w:sz w:val="32"/>
          <w:szCs w:val="33"/>
        </w:rPr>
        <w:t>评价得分9</w:t>
      </w:r>
      <w:r>
        <w:rPr>
          <w:rFonts w:ascii="Times New Roman" w:hAnsi="Times New Roman" w:eastAsia="仿宋_GB2312"/>
          <w:sz w:val="32"/>
          <w:szCs w:val="33"/>
        </w:rPr>
        <w:t>8</w:t>
      </w:r>
      <w:r>
        <w:rPr>
          <w:rFonts w:hint="eastAsia" w:ascii="Times New Roman" w:hAnsi="Times New Roman" w:eastAsia="仿宋_GB2312"/>
          <w:sz w:val="32"/>
          <w:szCs w:val="33"/>
        </w:rPr>
        <w:t>分。</w:t>
      </w:r>
      <w:r>
        <w:rPr>
          <w:rFonts w:ascii="Times New Roman" w:hAnsi="Times New Roman" w:eastAsia="仿宋_GB2312"/>
          <w:sz w:val="32"/>
          <w:szCs w:val="33"/>
        </w:rPr>
        <w:t>具体评价情况见下表。</w:t>
      </w:r>
    </w:p>
    <w:p>
      <w:pPr>
        <w:adjustRightInd w:val="0"/>
        <w:snapToGrid w:val="0"/>
        <w:spacing w:before="93" w:beforeLines="30" w:after="93" w:afterLines="30"/>
        <w:jc w:val="center"/>
        <w:rPr>
          <w:rFonts w:ascii="Times New Roman" w:hAnsi="Times New Roman"/>
          <w:szCs w:val="32"/>
        </w:rPr>
      </w:pPr>
      <w:r>
        <w:rPr>
          <w:rFonts w:hint="eastAsia" w:ascii="Times New Roman" w:hAnsi="Times New Roman"/>
          <w:b/>
          <w:sz w:val="24"/>
          <w:szCs w:val="32"/>
          <w:lang w:val="zh-CN"/>
        </w:rPr>
        <w:t>2022年国家基本公共卫生服务专项经费</w:t>
      </w:r>
      <w:r>
        <w:rPr>
          <w:rFonts w:ascii="Times New Roman" w:hAnsi="Times New Roman"/>
          <w:b/>
          <w:sz w:val="24"/>
          <w:szCs w:val="32"/>
          <w:lang w:val="zh-CN"/>
        </w:rPr>
        <w:t>绩效得分表</w:t>
      </w:r>
    </w:p>
    <w:tbl>
      <w:tblPr>
        <w:tblStyle w:val="12"/>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1724"/>
        <w:gridCol w:w="2460"/>
        <w:gridCol w:w="1361"/>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938" w:type="dxa"/>
            <w:vAlign w:val="center"/>
          </w:tcPr>
          <w:p>
            <w:pPr>
              <w:adjustRightInd w:val="0"/>
              <w:snapToGrid w:val="0"/>
              <w:jc w:val="center"/>
              <w:rPr>
                <w:rFonts w:ascii="Times New Roman" w:hAnsi="Times New Roman"/>
                <w:b/>
                <w:sz w:val="20"/>
                <w:szCs w:val="20"/>
              </w:rPr>
            </w:pPr>
            <w:r>
              <w:rPr>
                <w:rFonts w:ascii="Times New Roman" w:hAnsi="Times New Roman"/>
                <w:b/>
                <w:sz w:val="20"/>
                <w:szCs w:val="20"/>
              </w:rPr>
              <w:t>一级指标</w:t>
            </w:r>
            <w:r>
              <w:rPr>
                <w:rFonts w:ascii="Times New Roman" w:hAnsi="Times New Roman"/>
                <w:b/>
                <w:sz w:val="20"/>
                <w:szCs w:val="20"/>
              </w:rPr>
              <mc:AlternateContent>
                <mc:Choice Requires="wps">
                  <w:drawing>
                    <wp:anchor distT="0" distB="0" distL="114300" distR="114300" simplePos="0" relativeHeight="251698176"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28" name="直接连接符 2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98176;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e&#10;SAOW1QAAAAkBAAAPAAAAAAAAAAEAIAAAACIAAABkcnMvZG93bnJldi54bWxQSwECFAAUAAAACACH&#10;TuJA2D6Gt+4BAADkAwAADgAAAAAAAAABACAAAAAkAQAAZHJzL2Uyb0RvYy54bWxQSwUGAAAAAAYA&#10;BgBZAQAAhAUAAAAA&#10;">
                      <v:fill on="f" focussize="0,0"/>
                      <v:stroke color="#000000" joinstyle="round"/>
                      <v:imagedata o:title=""/>
                      <o:lock v:ext="edit" aspectratio="f"/>
                    </v:line>
                  </w:pict>
                </mc:Fallback>
              </mc:AlternateContent>
            </w:r>
            <w:r>
              <w:rPr>
                <w:rFonts w:ascii="Times New Roman" w:hAnsi="Times New Roman"/>
                <w:b/>
                <w:sz w:val="20"/>
                <w:szCs w:val="20"/>
              </w:rPr>
              <mc:AlternateContent>
                <mc:Choice Requires="wps">
                  <w:drawing>
                    <wp:anchor distT="0" distB="0" distL="114300" distR="114300" simplePos="0" relativeHeight="251699200"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26" name="直接连接符 2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99200;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kgDltUAAAAJAQAADwAAAAAAAAABACAAAAAiAAAAZHJzL2Rvd25yZXYueG1sUEsBAhQAFAAAAAgA&#10;h07iQM5SAn3vAQAA5AMAAA4AAAAAAAAAAQAgAAAAJAEAAGRycy9lMm9Eb2MueG1sUEsFBgAAAAAG&#10;AAYAWQEAAIUFAAAAAA==&#10;">
                      <v:fill on="f" focussize="0,0"/>
                      <v:stroke color="#000000" joinstyle="round"/>
                      <v:imagedata o:title=""/>
                      <o:lock v:ext="edit" aspectratio="f"/>
                    </v:line>
                  </w:pict>
                </mc:Fallback>
              </mc:AlternateContent>
            </w:r>
            <w:r>
              <w:rPr>
                <w:rFonts w:ascii="Times New Roman" w:hAnsi="Times New Roman"/>
                <w:b/>
                <w:sz w:val="20"/>
                <w:szCs w:val="20"/>
              </w:rPr>
              <mc:AlternateContent>
                <mc:Choice Requires="wps">
                  <w:drawing>
                    <wp:anchor distT="0" distB="0" distL="114300" distR="114300" simplePos="0" relativeHeight="251700224"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27" name="直接连接符 2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700224;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kgDltUAAAAJAQAADwAAAAAAAAABACAAAAAiAAAAZHJzL2Rvd25yZXYueG1sUEsBAhQAFAAAAAgA&#10;h07iQFZbKaXvAQAA5AMAAA4AAAAAAAAAAQAgAAAAJAEAAGRycy9lMm9Eb2MueG1sUEsFBgAAAAAG&#10;AAYAWQEAAIUFAAAAAA==&#10;">
                      <v:fill on="f" focussize="0,0"/>
                      <v:stroke color="#000000" joinstyle="round"/>
                      <v:imagedata o:title=""/>
                      <o:lock v:ext="edit" aspectratio="f"/>
                    </v:line>
                  </w:pict>
                </mc:Fallback>
              </mc:AlternateContent>
            </w:r>
            <w:r>
              <w:rPr>
                <w:rFonts w:ascii="Times New Roman" w:hAnsi="Times New Roman"/>
                <w:b/>
                <w:sz w:val="20"/>
                <w:szCs w:val="20"/>
              </w:rPr>
              <mc:AlternateContent>
                <mc:Choice Requires="wps">
                  <w:drawing>
                    <wp:anchor distT="0" distB="0" distL="114300" distR="114300" simplePos="0" relativeHeight="251701248"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25" name="直接连接符 2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701248;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e&#10;SAOW1QAAAAkBAAAPAAAAAAAAAAEAIAAAACIAAABkcnMvZG93bnJldi54bWxQSwECFAAUAAAACACH&#10;TuJAJ04Ozu4BAADkAwAADgAAAAAAAAABACAAAAAkAQAAZHJzL2Uyb0RvYy54bWxQSwUGAAAAAAYA&#10;BgBZAQAAhAUAAAAA&#10;">
                      <v:fill on="f" focussize="0,0"/>
                      <v:stroke color="#000000" joinstyle="round"/>
                      <v:imagedata o:title=""/>
                      <o:lock v:ext="edit" aspectratio="f"/>
                    </v:line>
                  </w:pict>
                </mc:Fallback>
              </mc:AlternateContent>
            </w:r>
          </w:p>
        </w:tc>
        <w:tc>
          <w:tcPr>
            <w:tcW w:w="1724" w:type="dxa"/>
            <w:vAlign w:val="center"/>
          </w:tcPr>
          <w:p>
            <w:pPr>
              <w:adjustRightInd w:val="0"/>
              <w:snapToGrid w:val="0"/>
              <w:jc w:val="center"/>
              <w:rPr>
                <w:rFonts w:ascii="Times New Roman" w:hAnsi="Times New Roman"/>
                <w:b/>
                <w:sz w:val="20"/>
                <w:szCs w:val="20"/>
              </w:rPr>
            </w:pPr>
            <w:r>
              <w:rPr>
                <w:rFonts w:ascii="Times New Roman" w:hAnsi="Times New Roman"/>
                <w:b/>
                <w:sz w:val="20"/>
                <w:szCs w:val="20"/>
              </w:rPr>
              <w:t>二级指标</w:t>
            </w:r>
          </w:p>
        </w:tc>
        <w:tc>
          <w:tcPr>
            <w:tcW w:w="2460" w:type="dxa"/>
            <w:vAlign w:val="center"/>
          </w:tcPr>
          <w:p>
            <w:pPr>
              <w:adjustRightInd w:val="0"/>
              <w:snapToGrid w:val="0"/>
              <w:jc w:val="center"/>
              <w:rPr>
                <w:rFonts w:ascii="Times New Roman" w:hAnsi="Times New Roman"/>
                <w:b/>
                <w:sz w:val="20"/>
                <w:szCs w:val="20"/>
              </w:rPr>
            </w:pPr>
            <w:r>
              <w:rPr>
                <w:rFonts w:ascii="Times New Roman" w:hAnsi="Times New Roman"/>
                <w:b/>
                <w:sz w:val="20"/>
                <w:szCs w:val="20"/>
              </w:rPr>
              <w:t>三级指标</w:t>
            </w:r>
          </w:p>
        </w:tc>
        <w:tc>
          <w:tcPr>
            <w:tcW w:w="1361" w:type="dxa"/>
            <w:vAlign w:val="center"/>
          </w:tcPr>
          <w:p>
            <w:pPr>
              <w:adjustRightInd w:val="0"/>
              <w:snapToGrid w:val="0"/>
              <w:jc w:val="center"/>
              <w:rPr>
                <w:rFonts w:ascii="Times New Roman" w:hAnsi="Times New Roman"/>
                <w:b/>
                <w:sz w:val="20"/>
                <w:szCs w:val="20"/>
              </w:rPr>
            </w:pPr>
            <w:r>
              <w:rPr>
                <w:rFonts w:ascii="Times New Roman" w:hAnsi="Times New Roman"/>
                <w:b/>
                <w:sz w:val="20"/>
                <w:szCs w:val="20"/>
              </w:rPr>
              <w:t>分值</w:t>
            </w:r>
          </w:p>
        </w:tc>
        <w:tc>
          <w:tcPr>
            <w:tcW w:w="1155" w:type="dxa"/>
            <w:vAlign w:val="center"/>
          </w:tcPr>
          <w:p>
            <w:pPr>
              <w:adjustRightInd w:val="0"/>
              <w:snapToGrid w:val="0"/>
              <w:jc w:val="center"/>
              <w:rPr>
                <w:rFonts w:ascii="Times New Roman" w:hAnsi="Times New Roman"/>
                <w:b/>
                <w:sz w:val="20"/>
                <w:szCs w:val="20"/>
              </w:rPr>
            </w:pPr>
            <w:r>
              <w:rPr>
                <w:rFonts w:ascii="Times New Roman" w:hAnsi="Times New Roman"/>
                <w:b/>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restart"/>
            <w:vAlign w:val="center"/>
          </w:tcPr>
          <w:p>
            <w:pPr>
              <w:adjustRightInd w:val="0"/>
              <w:snapToGrid w:val="0"/>
              <w:spacing w:line="260" w:lineRule="exact"/>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项目决策</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（20分）</w:t>
            </w:r>
          </w:p>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p>
          <w:p>
            <w:pPr>
              <w:adjustRightInd w:val="0"/>
              <w:snapToGrid w:val="0"/>
              <w:spacing w:line="260" w:lineRule="exact"/>
              <w:rPr>
                <w:rFonts w:ascii="Times New Roman" w:hAnsi="Times New Roman"/>
                <w:sz w:val="20"/>
                <w:szCs w:val="20"/>
              </w:rPr>
            </w:pPr>
          </w:p>
        </w:tc>
        <w:tc>
          <w:tcPr>
            <w:tcW w:w="1724" w:type="dxa"/>
            <w:vMerge w:val="restart"/>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绩效目标</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（6分）</w:t>
            </w: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目标内容</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进度计划</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目标匹配</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restart"/>
            <w:vAlign w:val="center"/>
          </w:tcPr>
          <w:p>
            <w:pPr>
              <w:adjustRightInd w:val="0"/>
              <w:snapToGrid w:val="0"/>
              <w:spacing w:line="260" w:lineRule="exact"/>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决策依据</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（10分）</w:t>
            </w:r>
          </w:p>
          <w:p>
            <w:pPr>
              <w:adjustRightInd w:val="0"/>
              <w:snapToGrid w:val="0"/>
              <w:spacing w:line="260" w:lineRule="exact"/>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政策依据</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程序严密</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结果符合</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实施规划</w:t>
            </w:r>
          </w:p>
        </w:tc>
        <w:tc>
          <w:tcPr>
            <w:tcW w:w="1361" w:type="dxa"/>
            <w:vAlign w:val="center"/>
          </w:tcPr>
          <w:p>
            <w:pPr>
              <w:adjustRightInd w:val="0"/>
              <w:snapToGrid w:val="0"/>
              <w:spacing w:line="260" w:lineRule="exact"/>
              <w:jc w:val="center"/>
              <w:rPr>
                <w:rFonts w:ascii="Times New Roman" w:hAnsi="Times New Roman"/>
                <w:sz w:val="20"/>
                <w:szCs w:val="20"/>
              </w:rPr>
            </w:pPr>
            <w:r>
              <w:rPr>
                <w:rFonts w:hint="eastAsia" w:ascii="Times New Roman" w:hAnsi="Times New Roman"/>
                <w:sz w:val="20"/>
                <w:szCs w:val="20"/>
              </w:rPr>
              <w:t>4</w:t>
            </w:r>
          </w:p>
        </w:tc>
        <w:tc>
          <w:tcPr>
            <w:tcW w:w="1155" w:type="dxa"/>
            <w:vAlign w:val="center"/>
          </w:tcPr>
          <w:p>
            <w:pPr>
              <w:spacing w:line="260" w:lineRule="exact"/>
              <w:jc w:val="center"/>
              <w:rPr>
                <w:rFonts w:ascii="Times New Roman" w:hAnsi="Times New Roman"/>
                <w:color w:val="000000"/>
                <w:sz w:val="20"/>
                <w:szCs w:val="20"/>
              </w:rPr>
            </w:pPr>
            <w:r>
              <w:rPr>
                <w:rFonts w:hint="eastAsia" w:ascii="Times New Roman" w:hAnsi="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restart"/>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分配结果</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（4分）</w:t>
            </w: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分配过程</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审核把关</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restart"/>
            <w:vAlign w:val="center"/>
          </w:tcPr>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项目管理</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（15分）</w:t>
            </w:r>
          </w:p>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项目管理</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（15分）</w:t>
            </w:r>
          </w:p>
        </w:tc>
        <w:tc>
          <w:tcPr>
            <w:tcW w:w="1724" w:type="dxa"/>
            <w:vMerge w:val="restart"/>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资金到位</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（4分）</w:t>
            </w: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分配时效</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hint="eastAsia"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资金拨付</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restart"/>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资金管理</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（3分）</w:t>
            </w: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使用范围</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支付依据</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开支标准</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restart"/>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财务管理</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（4分）</w:t>
            </w: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财务制度</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会计核算</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restart"/>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组织实施</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（4分）</w:t>
            </w: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项目调整</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投资变更</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制度执行</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restart"/>
            <w:vAlign w:val="center"/>
          </w:tcPr>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p>
          <w:p>
            <w:pPr>
              <w:pStyle w:val="2"/>
              <w:spacing w:line="260" w:lineRule="exact"/>
              <w:rPr>
                <w:rFonts w:ascii="Times New Roman" w:hAnsi="Times New Roman"/>
                <w:sz w:val="20"/>
                <w:szCs w:val="20"/>
              </w:rPr>
            </w:pPr>
          </w:p>
          <w:p>
            <w:pPr>
              <w:pStyle w:val="3"/>
              <w:spacing w:line="260" w:lineRule="exact"/>
            </w:pP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项目绩效</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（特性指标65分）</w:t>
            </w:r>
          </w:p>
          <w:p>
            <w:pPr>
              <w:adjustRightInd w:val="0"/>
              <w:snapToGrid w:val="0"/>
              <w:spacing w:line="260" w:lineRule="exact"/>
              <w:jc w:val="center"/>
              <w:rPr>
                <w:rFonts w:ascii="Times New Roman" w:hAnsi="Times New Roman"/>
                <w:sz w:val="20"/>
                <w:szCs w:val="20"/>
              </w:rPr>
            </w:pPr>
          </w:p>
          <w:p>
            <w:pPr>
              <w:pStyle w:val="2"/>
              <w:spacing w:line="260" w:lineRule="exact"/>
              <w:rPr>
                <w:rFonts w:ascii="Times New Roman" w:hAnsi="Times New Roman"/>
                <w:sz w:val="20"/>
                <w:szCs w:val="20"/>
              </w:rPr>
            </w:pPr>
          </w:p>
          <w:p>
            <w:pPr>
              <w:adjustRightInd w:val="0"/>
              <w:snapToGrid w:val="0"/>
              <w:spacing w:line="260" w:lineRule="exact"/>
              <w:rPr>
                <w:rFonts w:ascii="Times New Roman" w:hAnsi="Times New Roman"/>
                <w:sz w:val="20"/>
                <w:szCs w:val="20"/>
              </w:rPr>
            </w:pPr>
          </w:p>
        </w:tc>
        <w:tc>
          <w:tcPr>
            <w:tcW w:w="1724" w:type="dxa"/>
            <w:vMerge w:val="restart"/>
            <w:vAlign w:val="center"/>
          </w:tcPr>
          <w:p>
            <w:pPr>
              <w:adjustRightInd w:val="0"/>
              <w:snapToGrid w:val="0"/>
              <w:spacing w:line="260" w:lineRule="exact"/>
              <w:jc w:val="center"/>
              <w:rPr>
                <w:rFonts w:ascii="Times New Roman" w:hAnsi="Times New Roman"/>
                <w:sz w:val="20"/>
                <w:szCs w:val="20"/>
              </w:rPr>
            </w:pPr>
          </w:p>
          <w:p>
            <w:pPr>
              <w:adjustRightInd w:val="0"/>
              <w:snapToGrid w:val="0"/>
              <w:spacing w:line="260" w:lineRule="exact"/>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项目完成</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（20分）</w:t>
            </w:r>
          </w:p>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完成数量</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完成质量</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完成时效</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完成成本</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违规纪律</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restart"/>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项目效益</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（40分）</w:t>
            </w: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经济效益</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10</w:t>
            </w:r>
          </w:p>
        </w:tc>
        <w:tc>
          <w:tcPr>
            <w:tcW w:w="1155" w:type="dxa"/>
            <w:vAlign w:val="center"/>
          </w:tcPr>
          <w:p>
            <w:pPr>
              <w:spacing w:line="260" w:lineRule="exact"/>
              <w:jc w:val="center"/>
              <w:rPr>
                <w:rFonts w:ascii="Times New Roman" w:hAnsi="Times New Roman"/>
                <w:color w:val="000000"/>
                <w:sz w:val="20"/>
                <w:szCs w:val="20"/>
              </w:rPr>
            </w:pPr>
            <w:r>
              <w:rPr>
                <w:rFonts w:hint="eastAsia" w:ascii="Times New Roman" w:hAnsi="Times New Roman"/>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社会效益</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10</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生态效益</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10</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Merge w:val="continue"/>
            <w:vAlign w:val="center"/>
          </w:tcPr>
          <w:p>
            <w:pPr>
              <w:adjustRightInd w:val="0"/>
              <w:snapToGrid w:val="0"/>
              <w:spacing w:line="260" w:lineRule="exact"/>
              <w:jc w:val="center"/>
              <w:rPr>
                <w:rFonts w:ascii="Times New Roman" w:hAnsi="Times New Roman"/>
                <w:sz w:val="20"/>
                <w:szCs w:val="20"/>
              </w:rPr>
            </w:pP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可持续效益</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10</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adjustRightInd w:val="0"/>
              <w:snapToGrid w:val="0"/>
              <w:spacing w:line="260" w:lineRule="exact"/>
              <w:jc w:val="center"/>
              <w:rPr>
                <w:rFonts w:ascii="Times New Roman" w:hAnsi="Times New Roman"/>
                <w:sz w:val="20"/>
                <w:szCs w:val="20"/>
              </w:rPr>
            </w:pPr>
          </w:p>
        </w:tc>
        <w:tc>
          <w:tcPr>
            <w:tcW w:w="1724"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满意度</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（5分）</w:t>
            </w:r>
          </w:p>
        </w:tc>
        <w:tc>
          <w:tcPr>
            <w:tcW w:w="2460"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服务对象满意度</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5</w:t>
            </w:r>
          </w:p>
        </w:tc>
        <w:tc>
          <w:tcPr>
            <w:tcW w:w="1155" w:type="dxa"/>
            <w:vAlign w:val="center"/>
          </w:tcPr>
          <w:p>
            <w:pPr>
              <w:spacing w:line="260" w:lineRule="exact"/>
              <w:jc w:val="center"/>
              <w:rPr>
                <w:rFonts w:ascii="Times New Roman" w:hAnsi="Times New Roman"/>
                <w:color w:val="000000"/>
                <w:sz w:val="20"/>
                <w:szCs w:val="20"/>
              </w:rPr>
            </w:pPr>
            <w:r>
              <w:rPr>
                <w:rFonts w:ascii="Times New Roman" w:hAnsi="Times New Roman"/>
                <w:color w:val="00000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6122" w:type="dxa"/>
            <w:gridSpan w:val="3"/>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合　　　　计</w:t>
            </w:r>
          </w:p>
        </w:tc>
        <w:tc>
          <w:tcPr>
            <w:tcW w:w="136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100</w:t>
            </w:r>
          </w:p>
        </w:tc>
        <w:tc>
          <w:tcPr>
            <w:tcW w:w="1155" w:type="dxa"/>
            <w:vAlign w:val="center"/>
          </w:tcPr>
          <w:p>
            <w:pPr>
              <w:widowControl/>
              <w:spacing w:line="260" w:lineRule="exact"/>
              <w:jc w:val="center"/>
              <w:textAlignment w:val="center"/>
              <w:rPr>
                <w:rFonts w:ascii="Times New Roman" w:hAnsi="Times New Roman"/>
                <w:sz w:val="20"/>
                <w:szCs w:val="20"/>
              </w:rPr>
            </w:pPr>
            <w:r>
              <w:rPr>
                <w:rFonts w:ascii="Times New Roman" w:hAnsi="Times New Roman"/>
                <w:sz w:val="20"/>
                <w:szCs w:val="20"/>
              </w:rPr>
              <w:t>98</w:t>
            </w:r>
          </w:p>
        </w:tc>
      </w:tr>
    </w:tbl>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黑体"/>
          <w:sz w:val="32"/>
          <w:szCs w:val="33"/>
        </w:rPr>
      </w:pPr>
      <w:r>
        <w:rPr>
          <w:rFonts w:hint="eastAsia" w:ascii="Times New Roman" w:hAnsi="Times New Roman" w:eastAsia="黑体"/>
          <w:sz w:val="32"/>
          <w:szCs w:val="33"/>
        </w:rPr>
        <w:t>四、</w:t>
      </w:r>
      <w:r>
        <w:rPr>
          <w:rFonts w:ascii="Times New Roman" w:hAnsi="Times New Roman" w:eastAsia="黑体"/>
          <w:sz w:val="32"/>
          <w:szCs w:val="33"/>
        </w:rPr>
        <w:t>绩效评价指标分析</w:t>
      </w:r>
    </w:p>
    <w:p>
      <w:pPr>
        <w:keepNext w:val="0"/>
        <w:keepLines w:val="0"/>
        <w:pageBreakBefore w:val="0"/>
        <w:widowControl w:val="0"/>
        <w:kinsoku/>
        <w:wordWrap/>
        <w:overflowPunct/>
        <w:topLinePunct w:val="0"/>
        <w:autoSpaceDE/>
        <w:autoSpaceDN/>
        <w:bidi w:val="0"/>
        <w:spacing w:line="560" w:lineRule="exact"/>
        <w:ind w:firstLine="643" w:firstLineChars="200"/>
        <w:rPr>
          <w:rFonts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（一）项目决策情况</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sz w:val="32"/>
          <w:szCs w:val="33"/>
        </w:rPr>
      </w:pPr>
      <w:r>
        <w:rPr>
          <w:rFonts w:ascii="Times New Roman" w:hAnsi="Times New Roman" w:eastAsia="仿宋_GB2312"/>
          <w:sz w:val="32"/>
          <w:szCs w:val="33"/>
        </w:rPr>
        <w:t>根据《关于印发202</w:t>
      </w:r>
      <w:r>
        <w:rPr>
          <w:rFonts w:hint="eastAsia" w:ascii="Times New Roman" w:hAnsi="Times New Roman" w:eastAsia="仿宋_GB2312"/>
          <w:sz w:val="32"/>
          <w:szCs w:val="33"/>
        </w:rPr>
        <w:t>1</w:t>
      </w:r>
      <w:r>
        <w:rPr>
          <w:rFonts w:ascii="Times New Roman" w:hAnsi="Times New Roman" w:eastAsia="仿宋_GB2312"/>
          <w:sz w:val="32"/>
          <w:szCs w:val="33"/>
        </w:rPr>
        <w:t>年</w:t>
      </w:r>
      <w:r>
        <w:rPr>
          <w:rFonts w:hint="eastAsia" w:ascii="Times New Roman" w:hAnsi="Times New Roman" w:eastAsia="仿宋_GB2312"/>
          <w:sz w:val="32"/>
          <w:szCs w:val="33"/>
        </w:rPr>
        <w:t>度</w:t>
      </w:r>
      <w:r>
        <w:rPr>
          <w:rFonts w:ascii="Times New Roman" w:hAnsi="Times New Roman" w:eastAsia="仿宋_GB2312"/>
          <w:sz w:val="32"/>
          <w:szCs w:val="33"/>
        </w:rPr>
        <w:t>基本公共服务实施方案的通知》，结合我区实际，</w:t>
      </w:r>
      <w:r>
        <w:rPr>
          <w:rFonts w:hint="eastAsia" w:ascii="Times New Roman" w:hAnsi="Times New Roman" w:eastAsia="仿宋_GB2312"/>
          <w:sz w:val="32"/>
          <w:szCs w:val="33"/>
          <w:lang w:eastAsia="zh-CN"/>
        </w:rPr>
        <w:t>申报</w:t>
      </w:r>
      <w:r>
        <w:rPr>
          <w:rFonts w:hint="eastAsia" w:ascii="Times New Roman" w:hAnsi="Times New Roman" w:eastAsia="仿宋_GB2312"/>
          <w:sz w:val="32"/>
          <w:szCs w:val="33"/>
        </w:rPr>
        <w:t>国家基本公共卫生服务项目经费</w:t>
      </w:r>
      <w:r>
        <w:rPr>
          <w:rFonts w:hint="eastAsia" w:ascii="Times New Roman" w:hAnsi="Times New Roman" w:eastAsia="仿宋_GB2312"/>
          <w:sz w:val="32"/>
          <w:szCs w:val="33"/>
          <w:lang w:eastAsia="zh-CN"/>
        </w:rPr>
        <w:t>，</w:t>
      </w:r>
      <w:r>
        <w:rPr>
          <w:rFonts w:hint="eastAsia" w:ascii="Times New Roman" w:hAnsi="Times New Roman" w:eastAsia="仿宋_GB2312"/>
          <w:sz w:val="32"/>
          <w:szCs w:val="33"/>
        </w:rPr>
        <w:t>项目申报与政策和需求相吻合</w:t>
      </w:r>
      <w:r>
        <w:rPr>
          <w:rFonts w:hint="eastAsia" w:ascii="Times New Roman" w:hAnsi="Times New Roman" w:eastAsia="仿宋_GB2312"/>
          <w:sz w:val="32"/>
          <w:szCs w:val="33"/>
          <w:lang w:eastAsia="zh-CN"/>
        </w:rPr>
        <w:t>。主要</w:t>
      </w:r>
      <w:r>
        <w:rPr>
          <w:rFonts w:ascii="Times New Roman" w:hAnsi="Times New Roman" w:eastAsia="仿宋_GB2312"/>
          <w:sz w:val="32"/>
          <w:szCs w:val="33"/>
        </w:rPr>
        <w:t>以儿童、孕主妇、老</w:t>
      </w:r>
      <w:r>
        <w:rPr>
          <w:rFonts w:hint="eastAsia" w:ascii="Times New Roman" w:hAnsi="Times New Roman" w:eastAsia="仿宋_GB2312"/>
          <w:sz w:val="32"/>
          <w:szCs w:val="33"/>
        </w:rPr>
        <w:t>年</w:t>
      </w:r>
      <w:r>
        <w:rPr>
          <w:rFonts w:ascii="Times New Roman" w:hAnsi="Times New Roman" w:eastAsia="仿宋_GB2312"/>
          <w:sz w:val="32"/>
          <w:szCs w:val="33"/>
        </w:rPr>
        <w:t>人、慢性疾病患者为重点人群，面向全体居民免费提供的最基本的公共卫生服务</w:t>
      </w:r>
      <w:r>
        <w:rPr>
          <w:rFonts w:hint="eastAsia" w:ascii="Times New Roman" w:hAnsi="Times New Roman" w:eastAsia="仿宋_GB2312"/>
          <w:sz w:val="32"/>
          <w:szCs w:val="33"/>
        </w:rPr>
        <w:t>。202</w:t>
      </w:r>
      <w:r>
        <w:rPr>
          <w:rFonts w:ascii="Times New Roman" w:hAnsi="Times New Roman" w:eastAsia="仿宋_GB2312"/>
          <w:sz w:val="32"/>
          <w:szCs w:val="33"/>
        </w:rPr>
        <w:t>2</w:t>
      </w:r>
      <w:r>
        <w:rPr>
          <w:rFonts w:hint="eastAsia" w:ascii="Times New Roman" w:hAnsi="Times New Roman" w:eastAsia="仿宋_GB2312"/>
          <w:sz w:val="32"/>
          <w:szCs w:val="33"/>
        </w:rPr>
        <w:t>年共安排基本公共卫生服务项目资金</w:t>
      </w:r>
      <w:r>
        <w:rPr>
          <w:rFonts w:ascii="Times New Roman" w:hAnsi="Times New Roman" w:eastAsia="仿宋_GB2312"/>
          <w:sz w:val="32"/>
          <w:szCs w:val="33"/>
        </w:rPr>
        <w:t>1012.71</w:t>
      </w:r>
      <w:r>
        <w:rPr>
          <w:rFonts w:hint="eastAsia" w:ascii="Times New Roman" w:hAnsi="Times New Roman" w:eastAsia="仿宋_GB2312"/>
          <w:sz w:val="32"/>
          <w:szCs w:val="33"/>
        </w:rPr>
        <w:t>万元，其中：中央资金7</w:t>
      </w:r>
      <w:r>
        <w:rPr>
          <w:rFonts w:ascii="Times New Roman" w:hAnsi="Times New Roman" w:eastAsia="仿宋_GB2312"/>
          <w:sz w:val="32"/>
          <w:szCs w:val="33"/>
        </w:rPr>
        <w:t>82.07万元</w:t>
      </w:r>
      <w:r>
        <w:rPr>
          <w:rFonts w:hint="eastAsia" w:ascii="Times New Roman" w:hAnsi="Times New Roman" w:eastAsia="仿宋_GB2312"/>
          <w:sz w:val="32"/>
          <w:szCs w:val="33"/>
        </w:rPr>
        <w:t>、省级资金6</w:t>
      </w:r>
      <w:r>
        <w:rPr>
          <w:rFonts w:ascii="Times New Roman" w:hAnsi="Times New Roman" w:eastAsia="仿宋_GB2312"/>
          <w:sz w:val="32"/>
          <w:szCs w:val="33"/>
        </w:rPr>
        <w:t>7.08万元</w:t>
      </w:r>
      <w:r>
        <w:rPr>
          <w:rFonts w:hint="eastAsia" w:ascii="Times New Roman" w:hAnsi="Times New Roman" w:eastAsia="仿宋_GB2312"/>
          <w:sz w:val="32"/>
          <w:szCs w:val="33"/>
        </w:rPr>
        <w:t>、</w:t>
      </w:r>
      <w:r>
        <w:rPr>
          <w:rFonts w:ascii="Times New Roman" w:hAnsi="Times New Roman" w:eastAsia="仿宋_GB2312"/>
          <w:sz w:val="32"/>
          <w:szCs w:val="33"/>
        </w:rPr>
        <w:t>市级资金</w:t>
      </w:r>
      <w:r>
        <w:rPr>
          <w:rFonts w:hint="eastAsia" w:ascii="Times New Roman" w:hAnsi="Times New Roman" w:eastAsia="仿宋_GB2312"/>
          <w:sz w:val="32"/>
          <w:szCs w:val="33"/>
        </w:rPr>
        <w:t>7</w:t>
      </w:r>
      <w:r>
        <w:rPr>
          <w:rFonts w:ascii="Times New Roman" w:hAnsi="Times New Roman" w:eastAsia="仿宋_GB2312"/>
          <w:sz w:val="32"/>
          <w:szCs w:val="33"/>
        </w:rPr>
        <w:t>4.82万元</w:t>
      </w:r>
      <w:r>
        <w:rPr>
          <w:rFonts w:hint="eastAsia" w:ascii="Times New Roman" w:hAnsi="Times New Roman" w:eastAsia="仿宋_GB2312"/>
          <w:sz w:val="32"/>
          <w:szCs w:val="33"/>
        </w:rPr>
        <w:t>、</w:t>
      </w:r>
      <w:r>
        <w:rPr>
          <w:rFonts w:ascii="Times New Roman" w:hAnsi="Times New Roman" w:eastAsia="仿宋_GB2312"/>
          <w:sz w:val="32"/>
          <w:szCs w:val="33"/>
        </w:rPr>
        <w:t>区级资金</w:t>
      </w:r>
      <w:r>
        <w:rPr>
          <w:rFonts w:hint="eastAsia" w:ascii="Times New Roman" w:hAnsi="Times New Roman" w:eastAsia="仿宋_GB2312"/>
          <w:sz w:val="32"/>
          <w:szCs w:val="33"/>
        </w:rPr>
        <w:t>8</w:t>
      </w:r>
      <w:r>
        <w:rPr>
          <w:rFonts w:ascii="Times New Roman" w:hAnsi="Times New Roman" w:eastAsia="仿宋_GB2312"/>
          <w:sz w:val="32"/>
          <w:szCs w:val="33"/>
        </w:rPr>
        <w:t>8.74万元</w:t>
      </w:r>
      <w:r>
        <w:rPr>
          <w:rFonts w:hint="eastAsia" w:ascii="Times New Roman" w:hAnsi="Times New Roman" w:eastAsia="仿宋_GB2312"/>
          <w:sz w:val="32"/>
          <w:szCs w:val="33"/>
        </w:rPr>
        <w:t>。</w:t>
      </w:r>
    </w:p>
    <w:p>
      <w:pPr>
        <w:keepNext w:val="0"/>
        <w:keepLines w:val="0"/>
        <w:pageBreakBefore w:val="0"/>
        <w:widowControl w:val="0"/>
        <w:kinsoku/>
        <w:wordWrap/>
        <w:overflowPunct/>
        <w:topLinePunct w:val="0"/>
        <w:autoSpaceDE/>
        <w:autoSpaceDN/>
        <w:bidi w:val="0"/>
        <w:spacing w:line="560" w:lineRule="exact"/>
        <w:ind w:firstLine="643" w:firstLineChars="200"/>
        <w:rPr>
          <w:rFonts w:ascii="楷体_GB2312" w:hAnsi="楷体_GB2312" w:eastAsia="楷体_GB2312" w:cs="楷体_GB2312"/>
          <w:b/>
          <w:bCs/>
          <w:sz w:val="32"/>
          <w:szCs w:val="33"/>
        </w:rPr>
      </w:pPr>
      <w:r>
        <w:rPr>
          <w:rFonts w:hint="eastAsia" w:ascii="方正楷体_GBK" w:hAnsi="方正楷体_GBK" w:eastAsia="楷体_GB2312" w:cs="方正楷体_GBK"/>
          <w:b/>
          <w:bCs/>
          <w:sz w:val="32"/>
          <w:szCs w:val="33"/>
        </w:rPr>
        <w:t>（二）项目过程情况</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sz w:val="32"/>
          <w:szCs w:val="33"/>
        </w:rPr>
      </w:pPr>
      <w:r>
        <w:rPr>
          <w:rFonts w:hint="eastAsia" w:ascii="Times New Roman" w:hAnsi="Times New Roman" w:eastAsia="仿宋_GB2312"/>
          <w:sz w:val="32"/>
          <w:szCs w:val="33"/>
        </w:rPr>
        <w:t>2022年度国家基本公共卫生服务项目稳步推进，</w:t>
      </w:r>
      <w:r>
        <w:rPr>
          <w:rFonts w:ascii="Times New Roman" w:hAnsi="Times New Roman" w:eastAsia="仿宋_GB2312"/>
          <w:sz w:val="32"/>
          <w:szCs w:val="33"/>
        </w:rPr>
        <w:t>西区常住人口数1</w:t>
      </w:r>
      <w:r>
        <w:rPr>
          <w:rFonts w:hint="eastAsia" w:ascii="Times New Roman" w:hAnsi="Times New Roman" w:eastAsia="仿宋_GB2312"/>
          <w:sz w:val="32"/>
          <w:szCs w:val="33"/>
        </w:rPr>
        <w:t>2.93</w:t>
      </w:r>
      <w:r>
        <w:rPr>
          <w:rFonts w:ascii="Times New Roman" w:hAnsi="Times New Roman" w:eastAsia="仿宋_GB2312"/>
          <w:sz w:val="32"/>
          <w:szCs w:val="33"/>
        </w:rPr>
        <w:t>万人，基层医疗卫生机构累计为</w:t>
      </w:r>
      <w:r>
        <w:rPr>
          <w:rFonts w:hint="eastAsia" w:ascii="Times New Roman" w:hAnsi="Times New Roman" w:eastAsia="仿宋_GB2312"/>
          <w:sz w:val="32"/>
          <w:szCs w:val="33"/>
        </w:rPr>
        <w:t>12.83</w:t>
      </w:r>
      <w:r>
        <w:rPr>
          <w:rFonts w:ascii="Times New Roman" w:hAnsi="Times New Roman" w:eastAsia="仿宋_GB2312"/>
          <w:sz w:val="32"/>
          <w:szCs w:val="33"/>
        </w:rPr>
        <w:t>万人提供了基本公共卫生服务</w:t>
      </w:r>
      <w:r>
        <w:rPr>
          <w:rFonts w:hint="eastAsia" w:ascii="Times New Roman" w:hAnsi="Times New Roman" w:eastAsia="仿宋_GB2312"/>
          <w:sz w:val="32"/>
          <w:szCs w:val="33"/>
        </w:rPr>
        <w:t>；国家扩大免疫规划疫苗全年接种率90%以上。</w:t>
      </w:r>
    </w:p>
    <w:p>
      <w:pPr>
        <w:keepNext w:val="0"/>
        <w:keepLines w:val="0"/>
        <w:pageBreakBefore w:val="0"/>
        <w:widowControl w:val="0"/>
        <w:kinsoku/>
        <w:wordWrap/>
        <w:overflowPunct/>
        <w:topLinePunct w:val="0"/>
        <w:autoSpaceDE/>
        <w:autoSpaceDN/>
        <w:bidi w:val="0"/>
        <w:spacing w:line="560" w:lineRule="exact"/>
        <w:ind w:firstLine="643" w:firstLineChars="200"/>
        <w:rPr>
          <w:rFonts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（三）项目产出情况</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sz w:val="32"/>
          <w:szCs w:val="33"/>
        </w:rPr>
      </w:pPr>
      <w:r>
        <w:rPr>
          <w:rFonts w:hint="eastAsia" w:ascii="Times New Roman" w:hAnsi="Times New Roman" w:eastAsia="仿宋_GB2312"/>
          <w:sz w:val="32"/>
          <w:szCs w:val="33"/>
        </w:rPr>
        <w:t>建立电子健康档案122118份，电子建档率94.45%、动态使用率60.45%，0—6岁儿童健康管理率为95.71%，早孕建册率为94.38%，65岁及以上老年人健康管理率40.85%，高血压患者规范管理率为63.31%，2型糖尿病患者规范管理率为63.57%，社区在册居家严重精神障碍患者健康管理率92.34%。重点人群签约服务覆盖率72.42%，一般人群签约服务覆盖率25.64%。在老年人、慢病患者、0—6岁儿童、孕产妇等重点人群中开展的基本公共卫生服务满意度测评，电话访谈满意度达100%。</w:t>
      </w:r>
    </w:p>
    <w:p>
      <w:pPr>
        <w:keepNext w:val="0"/>
        <w:keepLines w:val="0"/>
        <w:pageBreakBefore w:val="0"/>
        <w:widowControl w:val="0"/>
        <w:kinsoku/>
        <w:wordWrap/>
        <w:overflowPunct/>
        <w:topLinePunct w:val="0"/>
        <w:autoSpaceDE/>
        <w:autoSpaceDN/>
        <w:bidi w:val="0"/>
        <w:spacing w:line="560" w:lineRule="exact"/>
        <w:ind w:firstLine="643" w:firstLineChars="200"/>
        <w:rPr>
          <w:rFonts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（四）项目效益情况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ascii="Times New Roman" w:hAnsi="Times New Roman" w:eastAsia="仿宋_GB2312"/>
          <w:sz w:val="32"/>
          <w:szCs w:val="33"/>
        </w:rPr>
      </w:pPr>
      <w:r>
        <w:rPr>
          <w:rFonts w:hint="eastAsia" w:ascii="Times New Roman" w:hAnsi="Times New Roman" w:eastAsia="仿宋_GB2312"/>
          <w:sz w:val="32"/>
          <w:szCs w:val="33"/>
        </w:rPr>
        <w:t>通过对辖区居民健康问题进行干预，减少主要健康危险因素，预防和控制传染病及慢性病的蔓延，传染病发病率控制在较低水平。老年人、慢性病患者、儿童、孕产妇、严重精神障碍患者、家庭医生签约服务的重点人群，得到了基本公共卫生服务免费体检与随访服务，居民逐步享有均等化的基本公共卫生服务。辖区居民对健康知识及健康行为的获得感大大增强，同时对基本公共卫生服务项目知晓率、满意度均达90%以上。</w:t>
      </w:r>
    </w:p>
    <w:p>
      <w:pPr>
        <w:keepNext w:val="0"/>
        <w:keepLines w:val="0"/>
        <w:pageBreakBefore w:val="0"/>
        <w:widowControl w:val="0"/>
        <w:kinsoku/>
        <w:wordWrap/>
        <w:overflowPunct/>
        <w:topLinePunct w:val="0"/>
        <w:autoSpaceDE/>
        <w:autoSpaceDN/>
        <w:bidi w:val="0"/>
        <w:spacing w:line="560" w:lineRule="exact"/>
        <w:ind w:firstLine="640" w:firstLineChars="200"/>
        <w:rPr>
          <w:rFonts w:ascii="方正黑体_GBK" w:hAnsi="方正黑体_GBK" w:eastAsia="黑体" w:cs="方正黑体_GBK"/>
          <w:sz w:val="32"/>
          <w:szCs w:val="33"/>
        </w:rPr>
      </w:pPr>
      <w:r>
        <w:rPr>
          <w:rFonts w:hint="eastAsia" w:ascii="方正黑体_GBK" w:hAnsi="方正黑体_GBK" w:eastAsia="黑体" w:cs="方正黑体_GBK"/>
          <w:sz w:val="32"/>
          <w:szCs w:val="33"/>
        </w:rPr>
        <w:t>五、主要经验及做法、存在的问题及原因分析</w:t>
      </w:r>
    </w:p>
    <w:p>
      <w:pPr>
        <w:keepNext w:val="0"/>
        <w:keepLines w:val="0"/>
        <w:pageBreakBefore w:val="0"/>
        <w:widowControl w:val="0"/>
        <w:kinsoku/>
        <w:wordWrap/>
        <w:overflowPunct/>
        <w:topLinePunct w:val="0"/>
        <w:autoSpaceDE/>
        <w:autoSpaceDN/>
        <w:bidi w:val="0"/>
        <w:spacing w:line="560" w:lineRule="exact"/>
        <w:ind w:firstLine="643" w:firstLineChars="200"/>
        <w:rPr>
          <w:rFonts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（一）主要经验</w:t>
      </w:r>
    </w:p>
    <w:p>
      <w:pPr>
        <w:keepNext w:val="0"/>
        <w:keepLines w:val="0"/>
        <w:pageBreakBefore w:val="0"/>
        <w:widowControl w:val="0"/>
        <w:kinsoku/>
        <w:wordWrap/>
        <w:overflowPunct/>
        <w:topLinePunct w:val="0"/>
        <w:autoSpaceDE/>
        <w:autoSpaceDN/>
        <w:bidi w:val="0"/>
        <w:spacing w:line="560" w:lineRule="exact"/>
        <w:ind w:firstLine="643" w:firstLineChars="200"/>
        <w:rPr>
          <w:rFonts w:ascii="Times New Roman" w:hAnsi="Times New Roman" w:eastAsia="仿宋_GB2312"/>
          <w:sz w:val="32"/>
          <w:szCs w:val="33"/>
        </w:rPr>
      </w:pPr>
      <w:r>
        <w:rPr>
          <w:rFonts w:hint="eastAsia" w:ascii="Times New Roman" w:hAnsi="Times New Roman" w:eastAsia="仿宋_GB2312"/>
          <w:b/>
          <w:bCs/>
          <w:sz w:val="32"/>
          <w:szCs w:val="33"/>
        </w:rPr>
        <w:t>一是</w:t>
      </w:r>
      <w:r>
        <w:rPr>
          <w:rFonts w:hint="eastAsia" w:ascii="Times New Roman" w:hAnsi="Times New Roman" w:eastAsia="仿宋_GB2312"/>
          <w:sz w:val="32"/>
          <w:szCs w:val="33"/>
        </w:rPr>
        <w:t>强化评价手段。按规定开展项目绩效评价，每年组织2次综合评价，确保评价过程和结果的公平、公正、公开；格里坪镇卫生院和各社区卫生服务中心定期对村卫生室、社区卫生服务站进行绩效评价，加强质量管控，确保服务质量。</w:t>
      </w:r>
      <w:r>
        <w:rPr>
          <w:rFonts w:hint="eastAsia" w:ascii="Times New Roman" w:hAnsi="Times New Roman" w:eastAsia="仿宋_GB2312"/>
          <w:b/>
          <w:bCs/>
          <w:sz w:val="32"/>
          <w:szCs w:val="33"/>
        </w:rPr>
        <w:t>二是</w:t>
      </w:r>
      <w:r>
        <w:rPr>
          <w:rFonts w:hint="eastAsia" w:ascii="Times New Roman" w:hAnsi="Times New Roman" w:eastAsia="仿宋_GB2312"/>
          <w:sz w:val="32"/>
          <w:szCs w:val="33"/>
        </w:rPr>
        <w:t>强化财务监督。严格按照基本公共卫生服务项目补助资金管理办法，加大项目资金监督力度，严格执行会议审议程序和财务审议程序。</w:t>
      </w:r>
    </w:p>
    <w:p>
      <w:pPr>
        <w:keepNext w:val="0"/>
        <w:keepLines w:val="0"/>
        <w:pageBreakBefore w:val="0"/>
        <w:widowControl w:val="0"/>
        <w:kinsoku/>
        <w:wordWrap/>
        <w:overflowPunct/>
        <w:topLinePunct w:val="0"/>
        <w:autoSpaceDE/>
        <w:autoSpaceDN/>
        <w:bidi w:val="0"/>
        <w:spacing w:line="560" w:lineRule="exact"/>
        <w:ind w:firstLine="643" w:firstLineChars="200"/>
        <w:rPr>
          <w:rFonts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（二）存在的问题</w:t>
      </w:r>
    </w:p>
    <w:p>
      <w:pPr>
        <w:keepNext w:val="0"/>
        <w:keepLines w:val="0"/>
        <w:pageBreakBefore w:val="0"/>
        <w:widowControl w:val="0"/>
        <w:kinsoku/>
        <w:wordWrap/>
        <w:overflowPunct/>
        <w:topLinePunct w:val="0"/>
        <w:autoSpaceDE/>
        <w:autoSpaceDN/>
        <w:bidi w:val="0"/>
        <w:spacing w:line="560" w:lineRule="exact"/>
        <w:ind w:firstLine="643" w:firstLineChars="200"/>
        <w:rPr>
          <w:rFonts w:ascii="Times New Roman" w:hAnsi="Times New Roman" w:eastAsia="仿宋_GB2312"/>
          <w:sz w:val="32"/>
          <w:szCs w:val="33"/>
        </w:rPr>
      </w:pPr>
      <w:r>
        <w:rPr>
          <w:rFonts w:hint="eastAsia" w:ascii="Times New Roman" w:hAnsi="Times New Roman" w:eastAsia="仿宋_GB2312"/>
          <w:b/>
          <w:bCs/>
          <w:color w:val="auto"/>
          <w:sz w:val="32"/>
          <w:szCs w:val="33"/>
          <w:lang w:val="en-US" w:eastAsia="zh-CN"/>
        </w:rPr>
        <w:t>一是</w:t>
      </w:r>
      <w:r>
        <w:rPr>
          <w:rFonts w:hint="eastAsia" w:ascii="Times New Roman" w:hAnsi="Times New Roman" w:eastAsia="仿宋_GB2312"/>
          <w:sz w:val="32"/>
          <w:szCs w:val="33"/>
        </w:rPr>
        <w:t>部分项目的规范性不够，导致个别项目未完成任务指标。在档案建立、儿、妇保管理、慢性病随访等方面，个别信息缺乏真实性、逻辑性，档案存在漏项、缺项、涂改、填写不规范现象；普通人群健康档案使用率较低。</w:t>
      </w:r>
      <w:r>
        <w:rPr>
          <w:rFonts w:hint="eastAsia" w:ascii="Times New Roman" w:hAnsi="Times New Roman" w:eastAsia="仿宋_GB2312"/>
          <w:b/>
          <w:bCs/>
          <w:sz w:val="32"/>
          <w:szCs w:val="33"/>
          <w:lang w:val="en-US" w:eastAsia="zh-CN"/>
        </w:rPr>
        <w:t>二是</w:t>
      </w:r>
      <w:r>
        <w:rPr>
          <w:rFonts w:hint="eastAsia" w:ascii="Times New Roman" w:hAnsi="Times New Roman" w:eastAsia="仿宋_GB2312"/>
          <w:sz w:val="32"/>
          <w:szCs w:val="33"/>
        </w:rPr>
        <w:t>未</w:t>
      </w:r>
      <w:r>
        <w:rPr>
          <w:rFonts w:hint="eastAsia" w:ascii="Times New Roman" w:hAnsi="Times New Roman" w:eastAsia="仿宋_GB2312"/>
          <w:sz w:val="32"/>
          <w:szCs w:val="33"/>
          <w:lang w:eastAsia="zh-CN"/>
        </w:rPr>
        <w:t>实现</w:t>
      </w:r>
      <w:r>
        <w:rPr>
          <w:rFonts w:hint="eastAsia" w:ascii="Times New Roman" w:hAnsi="Times New Roman" w:eastAsia="仿宋_GB2312"/>
          <w:sz w:val="32"/>
          <w:szCs w:val="33"/>
        </w:rPr>
        <w:t>跨区域数据互联互通，信息系统支撑能力不足，各系统之间互联互通不到位，统计查询功能不完善，需要工作人员重复录入，影响工作效率。</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黑体"/>
          <w:sz w:val="32"/>
          <w:szCs w:val="33"/>
        </w:rPr>
      </w:pPr>
      <w:r>
        <w:rPr>
          <w:rFonts w:hint="eastAsia" w:ascii="Times New Roman" w:hAnsi="Times New Roman" w:eastAsia="黑体"/>
          <w:sz w:val="32"/>
          <w:szCs w:val="33"/>
        </w:rPr>
        <w:t>六、有关建议</w:t>
      </w:r>
    </w:p>
    <w:p>
      <w:pPr>
        <w:pStyle w:val="2"/>
        <w:keepNext w:val="0"/>
        <w:keepLines w:val="0"/>
        <w:pageBreakBefore w:val="0"/>
        <w:widowControl w:val="0"/>
        <w:kinsoku/>
        <w:wordWrap/>
        <w:overflowPunct/>
        <w:topLinePunct w:val="0"/>
        <w:autoSpaceDE/>
        <w:autoSpaceDN/>
        <w:bidi w:val="0"/>
        <w:spacing w:line="560" w:lineRule="exact"/>
        <w:ind w:firstLine="643" w:firstLineChars="200"/>
        <w:rPr>
          <w:rFonts w:hint="eastAsia" w:ascii="方正楷体_GBK" w:hAnsi="方正楷体_GBK" w:eastAsia="楷体_GB2312" w:cs="方正楷体_GBK"/>
          <w:b/>
          <w:bCs/>
          <w:sz w:val="32"/>
          <w:szCs w:val="33"/>
          <w:lang w:eastAsia="zh-CN"/>
        </w:rPr>
      </w:pPr>
      <w:r>
        <w:rPr>
          <w:rFonts w:hint="eastAsia" w:ascii="方正楷体_GBK" w:hAnsi="方正楷体_GBK" w:eastAsia="楷体_GB2312" w:cs="方正楷体_GBK"/>
          <w:b/>
          <w:bCs/>
          <w:sz w:val="32"/>
          <w:szCs w:val="33"/>
          <w:lang w:eastAsia="zh-CN"/>
        </w:rPr>
        <w:t>（</w:t>
      </w:r>
      <w:r>
        <w:rPr>
          <w:rFonts w:hint="eastAsia" w:ascii="方正楷体_GBK" w:hAnsi="方正楷体_GBK" w:eastAsia="楷体_GB2312" w:cs="方正楷体_GBK"/>
          <w:b/>
          <w:bCs/>
          <w:sz w:val="32"/>
          <w:szCs w:val="33"/>
          <w:lang w:val="en-US" w:eastAsia="zh-CN"/>
        </w:rPr>
        <w:t>一</w:t>
      </w:r>
      <w:r>
        <w:rPr>
          <w:rFonts w:hint="eastAsia" w:ascii="方正楷体_GBK" w:hAnsi="方正楷体_GBK" w:eastAsia="楷体_GB2312" w:cs="方正楷体_GBK"/>
          <w:b/>
          <w:bCs/>
          <w:sz w:val="32"/>
          <w:szCs w:val="33"/>
          <w:lang w:eastAsia="zh-CN"/>
        </w:rPr>
        <w:t>）重视人才培养，提升能力建设</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sz w:val="32"/>
          <w:szCs w:val="33"/>
        </w:rPr>
      </w:pPr>
      <w:r>
        <w:rPr>
          <w:rFonts w:hint="eastAsia" w:ascii="Times New Roman" w:hAnsi="Times New Roman" w:eastAsia="仿宋_GB2312"/>
          <w:sz w:val="32"/>
          <w:szCs w:val="33"/>
        </w:rPr>
        <w:t>持续开展《国家基本公卫规范（第三版）》培训，完善绩效考核制度。按照中心管站的一体化要求，做好对辖区内社区卫生服务站、村卫生室的业务指导，提高整体服务能力和素质。</w:t>
      </w:r>
    </w:p>
    <w:p>
      <w:pPr>
        <w:pStyle w:val="2"/>
        <w:keepNext w:val="0"/>
        <w:keepLines w:val="0"/>
        <w:pageBreakBefore w:val="0"/>
        <w:widowControl w:val="0"/>
        <w:kinsoku/>
        <w:wordWrap/>
        <w:overflowPunct/>
        <w:topLinePunct w:val="0"/>
        <w:autoSpaceDE/>
        <w:autoSpaceDN/>
        <w:bidi w:val="0"/>
        <w:spacing w:line="560" w:lineRule="exact"/>
        <w:ind w:firstLine="643" w:firstLineChars="200"/>
        <w:rPr>
          <w:rFonts w:hint="eastAsia"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lang w:eastAsia="zh-CN"/>
        </w:rPr>
        <w:t>（</w:t>
      </w:r>
      <w:r>
        <w:rPr>
          <w:rFonts w:hint="eastAsia" w:ascii="方正楷体_GBK" w:hAnsi="方正楷体_GBK" w:eastAsia="楷体_GB2312" w:cs="方正楷体_GBK"/>
          <w:b/>
          <w:bCs/>
          <w:sz w:val="32"/>
          <w:szCs w:val="33"/>
          <w:lang w:val="en-US" w:eastAsia="zh-CN"/>
        </w:rPr>
        <w:t>二</w:t>
      </w:r>
      <w:r>
        <w:rPr>
          <w:rFonts w:hint="eastAsia" w:ascii="方正楷体_GBK" w:hAnsi="方正楷体_GBK" w:eastAsia="楷体_GB2312" w:cs="方正楷体_GBK"/>
          <w:b/>
          <w:bCs/>
          <w:sz w:val="32"/>
          <w:szCs w:val="33"/>
          <w:lang w:eastAsia="zh-CN"/>
        </w:rPr>
        <w:t>）</w:t>
      </w:r>
      <w:r>
        <w:rPr>
          <w:rFonts w:hint="eastAsia" w:ascii="方正楷体_GBK" w:hAnsi="方正楷体_GBK" w:eastAsia="楷体_GB2312" w:cs="方正楷体_GBK"/>
          <w:b/>
          <w:bCs/>
          <w:sz w:val="32"/>
          <w:szCs w:val="33"/>
        </w:rPr>
        <w:t>整合信息系统，促进信息共享</w:t>
      </w:r>
    </w:p>
    <w:p>
      <w:pPr>
        <w:pStyle w:val="2"/>
        <w:keepNext w:val="0"/>
        <w:keepLines w:val="0"/>
        <w:pageBreakBefore w:val="0"/>
        <w:widowControl w:val="0"/>
        <w:kinsoku/>
        <w:wordWrap/>
        <w:overflowPunct/>
        <w:topLinePunct w:val="0"/>
        <w:autoSpaceDE/>
        <w:autoSpaceDN/>
        <w:bidi w:val="0"/>
        <w:spacing w:line="560" w:lineRule="exact"/>
        <w:ind w:firstLine="640" w:firstLineChars="200"/>
      </w:pPr>
      <w:r>
        <w:rPr>
          <w:rFonts w:hint="eastAsia" w:ascii="Times New Roman" w:hAnsi="Times New Roman" w:eastAsia="仿宋_GB2312"/>
          <w:sz w:val="32"/>
          <w:szCs w:val="33"/>
        </w:rPr>
        <w:t>加快推进卫生信息一体化建设。有效整合基本公共卫生服务项目与计划免疫、妇幼保健、严重精神障碍、肺结核、慢性病等其他信息系统的融合，减轻基层人员工作量。实现互联互通、资源信息共享。最大化提高基本公共卫生服务项目的工作效率。</w:t>
      </w:r>
    </w:p>
    <w:p>
      <w:pPr>
        <w:keepNext w:val="0"/>
        <w:keepLines w:val="0"/>
        <w:pageBreakBefore w:val="0"/>
        <w:widowControl w:val="0"/>
        <w:kinsoku/>
        <w:wordWrap/>
        <w:overflowPunct/>
        <w:topLinePunct w:val="0"/>
        <w:autoSpaceDE/>
        <w:autoSpaceDN/>
        <w:bidi w:val="0"/>
        <w:spacing w:line="560" w:lineRule="exact"/>
      </w:pPr>
      <w:r>
        <w:br w:type="page"/>
      </w:r>
    </w:p>
    <w:p>
      <w:pPr>
        <w:spacing w:line="600" w:lineRule="exact"/>
        <w:rPr>
          <w:rFonts w:ascii="Times New Roman" w:hAnsi="Times New Roman" w:eastAsia="黑体"/>
          <w:sz w:val="32"/>
          <w:szCs w:val="33"/>
        </w:rPr>
      </w:pPr>
      <w:r>
        <w:rPr>
          <w:rFonts w:ascii="Times New Roman" w:hAnsi="Times New Roman" w:eastAsia="黑体"/>
          <w:sz w:val="32"/>
          <w:szCs w:val="33"/>
        </w:rPr>
        <w:t>附件10</w:t>
      </w:r>
    </w:p>
    <w:p>
      <w:pPr>
        <w:snapToGrid w:val="0"/>
        <w:spacing w:line="600" w:lineRule="exact"/>
        <w:jc w:val="center"/>
        <w:rPr>
          <w:rFonts w:ascii="方正小标宋简体" w:hAnsi="宋体" w:eastAsia="方正小标宋简体"/>
          <w:b/>
          <w:bCs/>
          <w:sz w:val="36"/>
          <w:szCs w:val="36"/>
        </w:rPr>
      </w:pPr>
      <w:r>
        <w:rPr>
          <w:rFonts w:hint="eastAsia" w:ascii="方正小标宋_GBK" w:hAnsi="方正小标宋_GBK" w:eastAsia="方正小标宋_GBK" w:cs="方正小标宋_GBK"/>
          <w:b/>
          <w:bCs/>
          <w:sz w:val="36"/>
          <w:szCs w:val="36"/>
        </w:rPr>
        <w:t>2022年西区环卫生产经费绩效评价报告</w:t>
      </w:r>
    </w:p>
    <w:p>
      <w:pPr>
        <w:pStyle w:val="2"/>
        <w:keepNext w:val="0"/>
        <w:keepLines w:val="0"/>
        <w:pageBreakBefore w:val="0"/>
        <w:widowControl w:val="0"/>
        <w:kinsoku/>
        <w:wordWrap/>
        <w:overflowPunct/>
        <w:topLinePunct w:val="0"/>
        <w:autoSpaceDE/>
        <w:autoSpaceDN/>
        <w:bidi w:val="0"/>
        <w:adjustRightInd/>
        <w:snapToGrid/>
        <w:spacing w:before="157" w:beforeLines="50" w:line="560" w:lineRule="exact"/>
        <w:ind w:left="0" w:firstLine="640" w:firstLineChars="200"/>
        <w:textAlignment w:val="baseline"/>
      </w:pPr>
      <w:r>
        <w:rPr>
          <w:rFonts w:ascii="Times New Roman" w:hAnsi="Times New Roman" w:eastAsia="仿宋_GB2312"/>
          <w:sz w:val="32"/>
          <w:szCs w:val="33"/>
        </w:rPr>
        <w:t>根据《中华人民共和国预算法》《中共四川省委 四川省人民政府关于全面实施预算绩效管理的实施意见》以及市第十届人大常委会第四次会</w:t>
      </w:r>
      <w:r>
        <w:rPr>
          <w:rFonts w:hint="default" w:ascii="Times New Roman" w:hAnsi="Times New Roman" w:eastAsia="仿宋_GB2312" w:cs="Times New Roman"/>
          <w:sz w:val="32"/>
          <w:szCs w:val="33"/>
        </w:rPr>
        <w:t>议提出的</w:t>
      </w:r>
      <w:r>
        <w:rPr>
          <w:rFonts w:hint="eastAsia" w:ascii="Times New Roman" w:hAnsi="Times New Roman" w:eastAsia="仿宋_GB2312" w:cs="Times New Roman"/>
          <w:sz w:val="32"/>
          <w:szCs w:val="33"/>
          <w:lang w:eastAsia="zh-CN"/>
        </w:rPr>
        <w:t>“</w:t>
      </w:r>
      <w:r>
        <w:rPr>
          <w:rFonts w:hint="default" w:ascii="Times New Roman" w:hAnsi="Times New Roman" w:eastAsia="仿宋_GB2312" w:cs="Times New Roman"/>
          <w:sz w:val="32"/>
          <w:szCs w:val="33"/>
        </w:rPr>
        <w:t>进一步完善财政支出绩效评价制度，尤其是对评价结果的运用制度</w:t>
      </w:r>
      <w:r>
        <w:rPr>
          <w:rFonts w:hint="eastAsia" w:ascii="Times New Roman" w:hAnsi="Times New Roman" w:eastAsia="仿宋_GB2312" w:cs="Times New Roman"/>
          <w:sz w:val="32"/>
          <w:szCs w:val="33"/>
          <w:lang w:eastAsia="zh-CN"/>
        </w:rPr>
        <w:t>”</w:t>
      </w:r>
      <w:r>
        <w:rPr>
          <w:rFonts w:hint="default" w:ascii="Times New Roman" w:hAnsi="Times New Roman" w:eastAsia="仿宋_GB2312" w:cs="Times New Roman"/>
          <w:sz w:val="32"/>
          <w:szCs w:val="33"/>
        </w:rPr>
        <w:t>等要求</w:t>
      </w:r>
      <w:r>
        <w:rPr>
          <w:rFonts w:ascii="Times New Roman" w:hAnsi="Times New Roman" w:eastAsia="仿宋_GB2312"/>
          <w:sz w:val="32"/>
          <w:szCs w:val="33"/>
        </w:rPr>
        <w:t>，于20</w:t>
      </w:r>
      <w:r>
        <w:rPr>
          <w:rFonts w:hint="eastAsia" w:ascii="Times New Roman" w:hAnsi="Times New Roman" w:eastAsia="仿宋_GB2312"/>
          <w:sz w:val="32"/>
          <w:szCs w:val="33"/>
        </w:rPr>
        <w:t>2</w:t>
      </w:r>
      <w:r>
        <w:rPr>
          <w:rFonts w:ascii="Times New Roman" w:hAnsi="Times New Roman" w:eastAsia="仿宋_GB2312"/>
          <w:sz w:val="32"/>
          <w:szCs w:val="33"/>
        </w:rPr>
        <w:t>3年6月至7月对</w:t>
      </w:r>
      <w:r>
        <w:rPr>
          <w:rFonts w:hint="eastAsia" w:ascii="Times New Roman" w:hAnsi="Times New Roman" w:eastAsia="仿宋_GB2312"/>
          <w:sz w:val="32"/>
          <w:szCs w:val="33"/>
        </w:rPr>
        <w:t>2022年西区环卫生产经费</w:t>
      </w:r>
      <w:r>
        <w:rPr>
          <w:rFonts w:ascii="Times New Roman" w:hAnsi="Times New Roman" w:eastAsia="仿宋_GB2312"/>
          <w:sz w:val="32"/>
          <w:szCs w:val="33"/>
        </w:rPr>
        <w:t>开展了绩效评价，现将有关情况报告如下。</w:t>
      </w:r>
    </w:p>
    <w:p>
      <w:pPr>
        <w:keepNext w:val="0"/>
        <w:keepLines w:val="0"/>
        <w:pageBreakBefore w:val="0"/>
        <w:widowControl w:val="0"/>
        <w:tabs>
          <w:tab w:val="left" w:pos="3885"/>
        </w:tabs>
        <w:kinsoku/>
        <w:wordWrap/>
        <w:overflowPunct/>
        <w:topLinePunct w:val="0"/>
        <w:autoSpaceDE/>
        <w:autoSpaceDN/>
        <w:bidi w:val="0"/>
        <w:adjustRightInd/>
        <w:snapToGrid w:val="0"/>
        <w:spacing w:line="560" w:lineRule="exact"/>
        <w:ind w:firstLine="640" w:firstLineChars="200"/>
        <w:rPr>
          <w:rFonts w:ascii="方正黑体_GBK" w:hAnsi="方正黑体_GBK" w:eastAsia="黑体" w:cs="方正黑体_GBK"/>
          <w:sz w:val="32"/>
          <w:szCs w:val="33"/>
        </w:rPr>
      </w:pPr>
      <w:r>
        <w:rPr>
          <w:rFonts w:hint="eastAsia" w:ascii="方正黑体_GBK" w:hAnsi="方正黑体_GBK" w:eastAsia="黑体" w:cs="方正黑体_GBK"/>
          <w:sz w:val="32"/>
          <w:szCs w:val="33"/>
        </w:rPr>
        <w:t>一、基本情况</w:t>
      </w:r>
    </w:p>
    <w:p>
      <w:pPr>
        <w:keepNext w:val="0"/>
        <w:keepLines w:val="0"/>
        <w:pageBreakBefore w:val="0"/>
        <w:widowControl w:val="0"/>
        <w:kinsoku/>
        <w:wordWrap/>
        <w:overflowPunct/>
        <w:topLinePunct w:val="0"/>
        <w:autoSpaceDE/>
        <w:autoSpaceDN/>
        <w:bidi w:val="0"/>
        <w:adjustRightInd/>
        <w:spacing w:line="560" w:lineRule="exact"/>
        <w:ind w:firstLine="643" w:firstLineChars="200"/>
        <w:rPr>
          <w:rFonts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（一）项目概况</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ascii="Times New Roman" w:hAnsi="Times New Roman" w:eastAsia="仿宋_GB2312"/>
          <w:sz w:val="32"/>
          <w:szCs w:val="33"/>
        </w:rPr>
      </w:pPr>
      <w:r>
        <w:rPr>
          <w:rFonts w:hint="eastAsia" w:ascii="Times New Roman" w:hAnsi="Times New Roman" w:eastAsia="仿宋_GB2312"/>
          <w:sz w:val="32"/>
          <w:szCs w:val="33"/>
        </w:rPr>
        <w:t>2022年西区环卫生产经费</w:t>
      </w:r>
      <w:r>
        <w:rPr>
          <w:rFonts w:ascii="Times New Roman" w:hAnsi="Times New Roman" w:eastAsia="仿宋_GB2312"/>
          <w:sz w:val="32"/>
          <w:szCs w:val="33"/>
        </w:rPr>
        <w:t>，主要用于</w:t>
      </w:r>
      <w:r>
        <w:rPr>
          <w:rFonts w:hint="eastAsia" w:ascii="方正仿宋_GBK" w:hAnsi="方正仿宋_GBK" w:eastAsia="仿宋_GB2312" w:cs="方正仿宋_GBK"/>
          <w:kern w:val="0"/>
          <w:sz w:val="32"/>
          <w:szCs w:val="33"/>
        </w:rPr>
        <w:t>开展城乡环境整洁行动，垃圾清运、洒水降尘严格按标准执行，生活垃圾确保日产日清，环卫作业车辆保证车容整洁；开展辖区环境卫生整治行动，包括对积存垃圾的清理、商业城区、背街小巷、老旧社区环境卫生的整治，深入扬尘源头，对道路扬尘及抛撒现象清理控制。组织人员对积存垃圾进行彻底清理清运，加强主次干道、市政设施的清扫保洁力度。</w:t>
      </w:r>
      <w:r>
        <w:rPr>
          <w:rFonts w:hint="eastAsia" w:ascii="Times New Roman" w:hAnsi="Times New Roman" w:eastAsia="仿宋_GB2312"/>
          <w:sz w:val="32"/>
          <w:szCs w:val="33"/>
        </w:rPr>
        <w:t>2022年西区环卫生产经费</w:t>
      </w:r>
      <w:r>
        <w:rPr>
          <w:rFonts w:ascii="Times New Roman" w:hAnsi="Times New Roman" w:eastAsia="仿宋_GB2312"/>
          <w:sz w:val="32"/>
          <w:szCs w:val="33"/>
        </w:rPr>
        <w:t>预算资金</w:t>
      </w:r>
      <w:r>
        <w:rPr>
          <w:rFonts w:ascii="Times New Roman" w:hAnsi="Times New Roman" w:eastAsia="仿宋_GB2312"/>
          <w:spacing w:val="-6"/>
          <w:sz w:val="32"/>
          <w:szCs w:val="33"/>
        </w:rPr>
        <w:t>为</w:t>
      </w:r>
      <w:r>
        <w:rPr>
          <w:rFonts w:hint="eastAsia" w:ascii="Times New Roman" w:hAnsi="Times New Roman" w:eastAsia="仿宋_GB2312"/>
          <w:spacing w:val="-6"/>
          <w:sz w:val="32"/>
          <w:szCs w:val="33"/>
          <w:lang w:val="en-US" w:eastAsia="zh-CN"/>
        </w:rPr>
        <w:t>1016.85</w:t>
      </w:r>
      <w:r>
        <w:rPr>
          <w:rFonts w:hint="eastAsia" w:ascii="Times New Roman" w:hAnsi="Times New Roman" w:eastAsia="仿宋_GB2312"/>
          <w:spacing w:val="-6"/>
          <w:sz w:val="32"/>
          <w:szCs w:val="33"/>
        </w:rPr>
        <w:t>万元</w:t>
      </w:r>
      <w:r>
        <w:rPr>
          <w:rFonts w:ascii="Times New Roman" w:hAnsi="Times New Roman" w:eastAsia="仿宋_GB2312"/>
          <w:spacing w:val="-6"/>
          <w:sz w:val="32"/>
          <w:szCs w:val="33"/>
        </w:rPr>
        <w:t>，</w:t>
      </w:r>
      <w:r>
        <w:rPr>
          <w:rFonts w:hint="eastAsia" w:ascii="Times New Roman" w:hAnsi="Times New Roman" w:eastAsia="仿宋_GB2312"/>
          <w:spacing w:val="-6"/>
          <w:sz w:val="32"/>
          <w:szCs w:val="33"/>
        </w:rPr>
        <w:t>截至</w:t>
      </w:r>
      <w:r>
        <w:rPr>
          <w:rFonts w:ascii="Times New Roman" w:hAnsi="Times New Roman" w:eastAsia="仿宋_GB2312"/>
          <w:spacing w:val="-6"/>
          <w:sz w:val="32"/>
          <w:szCs w:val="33"/>
        </w:rPr>
        <w:t>2021年12月31日，项目资金已全部支付。</w:t>
      </w:r>
    </w:p>
    <w:p>
      <w:pPr>
        <w:keepNext w:val="0"/>
        <w:keepLines w:val="0"/>
        <w:pageBreakBefore w:val="0"/>
        <w:widowControl w:val="0"/>
        <w:kinsoku/>
        <w:wordWrap/>
        <w:overflowPunct/>
        <w:topLinePunct w:val="0"/>
        <w:autoSpaceDE/>
        <w:autoSpaceDN/>
        <w:bidi w:val="0"/>
        <w:adjustRightInd/>
        <w:spacing w:line="560" w:lineRule="exact"/>
        <w:ind w:firstLine="643" w:firstLineChars="200"/>
        <w:rPr>
          <w:rFonts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（二）项目绩效目标</w:t>
      </w:r>
    </w:p>
    <w:p>
      <w:pPr>
        <w:keepNext w:val="0"/>
        <w:keepLines w:val="0"/>
        <w:pageBreakBefore w:val="0"/>
        <w:widowControl w:val="0"/>
        <w:tabs>
          <w:tab w:val="left" w:pos="3885"/>
        </w:tabs>
        <w:kinsoku/>
        <w:wordWrap/>
        <w:overflowPunct/>
        <w:topLinePunct w:val="0"/>
        <w:autoSpaceDE/>
        <w:autoSpaceDN/>
        <w:bidi w:val="0"/>
        <w:adjustRightInd/>
        <w:snapToGrid w:val="0"/>
        <w:spacing w:line="560" w:lineRule="exact"/>
        <w:ind w:firstLine="640" w:firstLineChars="200"/>
      </w:pPr>
      <w:r>
        <w:rPr>
          <w:rFonts w:hint="eastAsia" w:ascii="Times New Roman" w:hAnsi="Times New Roman" w:eastAsia="仿宋_GB2312"/>
          <w:sz w:val="32"/>
          <w:szCs w:val="33"/>
        </w:rPr>
        <w:t>2022年，开展环境卫生巡查约360余</w:t>
      </w:r>
      <w:r>
        <w:rPr>
          <w:rFonts w:hint="eastAsia" w:ascii="Times New Roman" w:hAnsi="Times New Roman" w:eastAsia="仿宋_GB2312"/>
          <w:sz w:val="32"/>
          <w:szCs w:val="33"/>
          <w:highlight w:val="none"/>
        </w:rPr>
        <w:t>次，全年清运生活垃圾约36500吨，</w:t>
      </w:r>
      <w:r>
        <w:rPr>
          <w:rFonts w:hint="eastAsia" w:ascii="Times New Roman" w:hAnsi="Times New Roman" w:eastAsia="仿宋_GB2312"/>
          <w:sz w:val="32"/>
          <w:szCs w:val="33"/>
        </w:rPr>
        <w:t>清扫清洁西区所有街道及背街小巷176万平方米，洒水降尘用水约50000吨</w:t>
      </w:r>
      <w:r>
        <w:rPr>
          <w:rFonts w:hint="eastAsia" w:ascii="Times New Roman" w:hAnsi="Times New Roman" w:eastAsia="仿宋_GB2312"/>
          <w:sz w:val="32"/>
          <w:szCs w:val="33"/>
          <w:lang w:eastAsia="zh-CN"/>
        </w:rPr>
        <w:t>，</w:t>
      </w:r>
      <w:r>
        <w:rPr>
          <w:rFonts w:hint="eastAsia" w:ascii="Times New Roman" w:hAnsi="Times New Roman" w:eastAsia="仿宋_GB2312"/>
          <w:sz w:val="32"/>
          <w:szCs w:val="33"/>
        </w:rPr>
        <w:t>垃圾无害化处理率达100%。为保证清扫、清运工作时效性，清洁工人全年365天不休，确保生活垃圾正常转运、日产日清。</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ascii="Times New Roman" w:hAnsi="Times New Roman" w:eastAsia="黑体"/>
          <w:sz w:val="32"/>
          <w:szCs w:val="33"/>
        </w:rPr>
      </w:pPr>
      <w:r>
        <w:rPr>
          <w:rFonts w:ascii="Times New Roman" w:hAnsi="Times New Roman" w:eastAsia="黑体"/>
          <w:sz w:val="32"/>
          <w:szCs w:val="33"/>
        </w:rPr>
        <w:t>二、绩效评价工作开展情况</w:t>
      </w:r>
    </w:p>
    <w:p>
      <w:pPr>
        <w:keepNext w:val="0"/>
        <w:keepLines w:val="0"/>
        <w:pageBreakBefore w:val="0"/>
        <w:widowControl w:val="0"/>
        <w:kinsoku/>
        <w:wordWrap/>
        <w:overflowPunct/>
        <w:topLinePunct w:val="0"/>
        <w:autoSpaceDE/>
        <w:autoSpaceDN/>
        <w:bidi w:val="0"/>
        <w:adjustRightInd/>
        <w:spacing w:line="560" w:lineRule="exact"/>
        <w:ind w:firstLine="643" w:firstLineChars="200"/>
        <w:rPr>
          <w:rFonts w:ascii="方正楷体_GBK" w:hAnsi="方正楷体_GBK" w:eastAsia="楷体_GB2312" w:cs="方正楷体_GBK"/>
          <w:sz w:val="32"/>
          <w:szCs w:val="33"/>
        </w:rPr>
      </w:pPr>
      <w:r>
        <w:rPr>
          <w:rFonts w:hint="eastAsia" w:ascii="方正楷体_GBK" w:hAnsi="方正楷体_GBK" w:eastAsia="楷体_GB2312" w:cs="方正楷体_GBK"/>
          <w:b/>
          <w:bCs/>
          <w:sz w:val="32"/>
          <w:szCs w:val="33"/>
        </w:rPr>
        <w:t>（一）绩效评价目的、对象和范围</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ascii="Times New Roman" w:hAnsi="Times New Roman" w:eastAsia="仿宋_GB2312"/>
          <w:sz w:val="32"/>
          <w:szCs w:val="33"/>
        </w:rPr>
      </w:pPr>
      <w:r>
        <w:rPr>
          <w:rFonts w:hint="eastAsia" w:ascii="Times New Roman" w:hAnsi="Times New Roman" w:eastAsia="仿宋_GB2312"/>
          <w:sz w:val="32"/>
          <w:szCs w:val="33"/>
        </w:rPr>
        <w:t>从决策、过程、产出、效益、满意度等维度对2022年西区环卫生产经费的管理、审核和目标达成情况，</w:t>
      </w:r>
      <w:r>
        <w:rPr>
          <w:rFonts w:hint="eastAsia" w:ascii="Times New Roman" w:hAnsi="Times New Roman" w:eastAsia="仿宋_GB2312"/>
          <w:sz w:val="32"/>
          <w:szCs w:val="33"/>
          <w:lang w:val="en-US" w:eastAsia="zh-CN"/>
        </w:rPr>
        <w:t>1016.85</w:t>
      </w:r>
      <w:r>
        <w:rPr>
          <w:rFonts w:hint="eastAsia" w:ascii="Times New Roman" w:hAnsi="Times New Roman" w:eastAsia="仿宋_GB2312"/>
          <w:sz w:val="32"/>
          <w:szCs w:val="33"/>
        </w:rPr>
        <w:t>万元进行绩效评价，旨在总结工作成绩，发现实施管理中存在的问题和不足，提出改进意见和建议，强化项目管理，提高财政资金使用效益。</w:t>
      </w:r>
    </w:p>
    <w:p>
      <w:pPr>
        <w:keepNext w:val="0"/>
        <w:keepLines w:val="0"/>
        <w:pageBreakBefore w:val="0"/>
        <w:widowControl w:val="0"/>
        <w:kinsoku/>
        <w:wordWrap/>
        <w:overflowPunct/>
        <w:topLinePunct w:val="0"/>
        <w:autoSpaceDE/>
        <w:autoSpaceDN/>
        <w:bidi w:val="0"/>
        <w:adjustRightInd/>
        <w:spacing w:line="560" w:lineRule="exact"/>
        <w:ind w:firstLine="643" w:firstLineChars="200"/>
        <w:rPr>
          <w:rFonts w:ascii="方正楷体_GBK" w:hAnsi="方正楷体_GBK" w:eastAsia="楷体_GB2312" w:cs="方正楷体_GBK"/>
          <w:sz w:val="32"/>
          <w:szCs w:val="33"/>
        </w:rPr>
      </w:pPr>
      <w:r>
        <w:rPr>
          <w:rFonts w:hint="eastAsia" w:ascii="方正楷体_GBK" w:hAnsi="方正楷体_GBK" w:eastAsia="楷体_GB2312" w:cs="方正楷体_GBK"/>
          <w:b/>
          <w:bCs/>
          <w:sz w:val="32"/>
          <w:szCs w:val="33"/>
        </w:rPr>
        <w:t>（二）年度绩效评价原则、评价指标体系、评价方法、评价标准等</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ascii="Times New Roman" w:hAnsi="Times New Roman"/>
          <w:color w:val="000000"/>
          <w:szCs w:val="32"/>
        </w:rPr>
      </w:pPr>
      <w:r>
        <w:rPr>
          <w:rFonts w:hint="eastAsia" w:ascii="Times New Roman" w:hAnsi="Times New Roman" w:eastAsia="仿宋_GB2312"/>
          <w:sz w:val="32"/>
          <w:szCs w:val="33"/>
        </w:rPr>
        <w:t>本次绩效评价秉承科学公正、统筹兼顾、公开透明等原则，坚持定量与定性相结合的方式，综合运用成本效益分析法、比较法、因素分析法、公众评判法、标杆管理法等，分别依据计划标准、行业标准、历史标准等评价标准，对2022年西区环卫生产经费进行全面绩效评价。</w:t>
      </w:r>
    </w:p>
    <w:p>
      <w:pPr>
        <w:keepNext w:val="0"/>
        <w:keepLines w:val="0"/>
        <w:pageBreakBefore w:val="0"/>
        <w:widowControl w:val="0"/>
        <w:kinsoku/>
        <w:wordWrap/>
        <w:overflowPunct/>
        <w:topLinePunct w:val="0"/>
        <w:autoSpaceDE/>
        <w:autoSpaceDN/>
        <w:bidi w:val="0"/>
        <w:adjustRightInd/>
        <w:spacing w:line="560" w:lineRule="exact"/>
        <w:ind w:firstLine="643" w:firstLineChars="200"/>
        <w:rPr>
          <w:rFonts w:ascii="楷体_GB2312" w:hAnsi="楷体_GB2312" w:eastAsia="楷体_GB2312" w:cs="楷体_GB2312"/>
          <w:b/>
          <w:bCs/>
          <w:sz w:val="32"/>
          <w:szCs w:val="33"/>
        </w:rPr>
      </w:pPr>
      <w:r>
        <w:rPr>
          <w:rFonts w:hint="eastAsia" w:ascii="方正楷体_GBK" w:hAnsi="方正楷体_GBK" w:eastAsia="楷体_GB2312" w:cs="方正楷体_GBK"/>
          <w:b/>
          <w:bCs/>
          <w:sz w:val="32"/>
          <w:szCs w:val="33"/>
        </w:rPr>
        <w:t>（三）绩效评价方法及过程</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ascii="Times New Roman" w:hAnsi="Times New Roman" w:eastAsia="仿宋_GB2312"/>
          <w:sz w:val="32"/>
          <w:szCs w:val="33"/>
        </w:rPr>
      </w:pPr>
      <w:r>
        <w:rPr>
          <w:rFonts w:hint="eastAsia" w:ascii="Times New Roman" w:hAnsi="Times New Roman" w:eastAsia="仿宋_GB2312"/>
          <w:sz w:val="32"/>
          <w:szCs w:val="33"/>
        </w:rPr>
        <w:t>区财政局根据财政支出绩效评价指标体系及项目的实际情况设计指标体系进行评价，组织相关股室人员对该项目进行评价检查。</w:t>
      </w:r>
    </w:p>
    <w:p>
      <w:pPr>
        <w:keepNext w:val="0"/>
        <w:keepLines w:val="0"/>
        <w:pageBreakBefore w:val="0"/>
        <w:widowControl w:val="0"/>
        <w:kinsoku/>
        <w:wordWrap/>
        <w:overflowPunct/>
        <w:topLinePunct w:val="0"/>
        <w:autoSpaceDE/>
        <w:autoSpaceDN/>
        <w:bidi w:val="0"/>
        <w:adjustRightInd/>
        <w:spacing w:line="560" w:lineRule="exact"/>
        <w:ind w:firstLine="619" w:firstLineChars="200"/>
        <w:rPr>
          <w:rFonts w:ascii="Times New Roman" w:hAnsi="Times New Roman" w:eastAsia="仿宋_GB2312"/>
          <w:spacing w:val="-6"/>
          <w:sz w:val="32"/>
          <w:szCs w:val="33"/>
        </w:rPr>
      </w:pPr>
      <w:r>
        <w:rPr>
          <w:rFonts w:hint="eastAsia" w:ascii="Times New Roman" w:hAnsi="Times New Roman" w:eastAsia="仿宋_GB2312"/>
          <w:b/>
          <w:bCs/>
          <w:spacing w:val="-6"/>
          <w:sz w:val="32"/>
          <w:szCs w:val="33"/>
        </w:rPr>
        <w:t>1.资料收集。</w:t>
      </w:r>
      <w:r>
        <w:rPr>
          <w:rFonts w:hint="eastAsia" w:ascii="Times New Roman" w:hAnsi="Times New Roman" w:eastAsia="仿宋_GB2312"/>
          <w:spacing w:val="-6"/>
          <w:sz w:val="32"/>
          <w:szCs w:val="33"/>
        </w:rPr>
        <w:t>梳理项目资料，核实项目情况，统计项目数据。</w:t>
      </w:r>
    </w:p>
    <w:p>
      <w:pPr>
        <w:keepNext w:val="0"/>
        <w:keepLines w:val="0"/>
        <w:pageBreakBefore w:val="0"/>
        <w:widowControl w:val="0"/>
        <w:kinsoku/>
        <w:wordWrap/>
        <w:overflowPunct/>
        <w:topLinePunct w:val="0"/>
        <w:autoSpaceDE/>
        <w:autoSpaceDN/>
        <w:bidi w:val="0"/>
        <w:adjustRightInd/>
        <w:spacing w:line="560" w:lineRule="exact"/>
        <w:ind w:firstLine="643" w:firstLineChars="200"/>
        <w:rPr>
          <w:rFonts w:ascii="Times New Roman" w:hAnsi="Times New Roman" w:eastAsia="仿宋_GB2312"/>
          <w:sz w:val="32"/>
          <w:szCs w:val="33"/>
        </w:rPr>
      </w:pPr>
      <w:r>
        <w:rPr>
          <w:rFonts w:hint="eastAsia" w:ascii="Times New Roman" w:hAnsi="Times New Roman" w:eastAsia="仿宋_GB2312"/>
          <w:b/>
          <w:bCs/>
          <w:sz w:val="32"/>
          <w:szCs w:val="33"/>
        </w:rPr>
        <w:t>2.绩效评价。</w:t>
      </w:r>
      <w:r>
        <w:rPr>
          <w:rFonts w:hint="eastAsia" w:ascii="Times New Roman" w:hAnsi="Times New Roman" w:eastAsia="仿宋_GB2312"/>
          <w:sz w:val="32"/>
          <w:szCs w:val="33"/>
        </w:rPr>
        <w:t>根据资料收集的情况，按照支出绩效评价指标体系，以定量与定性相结合的方式，对项目绩效情况进行判断，对项目存在的问题进行分析，对各项考评指标进行自评。</w:t>
      </w:r>
    </w:p>
    <w:p>
      <w:pPr>
        <w:pStyle w:val="2"/>
        <w:keepNext w:val="0"/>
        <w:keepLines w:val="0"/>
        <w:pageBreakBefore w:val="0"/>
        <w:widowControl w:val="0"/>
        <w:kinsoku/>
        <w:wordWrap/>
        <w:overflowPunct/>
        <w:topLinePunct w:val="0"/>
        <w:autoSpaceDE/>
        <w:autoSpaceDN/>
        <w:bidi w:val="0"/>
        <w:adjustRightInd/>
        <w:spacing w:line="560" w:lineRule="exact"/>
        <w:ind w:firstLine="643" w:firstLineChars="200"/>
      </w:pPr>
      <w:r>
        <w:rPr>
          <w:rFonts w:hint="eastAsia" w:ascii="Times New Roman" w:hAnsi="Times New Roman" w:eastAsia="仿宋_GB2312"/>
          <w:b/>
          <w:bCs/>
          <w:sz w:val="32"/>
          <w:szCs w:val="33"/>
        </w:rPr>
        <w:t>3.撰写报告。</w:t>
      </w:r>
      <w:r>
        <w:rPr>
          <w:rFonts w:hint="eastAsia" w:ascii="Times New Roman" w:hAnsi="Times New Roman" w:eastAsia="仿宋_GB2312"/>
          <w:sz w:val="32"/>
          <w:szCs w:val="33"/>
        </w:rPr>
        <w:t>结合项目定性与定量评价分析，得出评价结论，并撰写评价报告。</w:t>
      </w:r>
    </w:p>
    <w:p>
      <w:pPr>
        <w:keepNext w:val="0"/>
        <w:keepLines w:val="0"/>
        <w:pageBreakBefore w:val="0"/>
        <w:widowControl w:val="0"/>
        <w:tabs>
          <w:tab w:val="left" w:pos="3885"/>
        </w:tabs>
        <w:kinsoku/>
        <w:wordWrap/>
        <w:overflowPunct/>
        <w:topLinePunct w:val="0"/>
        <w:autoSpaceDE/>
        <w:autoSpaceDN/>
        <w:bidi w:val="0"/>
        <w:adjustRightInd/>
        <w:snapToGrid w:val="0"/>
        <w:spacing w:line="560" w:lineRule="exact"/>
        <w:ind w:firstLine="640" w:firstLineChars="200"/>
        <w:rPr>
          <w:rFonts w:ascii="方正黑体_GBK" w:hAnsi="方正黑体_GBK" w:eastAsia="黑体" w:cs="方正黑体_GBK"/>
          <w:sz w:val="32"/>
          <w:szCs w:val="33"/>
        </w:rPr>
      </w:pPr>
      <w:r>
        <w:rPr>
          <w:rFonts w:hint="eastAsia" w:ascii="方正黑体_GBK" w:hAnsi="方正黑体_GBK" w:eastAsia="黑体" w:cs="方正黑体_GBK"/>
          <w:sz w:val="32"/>
          <w:szCs w:val="33"/>
        </w:rPr>
        <w:t>三、</w:t>
      </w:r>
      <w:r>
        <w:rPr>
          <w:rFonts w:ascii="Times New Roman" w:hAnsi="Times New Roman" w:eastAsia="黑体"/>
          <w:sz w:val="32"/>
          <w:szCs w:val="33"/>
        </w:rPr>
        <w:t>综合评价情况及评价结论（附相关评分表）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ascii="Times New Roman" w:hAnsi="Times New Roman"/>
          <w:b/>
          <w:sz w:val="24"/>
          <w:szCs w:val="32"/>
          <w:lang w:val="zh-CN"/>
        </w:rPr>
      </w:pPr>
      <w:r>
        <w:rPr>
          <w:rFonts w:hint="eastAsia" w:ascii="方正仿宋_GBK" w:hAnsi="方正仿宋_GBK" w:eastAsia="仿宋_GB2312" w:cs="方正仿宋_GBK"/>
          <w:sz w:val="32"/>
          <w:szCs w:val="33"/>
        </w:rPr>
        <w:t>总体来看，西区市容环境卫生服务中心</w:t>
      </w:r>
      <w:r>
        <w:rPr>
          <w:rFonts w:hint="eastAsia" w:ascii="Times New Roman" w:hAnsi="Times New Roman" w:eastAsia="仿宋_GB2312"/>
          <w:sz w:val="32"/>
          <w:szCs w:val="33"/>
        </w:rPr>
        <w:t>2022</w:t>
      </w:r>
      <w:r>
        <w:rPr>
          <w:rFonts w:hint="eastAsia" w:ascii="方正仿宋_GBK" w:hAnsi="方正仿宋_GBK" w:eastAsia="仿宋_GB2312" w:cs="方正仿宋_GBK"/>
          <w:sz w:val="32"/>
          <w:szCs w:val="33"/>
        </w:rPr>
        <w:t>年二季度西区环卫生产经费项目</w:t>
      </w:r>
      <w:r>
        <w:rPr>
          <w:rFonts w:ascii="Times New Roman" w:hAnsi="Times New Roman" w:eastAsia="仿宋_GB2312"/>
          <w:sz w:val="32"/>
          <w:szCs w:val="33"/>
        </w:rPr>
        <w:t>基本达到预期绩效目标，绩效评价结果为良好，总体评价得分9</w:t>
      </w:r>
      <w:r>
        <w:rPr>
          <w:rFonts w:hint="eastAsia" w:ascii="Times New Roman" w:hAnsi="Times New Roman" w:eastAsia="仿宋_GB2312"/>
          <w:sz w:val="32"/>
          <w:szCs w:val="33"/>
        </w:rPr>
        <w:t>6</w:t>
      </w:r>
      <w:r>
        <w:rPr>
          <w:rFonts w:ascii="Times New Roman" w:hAnsi="Times New Roman" w:eastAsia="仿宋_GB2312"/>
          <w:sz w:val="32"/>
          <w:szCs w:val="33"/>
        </w:rPr>
        <w:t>分。具体评价情况见下表</w:t>
      </w:r>
      <w:r>
        <w:rPr>
          <w:rFonts w:hint="eastAsia" w:ascii="Times New Roman" w:hAnsi="Times New Roman" w:eastAsia="仿宋_GB2312"/>
          <w:sz w:val="32"/>
          <w:szCs w:val="33"/>
        </w:rPr>
        <w:t>。</w:t>
      </w:r>
    </w:p>
    <w:p>
      <w:pPr>
        <w:adjustRightInd w:val="0"/>
        <w:snapToGrid w:val="0"/>
        <w:spacing w:before="156" w:beforeLines="50" w:after="156" w:afterLines="50"/>
        <w:jc w:val="center"/>
        <w:rPr>
          <w:rFonts w:ascii="Times New Roman" w:hAnsi="Times New Roman" w:eastAsia="仿宋"/>
          <w:sz w:val="33"/>
          <w:szCs w:val="33"/>
        </w:rPr>
      </w:pPr>
      <w:r>
        <w:rPr>
          <w:rFonts w:hint="eastAsia" w:ascii="Times New Roman" w:hAnsi="Times New Roman"/>
          <w:b/>
          <w:sz w:val="24"/>
          <w:szCs w:val="32"/>
          <w:lang w:val="zh-CN"/>
        </w:rPr>
        <w:t>2022年二季度西区环卫生产经费</w:t>
      </w:r>
      <w:r>
        <w:rPr>
          <w:rFonts w:ascii="Times New Roman" w:hAnsi="Times New Roman"/>
          <w:b/>
          <w:sz w:val="24"/>
          <w:szCs w:val="32"/>
          <w:lang w:val="zh-CN"/>
        </w:rPr>
        <w:t>绩效得分表</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1701"/>
        <w:gridCol w:w="2427"/>
        <w:gridCol w:w="1343"/>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12" w:type="dxa"/>
            <w:vAlign w:val="center"/>
          </w:tcPr>
          <w:p>
            <w:pPr>
              <w:adjustRightInd w:val="0"/>
              <w:snapToGrid w:val="0"/>
              <w:jc w:val="center"/>
              <w:rPr>
                <w:rFonts w:ascii="Times New Roman" w:hAnsi="Times New Roman"/>
                <w:b/>
                <w:sz w:val="28"/>
                <w:szCs w:val="28"/>
              </w:rPr>
            </w:pPr>
            <w:r>
              <w:rPr>
                <w:rFonts w:ascii="Times New Roman" w:hAnsi="Times New Roman"/>
                <w:b/>
                <w:sz w:val="20"/>
                <w:szCs w:val="20"/>
              </w:rPr>
              <w:t>一级指标</w:t>
            </w:r>
            <w:r>
              <w:rPr>
                <w:rFonts w:ascii="Times New Roman" w:hAnsi="Times New Roman"/>
                <w:b/>
                <w:sz w:val="20"/>
                <w:szCs w:val="20"/>
              </w:rPr>
              <mc:AlternateContent>
                <mc:Choice Requires="wps">
                  <w:drawing>
                    <wp:anchor distT="0" distB="0" distL="114300" distR="114300" simplePos="0" relativeHeight="251669504"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93" name="直接连接符 9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69504;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e&#10;SAOW1QAAAAkBAAAPAAAAAAAAAAEAIAAAACIAAABkcnMvZG93bnJldi54bWxQSwECFAAUAAAACACH&#10;TuJAiL2nN+4BAADkAwAADgAAAAAAAAABACAAAAAkAQAAZHJzL2Uyb0RvYy54bWxQSwUGAAAAAAYA&#10;BgBZAQAAhAUAAAAA&#10;">
                      <v:fill on="f" focussize="0,0"/>
                      <v:stroke color="#000000" joinstyle="round"/>
                      <v:imagedata o:title=""/>
                      <o:lock v:ext="edit" aspectratio="f"/>
                    </v:line>
                  </w:pict>
                </mc:Fallback>
              </mc:AlternateContent>
            </w:r>
            <w:r>
              <w:rPr>
                <w:rFonts w:ascii="Times New Roman" w:hAnsi="Times New Roman"/>
                <w:b/>
                <w:sz w:val="20"/>
                <w:szCs w:val="20"/>
              </w:rPr>
              <mc:AlternateContent>
                <mc:Choice Requires="wps">
                  <w:drawing>
                    <wp:anchor distT="0" distB="0" distL="114300" distR="114300" simplePos="0" relativeHeight="251670528"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94" name="直接连接符 9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70528;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e&#10;SAOW1QAAAAkBAAAPAAAAAAAAAAEAIAAAACIAAABkcnMvZG93bnJldi54bWxQSwECFAAUAAAACACH&#10;TuJAg4vlUu4BAADkAwAADgAAAAAAAAABACAAAAAkAQAAZHJzL2Uyb0RvYy54bWxQSwUGAAAAAAYA&#10;BgBZAQAAhAUAAAAA&#10;">
                      <v:fill on="f" focussize="0,0"/>
                      <v:stroke color="#000000" joinstyle="round"/>
                      <v:imagedata o:title=""/>
                      <o:lock v:ext="edit" aspectratio="f"/>
                    </v:line>
                  </w:pict>
                </mc:Fallback>
              </mc:AlternateContent>
            </w:r>
            <w:r>
              <w:rPr>
                <w:rFonts w:ascii="Times New Roman" w:hAnsi="Times New Roman"/>
                <w:b/>
                <w:sz w:val="20"/>
                <w:szCs w:val="20"/>
              </w:rPr>
              <mc:AlternateContent>
                <mc:Choice Requires="wps">
                  <w:drawing>
                    <wp:anchor distT="0" distB="0" distL="114300" distR="114300" simplePos="0" relativeHeight="251671552"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95" name="直接连接符 9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71552;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kgD&#10;ltUAAAAJAQAADwAAAAAAAAABACAAAAAiAAAAZHJzL2Rvd25yZXYueG1sUEsBAhQAFAAAAAgAh07i&#10;QBuCzorsAQAA5AMAAA4AAAAAAAAAAQAgAAAAJAEAAGRycy9lMm9Eb2MueG1sUEsFBgAAAAAGAAYA&#10;WQEAAIIFAAAAAA==&#10;">
                      <v:fill on="f" focussize="0,0"/>
                      <v:stroke color="#000000" joinstyle="round"/>
                      <v:imagedata o:title=""/>
                      <o:lock v:ext="edit" aspectratio="f"/>
                    </v:line>
                  </w:pict>
                </mc:Fallback>
              </mc:AlternateContent>
            </w:r>
            <w:r>
              <w:rPr>
                <w:rFonts w:ascii="Times New Roman" w:hAnsi="Times New Roman"/>
                <w:b/>
                <w:sz w:val="20"/>
                <w:szCs w:val="20"/>
              </w:rPr>
              <mc:AlternateContent>
                <mc:Choice Requires="wps">
                  <w:drawing>
                    <wp:anchor distT="0" distB="0" distL="114300" distR="114300" simplePos="0" relativeHeight="251672576"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96" name="直接连接符 9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72576;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e&#10;SAOW1QAAAAkBAAAPAAAAAAAAAAEAIAAAACIAAABkcnMvZG93bnJldi54bWxQSwECFAAUAAAACACH&#10;TuJA8p7COe4BAADkAwAADgAAAAAAAAABACAAAAAkAQAAZHJzL2Uyb0RvYy54bWxQSwUGAAAAAAYA&#10;BgBZAQAAhAUAAAAA&#10;">
                      <v:fill on="f" focussize="0,0"/>
                      <v:stroke color="#000000" joinstyle="round"/>
                      <v:imagedata o:title=""/>
                      <o:lock v:ext="edit" aspectratio="f"/>
                    </v:line>
                  </w:pict>
                </mc:Fallback>
              </mc:AlternateContent>
            </w:r>
          </w:p>
        </w:tc>
        <w:tc>
          <w:tcPr>
            <w:tcW w:w="1701" w:type="dxa"/>
            <w:vAlign w:val="center"/>
          </w:tcPr>
          <w:p>
            <w:pPr>
              <w:adjustRightInd w:val="0"/>
              <w:snapToGrid w:val="0"/>
              <w:jc w:val="center"/>
              <w:rPr>
                <w:rFonts w:ascii="Times New Roman" w:hAnsi="Times New Roman"/>
                <w:b/>
                <w:sz w:val="28"/>
                <w:szCs w:val="28"/>
              </w:rPr>
            </w:pPr>
            <w:r>
              <w:rPr>
                <w:rFonts w:ascii="Times New Roman" w:hAnsi="Times New Roman"/>
                <w:b/>
                <w:sz w:val="20"/>
                <w:szCs w:val="20"/>
              </w:rPr>
              <w:t>二级指标</w:t>
            </w:r>
          </w:p>
        </w:tc>
        <w:tc>
          <w:tcPr>
            <w:tcW w:w="2427" w:type="dxa"/>
            <w:vAlign w:val="center"/>
          </w:tcPr>
          <w:p>
            <w:pPr>
              <w:adjustRightInd w:val="0"/>
              <w:snapToGrid w:val="0"/>
              <w:jc w:val="center"/>
              <w:rPr>
                <w:rFonts w:ascii="Times New Roman" w:hAnsi="Times New Roman"/>
                <w:b/>
                <w:sz w:val="28"/>
                <w:szCs w:val="28"/>
              </w:rPr>
            </w:pPr>
            <w:r>
              <w:rPr>
                <w:rFonts w:ascii="Times New Roman" w:hAnsi="Times New Roman"/>
                <w:b/>
                <w:sz w:val="20"/>
                <w:szCs w:val="20"/>
              </w:rPr>
              <w:t>三级指标</w:t>
            </w:r>
          </w:p>
        </w:tc>
        <w:tc>
          <w:tcPr>
            <w:tcW w:w="1343" w:type="dxa"/>
            <w:vAlign w:val="center"/>
          </w:tcPr>
          <w:p>
            <w:pPr>
              <w:adjustRightInd w:val="0"/>
              <w:snapToGrid w:val="0"/>
              <w:jc w:val="center"/>
              <w:rPr>
                <w:rFonts w:ascii="Times New Roman" w:hAnsi="Times New Roman"/>
                <w:b/>
                <w:sz w:val="28"/>
                <w:szCs w:val="28"/>
              </w:rPr>
            </w:pPr>
            <w:r>
              <w:rPr>
                <w:rFonts w:ascii="Times New Roman" w:hAnsi="Times New Roman"/>
                <w:b/>
                <w:sz w:val="20"/>
                <w:szCs w:val="20"/>
              </w:rPr>
              <w:t>分值</w:t>
            </w:r>
          </w:p>
        </w:tc>
        <w:tc>
          <w:tcPr>
            <w:tcW w:w="1139" w:type="dxa"/>
            <w:vAlign w:val="center"/>
          </w:tcPr>
          <w:p>
            <w:pPr>
              <w:adjustRightInd w:val="0"/>
              <w:snapToGrid w:val="0"/>
              <w:jc w:val="center"/>
              <w:rPr>
                <w:rFonts w:ascii="Times New Roman" w:hAnsi="Times New Roman"/>
                <w:b/>
                <w:sz w:val="28"/>
                <w:szCs w:val="28"/>
              </w:rPr>
            </w:pPr>
            <w:r>
              <w:rPr>
                <w:rFonts w:ascii="Times New Roman" w:hAnsi="Times New Roman"/>
                <w:b/>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restart"/>
            <w:vAlign w:val="center"/>
          </w:tcPr>
          <w:p>
            <w:pPr>
              <w:adjustRightInd w:val="0"/>
              <w:snapToGrid w:val="0"/>
              <w:spacing w:line="260" w:lineRule="exact"/>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项目决策</w:t>
            </w:r>
          </w:p>
          <w:p>
            <w:pPr>
              <w:adjustRightInd w:val="0"/>
              <w:snapToGrid w:val="0"/>
              <w:spacing w:line="260" w:lineRule="exact"/>
              <w:jc w:val="center"/>
              <w:rPr>
                <w:rFonts w:ascii="Times New Roman" w:hAnsi="Times New Roman"/>
                <w:sz w:val="28"/>
                <w:szCs w:val="28"/>
              </w:rPr>
            </w:pPr>
            <w:r>
              <w:rPr>
                <w:rFonts w:ascii="Times New Roman" w:hAnsi="Times New Roman"/>
                <w:sz w:val="20"/>
                <w:szCs w:val="20"/>
              </w:rPr>
              <w:t>（20分）</w:t>
            </w:r>
          </w:p>
        </w:tc>
        <w:tc>
          <w:tcPr>
            <w:tcW w:w="1701" w:type="dxa"/>
            <w:vMerge w:val="restart"/>
            <w:vAlign w:val="center"/>
          </w:tcPr>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绩效目标</w:t>
            </w:r>
          </w:p>
          <w:p>
            <w:pPr>
              <w:adjustRightInd w:val="0"/>
              <w:snapToGrid w:val="0"/>
              <w:spacing w:line="260" w:lineRule="exact"/>
              <w:jc w:val="center"/>
              <w:rPr>
                <w:rFonts w:ascii="Times New Roman" w:hAnsi="Times New Roman"/>
                <w:sz w:val="28"/>
                <w:szCs w:val="28"/>
              </w:rPr>
            </w:pPr>
            <w:r>
              <w:rPr>
                <w:rFonts w:ascii="Times New Roman" w:hAnsi="Times New Roman"/>
                <w:sz w:val="20"/>
                <w:szCs w:val="20"/>
              </w:rPr>
              <w:t>（6分）</w:t>
            </w:r>
          </w:p>
        </w:tc>
        <w:tc>
          <w:tcPr>
            <w:tcW w:w="2427"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目标内容</w:t>
            </w:r>
          </w:p>
        </w:tc>
        <w:tc>
          <w:tcPr>
            <w:tcW w:w="1343"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2</w:t>
            </w:r>
          </w:p>
        </w:tc>
        <w:tc>
          <w:tcPr>
            <w:tcW w:w="1139" w:type="dxa"/>
            <w:vAlign w:val="center"/>
          </w:tcPr>
          <w:p>
            <w:pPr>
              <w:spacing w:line="260" w:lineRule="exact"/>
              <w:jc w:val="center"/>
              <w:rPr>
                <w:rFonts w:ascii="Times New Roman" w:hAnsi="Times New Roman"/>
                <w:color w:val="000000"/>
                <w:sz w:val="28"/>
                <w:szCs w:val="28"/>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912" w:type="dxa"/>
            <w:vMerge w:val="continue"/>
            <w:vAlign w:val="center"/>
          </w:tcPr>
          <w:p>
            <w:pPr>
              <w:adjustRightInd w:val="0"/>
              <w:snapToGrid w:val="0"/>
              <w:spacing w:line="260" w:lineRule="exact"/>
              <w:jc w:val="center"/>
              <w:rPr>
                <w:rFonts w:ascii="Times New Roman" w:hAnsi="Times New Roman"/>
                <w:sz w:val="28"/>
                <w:szCs w:val="28"/>
              </w:rPr>
            </w:pPr>
          </w:p>
        </w:tc>
        <w:tc>
          <w:tcPr>
            <w:tcW w:w="1701" w:type="dxa"/>
            <w:vMerge w:val="continue"/>
            <w:vAlign w:val="center"/>
          </w:tcPr>
          <w:p>
            <w:pPr>
              <w:adjustRightInd w:val="0"/>
              <w:snapToGrid w:val="0"/>
              <w:spacing w:line="260" w:lineRule="exact"/>
              <w:jc w:val="center"/>
              <w:rPr>
                <w:rFonts w:ascii="Times New Roman" w:hAnsi="Times New Roman"/>
                <w:sz w:val="28"/>
                <w:szCs w:val="28"/>
              </w:rPr>
            </w:pPr>
          </w:p>
        </w:tc>
        <w:tc>
          <w:tcPr>
            <w:tcW w:w="2427"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进度计划</w:t>
            </w:r>
          </w:p>
        </w:tc>
        <w:tc>
          <w:tcPr>
            <w:tcW w:w="1343"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2</w:t>
            </w:r>
          </w:p>
        </w:tc>
        <w:tc>
          <w:tcPr>
            <w:tcW w:w="1139" w:type="dxa"/>
            <w:vAlign w:val="center"/>
          </w:tcPr>
          <w:p>
            <w:pPr>
              <w:spacing w:line="260" w:lineRule="exact"/>
              <w:jc w:val="center"/>
              <w:rPr>
                <w:rFonts w:ascii="Times New Roman" w:hAnsi="Times New Roman"/>
                <w:color w:val="000000"/>
                <w:sz w:val="28"/>
                <w:szCs w:val="28"/>
              </w:rPr>
            </w:pPr>
            <w:r>
              <w:rPr>
                <w:rFonts w:hint="eastAsia"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vAlign w:val="center"/>
          </w:tcPr>
          <w:p>
            <w:pPr>
              <w:adjustRightInd w:val="0"/>
              <w:snapToGrid w:val="0"/>
              <w:spacing w:line="260" w:lineRule="exact"/>
              <w:jc w:val="center"/>
              <w:rPr>
                <w:rFonts w:ascii="Times New Roman" w:hAnsi="Times New Roman"/>
                <w:sz w:val="28"/>
                <w:szCs w:val="28"/>
              </w:rPr>
            </w:pPr>
          </w:p>
        </w:tc>
        <w:tc>
          <w:tcPr>
            <w:tcW w:w="1701" w:type="dxa"/>
            <w:vMerge w:val="continue"/>
            <w:vAlign w:val="center"/>
          </w:tcPr>
          <w:p>
            <w:pPr>
              <w:adjustRightInd w:val="0"/>
              <w:snapToGrid w:val="0"/>
              <w:spacing w:line="260" w:lineRule="exact"/>
              <w:jc w:val="center"/>
              <w:rPr>
                <w:rFonts w:ascii="Times New Roman" w:hAnsi="Times New Roman"/>
                <w:sz w:val="28"/>
                <w:szCs w:val="28"/>
              </w:rPr>
            </w:pPr>
          </w:p>
        </w:tc>
        <w:tc>
          <w:tcPr>
            <w:tcW w:w="2427"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目标匹配</w:t>
            </w:r>
          </w:p>
        </w:tc>
        <w:tc>
          <w:tcPr>
            <w:tcW w:w="1343"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2</w:t>
            </w:r>
          </w:p>
        </w:tc>
        <w:tc>
          <w:tcPr>
            <w:tcW w:w="1139" w:type="dxa"/>
            <w:vAlign w:val="center"/>
          </w:tcPr>
          <w:p>
            <w:pPr>
              <w:spacing w:line="260" w:lineRule="exact"/>
              <w:jc w:val="center"/>
              <w:rPr>
                <w:rFonts w:ascii="Times New Roman" w:hAnsi="Times New Roman"/>
                <w:color w:val="000000"/>
                <w:sz w:val="28"/>
                <w:szCs w:val="28"/>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vAlign w:val="center"/>
          </w:tcPr>
          <w:p>
            <w:pPr>
              <w:adjustRightInd w:val="0"/>
              <w:snapToGrid w:val="0"/>
              <w:spacing w:line="260" w:lineRule="exact"/>
              <w:jc w:val="center"/>
              <w:rPr>
                <w:rFonts w:ascii="Times New Roman" w:hAnsi="Times New Roman"/>
                <w:sz w:val="28"/>
                <w:szCs w:val="28"/>
              </w:rPr>
            </w:pPr>
          </w:p>
        </w:tc>
        <w:tc>
          <w:tcPr>
            <w:tcW w:w="1701" w:type="dxa"/>
            <w:vMerge w:val="restart"/>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决策依据</w:t>
            </w:r>
          </w:p>
          <w:p>
            <w:pPr>
              <w:adjustRightInd w:val="0"/>
              <w:snapToGrid w:val="0"/>
              <w:spacing w:line="260" w:lineRule="exact"/>
              <w:jc w:val="center"/>
              <w:rPr>
                <w:rFonts w:ascii="Times New Roman" w:hAnsi="Times New Roman"/>
                <w:sz w:val="28"/>
                <w:szCs w:val="28"/>
              </w:rPr>
            </w:pPr>
            <w:r>
              <w:rPr>
                <w:rFonts w:ascii="Times New Roman" w:hAnsi="Times New Roman"/>
                <w:sz w:val="20"/>
                <w:szCs w:val="20"/>
              </w:rPr>
              <w:t>（10分）</w:t>
            </w:r>
          </w:p>
        </w:tc>
        <w:tc>
          <w:tcPr>
            <w:tcW w:w="2427"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政策依据</w:t>
            </w:r>
          </w:p>
        </w:tc>
        <w:tc>
          <w:tcPr>
            <w:tcW w:w="1343"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2</w:t>
            </w:r>
          </w:p>
        </w:tc>
        <w:tc>
          <w:tcPr>
            <w:tcW w:w="1139" w:type="dxa"/>
            <w:vAlign w:val="center"/>
          </w:tcPr>
          <w:p>
            <w:pPr>
              <w:spacing w:line="260" w:lineRule="exact"/>
              <w:jc w:val="center"/>
              <w:rPr>
                <w:rFonts w:ascii="Times New Roman" w:hAnsi="Times New Roman"/>
                <w:color w:val="000000"/>
                <w:sz w:val="28"/>
                <w:szCs w:val="28"/>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912" w:type="dxa"/>
            <w:vMerge w:val="continue"/>
            <w:vAlign w:val="center"/>
          </w:tcPr>
          <w:p>
            <w:pPr>
              <w:adjustRightInd w:val="0"/>
              <w:snapToGrid w:val="0"/>
              <w:spacing w:line="260" w:lineRule="exact"/>
              <w:jc w:val="center"/>
              <w:rPr>
                <w:rFonts w:ascii="Times New Roman" w:hAnsi="Times New Roman"/>
                <w:sz w:val="28"/>
                <w:szCs w:val="28"/>
              </w:rPr>
            </w:pPr>
          </w:p>
        </w:tc>
        <w:tc>
          <w:tcPr>
            <w:tcW w:w="1701" w:type="dxa"/>
            <w:vMerge w:val="continue"/>
            <w:vAlign w:val="center"/>
          </w:tcPr>
          <w:p>
            <w:pPr>
              <w:adjustRightInd w:val="0"/>
              <w:snapToGrid w:val="0"/>
              <w:spacing w:line="260" w:lineRule="exact"/>
              <w:jc w:val="center"/>
              <w:rPr>
                <w:rFonts w:ascii="Times New Roman" w:hAnsi="Times New Roman"/>
                <w:sz w:val="28"/>
                <w:szCs w:val="28"/>
              </w:rPr>
            </w:pPr>
          </w:p>
        </w:tc>
        <w:tc>
          <w:tcPr>
            <w:tcW w:w="2427"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程序严密</w:t>
            </w:r>
          </w:p>
        </w:tc>
        <w:tc>
          <w:tcPr>
            <w:tcW w:w="1343"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2</w:t>
            </w:r>
          </w:p>
        </w:tc>
        <w:tc>
          <w:tcPr>
            <w:tcW w:w="1139" w:type="dxa"/>
            <w:vAlign w:val="center"/>
          </w:tcPr>
          <w:p>
            <w:pPr>
              <w:spacing w:line="260" w:lineRule="exact"/>
              <w:jc w:val="center"/>
              <w:rPr>
                <w:rFonts w:ascii="Times New Roman" w:hAnsi="Times New Roman"/>
                <w:color w:val="000000"/>
                <w:sz w:val="28"/>
                <w:szCs w:val="28"/>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912" w:type="dxa"/>
            <w:vMerge w:val="continue"/>
            <w:vAlign w:val="center"/>
          </w:tcPr>
          <w:p>
            <w:pPr>
              <w:adjustRightInd w:val="0"/>
              <w:snapToGrid w:val="0"/>
              <w:spacing w:line="260" w:lineRule="exact"/>
              <w:jc w:val="center"/>
              <w:rPr>
                <w:rFonts w:ascii="Times New Roman" w:hAnsi="Times New Roman"/>
                <w:sz w:val="28"/>
                <w:szCs w:val="28"/>
              </w:rPr>
            </w:pPr>
          </w:p>
        </w:tc>
        <w:tc>
          <w:tcPr>
            <w:tcW w:w="1701" w:type="dxa"/>
            <w:vMerge w:val="continue"/>
            <w:vAlign w:val="center"/>
          </w:tcPr>
          <w:p>
            <w:pPr>
              <w:adjustRightInd w:val="0"/>
              <w:snapToGrid w:val="0"/>
              <w:spacing w:line="260" w:lineRule="exact"/>
              <w:jc w:val="center"/>
              <w:rPr>
                <w:rFonts w:ascii="Times New Roman" w:hAnsi="Times New Roman"/>
                <w:sz w:val="28"/>
                <w:szCs w:val="28"/>
              </w:rPr>
            </w:pPr>
          </w:p>
        </w:tc>
        <w:tc>
          <w:tcPr>
            <w:tcW w:w="2427"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结果符合</w:t>
            </w:r>
          </w:p>
        </w:tc>
        <w:tc>
          <w:tcPr>
            <w:tcW w:w="1343"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2</w:t>
            </w:r>
          </w:p>
        </w:tc>
        <w:tc>
          <w:tcPr>
            <w:tcW w:w="1139" w:type="dxa"/>
            <w:vAlign w:val="center"/>
          </w:tcPr>
          <w:p>
            <w:pPr>
              <w:spacing w:line="260" w:lineRule="exact"/>
              <w:jc w:val="center"/>
              <w:rPr>
                <w:rFonts w:ascii="Times New Roman" w:hAnsi="Times New Roman"/>
                <w:color w:val="000000"/>
                <w:sz w:val="28"/>
                <w:szCs w:val="28"/>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12" w:type="dxa"/>
            <w:vMerge w:val="continue"/>
            <w:vAlign w:val="center"/>
          </w:tcPr>
          <w:p>
            <w:pPr>
              <w:adjustRightInd w:val="0"/>
              <w:snapToGrid w:val="0"/>
              <w:spacing w:line="260" w:lineRule="exact"/>
              <w:jc w:val="center"/>
              <w:rPr>
                <w:rFonts w:ascii="Times New Roman" w:hAnsi="Times New Roman"/>
                <w:sz w:val="28"/>
                <w:szCs w:val="28"/>
              </w:rPr>
            </w:pPr>
          </w:p>
        </w:tc>
        <w:tc>
          <w:tcPr>
            <w:tcW w:w="1701" w:type="dxa"/>
            <w:vMerge w:val="continue"/>
            <w:vAlign w:val="center"/>
          </w:tcPr>
          <w:p>
            <w:pPr>
              <w:adjustRightInd w:val="0"/>
              <w:snapToGrid w:val="0"/>
              <w:spacing w:line="260" w:lineRule="exact"/>
              <w:jc w:val="center"/>
              <w:rPr>
                <w:rFonts w:ascii="Times New Roman" w:hAnsi="Times New Roman"/>
                <w:sz w:val="28"/>
                <w:szCs w:val="28"/>
              </w:rPr>
            </w:pPr>
          </w:p>
        </w:tc>
        <w:tc>
          <w:tcPr>
            <w:tcW w:w="2427"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实施规划</w:t>
            </w:r>
          </w:p>
        </w:tc>
        <w:tc>
          <w:tcPr>
            <w:tcW w:w="1343" w:type="dxa"/>
            <w:vAlign w:val="center"/>
          </w:tcPr>
          <w:p>
            <w:pPr>
              <w:adjustRightInd w:val="0"/>
              <w:snapToGrid w:val="0"/>
              <w:spacing w:line="260" w:lineRule="exact"/>
              <w:jc w:val="center"/>
              <w:rPr>
                <w:rFonts w:ascii="Times New Roman" w:hAnsi="Times New Roman"/>
                <w:sz w:val="28"/>
                <w:szCs w:val="28"/>
              </w:rPr>
            </w:pPr>
            <w:r>
              <w:rPr>
                <w:rFonts w:hint="eastAsia" w:ascii="Times New Roman" w:hAnsi="Times New Roman"/>
                <w:sz w:val="20"/>
                <w:szCs w:val="20"/>
              </w:rPr>
              <w:t>4</w:t>
            </w:r>
          </w:p>
        </w:tc>
        <w:tc>
          <w:tcPr>
            <w:tcW w:w="1139" w:type="dxa"/>
            <w:vAlign w:val="center"/>
          </w:tcPr>
          <w:p>
            <w:pPr>
              <w:spacing w:line="260" w:lineRule="exact"/>
              <w:jc w:val="center"/>
              <w:rPr>
                <w:rFonts w:ascii="Times New Roman" w:hAnsi="Times New Roman"/>
                <w:color w:val="000000"/>
                <w:sz w:val="28"/>
                <w:szCs w:val="28"/>
              </w:rPr>
            </w:pPr>
            <w:r>
              <w:rPr>
                <w:rFonts w:hint="eastAsia" w:ascii="Times New Roman" w:hAnsi="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12" w:type="dxa"/>
            <w:vMerge w:val="continue"/>
            <w:vAlign w:val="center"/>
          </w:tcPr>
          <w:p>
            <w:pPr>
              <w:adjustRightInd w:val="0"/>
              <w:snapToGrid w:val="0"/>
              <w:spacing w:line="260" w:lineRule="exact"/>
              <w:jc w:val="center"/>
              <w:rPr>
                <w:rFonts w:ascii="Times New Roman" w:hAnsi="Times New Roman"/>
                <w:sz w:val="28"/>
                <w:szCs w:val="28"/>
              </w:rPr>
            </w:pPr>
          </w:p>
        </w:tc>
        <w:tc>
          <w:tcPr>
            <w:tcW w:w="1701" w:type="dxa"/>
            <w:vMerge w:val="restart"/>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分配结果</w:t>
            </w:r>
          </w:p>
          <w:p>
            <w:pPr>
              <w:adjustRightInd w:val="0"/>
              <w:snapToGrid w:val="0"/>
              <w:spacing w:line="260" w:lineRule="exact"/>
              <w:jc w:val="center"/>
              <w:rPr>
                <w:rFonts w:ascii="Times New Roman" w:hAnsi="Times New Roman"/>
                <w:sz w:val="28"/>
                <w:szCs w:val="28"/>
              </w:rPr>
            </w:pPr>
            <w:r>
              <w:rPr>
                <w:rFonts w:ascii="Times New Roman" w:hAnsi="Times New Roman"/>
                <w:sz w:val="20"/>
                <w:szCs w:val="20"/>
              </w:rPr>
              <w:t>（4分）</w:t>
            </w:r>
          </w:p>
        </w:tc>
        <w:tc>
          <w:tcPr>
            <w:tcW w:w="2427"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分配过程</w:t>
            </w:r>
          </w:p>
        </w:tc>
        <w:tc>
          <w:tcPr>
            <w:tcW w:w="1343"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2</w:t>
            </w:r>
          </w:p>
        </w:tc>
        <w:tc>
          <w:tcPr>
            <w:tcW w:w="1139" w:type="dxa"/>
            <w:vAlign w:val="center"/>
          </w:tcPr>
          <w:p>
            <w:pPr>
              <w:spacing w:line="260" w:lineRule="exact"/>
              <w:jc w:val="center"/>
              <w:rPr>
                <w:rFonts w:ascii="Times New Roman" w:hAnsi="Times New Roman"/>
                <w:color w:val="000000"/>
                <w:sz w:val="28"/>
                <w:szCs w:val="28"/>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continue"/>
            <w:vAlign w:val="center"/>
          </w:tcPr>
          <w:p>
            <w:pPr>
              <w:adjustRightInd w:val="0"/>
              <w:snapToGrid w:val="0"/>
              <w:spacing w:line="260" w:lineRule="exact"/>
              <w:jc w:val="center"/>
              <w:rPr>
                <w:rFonts w:ascii="Times New Roman" w:hAnsi="Times New Roman"/>
                <w:sz w:val="28"/>
                <w:szCs w:val="28"/>
              </w:rPr>
            </w:pPr>
          </w:p>
        </w:tc>
        <w:tc>
          <w:tcPr>
            <w:tcW w:w="1701" w:type="dxa"/>
            <w:vMerge w:val="continue"/>
            <w:vAlign w:val="center"/>
          </w:tcPr>
          <w:p>
            <w:pPr>
              <w:adjustRightInd w:val="0"/>
              <w:snapToGrid w:val="0"/>
              <w:spacing w:line="260" w:lineRule="exact"/>
              <w:jc w:val="center"/>
              <w:rPr>
                <w:rFonts w:ascii="Times New Roman" w:hAnsi="Times New Roman"/>
                <w:sz w:val="28"/>
                <w:szCs w:val="28"/>
              </w:rPr>
            </w:pPr>
          </w:p>
        </w:tc>
        <w:tc>
          <w:tcPr>
            <w:tcW w:w="2427"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审核把关</w:t>
            </w:r>
          </w:p>
        </w:tc>
        <w:tc>
          <w:tcPr>
            <w:tcW w:w="1343"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2</w:t>
            </w:r>
          </w:p>
        </w:tc>
        <w:tc>
          <w:tcPr>
            <w:tcW w:w="1139" w:type="dxa"/>
            <w:vAlign w:val="center"/>
          </w:tcPr>
          <w:p>
            <w:pPr>
              <w:spacing w:line="260" w:lineRule="exact"/>
              <w:jc w:val="center"/>
              <w:rPr>
                <w:rFonts w:ascii="Times New Roman" w:hAnsi="Times New Roman"/>
                <w:color w:val="000000"/>
                <w:sz w:val="28"/>
                <w:szCs w:val="28"/>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912" w:type="dxa"/>
            <w:vMerge w:val="restart"/>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项目管理</w:t>
            </w:r>
          </w:p>
          <w:p>
            <w:pPr>
              <w:adjustRightInd w:val="0"/>
              <w:snapToGrid w:val="0"/>
              <w:spacing w:line="260" w:lineRule="exact"/>
              <w:jc w:val="center"/>
              <w:rPr>
                <w:rFonts w:ascii="Times New Roman" w:hAnsi="Times New Roman"/>
                <w:sz w:val="28"/>
                <w:szCs w:val="28"/>
              </w:rPr>
            </w:pPr>
            <w:r>
              <w:rPr>
                <w:rFonts w:ascii="Times New Roman" w:hAnsi="Times New Roman"/>
                <w:sz w:val="20"/>
                <w:szCs w:val="20"/>
              </w:rPr>
              <w:t>（15分）</w:t>
            </w:r>
          </w:p>
        </w:tc>
        <w:tc>
          <w:tcPr>
            <w:tcW w:w="1701" w:type="dxa"/>
            <w:vMerge w:val="restart"/>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资金到位</w:t>
            </w:r>
          </w:p>
          <w:p>
            <w:pPr>
              <w:adjustRightInd w:val="0"/>
              <w:snapToGrid w:val="0"/>
              <w:spacing w:line="260" w:lineRule="exact"/>
              <w:jc w:val="center"/>
              <w:rPr>
                <w:rFonts w:ascii="Times New Roman" w:hAnsi="Times New Roman"/>
                <w:sz w:val="28"/>
                <w:szCs w:val="28"/>
              </w:rPr>
            </w:pPr>
            <w:r>
              <w:rPr>
                <w:rFonts w:ascii="Times New Roman" w:hAnsi="Times New Roman"/>
                <w:sz w:val="20"/>
                <w:szCs w:val="20"/>
              </w:rPr>
              <w:t>（4分）</w:t>
            </w:r>
          </w:p>
        </w:tc>
        <w:tc>
          <w:tcPr>
            <w:tcW w:w="2427"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分配时效</w:t>
            </w:r>
          </w:p>
        </w:tc>
        <w:tc>
          <w:tcPr>
            <w:tcW w:w="1343"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2</w:t>
            </w:r>
          </w:p>
        </w:tc>
        <w:tc>
          <w:tcPr>
            <w:tcW w:w="1139" w:type="dxa"/>
            <w:vAlign w:val="center"/>
          </w:tcPr>
          <w:p>
            <w:pPr>
              <w:spacing w:line="260" w:lineRule="exact"/>
              <w:jc w:val="center"/>
              <w:rPr>
                <w:rFonts w:ascii="Times New Roman" w:hAnsi="Times New Roman"/>
                <w:color w:val="000000"/>
                <w:sz w:val="28"/>
                <w:szCs w:val="28"/>
              </w:rPr>
            </w:pPr>
            <w:r>
              <w:rPr>
                <w:rFonts w:hint="eastAsia"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12" w:type="dxa"/>
            <w:vMerge w:val="continue"/>
            <w:vAlign w:val="center"/>
          </w:tcPr>
          <w:p>
            <w:pPr>
              <w:adjustRightInd w:val="0"/>
              <w:snapToGrid w:val="0"/>
              <w:spacing w:line="260" w:lineRule="exact"/>
              <w:jc w:val="center"/>
              <w:rPr>
                <w:rFonts w:ascii="Times New Roman" w:hAnsi="Times New Roman"/>
                <w:sz w:val="28"/>
                <w:szCs w:val="28"/>
              </w:rPr>
            </w:pPr>
          </w:p>
        </w:tc>
        <w:tc>
          <w:tcPr>
            <w:tcW w:w="1701" w:type="dxa"/>
            <w:vMerge w:val="continue"/>
            <w:vAlign w:val="center"/>
          </w:tcPr>
          <w:p>
            <w:pPr>
              <w:adjustRightInd w:val="0"/>
              <w:snapToGrid w:val="0"/>
              <w:spacing w:line="260" w:lineRule="exact"/>
              <w:jc w:val="center"/>
              <w:rPr>
                <w:rFonts w:ascii="Times New Roman" w:hAnsi="Times New Roman"/>
                <w:sz w:val="28"/>
                <w:szCs w:val="28"/>
              </w:rPr>
            </w:pPr>
          </w:p>
        </w:tc>
        <w:tc>
          <w:tcPr>
            <w:tcW w:w="2427"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资金拨付</w:t>
            </w:r>
          </w:p>
        </w:tc>
        <w:tc>
          <w:tcPr>
            <w:tcW w:w="1343"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2</w:t>
            </w:r>
          </w:p>
        </w:tc>
        <w:tc>
          <w:tcPr>
            <w:tcW w:w="1139" w:type="dxa"/>
            <w:vAlign w:val="center"/>
          </w:tcPr>
          <w:p>
            <w:pPr>
              <w:spacing w:line="260" w:lineRule="exact"/>
              <w:jc w:val="center"/>
              <w:rPr>
                <w:rFonts w:ascii="Times New Roman" w:hAnsi="Times New Roman"/>
                <w:color w:val="000000"/>
                <w:sz w:val="28"/>
                <w:szCs w:val="28"/>
              </w:rPr>
            </w:pPr>
            <w:r>
              <w:rPr>
                <w:rFonts w:hint="eastAsia"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912" w:type="dxa"/>
            <w:vMerge w:val="continue"/>
            <w:vAlign w:val="center"/>
          </w:tcPr>
          <w:p>
            <w:pPr>
              <w:adjustRightInd w:val="0"/>
              <w:snapToGrid w:val="0"/>
              <w:spacing w:line="260" w:lineRule="exact"/>
              <w:jc w:val="center"/>
              <w:rPr>
                <w:rFonts w:ascii="Times New Roman" w:hAnsi="Times New Roman"/>
                <w:sz w:val="28"/>
                <w:szCs w:val="28"/>
              </w:rPr>
            </w:pPr>
          </w:p>
        </w:tc>
        <w:tc>
          <w:tcPr>
            <w:tcW w:w="1701" w:type="dxa"/>
            <w:vMerge w:val="restart"/>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资金管理</w:t>
            </w:r>
          </w:p>
          <w:p>
            <w:pPr>
              <w:adjustRightInd w:val="0"/>
              <w:snapToGrid w:val="0"/>
              <w:spacing w:line="260" w:lineRule="exact"/>
              <w:jc w:val="center"/>
              <w:rPr>
                <w:rFonts w:ascii="Times New Roman" w:hAnsi="Times New Roman"/>
                <w:sz w:val="28"/>
                <w:szCs w:val="28"/>
              </w:rPr>
            </w:pPr>
            <w:r>
              <w:rPr>
                <w:rFonts w:ascii="Times New Roman" w:hAnsi="Times New Roman"/>
                <w:sz w:val="20"/>
                <w:szCs w:val="20"/>
              </w:rPr>
              <w:t>（3分）</w:t>
            </w:r>
          </w:p>
        </w:tc>
        <w:tc>
          <w:tcPr>
            <w:tcW w:w="2427"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使用范围</w:t>
            </w:r>
          </w:p>
        </w:tc>
        <w:tc>
          <w:tcPr>
            <w:tcW w:w="1343"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1</w:t>
            </w:r>
          </w:p>
        </w:tc>
        <w:tc>
          <w:tcPr>
            <w:tcW w:w="1139" w:type="dxa"/>
            <w:vAlign w:val="center"/>
          </w:tcPr>
          <w:p>
            <w:pPr>
              <w:spacing w:line="260" w:lineRule="exact"/>
              <w:jc w:val="center"/>
              <w:rPr>
                <w:rFonts w:ascii="Times New Roman" w:hAnsi="Times New Roman"/>
                <w:color w:val="000000"/>
                <w:sz w:val="28"/>
                <w:szCs w:val="28"/>
              </w:rPr>
            </w:pPr>
            <w:r>
              <w:rPr>
                <w:rFonts w:ascii="Times New Roman" w:hAnsi="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continue"/>
            <w:vAlign w:val="center"/>
          </w:tcPr>
          <w:p>
            <w:pPr>
              <w:adjustRightInd w:val="0"/>
              <w:snapToGrid w:val="0"/>
              <w:spacing w:line="260" w:lineRule="exact"/>
              <w:jc w:val="center"/>
              <w:rPr>
                <w:rFonts w:ascii="Times New Roman" w:hAnsi="Times New Roman"/>
                <w:sz w:val="28"/>
                <w:szCs w:val="28"/>
              </w:rPr>
            </w:pPr>
          </w:p>
        </w:tc>
        <w:tc>
          <w:tcPr>
            <w:tcW w:w="1701" w:type="dxa"/>
            <w:vMerge w:val="continue"/>
            <w:vAlign w:val="center"/>
          </w:tcPr>
          <w:p>
            <w:pPr>
              <w:adjustRightInd w:val="0"/>
              <w:snapToGrid w:val="0"/>
              <w:spacing w:line="260" w:lineRule="exact"/>
              <w:jc w:val="center"/>
              <w:rPr>
                <w:rFonts w:ascii="Times New Roman" w:hAnsi="Times New Roman"/>
                <w:sz w:val="28"/>
                <w:szCs w:val="28"/>
              </w:rPr>
            </w:pPr>
          </w:p>
        </w:tc>
        <w:tc>
          <w:tcPr>
            <w:tcW w:w="2427"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支付依据</w:t>
            </w:r>
          </w:p>
        </w:tc>
        <w:tc>
          <w:tcPr>
            <w:tcW w:w="1343"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1</w:t>
            </w:r>
          </w:p>
        </w:tc>
        <w:tc>
          <w:tcPr>
            <w:tcW w:w="1139" w:type="dxa"/>
            <w:vAlign w:val="center"/>
          </w:tcPr>
          <w:p>
            <w:pPr>
              <w:spacing w:line="260" w:lineRule="exact"/>
              <w:jc w:val="center"/>
              <w:rPr>
                <w:rFonts w:ascii="Times New Roman" w:hAnsi="Times New Roman"/>
                <w:color w:val="000000"/>
                <w:sz w:val="28"/>
                <w:szCs w:val="28"/>
              </w:rPr>
            </w:pPr>
            <w:r>
              <w:rPr>
                <w:rFonts w:ascii="Times New Roman" w:hAnsi="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continue"/>
            <w:vAlign w:val="center"/>
          </w:tcPr>
          <w:p>
            <w:pPr>
              <w:adjustRightInd w:val="0"/>
              <w:snapToGrid w:val="0"/>
              <w:spacing w:line="260" w:lineRule="exact"/>
              <w:jc w:val="center"/>
              <w:rPr>
                <w:rFonts w:ascii="Times New Roman" w:hAnsi="Times New Roman"/>
                <w:sz w:val="28"/>
                <w:szCs w:val="28"/>
              </w:rPr>
            </w:pPr>
          </w:p>
        </w:tc>
        <w:tc>
          <w:tcPr>
            <w:tcW w:w="1701" w:type="dxa"/>
            <w:vMerge w:val="continue"/>
            <w:vAlign w:val="center"/>
          </w:tcPr>
          <w:p>
            <w:pPr>
              <w:adjustRightInd w:val="0"/>
              <w:snapToGrid w:val="0"/>
              <w:spacing w:line="260" w:lineRule="exact"/>
              <w:jc w:val="center"/>
              <w:rPr>
                <w:rFonts w:ascii="Times New Roman" w:hAnsi="Times New Roman"/>
                <w:sz w:val="28"/>
                <w:szCs w:val="28"/>
              </w:rPr>
            </w:pPr>
          </w:p>
        </w:tc>
        <w:tc>
          <w:tcPr>
            <w:tcW w:w="2427"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开支标准</w:t>
            </w:r>
          </w:p>
        </w:tc>
        <w:tc>
          <w:tcPr>
            <w:tcW w:w="1343"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1</w:t>
            </w:r>
          </w:p>
        </w:tc>
        <w:tc>
          <w:tcPr>
            <w:tcW w:w="1139" w:type="dxa"/>
            <w:vAlign w:val="center"/>
          </w:tcPr>
          <w:p>
            <w:pPr>
              <w:spacing w:line="260" w:lineRule="exact"/>
              <w:jc w:val="center"/>
              <w:rPr>
                <w:rFonts w:ascii="Times New Roman" w:hAnsi="Times New Roman"/>
                <w:color w:val="000000"/>
                <w:sz w:val="28"/>
                <w:szCs w:val="28"/>
              </w:rPr>
            </w:pPr>
            <w:r>
              <w:rPr>
                <w:rFonts w:ascii="Times New Roman" w:hAnsi="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912" w:type="dxa"/>
            <w:vMerge w:val="continue"/>
            <w:vAlign w:val="center"/>
          </w:tcPr>
          <w:p>
            <w:pPr>
              <w:adjustRightInd w:val="0"/>
              <w:snapToGrid w:val="0"/>
              <w:spacing w:line="260" w:lineRule="exact"/>
              <w:jc w:val="center"/>
              <w:rPr>
                <w:rFonts w:ascii="Times New Roman" w:hAnsi="Times New Roman"/>
                <w:sz w:val="28"/>
                <w:szCs w:val="28"/>
              </w:rPr>
            </w:pPr>
          </w:p>
        </w:tc>
        <w:tc>
          <w:tcPr>
            <w:tcW w:w="1701" w:type="dxa"/>
            <w:vMerge w:val="restart"/>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财务管理</w:t>
            </w:r>
          </w:p>
          <w:p>
            <w:pPr>
              <w:adjustRightInd w:val="0"/>
              <w:snapToGrid w:val="0"/>
              <w:spacing w:line="260" w:lineRule="exact"/>
              <w:jc w:val="center"/>
              <w:rPr>
                <w:rFonts w:ascii="Times New Roman" w:hAnsi="Times New Roman"/>
                <w:sz w:val="28"/>
                <w:szCs w:val="28"/>
              </w:rPr>
            </w:pPr>
            <w:r>
              <w:rPr>
                <w:rFonts w:ascii="Times New Roman" w:hAnsi="Times New Roman"/>
                <w:sz w:val="20"/>
                <w:szCs w:val="20"/>
              </w:rPr>
              <w:t>（4分）</w:t>
            </w:r>
          </w:p>
        </w:tc>
        <w:tc>
          <w:tcPr>
            <w:tcW w:w="2427"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财务制度</w:t>
            </w:r>
          </w:p>
        </w:tc>
        <w:tc>
          <w:tcPr>
            <w:tcW w:w="1343"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2</w:t>
            </w:r>
          </w:p>
        </w:tc>
        <w:tc>
          <w:tcPr>
            <w:tcW w:w="1139" w:type="dxa"/>
            <w:vAlign w:val="center"/>
          </w:tcPr>
          <w:p>
            <w:pPr>
              <w:spacing w:line="260" w:lineRule="exact"/>
              <w:jc w:val="center"/>
              <w:rPr>
                <w:rFonts w:ascii="Times New Roman" w:hAnsi="Times New Roman"/>
                <w:color w:val="000000"/>
                <w:sz w:val="28"/>
                <w:szCs w:val="28"/>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vAlign w:val="center"/>
          </w:tcPr>
          <w:p>
            <w:pPr>
              <w:adjustRightInd w:val="0"/>
              <w:snapToGrid w:val="0"/>
              <w:spacing w:line="260" w:lineRule="exact"/>
              <w:jc w:val="center"/>
              <w:rPr>
                <w:rFonts w:ascii="Times New Roman" w:hAnsi="Times New Roman"/>
                <w:sz w:val="28"/>
                <w:szCs w:val="28"/>
              </w:rPr>
            </w:pPr>
          </w:p>
        </w:tc>
        <w:tc>
          <w:tcPr>
            <w:tcW w:w="1701" w:type="dxa"/>
            <w:vMerge w:val="continue"/>
            <w:vAlign w:val="center"/>
          </w:tcPr>
          <w:p>
            <w:pPr>
              <w:adjustRightInd w:val="0"/>
              <w:snapToGrid w:val="0"/>
              <w:spacing w:line="260" w:lineRule="exact"/>
              <w:jc w:val="center"/>
              <w:rPr>
                <w:rFonts w:ascii="Times New Roman" w:hAnsi="Times New Roman"/>
                <w:sz w:val="28"/>
                <w:szCs w:val="28"/>
              </w:rPr>
            </w:pPr>
          </w:p>
        </w:tc>
        <w:tc>
          <w:tcPr>
            <w:tcW w:w="2427"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会计核算</w:t>
            </w:r>
          </w:p>
        </w:tc>
        <w:tc>
          <w:tcPr>
            <w:tcW w:w="1343"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2</w:t>
            </w:r>
          </w:p>
        </w:tc>
        <w:tc>
          <w:tcPr>
            <w:tcW w:w="1139" w:type="dxa"/>
            <w:vAlign w:val="center"/>
          </w:tcPr>
          <w:p>
            <w:pPr>
              <w:spacing w:line="260" w:lineRule="exact"/>
              <w:jc w:val="center"/>
              <w:rPr>
                <w:rFonts w:ascii="Times New Roman" w:hAnsi="Times New Roman"/>
                <w:color w:val="000000"/>
                <w:sz w:val="28"/>
                <w:szCs w:val="28"/>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vAlign w:val="center"/>
          </w:tcPr>
          <w:p>
            <w:pPr>
              <w:adjustRightInd w:val="0"/>
              <w:snapToGrid w:val="0"/>
              <w:spacing w:line="260" w:lineRule="exact"/>
              <w:jc w:val="center"/>
              <w:rPr>
                <w:rFonts w:ascii="Times New Roman" w:hAnsi="Times New Roman"/>
                <w:sz w:val="28"/>
                <w:szCs w:val="28"/>
              </w:rPr>
            </w:pPr>
          </w:p>
        </w:tc>
        <w:tc>
          <w:tcPr>
            <w:tcW w:w="1701" w:type="dxa"/>
            <w:vMerge w:val="restart"/>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组织实施</w:t>
            </w:r>
          </w:p>
          <w:p>
            <w:pPr>
              <w:adjustRightInd w:val="0"/>
              <w:snapToGrid w:val="0"/>
              <w:spacing w:line="260" w:lineRule="exact"/>
              <w:jc w:val="center"/>
              <w:rPr>
                <w:rFonts w:ascii="Times New Roman" w:hAnsi="Times New Roman"/>
                <w:sz w:val="28"/>
                <w:szCs w:val="28"/>
              </w:rPr>
            </w:pPr>
            <w:r>
              <w:rPr>
                <w:rFonts w:ascii="Times New Roman" w:hAnsi="Times New Roman"/>
                <w:sz w:val="20"/>
                <w:szCs w:val="20"/>
              </w:rPr>
              <w:t>（4分）</w:t>
            </w:r>
          </w:p>
        </w:tc>
        <w:tc>
          <w:tcPr>
            <w:tcW w:w="2427"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项目调整</w:t>
            </w:r>
          </w:p>
        </w:tc>
        <w:tc>
          <w:tcPr>
            <w:tcW w:w="1343"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1</w:t>
            </w:r>
          </w:p>
        </w:tc>
        <w:tc>
          <w:tcPr>
            <w:tcW w:w="1139" w:type="dxa"/>
            <w:vAlign w:val="center"/>
          </w:tcPr>
          <w:p>
            <w:pPr>
              <w:spacing w:line="260" w:lineRule="exact"/>
              <w:jc w:val="center"/>
              <w:rPr>
                <w:rFonts w:ascii="Times New Roman" w:hAnsi="Times New Roman"/>
                <w:color w:val="000000"/>
                <w:sz w:val="28"/>
                <w:szCs w:val="28"/>
              </w:rPr>
            </w:pPr>
            <w:r>
              <w:rPr>
                <w:rFonts w:ascii="Times New Roman" w:hAnsi="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vAlign w:val="center"/>
          </w:tcPr>
          <w:p>
            <w:pPr>
              <w:adjustRightInd w:val="0"/>
              <w:snapToGrid w:val="0"/>
              <w:spacing w:line="260" w:lineRule="exact"/>
              <w:jc w:val="center"/>
              <w:rPr>
                <w:rFonts w:ascii="Times New Roman" w:hAnsi="Times New Roman"/>
                <w:sz w:val="28"/>
                <w:szCs w:val="28"/>
              </w:rPr>
            </w:pPr>
          </w:p>
        </w:tc>
        <w:tc>
          <w:tcPr>
            <w:tcW w:w="1701" w:type="dxa"/>
            <w:vMerge w:val="continue"/>
            <w:vAlign w:val="center"/>
          </w:tcPr>
          <w:p>
            <w:pPr>
              <w:adjustRightInd w:val="0"/>
              <w:snapToGrid w:val="0"/>
              <w:spacing w:line="260" w:lineRule="exact"/>
              <w:jc w:val="center"/>
              <w:rPr>
                <w:rFonts w:ascii="Times New Roman" w:hAnsi="Times New Roman"/>
                <w:sz w:val="28"/>
                <w:szCs w:val="28"/>
              </w:rPr>
            </w:pPr>
          </w:p>
        </w:tc>
        <w:tc>
          <w:tcPr>
            <w:tcW w:w="2427"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投资变更</w:t>
            </w:r>
          </w:p>
        </w:tc>
        <w:tc>
          <w:tcPr>
            <w:tcW w:w="1343"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1</w:t>
            </w:r>
          </w:p>
        </w:tc>
        <w:tc>
          <w:tcPr>
            <w:tcW w:w="1139" w:type="dxa"/>
            <w:vAlign w:val="center"/>
          </w:tcPr>
          <w:p>
            <w:pPr>
              <w:spacing w:line="260" w:lineRule="exact"/>
              <w:jc w:val="center"/>
              <w:rPr>
                <w:rFonts w:ascii="Times New Roman" w:hAnsi="Times New Roman"/>
                <w:color w:val="000000"/>
                <w:sz w:val="28"/>
                <w:szCs w:val="28"/>
              </w:rPr>
            </w:pPr>
            <w:r>
              <w:rPr>
                <w:rFonts w:ascii="Times New Roman" w:hAnsi="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vAlign w:val="center"/>
          </w:tcPr>
          <w:p>
            <w:pPr>
              <w:adjustRightInd w:val="0"/>
              <w:snapToGrid w:val="0"/>
              <w:spacing w:line="260" w:lineRule="exact"/>
              <w:jc w:val="center"/>
              <w:rPr>
                <w:rFonts w:ascii="Times New Roman" w:hAnsi="Times New Roman"/>
                <w:sz w:val="28"/>
                <w:szCs w:val="28"/>
              </w:rPr>
            </w:pPr>
          </w:p>
        </w:tc>
        <w:tc>
          <w:tcPr>
            <w:tcW w:w="1701" w:type="dxa"/>
            <w:vMerge w:val="continue"/>
            <w:vAlign w:val="center"/>
          </w:tcPr>
          <w:p>
            <w:pPr>
              <w:adjustRightInd w:val="0"/>
              <w:snapToGrid w:val="0"/>
              <w:spacing w:line="260" w:lineRule="exact"/>
              <w:jc w:val="center"/>
              <w:rPr>
                <w:rFonts w:ascii="Times New Roman" w:hAnsi="Times New Roman"/>
                <w:sz w:val="28"/>
                <w:szCs w:val="28"/>
              </w:rPr>
            </w:pPr>
          </w:p>
        </w:tc>
        <w:tc>
          <w:tcPr>
            <w:tcW w:w="2427"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制度执行</w:t>
            </w:r>
          </w:p>
        </w:tc>
        <w:tc>
          <w:tcPr>
            <w:tcW w:w="1343"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2</w:t>
            </w:r>
          </w:p>
        </w:tc>
        <w:tc>
          <w:tcPr>
            <w:tcW w:w="1139" w:type="dxa"/>
            <w:vAlign w:val="center"/>
          </w:tcPr>
          <w:p>
            <w:pPr>
              <w:spacing w:line="260" w:lineRule="exact"/>
              <w:jc w:val="center"/>
              <w:rPr>
                <w:rFonts w:ascii="Times New Roman" w:hAnsi="Times New Roman"/>
                <w:color w:val="000000"/>
                <w:sz w:val="28"/>
                <w:szCs w:val="28"/>
              </w:rPr>
            </w:pPr>
            <w:r>
              <w:rPr>
                <w:rFonts w:hint="eastAsia" w:ascii="Times New Roman" w:hAnsi="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restart"/>
            <w:vAlign w:val="center"/>
          </w:tcPr>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项目绩效</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（特性指标65分）</w:t>
            </w:r>
          </w:p>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8"/>
                <w:szCs w:val="28"/>
              </w:rPr>
            </w:pPr>
          </w:p>
        </w:tc>
        <w:tc>
          <w:tcPr>
            <w:tcW w:w="1701" w:type="dxa"/>
            <w:vMerge w:val="restart"/>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项目完成</w:t>
            </w: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（20分）</w:t>
            </w:r>
          </w:p>
          <w:p>
            <w:pPr>
              <w:adjustRightInd w:val="0"/>
              <w:snapToGrid w:val="0"/>
              <w:spacing w:line="260" w:lineRule="exact"/>
              <w:jc w:val="center"/>
              <w:rPr>
                <w:rFonts w:ascii="Times New Roman" w:hAnsi="Times New Roman"/>
                <w:sz w:val="28"/>
                <w:szCs w:val="28"/>
              </w:rPr>
            </w:pPr>
          </w:p>
        </w:tc>
        <w:tc>
          <w:tcPr>
            <w:tcW w:w="2427"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完成数量</w:t>
            </w:r>
          </w:p>
        </w:tc>
        <w:tc>
          <w:tcPr>
            <w:tcW w:w="1343"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4</w:t>
            </w:r>
          </w:p>
        </w:tc>
        <w:tc>
          <w:tcPr>
            <w:tcW w:w="1139" w:type="dxa"/>
            <w:vAlign w:val="center"/>
          </w:tcPr>
          <w:p>
            <w:pPr>
              <w:spacing w:line="260" w:lineRule="exact"/>
              <w:jc w:val="center"/>
              <w:rPr>
                <w:rFonts w:ascii="Times New Roman" w:hAnsi="Times New Roman"/>
                <w:color w:val="000000"/>
                <w:sz w:val="28"/>
                <w:szCs w:val="28"/>
              </w:rPr>
            </w:pPr>
            <w:r>
              <w:rPr>
                <w:rFonts w:ascii="Times New Roman" w:hAnsi="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adjustRightInd w:val="0"/>
              <w:snapToGrid w:val="0"/>
              <w:spacing w:line="260" w:lineRule="exact"/>
              <w:jc w:val="center"/>
              <w:rPr>
                <w:rFonts w:ascii="Times New Roman" w:hAnsi="Times New Roman"/>
                <w:sz w:val="28"/>
                <w:szCs w:val="28"/>
              </w:rPr>
            </w:pPr>
          </w:p>
        </w:tc>
        <w:tc>
          <w:tcPr>
            <w:tcW w:w="1701" w:type="dxa"/>
            <w:vMerge w:val="continue"/>
            <w:vAlign w:val="center"/>
          </w:tcPr>
          <w:p>
            <w:pPr>
              <w:adjustRightInd w:val="0"/>
              <w:snapToGrid w:val="0"/>
              <w:spacing w:line="260" w:lineRule="exact"/>
              <w:jc w:val="center"/>
              <w:rPr>
                <w:rFonts w:ascii="Times New Roman" w:hAnsi="Times New Roman"/>
                <w:sz w:val="28"/>
                <w:szCs w:val="28"/>
              </w:rPr>
            </w:pPr>
          </w:p>
        </w:tc>
        <w:tc>
          <w:tcPr>
            <w:tcW w:w="2427"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完成质量</w:t>
            </w:r>
          </w:p>
        </w:tc>
        <w:tc>
          <w:tcPr>
            <w:tcW w:w="1343"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4</w:t>
            </w:r>
          </w:p>
        </w:tc>
        <w:tc>
          <w:tcPr>
            <w:tcW w:w="1139" w:type="dxa"/>
            <w:vAlign w:val="center"/>
          </w:tcPr>
          <w:p>
            <w:pPr>
              <w:spacing w:line="260" w:lineRule="exact"/>
              <w:jc w:val="center"/>
              <w:rPr>
                <w:rFonts w:ascii="Times New Roman" w:hAnsi="Times New Roman"/>
                <w:color w:val="000000"/>
                <w:sz w:val="28"/>
                <w:szCs w:val="28"/>
              </w:rPr>
            </w:pPr>
            <w:r>
              <w:rPr>
                <w:rFonts w:ascii="Times New Roman" w:hAnsi="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adjustRightInd w:val="0"/>
              <w:snapToGrid w:val="0"/>
              <w:spacing w:line="260" w:lineRule="exact"/>
              <w:jc w:val="center"/>
              <w:rPr>
                <w:rFonts w:ascii="Times New Roman" w:hAnsi="Times New Roman"/>
                <w:sz w:val="28"/>
                <w:szCs w:val="28"/>
              </w:rPr>
            </w:pPr>
          </w:p>
        </w:tc>
        <w:tc>
          <w:tcPr>
            <w:tcW w:w="1701" w:type="dxa"/>
            <w:vMerge w:val="continue"/>
            <w:vAlign w:val="center"/>
          </w:tcPr>
          <w:p>
            <w:pPr>
              <w:adjustRightInd w:val="0"/>
              <w:snapToGrid w:val="0"/>
              <w:spacing w:line="260" w:lineRule="exact"/>
              <w:jc w:val="center"/>
              <w:rPr>
                <w:rFonts w:ascii="Times New Roman" w:hAnsi="Times New Roman"/>
                <w:sz w:val="28"/>
                <w:szCs w:val="28"/>
              </w:rPr>
            </w:pPr>
          </w:p>
        </w:tc>
        <w:tc>
          <w:tcPr>
            <w:tcW w:w="2427"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完成时效</w:t>
            </w:r>
          </w:p>
        </w:tc>
        <w:tc>
          <w:tcPr>
            <w:tcW w:w="1343"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4</w:t>
            </w:r>
          </w:p>
        </w:tc>
        <w:tc>
          <w:tcPr>
            <w:tcW w:w="1139" w:type="dxa"/>
            <w:vAlign w:val="center"/>
          </w:tcPr>
          <w:p>
            <w:pPr>
              <w:spacing w:line="260" w:lineRule="exact"/>
              <w:jc w:val="center"/>
              <w:rPr>
                <w:rFonts w:ascii="Times New Roman" w:hAnsi="Times New Roman"/>
                <w:color w:val="000000"/>
                <w:sz w:val="28"/>
                <w:szCs w:val="28"/>
              </w:rPr>
            </w:pPr>
            <w:r>
              <w:rPr>
                <w:rFonts w:ascii="Times New Roman" w:hAnsi="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adjustRightInd w:val="0"/>
              <w:snapToGrid w:val="0"/>
              <w:spacing w:line="260" w:lineRule="exact"/>
              <w:jc w:val="center"/>
              <w:rPr>
                <w:rFonts w:ascii="Times New Roman" w:hAnsi="Times New Roman"/>
                <w:sz w:val="28"/>
                <w:szCs w:val="28"/>
              </w:rPr>
            </w:pPr>
          </w:p>
        </w:tc>
        <w:tc>
          <w:tcPr>
            <w:tcW w:w="1701" w:type="dxa"/>
            <w:vMerge w:val="continue"/>
            <w:vAlign w:val="center"/>
          </w:tcPr>
          <w:p>
            <w:pPr>
              <w:adjustRightInd w:val="0"/>
              <w:snapToGrid w:val="0"/>
              <w:spacing w:line="260" w:lineRule="exact"/>
              <w:jc w:val="center"/>
              <w:rPr>
                <w:rFonts w:ascii="Times New Roman" w:hAnsi="Times New Roman"/>
                <w:sz w:val="28"/>
                <w:szCs w:val="28"/>
              </w:rPr>
            </w:pPr>
          </w:p>
        </w:tc>
        <w:tc>
          <w:tcPr>
            <w:tcW w:w="2427"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完成成本</w:t>
            </w:r>
          </w:p>
        </w:tc>
        <w:tc>
          <w:tcPr>
            <w:tcW w:w="1343"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4</w:t>
            </w:r>
          </w:p>
        </w:tc>
        <w:tc>
          <w:tcPr>
            <w:tcW w:w="1139" w:type="dxa"/>
            <w:vAlign w:val="center"/>
          </w:tcPr>
          <w:p>
            <w:pPr>
              <w:spacing w:line="260" w:lineRule="exact"/>
              <w:jc w:val="center"/>
              <w:rPr>
                <w:rFonts w:ascii="Times New Roman" w:hAnsi="Times New Roman"/>
                <w:color w:val="000000"/>
                <w:sz w:val="28"/>
                <w:szCs w:val="28"/>
              </w:rPr>
            </w:pPr>
            <w:r>
              <w:rPr>
                <w:rFonts w:ascii="Times New Roman" w:hAnsi="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adjustRightInd w:val="0"/>
              <w:snapToGrid w:val="0"/>
              <w:spacing w:line="260" w:lineRule="exact"/>
              <w:jc w:val="center"/>
              <w:rPr>
                <w:rFonts w:ascii="Times New Roman" w:hAnsi="Times New Roman"/>
                <w:sz w:val="28"/>
                <w:szCs w:val="28"/>
              </w:rPr>
            </w:pPr>
          </w:p>
        </w:tc>
        <w:tc>
          <w:tcPr>
            <w:tcW w:w="1701" w:type="dxa"/>
            <w:vMerge w:val="continue"/>
            <w:vAlign w:val="center"/>
          </w:tcPr>
          <w:p>
            <w:pPr>
              <w:adjustRightInd w:val="0"/>
              <w:snapToGrid w:val="0"/>
              <w:spacing w:line="260" w:lineRule="exact"/>
              <w:jc w:val="center"/>
              <w:rPr>
                <w:rFonts w:ascii="Times New Roman" w:hAnsi="Times New Roman"/>
                <w:sz w:val="28"/>
                <w:szCs w:val="28"/>
              </w:rPr>
            </w:pPr>
          </w:p>
        </w:tc>
        <w:tc>
          <w:tcPr>
            <w:tcW w:w="2427"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违规纪律</w:t>
            </w:r>
          </w:p>
        </w:tc>
        <w:tc>
          <w:tcPr>
            <w:tcW w:w="1343"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4</w:t>
            </w:r>
          </w:p>
        </w:tc>
        <w:tc>
          <w:tcPr>
            <w:tcW w:w="1139" w:type="dxa"/>
            <w:vAlign w:val="center"/>
          </w:tcPr>
          <w:p>
            <w:pPr>
              <w:spacing w:line="260" w:lineRule="exact"/>
              <w:jc w:val="center"/>
              <w:rPr>
                <w:rFonts w:ascii="Times New Roman" w:hAnsi="Times New Roman"/>
                <w:color w:val="000000"/>
                <w:sz w:val="28"/>
                <w:szCs w:val="28"/>
              </w:rPr>
            </w:pPr>
            <w:r>
              <w:rPr>
                <w:rFonts w:ascii="Times New Roman" w:hAnsi="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adjustRightInd w:val="0"/>
              <w:snapToGrid w:val="0"/>
              <w:spacing w:line="260" w:lineRule="exact"/>
              <w:jc w:val="center"/>
              <w:rPr>
                <w:rFonts w:ascii="Times New Roman" w:hAnsi="Times New Roman"/>
                <w:sz w:val="28"/>
                <w:szCs w:val="28"/>
              </w:rPr>
            </w:pPr>
          </w:p>
        </w:tc>
        <w:tc>
          <w:tcPr>
            <w:tcW w:w="1701" w:type="dxa"/>
            <w:vMerge w:val="restart"/>
            <w:vAlign w:val="center"/>
          </w:tcPr>
          <w:p>
            <w:pPr>
              <w:adjustRightInd w:val="0"/>
              <w:snapToGrid w:val="0"/>
              <w:spacing w:line="260" w:lineRule="exact"/>
              <w:jc w:val="center"/>
              <w:rPr>
                <w:rFonts w:ascii="Times New Roman" w:hAnsi="Times New Roman"/>
                <w:sz w:val="20"/>
                <w:szCs w:val="20"/>
              </w:rPr>
            </w:pPr>
          </w:p>
          <w:p>
            <w:pPr>
              <w:adjustRightInd w:val="0"/>
              <w:snapToGrid w:val="0"/>
              <w:spacing w:line="260" w:lineRule="exact"/>
              <w:jc w:val="center"/>
              <w:rPr>
                <w:rFonts w:ascii="Times New Roman" w:hAnsi="Times New Roman"/>
                <w:sz w:val="20"/>
                <w:szCs w:val="20"/>
              </w:rPr>
            </w:pPr>
            <w:r>
              <w:rPr>
                <w:rFonts w:ascii="Times New Roman" w:hAnsi="Times New Roman"/>
                <w:sz w:val="20"/>
                <w:szCs w:val="20"/>
              </w:rPr>
              <w:t>项目效益</w:t>
            </w:r>
          </w:p>
          <w:p>
            <w:pPr>
              <w:adjustRightInd w:val="0"/>
              <w:snapToGrid w:val="0"/>
              <w:spacing w:line="260" w:lineRule="exact"/>
              <w:jc w:val="center"/>
              <w:rPr>
                <w:rFonts w:ascii="Times New Roman" w:hAnsi="Times New Roman"/>
                <w:sz w:val="28"/>
                <w:szCs w:val="28"/>
              </w:rPr>
            </w:pPr>
            <w:r>
              <w:rPr>
                <w:rFonts w:ascii="Times New Roman" w:hAnsi="Times New Roman"/>
                <w:sz w:val="20"/>
                <w:szCs w:val="20"/>
              </w:rPr>
              <w:t>（40分）</w:t>
            </w:r>
          </w:p>
        </w:tc>
        <w:tc>
          <w:tcPr>
            <w:tcW w:w="2427"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经济效益</w:t>
            </w:r>
          </w:p>
        </w:tc>
        <w:tc>
          <w:tcPr>
            <w:tcW w:w="1343"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10</w:t>
            </w:r>
          </w:p>
        </w:tc>
        <w:tc>
          <w:tcPr>
            <w:tcW w:w="1139" w:type="dxa"/>
            <w:vAlign w:val="center"/>
          </w:tcPr>
          <w:p>
            <w:pPr>
              <w:spacing w:line="260" w:lineRule="exact"/>
              <w:jc w:val="center"/>
              <w:rPr>
                <w:rFonts w:ascii="Times New Roman" w:hAnsi="Times New Roman"/>
                <w:color w:val="000000"/>
                <w:sz w:val="28"/>
                <w:szCs w:val="28"/>
              </w:rPr>
            </w:pPr>
            <w:r>
              <w:rPr>
                <w:rFonts w:hint="eastAsia" w:ascii="Times New Roman" w:hAnsi="Times New Roman"/>
                <w:color w:val="000000"/>
                <w:sz w:val="20"/>
                <w:szCs w:val="2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adjustRightInd w:val="0"/>
              <w:snapToGrid w:val="0"/>
              <w:spacing w:line="260" w:lineRule="exact"/>
              <w:jc w:val="center"/>
              <w:rPr>
                <w:rFonts w:ascii="Times New Roman" w:hAnsi="Times New Roman"/>
                <w:sz w:val="28"/>
                <w:szCs w:val="28"/>
              </w:rPr>
            </w:pPr>
          </w:p>
        </w:tc>
        <w:tc>
          <w:tcPr>
            <w:tcW w:w="1701" w:type="dxa"/>
            <w:vMerge w:val="continue"/>
            <w:vAlign w:val="center"/>
          </w:tcPr>
          <w:p>
            <w:pPr>
              <w:adjustRightInd w:val="0"/>
              <w:snapToGrid w:val="0"/>
              <w:spacing w:line="260" w:lineRule="exact"/>
              <w:jc w:val="center"/>
              <w:rPr>
                <w:rFonts w:ascii="Times New Roman" w:hAnsi="Times New Roman"/>
                <w:sz w:val="28"/>
                <w:szCs w:val="28"/>
              </w:rPr>
            </w:pPr>
          </w:p>
        </w:tc>
        <w:tc>
          <w:tcPr>
            <w:tcW w:w="2427"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社会效益</w:t>
            </w:r>
          </w:p>
        </w:tc>
        <w:tc>
          <w:tcPr>
            <w:tcW w:w="1343"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10</w:t>
            </w:r>
          </w:p>
        </w:tc>
        <w:tc>
          <w:tcPr>
            <w:tcW w:w="1139" w:type="dxa"/>
            <w:vAlign w:val="center"/>
          </w:tcPr>
          <w:p>
            <w:pPr>
              <w:spacing w:line="260" w:lineRule="exact"/>
              <w:jc w:val="center"/>
              <w:rPr>
                <w:rFonts w:ascii="Times New Roman" w:hAnsi="Times New Roman"/>
                <w:color w:val="000000"/>
                <w:sz w:val="28"/>
                <w:szCs w:val="28"/>
              </w:rPr>
            </w:pPr>
            <w:r>
              <w:rPr>
                <w:rFonts w:ascii="Times New Roman" w:hAnsi="Times New Roman"/>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adjustRightInd w:val="0"/>
              <w:snapToGrid w:val="0"/>
              <w:spacing w:line="260" w:lineRule="exact"/>
              <w:jc w:val="center"/>
              <w:rPr>
                <w:rFonts w:ascii="Times New Roman" w:hAnsi="Times New Roman"/>
                <w:sz w:val="28"/>
                <w:szCs w:val="28"/>
              </w:rPr>
            </w:pPr>
          </w:p>
        </w:tc>
        <w:tc>
          <w:tcPr>
            <w:tcW w:w="1701" w:type="dxa"/>
            <w:vMerge w:val="continue"/>
            <w:vAlign w:val="center"/>
          </w:tcPr>
          <w:p>
            <w:pPr>
              <w:adjustRightInd w:val="0"/>
              <w:snapToGrid w:val="0"/>
              <w:spacing w:line="260" w:lineRule="exact"/>
              <w:jc w:val="center"/>
              <w:rPr>
                <w:rFonts w:ascii="Times New Roman" w:hAnsi="Times New Roman"/>
                <w:sz w:val="28"/>
                <w:szCs w:val="28"/>
              </w:rPr>
            </w:pPr>
          </w:p>
        </w:tc>
        <w:tc>
          <w:tcPr>
            <w:tcW w:w="2427"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生态效益</w:t>
            </w:r>
          </w:p>
        </w:tc>
        <w:tc>
          <w:tcPr>
            <w:tcW w:w="1343"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10</w:t>
            </w:r>
          </w:p>
        </w:tc>
        <w:tc>
          <w:tcPr>
            <w:tcW w:w="1139" w:type="dxa"/>
            <w:vAlign w:val="center"/>
          </w:tcPr>
          <w:p>
            <w:pPr>
              <w:spacing w:line="260" w:lineRule="exact"/>
              <w:jc w:val="center"/>
              <w:rPr>
                <w:rFonts w:ascii="Times New Roman" w:hAnsi="Times New Roman"/>
                <w:color w:val="000000"/>
                <w:sz w:val="28"/>
                <w:szCs w:val="28"/>
              </w:rPr>
            </w:pPr>
            <w:r>
              <w:rPr>
                <w:rFonts w:hint="eastAsia" w:ascii="Times New Roman" w:hAnsi="Times New Roman"/>
                <w:color w:val="00000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adjustRightInd w:val="0"/>
              <w:snapToGrid w:val="0"/>
              <w:spacing w:line="260" w:lineRule="exact"/>
              <w:jc w:val="center"/>
              <w:rPr>
                <w:rFonts w:ascii="Times New Roman" w:hAnsi="Times New Roman"/>
                <w:sz w:val="28"/>
                <w:szCs w:val="28"/>
              </w:rPr>
            </w:pPr>
          </w:p>
        </w:tc>
        <w:tc>
          <w:tcPr>
            <w:tcW w:w="1701" w:type="dxa"/>
            <w:vMerge w:val="continue"/>
            <w:vAlign w:val="center"/>
          </w:tcPr>
          <w:p>
            <w:pPr>
              <w:adjustRightInd w:val="0"/>
              <w:snapToGrid w:val="0"/>
              <w:spacing w:line="260" w:lineRule="exact"/>
              <w:jc w:val="center"/>
              <w:rPr>
                <w:rFonts w:ascii="Times New Roman" w:hAnsi="Times New Roman"/>
                <w:sz w:val="28"/>
                <w:szCs w:val="28"/>
              </w:rPr>
            </w:pPr>
          </w:p>
        </w:tc>
        <w:tc>
          <w:tcPr>
            <w:tcW w:w="2427"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可持续效益</w:t>
            </w:r>
          </w:p>
        </w:tc>
        <w:tc>
          <w:tcPr>
            <w:tcW w:w="1343"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10</w:t>
            </w:r>
          </w:p>
        </w:tc>
        <w:tc>
          <w:tcPr>
            <w:tcW w:w="1139" w:type="dxa"/>
            <w:vAlign w:val="center"/>
          </w:tcPr>
          <w:p>
            <w:pPr>
              <w:spacing w:line="260" w:lineRule="exact"/>
              <w:jc w:val="center"/>
              <w:rPr>
                <w:rFonts w:ascii="Times New Roman" w:hAnsi="Times New Roman"/>
                <w:color w:val="000000"/>
                <w:sz w:val="28"/>
                <w:szCs w:val="28"/>
              </w:rPr>
            </w:pPr>
            <w:r>
              <w:rPr>
                <w:rFonts w:ascii="Times New Roman" w:hAnsi="Times New Roman"/>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adjustRightInd w:val="0"/>
              <w:snapToGrid w:val="0"/>
              <w:spacing w:line="260" w:lineRule="exact"/>
              <w:jc w:val="center"/>
              <w:rPr>
                <w:rFonts w:ascii="Times New Roman" w:hAnsi="Times New Roman"/>
                <w:sz w:val="28"/>
                <w:szCs w:val="28"/>
              </w:rPr>
            </w:pPr>
          </w:p>
        </w:tc>
        <w:tc>
          <w:tcPr>
            <w:tcW w:w="1701" w:type="dxa"/>
            <w:vAlign w:val="center"/>
          </w:tcPr>
          <w:p>
            <w:pPr>
              <w:adjustRightInd w:val="0"/>
              <w:snapToGrid w:val="0"/>
              <w:spacing w:line="260" w:lineRule="exact"/>
              <w:jc w:val="center"/>
              <w:rPr>
                <w:rFonts w:ascii="Times New Roman" w:hAnsi="Times New Roman"/>
                <w:sz w:val="20"/>
                <w:szCs w:val="20"/>
              </w:rPr>
            </w:pPr>
            <w:r>
              <w:rPr>
                <w:rFonts w:ascii="Times New Roman" w:hAnsi="Times New Roman"/>
                <w:sz w:val="20"/>
                <w:szCs w:val="20"/>
              </w:rPr>
              <w:t>满意度</w:t>
            </w:r>
          </w:p>
          <w:p>
            <w:pPr>
              <w:adjustRightInd w:val="0"/>
              <w:snapToGrid w:val="0"/>
              <w:spacing w:line="260" w:lineRule="exact"/>
              <w:jc w:val="center"/>
              <w:rPr>
                <w:rFonts w:ascii="Times New Roman" w:hAnsi="Times New Roman"/>
                <w:sz w:val="28"/>
                <w:szCs w:val="28"/>
              </w:rPr>
            </w:pPr>
            <w:r>
              <w:rPr>
                <w:rFonts w:ascii="Times New Roman" w:hAnsi="Times New Roman"/>
                <w:sz w:val="20"/>
                <w:szCs w:val="20"/>
              </w:rPr>
              <w:t>（5分）</w:t>
            </w:r>
          </w:p>
        </w:tc>
        <w:tc>
          <w:tcPr>
            <w:tcW w:w="2427"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服务对满意度</w:t>
            </w:r>
          </w:p>
        </w:tc>
        <w:tc>
          <w:tcPr>
            <w:tcW w:w="1343"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5</w:t>
            </w:r>
          </w:p>
        </w:tc>
        <w:tc>
          <w:tcPr>
            <w:tcW w:w="1139" w:type="dxa"/>
            <w:vAlign w:val="center"/>
          </w:tcPr>
          <w:p>
            <w:pPr>
              <w:spacing w:line="260" w:lineRule="exact"/>
              <w:jc w:val="center"/>
              <w:rPr>
                <w:rFonts w:ascii="Times New Roman" w:hAnsi="Times New Roman"/>
                <w:color w:val="000000"/>
                <w:sz w:val="28"/>
                <w:szCs w:val="28"/>
              </w:rPr>
            </w:pPr>
            <w:r>
              <w:rPr>
                <w:rFonts w:ascii="Times New Roman" w:hAnsi="Times New Roman"/>
                <w:color w:val="00000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040" w:type="dxa"/>
            <w:gridSpan w:val="3"/>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合　　　　计</w:t>
            </w:r>
          </w:p>
        </w:tc>
        <w:tc>
          <w:tcPr>
            <w:tcW w:w="1343" w:type="dxa"/>
            <w:vAlign w:val="center"/>
          </w:tcPr>
          <w:p>
            <w:pPr>
              <w:adjustRightInd w:val="0"/>
              <w:snapToGrid w:val="0"/>
              <w:spacing w:line="260" w:lineRule="exact"/>
              <w:jc w:val="center"/>
              <w:rPr>
                <w:rFonts w:ascii="Times New Roman" w:hAnsi="Times New Roman"/>
                <w:sz w:val="28"/>
                <w:szCs w:val="28"/>
              </w:rPr>
            </w:pPr>
            <w:r>
              <w:rPr>
                <w:rFonts w:ascii="Times New Roman" w:hAnsi="Times New Roman"/>
                <w:sz w:val="20"/>
                <w:szCs w:val="20"/>
              </w:rPr>
              <w:t>100</w:t>
            </w:r>
          </w:p>
        </w:tc>
        <w:tc>
          <w:tcPr>
            <w:tcW w:w="1139" w:type="dxa"/>
            <w:vAlign w:val="center"/>
          </w:tcPr>
          <w:p>
            <w:pPr>
              <w:widowControl/>
              <w:spacing w:line="260" w:lineRule="exact"/>
              <w:jc w:val="center"/>
              <w:rPr>
                <w:rFonts w:ascii="Times New Roman" w:hAnsi="Times New Roman"/>
                <w:sz w:val="28"/>
                <w:szCs w:val="28"/>
              </w:rPr>
            </w:pPr>
            <w:r>
              <w:rPr>
                <w:rFonts w:ascii="Times New Roman" w:hAnsi="Times New Roman"/>
                <w:color w:val="000000"/>
                <w:kern w:val="0"/>
                <w:sz w:val="20"/>
                <w:szCs w:val="20"/>
              </w:rPr>
              <w:t>9</w:t>
            </w:r>
            <w:r>
              <w:rPr>
                <w:rFonts w:hint="eastAsia" w:ascii="Times New Roman" w:hAnsi="Times New Roman"/>
                <w:color w:val="000000"/>
                <w:kern w:val="0"/>
                <w:sz w:val="20"/>
                <w:szCs w:val="20"/>
              </w:rPr>
              <w:t>6</w:t>
            </w:r>
          </w:p>
        </w:tc>
      </w:tr>
    </w:tbl>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黑体"/>
          <w:sz w:val="32"/>
          <w:szCs w:val="33"/>
        </w:rPr>
      </w:pPr>
      <w:r>
        <w:rPr>
          <w:rFonts w:hint="eastAsia" w:ascii="Times New Roman" w:hAnsi="Times New Roman" w:eastAsia="黑体"/>
          <w:sz w:val="32"/>
          <w:szCs w:val="33"/>
        </w:rPr>
        <w:t>四、</w:t>
      </w:r>
      <w:r>
        <w:rPr>
          <w:rFonts w:ascii="Times New Roman" w:hAnsi="Times New Roman" w:eastAsia="黑体"/>
          <w:sz w:val="32"/>
          <w:szCs w:val="33"/>
        </w:rPr>
        <w:t>绩效评价指标分析</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（一）项目决策情况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szCs w:val="33"/>
        </w:rPr>
      </w:pPr>
      <w:r>
        <w:rPr>
          <w:rFonts w:hint="eastAsia" w:ascii="Times New Roman" w:hAnsi="Times New Roman" w:eastAsia="仿宋_GB2312"/>
          <w:sz w:val="32"/>
          <w:szCs w:val="33"/>
        </w:rPr>
        <w:t>2022年西区环卫生产经费项目按照西区环卫作业体制改革，西区道路清扫保洁、公厕日常管护以及垃圾清运政府采购合同（攀西府办函〔2012〕87号）、攀枝花市西区城管委办公室关于印发《攀枝花市西区市容环境卫生服务管理考核办法》的通知和要求，依据《攀枝花市西区道路清扫保洁及公厕管理考核细则》，由攀枝花市西区市容环境卫生服务中心作为监管方，对其生产和运营工作实施监督，开展量化考核，</w:t>
      </w:r>
      <w:r>
        <w:rPr>
          <w:rFonts w:hint="eastAsia" w:ascii="Times New Roman" w:hAnsi="Times New Roman" w:eastAsia="仿宋_GB2312"/>
          <w:sz w:val="32"/>
          <w:szCs w:val="33"/>
          <w:lang w:eastAsia="zh-CN"/>
        </w:rPr>
        <w:t>每季度</w:t>
      </w:r>
      <w:r>
        <w:rPr>
          <w:rFonts w:hint="eastAsia" w:ascii="Times New Roman" w:hAnsi="Times New Roman" w:eastAsia="仿宋_GB2312"/>
          <w:sz w:val="32"/>
          <w:szCs w:val="33"/>
        </w:rPr>
        <w:t>拨付生产经费。</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楷体_GB2312" w:hAnsi="楷体_GB2312" w:eastAsia="楷体_GB2312" w:cs="楷体_GB2312"/>
          <w:b/>
          <w:bCs/>
          <w:sz w:val="32"/>
          <w:szCs w:val="33"/>
        </w:rPr>
      </w:pPr>
      <w:r>
        <w:rPr>
          <w:rFonts w:hint="eastAsia" w:ascii="方正楷体_GBK" w:hAnsi="方正楷体_GBK" w:eastAsia="楷体_GB2312" w:cs="方正楷体_GBK"/>
          <w:b/>
          <w:bCs/>
          <w:sz w:val="32"/>
          <w:szCs w:val="33"/>
        </w:rPr>
        <w:t>（二）项目过程情况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b/>
          <w:bCs/>
          <w:sz w:val="32"/>
          <w:szCs w:val="33"/>
        </w:rPr>
      </w:pPr>
      <w:r>
        <w:rPr>
          <w:rFonts w:hint="eastAsia" w:ascii="方正仿宋_GBK" w:hAnsi="方正仿宋_GBK" w:eastAsia="仿宋_GB2312" w:cs="方正仿宋_GBK"/>
          <w:sz w:val="32"/>
          <w:szCs w:val="33"/>
        </w:rPr>
        <w:t>评价工作开展过程中，由业务经办股室人员组成评价小组，进行实地走访，选点涉及主次干道、繁华商业区、背街小巷和居民生活区</w:t>
      </w:r>
      <w:r>
        <w:rPr>
          <w:rFonts w:hint="eastAsia" w:ascii="方正仿宋_GBK" w:hAnsi="方正仿宋_GBK" w:eastAsia="仿宋_GB2312" w:cs="方正仿宋_GBK"/>
          <w:sz w:val="32"/>
          <w:szCs w:val="33"/>
          <w:lang w:eastAsia="zh-CN"/>
        </w:rPr>
        <w:t>等地方</w:t>
      </w:r>
      <w:r>
        <w:rPr>
          <w:rFonts w:hint="eastAsia" w:ascii="方正仿宋_GBK" w:hAnsi="方正仿宋_GBK" w:eastAsia="仿宋_GB2312" w:cs="方正仿宋_GBK"/>
          <w:sz w:val="32"/>
          <w:szCs w:val="33"/>
        </w:rPr>
        <w:t>；此外，经查阅该项目相关政策文件依据、费用标准以及各项文件、数据资料等，该项目符合当前国家发展战略以及环保政策，模式成熟，管理科学。各辖区生活垃圾全部做到日产日清，对西区生活垃圾无害化、减量化、资源化处理及城乡人居环境的改善成效显著，同时，减少土地资源的占用浪费，防止土壤、空气、水源污染，有效保障全区城乡环境干净整洁，创建了良好的城市生活环境。</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（三）项目产出情况</w:t>
      </w:r>
    </w:p>
    <w:p>
      <w:pPr>
        <w:pStyle w:val="7"/>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sz w:val="32"/>
          <w:szCs w:val="33"/>
        </w:rPr>
      </w:pPr>
      <w:r>
        <w:rPr>
          <w:rFonts w:hint="eastAsia" w:ascii="Times New Roman" w:hAnsi="Times New Roman" w:eastAsia="仿宋_GB2312"/>
          <w:sz w:val="32"/>
          <w:szCs w:val="33"/>
        </w:rPr>
        <w:t>开展环境卫生巡查约36</w:t>
      </w:r>
      <w:r>
        <w:rPr>
          <w:rFonts w:hint="eastAsia" w:ascii="Times New Roman" w:hAnsi="Times New Roman" w:eastAsia="仿宋_GB2312"/>
          <w:sz w:val="32"/>
          <w:szCs w:val="33"/>
          <w:highlight w:val="none"/>
        </w:rPr>
        <w:t>0余次，全年清运生活垃圾约36500吨，清扫清洁西区所有</w:t>
      </w:r>
      <w:r>
        <w:rPr>
          <w:rFonts w:hint="eastAsia" w:ascii="Times New Roman" w:hAnsi="Times New Roman" w:eastAsia="仿宋_GB2312"/>
          <w:sz w:val="32"/>
          <w:szCs w:val="33"/>
        </w:rPr>
        <w:t>街道及背街小巷176万平方米，洒水降尘用水约50000吨。做到安全转运，生活垃圾日产日清，垃圾无害化处理率达100%。</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方正楷体_GBK" w:hAnsi="方正楷体_GBK" w:eastAsia="楷体_GB2312" w:cs="方正楷体_GBK"/>
          <w:b/>
          <w:bCs/>
          <w:sz w:val="32"/>
          <w:szCs w:val="33"/>
        </w:rPr>
      </w:pPr>
      <w:r>
        <w:rPr>
          <w:rFonts w:hint="eastAsia" w:ascii="方正楷体_GBK" w:hAnsi="方正楷体_GBK" w:eastAsia="楷体_GB2312" w:cs="方正楷体_GBK"/>
          <w:b/>
          <w:bCs/>
          <w:sz w:val="32"/>
          <w:szCs w:val="33"/>
        </w:rPr>
        <w:t>（四）项目效益情况</w:t>
      </w:r>
    </w:p>
    <w:p>
      <w:pPr>
        <w:pStyle w:val="7"/>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sz w:val="32"/>
          <w:szCs w:val="33"/>
        </w:rPr>
      </w:pPr>
      <w:r>
        <w:rPr>
          <w:rFonts w:hint="eastAsia" w:ascii="Times New Roman" w:hAnsi="Times New Roman" w:eastAsia="仿宋_GB2312"/>
          <w:sz w:val="32"/>
          <w:szCs w:val="33"/>
        </w:rPr>
        <w:t>2022年，主管单位圆满完成年度工作目标，基本支出保证人员经费基本待遇。全系统在职在编367人，其中：叁旺公司在编131人、升阳升公司在编138人、成都平安公司在编75人、环卫市场运行管理人员23人。城市管理整体水平大幅提升，城市环境有效改善，城市形象明显改变，为市民提供更加舒适的生活环境，使市民获得更强烈的幸福感。</w:t>
      </w:r>
    </w:p>
    <w:p>
      <w:pPr>
        <w:keepNext w:val="0"/>
        <w:keepLines w:val="0"/>
        <w:pageBreakBefore w:val="0"/>
        <w:widowControl w:val="0"/>
        <w:tabs>
          <w:tab w:val="left" w:pos="3885"/>
        </w:tabs>
        <w:kinsoku/>
        <w:wordWrap/>
        <w:overflowPunct/>
        <w:topLinePunct w:val="0"/>
        <w:autoSpaceDE/>
        <w:autoSpaceDN/>
        <w:bidi w:val="0"/>
        <w:adjustRightInd/>
        <w:snapToGrid w:val="0"/>
        <w:spacing w:line="560" w:lineRule="exact"/>
        <w:ind w:firstLine="640" w:firstLineChars="200"/>
        <w:textAlignment w:val="auto"/>
        <w:rPr>
          <w:rFonts w:ascii="方正黑体_GBK" w:hAnsi="方正黑体_GBK" w:eastAsia="黑体" w:cs="方正黑体_GBK"/>
          <w:sz w:val="32"/>
          <w:szCs w:val="33"/>
        </w:rPr>
      </w:pPr>
      <w:r>
        <w:rPr>
          <w:rFonts w:hint="eastAsia" w:ascii="方正黑体_GBK" w:hAnsi="方正黑体_GBK" w:eastAsia="黑体" w:cs="方正黑体_GBK"/>
          <w:sz w:val="32"/>
          <w:szCs w:val="33"/>
        </w:rPr>
        <w:t>五、存在主要问题</w:t>
      </w:r>
    </w:p>
    <w:p>
      <w:pPr>
        <w:keepNext w:val="0"/>
        <w:keepLines w:val="0"/>
        <w:pageBreakBefore w:val="0"/>
        <w:widowControl w:val="0"/>
        <w:tabs>
          <w:tab w:val="left" w:pos="3885"/>
        </w:tabs>
        <w:kinsoku/>
        <w:wordWrap/>
        <w:overflowPunct/>
        <w:topLinePunct w:val="0"/>
        <w:autoSpaceDE/>
        <w:autoSpaceDN/>
        <w:bidi w:val="0"/>
        <w:adjustRightInd/>
        <w:snapToGrid w:val="0"/>
        <w:spacing w:line="560" w:lineRule="exact"/>
        <w:ind w:firstLine="640" w:firstLineChars="200"/>
        <w:textAlignment w:val="auto"/>
        <w:rPr>
          <w:rFonts w:ascii="仿宋_GB2312"/>
          <w:sz w:val="28"/>
          <w:szCs w:val="28"/>
        </w:rPr>
      </w:pPr>
      <w:r>
        <w:rPr>
          <w:rFonts w:hint="eastAsia" w:ascii="方正仿宋_GBK" w:hAnsi="方正仿宋_GBK" w:eastAsia="仿宋_GB2312" w:cs="方正仿宋_GBK"/>
          <w:sz w:val="32"/>
          <w:szCs w:val="33"/>
        </w:rPr>
        <w:t>城市垃圾收储点餐厨垃圾混装问题仍然存在。</w:t>
      </w:r>
    </w:p>
    <w:p>
      <w:pPr>
        <w:keepNext w:val="0"/>
        <w:keepLines w:val="0"/>
        <w:pageBreakBefore w:val="0"/>
        <w:widowControl w:val="0"/>
        <w:tabs>
          <w:tab w:val="left" w:pos="3885"/>
        </w:tabs>
        <w:kinsoku/>
        <w:wordWrap/>
        <w:overflowPunct/>
        <w:topLinePunct w:val="0"/>
        <w:autoSpaceDE/>
        <w:autoSpaceDN/>
        <w:bidi w:val="0"/>
        <w:adjustRightInd/>
        <w:snapToGrid w:val="0"/>
        <w:spacing w:line="560" w:lineRule="exact"/>
        <w:ind w:firstLine="640" w:firstLineChars="200"/>
        <w:textAlignment w:val="auto"/>
        <w:rPr>
          <w:rFonts w:ascii="方正黑体_GBK" w:hAnsi="方正黑体_GBK" w:eastAsia="黑体" w:cs="方正黑体_GBK"/>
          <w:sz w:val="32"/>
          <w:szCs w:val="33"/>
        </w:rPr>
      </w:pPr>
      <w:r>
        <w:rPr>
          <w:rFonts w:hint="eastAsia" w:ascii="方正黑体_GBK" w:hAnsi="方正黑体_GBK" w:eastAsia="黑体" w:cs="方正黑体_GBK"/>
          <w:sz w:val="32"/>
          <w:szCs w:val="33"/>
        </w:rPr>
        <w:t>六、相关措施建议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sz w:val="32"/>
          <w:szCs w:val="33"/>
        </w:rPr>
      </w:pPr>
      <w:r>
        <w:rPr>
          <w:rFonts w:ascii="Times New Roman" w:hAnsi="Times New Roman" w:eastAsia="仿宋_GB2312"/>
          <w:sz w:val="32"/>
          <w:szCs w:val="33"/>
        </w:rPr>
        <w:t>加</w:t>
      </w:r>
      <w:r>
        <w:rPr>
          <w:rFonts w:hint="eastAsia" w:ascii="Times New Roman" w:hAnsi="Times New Roman" w:eastAsia="仿宋_GB2312"/>
          <w:sz w:val="32"/>
          <w:szCs w:val="33"/>
        </w:rPr>
        <w:t>大垃圾分类宣传力度，及时更新设施设备，</w:t>
      </w:r>
      <w:r>
        <w:rPr>
          <w:rFonts w:ascii="Times New Roman" w:hAnsi="Times New Roman" w:eastAsia="仿宋_GB2312"/>
          <w:sz w:val="32"/>
          <w:szCs w:val="33"/>
        </w:rPr>
        <w:t>进一步提高服务质量。</w:t>
      </w:r>
    </w:p>
    <w:p>
      <w:pPr>
        <w:spacing w:line="600" w:lineRule="exact"/>
      </w:pPr>
    </w:p>
    <w:p>
      <w:pPr>
        <w:pStyle w:val="2"/>
      </w:pPr>
    </w:p>
    <w:sectPr>
      <w:footerReference r:id="rId3" w:type="default"/>
      <w:pgSz w:w="11906" w:h="16838"/>
      <w:pgMar w:top="2098" w:right="1474" w:bottom="1984"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书宋简体">
    <w:panose1 w:val="02010601030101010101"/>
    <w:charset w:val="86"/>
    <w:family w:val="auto"/>
    <w:pitch w:val="default"/>
    <w:sig w:usb0="00000001" w:usb1="080E0000" w:usb2="00000000" w:usb3="00000000" w:csb0="00040000" w:csb1="00000000"/>
  </w:font>
  <w:font w:name="方正仿宋">
    <w:altName w:val="仿宋"/>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方正黑体">
    <w:altName w:val="黑体"/>
    <w:panose1 w:val="00000000000000000000"/>
    <w:charset w:val="00"/>
    <w:family w:val="auto"/>
    <w:pitch w:val="default"/>
    <w:sig w:usb0="00000000" w:usb1="00000000" w:usb2="00000000" w:usb3="00000000" w:csb0="00000000" w:csb1="00000000"/>
  </w:font>
  <w:font w:name="方正楷体">
    <w:altName w:val="楷体_GB2312"/>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eastAsia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default" w:ascii="Times New Roman" w:hAnsi="Times New Roman" w:cs="Times New Roman" w:eastAsia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eastAsia="宋体"/>
                              <w:sz w:val="28"/>
                              <w:szCs w:val="28"/>
                            </w:rPr>
                          </w:pPr>
                        </w:p>
                        <w:p>
                          <w:pPr>
                            <w:pStyle w:val="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8"/>
                      <w:rPr>
                        <w:rFonts w:eastAsia="宋体"/>
                        <w:sz w:val="28"/>
                        <w:szCs w:val="28"/>
                      </w:rPr>
                    </w:pPr>
                  </w:p>
                  <w:p>
                    <w:pPr>
                      <w:pStyle w:val="8"/>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MzQxYTRlNjk4MDU3ODhkODNhNzlhZWNhNGRmZDIifQ=="/>
  </w:docVars>
  <w:rsids>
    <w:rsidRoot w:val="5F804092"/>
    <w:rsid w:val="0007285E"/>
    <w:rsid w:val="00106B20"/>
    <w:rsid w:val="001247D5"/>
    <w:rsid w:val="001A09EF"/>
    <w:rsid w:val="003235C6"/>
    <w:rsid w:val="00393A29"/>
    <w:rsid w:val="006E56AF"/>
    <w:rsid w:val="0086191E"/>
    <w:rsid w:val="00922B21"/>
    <w:rsid w:val="009940EB"/>
    <w:rsid w:val="00AE5F71"/>
    <w:rsid w:val="00DD67E3"/>
    <w:rsid w:val="00E45F1C"/>
    <w:rsid w:val="00E61992"/>
    <w:rsid w:val="00EE10E2"/>
    <w:rsid w:val="04232371"/>
    <w:rsid w:val="054E05C4"/>
    <w:rsid w:val="05A12447"/>
    <w:rsid w:val="05DE46F9"/>
    <w:rsid w:val="063E5584"/>
    <w:rsid w:val="08EE3491"/>
    <w:rsid w:val="0B091E74"/>
    <w:rsid w:val="0B37325C"/>
    <w:rsid w:val="0B8F172B"/>
    <w:rsid w:val="0C1D0737"/>
    <w:rsid w:val="0C345FBA"/>
    <w:rsid w:val="104957BB"/>
    <w:rsid w:val="108651D8"/>
    <w:rsid w:val="11314B7A"/>
    <w:rsid w:val="12AC34CD"/>
    <w:rsid w:val="13FD080F"/>
    <w:rsid w:val="16C54BF2"/>
    <w:rsid w:val="1D9411C9"/>
    <w:rsid w:val="1E3B3A83"/>
    <w:rsid w:val="1EDC426A"/>
    <w:rsid w:val="1EE71AAB"/>
    <w:rsid w:val="2040034F"/>
    <w:rsid w:val="22A21EBF"/>
    <w:rsid w:val="23FD5E04"/>
    <w:rsid w:val="25F84428"/>
    <w:rsid w:val="27700A5F"/>
    <w:rsid w:val="278A3155"/>
    <w:rsid w:val="281D4A0F"/>
    <w:rsid w:val="2C152120"/>
    <w:rsid w:val="2D1A0C1B"/>
    <w:rsid w:val="324D017F"/>
    <w:rsid w:val="3413458C"/>
    <w:rsid w:val="34A7546B"/>
    <w:rsid w:val="35A072E1"/>
    <w:rsid w:val="37173CBE"/>
    <w:rsid w:val="3BB822E7"/>
    <w:rsid w:val="3D7E3003"/>
    <w:rsid w:val="3DDC2C97"/>
    <w:rsid w:val="44BF15F4"/>
    <w:rsid w:val="46CB54B5"/>
    <w:rsid w:val="4B34522E"/>
    <w:rsid w:val="4DF72A60"/>
    <w:rsid w:val="51AE3B4A"/>
    <w:rsid w:val="54DB7CC7"/>
    <w:rsid w:val="55754384"/>
    <w:rsid w:val="558C1774"/>
    <w:rsid w:val="57191118"/>
    <w:rsid w:val="5B4C26FA"/>
    <w:rsid w:val="5BCE74DB"/>
    <w:rsid w:val="5DF9009F"/>
    <w:rsid w:val="5F804092"/>
    <w:rsid w:val="61FD617C"/>
    <w:rsid w:val="688651C2"/>
    <w:rsid w:val="68BC3589"/>
    <w:rsid w:val="69C74985"/>
    <w:rsid w:val="6C22342F"/>
    <w:rsid w:val="6CE82BC1"/>
    <w:rsid w:val="6F890FA9"/>
    <w:rsid w:val="6FB6296A"/>
    <w:rsid w:val="768653B0"/>
    <w:rsid w:val="7720220C"/>
    <w:rsid w:val="7898595C"/>
    <w:rsid w:val="7D084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next w:val="3"/>
    <w:qFormat/>
    <w:uiPriority w:val="0"/>
    <w:pPr>
      <w:ind w:left="111"/>
      <w:textAlignment w:val="baseline"/>
    </w:pPr>
    <w:rPr>
      <w:rFonts w:ascii="仿宋_GB2312" w:hAnsi="仿宋_GB2312"/>
      <w:szCs w:val="32"/>
    </w:rPr>
  </w:style>
  <w:style w:type="paragraph" w:customStyle="1" w:styleId="3">
    <w:name w:val="UserStyle_7"/>
    <w:basedOn w:val="1"/>
    <w:next w:val="1"/>
    <w:qFormat/>
    <w:uiPriority w:val="0"/>
    <w:pPr>
      <w:ind w:left="2940"/>
      <w:textAlignment w:val="baseline"/>
    </w:pPr>
    <w:rPr>
      <w:rFonts w:ascii="Times New Roman" w:hAnsi="Times New Roman" w:eastAsia="宋体"/>
    </w:rPr>
  </w:style>
  <w:style w:type="paragraph" w:styleId="4">
    <w:name w:val="Salutation"/>
    <w:basedOn w:val="1"/>
    <w:next w:val="1"/>
    <w:qFormat/>
    <w:uiPriority w:val="0"/>
    <w:rPr>
      <w:rFonts w:eastAsia="宋体"/>
    </w:rPr>
  </w:style>
  <w:style w:type="paragraph" w:styleId="5">
    <w:name w:val="Body Text"/>
    <w:basedOn w:val="1"/>
    <w:next w:val="1"/>
    <w:qFormat/>
    <w:uiPriority w:val="0"/>
    <w:rPr>
      <w:rFonts w:eastAsia="宋体"/>
    </w:rPr>
  </w:style>
  <w:style w:type="paragraph" w:styleId="6">
    <w:name w:val="Body Text Indent"/>
    <w:basedOn w:val="1"/>
    <w:qFormat/>
    <w:uiPriority w:val="0"/>
    <w:pPr>
      <w:ind w:firstLine="600"/>
    </w:pPr>
    <w:rPr>
      <w:sz w:val="30"/>
      <w:szCs w:val="30"/>
    </w:rPr>
  </w:style>
  <w:style w:type="paragraph" w:styleId="7">
    <w:name w:val="Plain Text"/>
    <w:basedOn w:val="1"/>
    <w:qFormat/>
    <w:uiPriority w:val="0"/>
    <w:rPr>
      <w:rFonts w:ascii="宋体" w:hAnsi="Courier New" w:eastAsia="宋体"/>
      <w:sz w:val="21"/>
      <w:szCs w:val="2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footnote text"/>
    <w:basedOn w:val="1"/>
    <w:qFormat/>
    <w:uiPriority w:val="0"/>
    <w:pPr>
      <w:snapToGrid w:val="0"/>
      <w:jc w:val="left"/>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paragraph" w:customStyle="1" w:styleId="14">
    <w:name w:val="NormalIndent"/>
    <w:basedOn w:val="1"/>
    <w:qFormat/>
    <w:uiPriority w:val="0"/>
    <w:pPr>
      <w:ind w:firstLine="420" w:firstLineChars="200"/>
    </w:pPr>
  </w:style>
  <w:style w:type="paragraph" w:styleId="15">
    <w:name w:val="List Paragraph"/>
    <w:basedOn w:val="1"/>
    <w:qFormat/>
    <w:uiPriority w:val="34"/>
    <w:pPr>
      <w:ind w:firstLine="420" w:firstLineChars="200"/>
    </w:pPr>
  </w:style>
  <w:style w:type="paragraph" w:customStyle="1" w:styleId="16">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63</Pages>
  <Words>26399</Words>
  <Characters>4427</Characters>
  <Lines>36</Lines>
  <Paragraphs>61</Paragraphs>
  <TotalTime>19</TotalTime>
  <ScaleCrop>false</ScaleCrop>
  <LinksUpToDate>false</LinksUpToDate>
  <CharactersWithSpaces>30765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2023-09-07T09:04:00Z</dcterms:created>
  <dc:creator>谢紫秋</dc:creator>
  <cp:lastModifiedBy>杨晶</cp:lastModifiedBy>
  <cp:lastPrinted>2023-09-18T02:10:00Z</cp:lastPrinted>
  <dcterms:modified xsi:type="dcterms:W3CDTF">2024-03-14T03:10:19Z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05140EF6DF504BE3A0D8D3D73725230F_13</vt:lpwstr>
  </property>
</Properties>
</file>