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475"/>
      <w:bookmarkStart w:id="3" w:name="_Toc15396597"/>
      <w:bookmarkStart w:id="4" w:name="_Toc15377425"/>
      <w:bookmarkStart w:id="5" w:name="_Toc15377193"/>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77194"/>
      <w:bookmarkStart w:id="8" w:name="_Toc15396476"/>
      <w:bookmarkStart w:id="9" w:name="_Toc15377426"/>
      <w:bookmarkStart w:id="10" w:name="_Toc15396598"/>
      <w:r>
        <w:rPr>
          <w:rFonts w:hint="eastAsia" w:ascii="方正小标宋简体" w:hAnsi="方正小标宋简体" w:eastAsia="方正小标宋简体" w:cs="方正小标宋简体"/>
          <w:sz w:val="72"/>
          <w:szCs w:val="72"/>
        </w:rPr>
        <w:t>攀枝花市西区</w:t>
      </w:r>
      <w:bookmarkEnd w:id="0"/>
      <w:bookmarkStart w:id="11" w:name="_Toc15306268"/>
      <w:r>
        <w:rPr>
          <w:rFonts w:hint="eastAsia" w:ascii="方正小标宋简体" w:hAnsi="方正小标宋简体" w:eastAsia="方正小标宋简体" w:cs="方正小标宋简体"/>
          <w:sz w:val="72"/>
          <w:szCs w:val="72"/>
        </w:rPr>
        <w:t>市容环境卫生服务中心单位决算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公开时间：2023年10月30日</w:t>
      </w:r>
    </w:p>
    <w:p/>
    <w:p>
      <w:pPr>
        <w:pStyle w:val="10"/>
        <w:adjustRightInd w:val="0"/>
        <w:snapToGrid w:val="0"/>
        <w:spacing w:before="0" w:line="440" w:lineRule="exact"/>
        <w:jc w:val="left"/>
        <w:rPr>
          <w:rFonts w:cstheme="minorBidi"/>
          <w:sz w:val="24"/>
          <w:szCs w:val="24"/>
        </w:rPr>
      </w:pPr>
      <w:r>
        <w:rPr>
          <w:rFonts w:hint="eastAsia"/>
          <w:sz w:val="24"/>
        </w:rPr>
        <w:t>第一部分单位概况</w:t>
      </w:r>
      <w:r>
        <w:rPr>
          <w:rFonts w:cstheme="minorBidi"/>
          <w:sz w:val="24"/>
        </w:rPr>
        <w:tab/>
      </w:r>
      <w:r>
        <w:rPr>
          <w:rFonts w:hint="eastAsia" w:cstheme="minorBidi"/>
          <w:sz w:val="24"/>
        </w:rPr>
        <w:t>4页</w:t>
      </w:r>
    </w:p>
    <w:p>
      <w:pPr>
        <w:pStyle w:val="11"/>
        <w:adjustRightInd w:val="0"/>
        <w:snapToGrid w:val="0"/>
        <w:spacing w:line="440" w:lineRule="exact"/>
        <w:jc w:val="left"/>
        <w:rPr>
          <w:sz w:val="24"/>
        </w:rPr>
      </w:pPr>
      <w:r>
        <w:rPr>
          <w:rFonts w:hint="eastAsia"/>
          <w:sz w:val="24"/>
        </w:rPr>
        <w:t>一、主要职责</w:t>
      </w:r>
      <w:r>
        <w:rPr>
          <w:rFonts w:cstheme="minorBidi"/>
          <w:sz w:val="24"/>
        </w:rPr>
        <w:tab/>
      </w:r>
      <w:r>
        <w:rPr>
          <w:rFonts w:hint="eastAsia" w:cstheme="minorBidi"/>
          <w:sz w:val="24"/>
        </w:rPr>
        <w:t>4页</w:t>
      </w:r>
    </w:p>
    <w:p>
      <w:pPr>
        <w:pStyle w:val="11"/>
        <w:adjustRightInd w:val="0"/>
        <w:snapToGrid w:val="0"/>
        <w:spacing w:line="440" w:lineRule="exact"/>
        <w:jc w:val="left"/>
      </w:pPr>
      <w:r>
        <w:rPr>
          <w:rFonts w:hint="eastAsia"/>
          <w:sz w:val="24"/>
        </w:rPr>
        <w:t>二、机构设置</w:t>
      </w:r>
      <w:r>
        <w:rPr>
          <w:rFonts w:cstheme="minorBidi"/>
          <w:sz w:val="24"/>
        </w:rPr>
        <w:tab/>
      </w:r>
      <w:r>
        <w:rPr>
          <w:rFonts w:hint="eastAsia" w:cstheme="minorBidi"/>
          <w:sz w:val="24"/>
        </w:rPr>
        <w:t>4页</w:t>
      </w:r>
    </w:p>
    <w:p>
      <w:pPr>
        <w:pStyle w:val="10"/>
        <w:adjustRightInd w:val="0"/>
        <w:snapToGrid w:val="0"/>
        <w:spacing w:before="0" w:line="440" w:lineRule="exact"/>
        <w:jc w:val="left"/>
        <w:rPr>
          <w:sz w:val="24"/>
          <w:szCs w:val="24"/>
        </w:rPr>
      </w:pPr>
      <w:r>
        <w:rPr>
          <w:rFonts w:hint="eastAsia"/>
          <w:sz w:val="24"/>
        </w:rPr>
        <w:t>第二部分 2022年度单位决算情况说明</w:t>
      </w:r>
      <w:r>
        <w:rPr>
          <w:rFonts w:cstheme="minorBidi"/>
          <w:sz w:val="24"/>
        </w:rPr>
        <w:tab/>
      </w:r>
      <w:r>
        <w:rPr>
          <w:rFonts w:hint="eastAsia" w:cstheme="minorBidi"/>
          <w:sz w:val="24"/>
        </w:rPr>
        <w:t>5页</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rPr>
        <w:t>5页</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rPr>
        <w:t>5页</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rPr>
        <w:t>6页</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rPr>
        <w:t>7页</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8页</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10页</w:t>
      </w:r>
    </w:p>
    <w:p>
      <w:pPr>
        <w:pStyle w:val="11"/>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rPr>
        <w:t>11页</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cstheme="minorBidi"/>
          <w:sz w:val="24"/>
        </w:rPr>
        <w:tab/>
      </w:r>
      <w:r>
        <w:rPr>
          <w:rFonts w:hint="eastAsia" w:cstheme="minorBidi"/>
          <w:sz w:val="24"/>
        </w:rPr>
        <w:t>12页</w:t>
      </w:r>
    </w:p>
    <w:p>
      <w:pPr>
        <w:pStyle w:val="11"/>
        <w:adjustRightInd w:val="0"/>
        <w:snapToGrid w:val="0"/>
        <w:spacing w:line="440" w:lineRule="exact"/>
        <w:jc w:val="left"/>
        <w:rPr>
          <w:sz w:val="24"/>
        </w:rPr>
      </w:pPr>
      <w:r>
        <w:rPr>
          <w:rFonts w:hint="eastAsia"/>
          <w:sz w:val="24"/>
        </w:rPr>
        <w:t>九、国有资本经营预算支出决算情况说明</w:t>
      </w:r>
      <w:r>
        <w:rPr>
          <w:rFonts w:cstheme="minorBidi"/>
          <w:sz w:val="24"/>
        </w:rPr>
        <w:tab/>
      </w:r>
      <w:r>
        <w:rPr>
          <w:rFonts w:hint="eastAsia" w:cstheme="minorBidi"/>
          <w:sz w:val="24"/>
        </w:rPr>
        <w:t>12页</w:t>
      </w:r>
    </w:p>
    <w:p>
      <w:pPr>
        <w:pStyle w:val="11"/>
        <w:adjustRightInd w:val="0"/>
        <w:snapToGrid w:val="0"/>
        <w:spacing w:line="440" w:lineRule="exact"/>
        <w:jc w:val="left"/>
        <w:rPr>
          <w:sz w:val="24"/>
        </w:rPr>
      </w:pPr>
      <w:r>
        <w:rPr>
          <w:rFonts w:hint="eastAsia"/>
          <w:sz w:val="24"/>
        </w:rPr>
        <w:t>十、其他重要事项的情况说明</w:t>
      </w:r>
      <w:r>
        <w:rPr>
          <w:rFonts w:cstheme="minorBidi"/>
          <w:sz w:val="24"/>
        </w:rPr>
        <w:tab/>
      </w:r>
      <w:r>
        <w:rPr>
          <w:rFonts w:hint="eastAsia" w:cstheme="minorBidi"/>
          <w:sz w:val="24"/>
        </w:rPr>
        <w:t>12页</w:t>
      </w:r>
    </w:p>
    <w:p>
      <w:pPr>
        <w:pStyle w:val="10"/>
        <w:adjustRightInd w:val="0"/>
        <w:snapToGrid w:val="0"/>
        <w:spacing w:before="0" w:line="440" w:lineRule="exact"/>
        <w:jc w:val="left"/>
        <w:rPr>
          <w:rFonts w:cstheme="minorBidi"/>
          <w:sz w:val="24"/>
          <w:szCs w:val="24"/>
        </w:rPr>
      </w:pPr>
      <w:r>
        <w:rPr>
          <w:rFonts w:hint="eastAsia"/>
          <w:sz w:val="24"/>
        </w:rPr>
        <w:t>第三部分名词解释</w:t>
      </w:r>
      <w:r>
        <w:rPr>
          <w:rFonts w:cstheme="minorBidi"/>
          <w:sz w:val="24"/>
        </w:rPr>
        <w:tab/>
      </w:r>
      <w:r>
        <w:rPr>
          <w:rFonts w:hint="eastAsia" w:cstheme="minorBidi"/>
          <w:sz w:val="24"/>
        </w:rPr>
        <w:t>15页</w:t>
      </w:r>
    </w:p>
    <w:p>
      <w:pPr>
        <w:pStyle w:val="10"/>
        <w:adjustRightInd w:val="0"/>
        <w:snapToGrid w:val="0"/>
        <w:spacing w:before="0" w:line="440" w:lineRule="exact"/>
        <w:jc w:val="left"/>
        <w:rPr>
          <w:rFonts w:cstheme="minorBidi"/>
          <w:sz w:val="24"/>
          <w:szCs w:val="24"/>
        </w:rPr>
      </w:pPr>
      <w:r>
        <w:rPr>
          <w:rFonts w:hint="eastAsia"/>
          <w:sz w:val="24"/>
        </w:rPr>
        <w:t>第四部分附件</w:t>
      </w:r>
      <w:r>
        <w:rPr>
          <w:rFonts w:cstheme="minorBidi"/>
          <w:sz w:val="24"/>
        </w:rPr>
        <w:tab/>
      </w:r>
      <w:r>
        <w:rPr>
          <w:rFonts w:hint="eastAsia" w:cstheme="minorBidi"/>
          <w:sz w:val="24"/>
        </w:rPr>
        <w:t>18页</w:t>
      </w:r>
    </w:p>
    <w:p>
      <w:pPr>
        <w:pStyle w:val="10"/>
        <w:adjustRightInd w:val="0"/>
        <w:snapToGrid w:val="0"/>
        <w:spacing w:before="0" w:line="440" w:lineRule="exact"/>
        <w:jc w:val="left"/>
        <w:rPr>
          <w:rFonts w:cstheme="minorBidi"/>
          <w:sz w:val="24"/>
          <w:szCs w:val="24"/>
        </w:rPr>
      </w:pPr>
      <w:r>
        <w:rPr>
          <w:rFonts w:hint="eastAsia"/>
          <w:sz w:val="24"/>
        </w:rPr>
        <w:t>第五部分附表</w:t>
      </w:r>
      <w:r>
        <w:rPr>
          <w:rFonts w:cstheme="minorBidi"/>
          <w:sz w:val="24"/>
        </w:rPr>
        <w:tab/>
      </w:r>
      <w:r>
        <w:rPr>
          <w:rFonts w:hint="eastAsia" w:cstheme="minorBidi"/>
          <w:sz w:val="24"/>
        </w:rPr>
        <w:t>19页</w:t>
      </w:r>
    </w:p>
    <w:p>
      <w:pPr>
        <w:pStyle w:val="11"/>
        <w:adjustRightInd w:val="0"/>
        <w:snapToGrid w:val="0"/>
        <w:spacing w:line="440" w:lineRule="exact"/>
        <w:jc w:val="left"/>
        <w:rPr>
          <w:sz w:val="24"/>
        </w:rPr>
      </w:pPr>
      <w:r>
        <w:rPr>
          <w:rFonts w:hint="eastAsia"/>
          <w:sz w:val="24"/>
        </w:rPr>
        <w:t>一、收入支出决算总表</w:t>
      </w:r>
      <w:r>
        <w:rPr>
          <w:rFonts w:cstheme="minorBidi"/>
          <w:sz w:val="24"/>
        </w:rPr>
        <w:tab/>
      </w:r>
      <w:r>
        <w:rPr>
          <w:rFonts w:hint="eastAsia" w:cstheme="minorBidi"/>
          <w:sz w:val="24"/>
        </w:rPr>
        <w:t>19页</w:t>
      </w:r>
    </w:p>
    <w:p>
      <w:pPr>
        <w:pStyle w:val="11"/>
        <w:adjustRightInd w:val="0"/>
        <w:snapToGrid w:val="0"/>
        <w:spacing w:line="440" w:lineRule="exact"/>
        <w:jc w:val="left"/>
        <w:rPr>
          <w:sz w:val="24"/>
        </w:rPr>
      </w:pPr>
      <w:r>
        <w:rPr>
          <w:rFonts w:hint="eastAsia"/>
          <w:sz w:val="24"/>
        </w:rPr>
        <w:t>二、收入决算表</w:t>
      </w:r>
      <w:r>
        <w:rPr>
          <w:rFonts w:cstheme="minorBidi"/>
          <w:sz w:val="24"/>
        </w:rPr>
        <w:tab/>
      </w:r>
      <w:r>
        <w:rPr>
          <w:rFonts w:hint="eastAsia" w:cstheme="minorBidi"/>
          <w:sz w:val="24"/>
        </w:rPr>
        <w:t>19页</w:t>
      </w:r>
    </w:p>
    <w:p>
      <w:pPr>
        <w:pStyle w:val="11"/>
        <w:adjustRightInd w:val="0"/>
        <w:snapToGrid w:val="0"/>
        <w:spacing w:line="440" w:lineRule="exact"/>
        <w:jc w:val="left"/>
        <w:rPr>
          <w:sz w:val="24"/>
        </w:rPr>
      </w:pPr>
      <w:r>
        <w:rPr>
          <w:rFonts w:hint="eastAsia"/>
          <w:sz w:val="24"/>
        </w:rPr>
        <w:t>三、支出决算表</w:t>
      </w:r>
      <w:r>
        <w:rPr>
          <w:rFonts w:cstheme="minorBidi"/>
          <w:sz w:val="24"/>
        </w:rPr>
        <w:tab/>
      </w:r>
      <w:r>
        <w:rPr>
          <w:rFonts w:hint="eastAsia" w:cstheme="minorBidi"/>
          <w:sz w:val="24"/>
        </w:rPr>
        <w:t>19页</w:t>
      </w:r>
    </w:p>
    <w:p>
      <w:pPr>
        <w:pStyle w:val="11"/>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hint="eastAsia" w:cstheme="minorBidi"/>
          <w:sz w:val="24"/>
        </w:rPr>
        <w:t>19页</w:t>
      </w:r>
    </w:p>
    <w:p>
      <w:pPr>
        <w:pStyle w:val="11"/>
        <w:adjustRightInd w:val="0"/>
        <w:snapToGrid w:val="0"/>
        <w:spacing w:line="440" w:lineRule="exact"/>
        <w:jc w:val="left"/>
        <w:rPr>
          <w:sz w:val="24"/>
        </w:rPr>
      </w:pPr>
      <w:r>
        <w:rPr>
          <w:rFonts w:hint="eastAsia"/>
          <w:sz w:val="24"/>
        </w:rPr>
        <w:t>五、财政拨款支出决算明细表</w:t>
      </w:r>
      <w:r>
        <w:rPr>
          <w:rFonts w:cstheme="minorBidi"/>
          <w:sz w:val="24"/>
        </w:rPr>
        <w:tab/>
      </w:r>
      <w:r>
        <w:rPr>
          <w:rFonts w:hint="eastAsia" w:cstheme="minorBidi"/>
          <w:sz w:val="24"/>
        </w:rPr>
        <w:t>19页</w:t>
      </w:r>
    </w:p>
    <w:p>
      <w:pPr>
        <w:pStyle w:val="11"/>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hint="eastAsia" w:cstheme="minorBidi"/>
          <w:sz w:val="24"/>
        </w:rPr>
        <w:t>19页</w:t>
      </w:r>
    </w:p>
    <w:p>
      <w:pPr>
        <w:pStyle w:val="11"/>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hint="eastAsia" w:cstheme="minorBidi"/>
          <w:sz w:val="24"/>
        </w:rPr>
        <w:t>19页</w:t>
      </w:r>
    </w:p>
    <w:p>
      <w:pPr>
        <w:pStyle w:val="11"/>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hint="eastAsia" w:cstheme="minorBidi"/>
          <w:sz w:val="24"/>
        </w:rPr>
        <w:t>19页</w:t>
      </w:r>
    </w:p>
    <w:p>
      <w:pPr>
        <w:pStyle w:val="11"/>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hint="eastAsia" w:cstheme="minorBidi"/>
          <w:sz w:val="24"/>
        </w:rPr>
        <w:t>19页</w:t>
      </w:r>
    </w:p>
    <w:p>
      <w:pPr>
        <w:pStyle w:val="11"/>
        <w:adjustRightInd w:val="0"/>
        <w:snapToGrid w:val="0"/>
        <w:spacing w:line="440" w:lineRule="exact"/>
        <w:jc w:val="left"/>
        <w:rPr>
          <w:sz w:val="24"/>
        </w:rPr>
      </w:pPr>
      <w:r>
        <w:rPr>
          <w:rFonts w:hint="eastAsia"/>
          <w:sz w:val="24"/>
        </w:rPr>
        <w:t>十、政府性基金预算财政拨款收入支出决算表</w:t>
      </w:r>
      <w:r>
        <w:rPr>
          <w:rFonts w:cstheme="minorBidi"/>
          <w:sz w:val="24"/>
        </w:rPr>
        <w:tab/>
      </w:r>
      <w:r>
        <w:rPr>
          <w:rFonts w:hint="eastAsia" w:cstheme="minorBidi"/>
          <w:sz w:val="24"/>
        </w:rPr>
        <w:t>19页</w:t>
      </w:r>
    </w:p>
    <w:p>
      <w:pPr>
        <w:pStyle w:val="11"/>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hint="eastAsia" w:cstheme="minorBidi"/>
          <w:sz w:val="24"/>
        </w:rPr>
        <w:t>19页</w:t>
      </w:r>
    </w:p>
    <w:p>
      <w:pPr>
        <w:pStyle w:val="11"/>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hint="eastAsia" w:cstheme="minorBidi"/>
          <w:sz w:val="24"/>
        </w:rPr>
        <w:t>19页</w:t>
      </w:r>
    </w:p>
    <w:p>
      <w:pPr>
        <w:pStyle w:val="11"/>
        <w:adjustRightInd w:val="0"/>
        <w:snapToGrid w:val="0"/>
        <w:spacing w:line="440" w:lineRule="exact"/>
        <w:jc w:val="left"/>
        <w:rPr>
          <w:sz w:val="24"/>
        </w:rPr>
      </w:pPr>
      <w:r>
        <w:rPr>
          <w:rFonts w:hint="eastAsia"/>
          <w:sz w:val="24"/>
        </w:rPr>
        <w:t>十三、财政拨款“三公”经费支出决算表</w:t>
      </w:r>
      <w:r>
        <w:rPr>
          <w:rFonts w:cstheme="minorBidi"/>
          <w:sz w:val="24"/>
        </w:rPr>
        <w:tab/>
      </w:r>
      <w:r>
        <w:rPr>
          <w:rFonts w:hint="eastAsia" w:cstheme="minorBidi"/>
          <w:sz w:val="24"/>
        </w:rPr>
        <w:t>19页</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rPr>
        <w:t>主要职责</w:t>
      </w:r>
    </w:p>
    <w:p>
      <w:pPr>
        <w:spacing w:line="360" w:lineRule="auto"/>
        <w:rPr>
          <w:rFonts w:ascii="仿宋" w:hAnsi="仿宋" w:eastAsia="仿宋"/>
          <w:sz w:val="32"/>
          <w:szCs w:val="32"/>
        </w:rPr>
      </w:pPr>
      <w:r>
        <w:rPr>
          <w:rFonts w:hint="eastAsia" w:ascii="仿宋" w:hAnsi="仿宋" w:eastAsia="仿宋"/>
          <w:sz w:val="32"/>
          <w:szCs w:val="32"/>
        </w:rPr>
        <w:t>1、西区市容环境卫生服务中心为维护城市环境卫生提供管理保障和为城市美化提供市容管理保障；</w:t>
      </w:r>
    </w:p>
    <w:p>
      <w:pPr>
        <w:spacing w:line="360" w:lineRule="auto"/>
        <w:rPr>
          <w:rFonts w:ascii="仿宋" w:hAnsi="仿宋" w:eastAsia="仿宋"/>
          <w:sz w:val="32"/>
          <w:szCs w:val="32"/>
        </w:rPr>
      </w:pPr>
      <w:r>
        <w:rPr>
          <w:rFonts w:hint="eastAsia" w:ascii="仿宋" w:hAnsi="仿宋" w:eastAsia="仿宋"/>
          <w:sz w:val="32"/>
          <w:szCs w:val="32"/>
        </w:rPr>
        <w:t>2、城市环境卫生设施建设；</w:t>
      </w:r>
    </w:p>
    <w:p>
      <w:pPr>
        <w:spacing w:line="360" w:lineRule="auto"/>
        <w:rPr>
          <w:rFonts w:ascii="仿宋" w:hAnsi="仿宋" w:eastAsia="仿宋"/>
          <w:sz w:val="32"/>
          <w:szCs w:val="32"/>
        </w:rPr>
      </w:pPr>
      <w:r>
        <w:rPr>
          <w:rFonts w:hint="eastAsia" w:ascii="仿宋" w:hAnsi="仿宋" w:eastAsia="仿宋"/>
          <w:sz w:val="32"/>
          <w:szCs w:val="32"/>
        </w:rPr>
        <w:t>3、城市环境卫生设施运营与维护；</w:t>
      </w:r>
    </w:p>
    <w:p>
      <w:pPr>
        <w:spacing w:line="360" w:lineRule="auto"/>
        <w:rPr>
          <w:rFonts w:ascii="仿宋" w:hAnsi="仿宋" w:eastAsia="仿宋"/>
          <w:sz w:val="32"/>
          <w:szCs w:val="32"/>
        </w:rPr>
      </w:pPr>
      <w:r>
        <w:rPr>
          <w:rFonts w:hint="eastAsia" w:ascii="仿宋" w:hAnsi="仿宋" w:eastAsia="仿宋"/>
          <w:sz w:val="32"/>
          <w:szCs w:val="32"/>
        </w:rPr>
        <w:t>4、城市环境卫生监督；</w:t>
      </w:r>
    </w:p>
    <w:p>
      <w:pPr>
        <w:spacing w:line="360" w:lineRule="auto"/>
        <w:rPr>
          <w:rFonts w:ascii="仿宋" w:hAnsi="仿宋" w:eastAsia="仿宋"/>
          <w:sz w:val="32"/>
          <w:szCs w:val="32"/>
        </w:rPr>
      </w:pPr>
      <w:r>
        <w:rPr>
          <w:rFonts w:hint="eastAsia" w:ascii="仿宋" w:hAnsi="仿宋" w:eastAsia="仿宋"/>
          <w:sz w:val="32"/>
          <w:szCs w:val="32"/>
        </w:rPr>
        <w:t>5、城市环境卫生作业管理。</w:t>
      </w:r>
    </w:p>
    <w:p>
      <w:pPr>
        <w:pStyle w:val="4"/>
        <w:rPr>
          <w:rFonts w:ascii="黑体" w:hAnsi="黑体" w:eastAsia="黑体"/>
          <w:b w:val="0"/>
        </w:rPr>
      </w:pPr>
      <w:r>
        <w:rPr>
          <w:rFonts w:hint="eastAsia" w:ascii="黑体" w:hAnsi="黑体" w:eastAsia="黑体"/>
          <w:b w:val="0"/>
        </w:rPr>
        <w:t>二、机构设置</w:t>
      </w:r>
    </w:p>
    <w:p>
      <w:pPr>
        <w:adjustRightInd w:val="0"/>
        <w:snapToGrid w:val="0"/>
        <w:spacing w:before="72" w:line="600" w:lineRule="exact"/>
        <w:ind w:left="672" w:leftChars="320" w:firstLine="720" w:firstLineChars="200"/>
        <w:rPr>
          <w:rFonts w:ascii="仿宋" w:hAnsi="仿宋" w:eastAsia="仿宋"/>
          <w:color w:val="000000"/>
          <w:sz w:val="36"/>
          <w:szCs w:val="36"/>
        </w:rPr>
      </w:pPr>
      <w:r>
        <w:rPr>
          <w:rFonts w:hint="eastAsia" w:ascii="仿宋" w:hAnsi="仿宋" w:eastAsia="仿宋"/>
          <w:sz w:val="36"/>
          <w:szCs w:val="36"/>
        </w:rPr>
        <w:t>攀枝花市西区市容环境卫生服务中心是区综合行政执法局二级单位属参照公务员法管理的事业单位</w:t>
      </w:r>
      <w:r>
        <w:rPr>
          <w:rFonts w:hint="eastAsia" w:ascii="仿宋" w:hAnsi="仿宋" w:eastAsia="仿宋"/>
          <w:bCs/>
          <w:sz w:val="36"/>
          <w:szCs w:val="36"/>
        </w:rPr>
        <w:t>1</w:t>
      </w:r>
      <w:r>
        <w:rPr>
          <w:rFonts w:hint="eastAsia" w:ascii="仿宋" w:hAnsi="仿宋" w:eastAsia="仿宋"/>
          <w:sz w:val="36"/>
          <w:szCs w:val="36"/>
        </w:rPr>
        <w:t>个，无其他事业单位</w:t>
      </w:r>
      <w:r>
        <w:rPr>
          <w:rFonts w:hint="eastAsia" w:ascii="仿宋" w:hAnsi="仿宋" w:eastAsia="仿宋"/>
          <w:color w:val="000000"/>
          <w:sz w:val="36"/>
          <w:szCs w:val="36"/>
        </w:rPr>
        <w:t>。</w:t>
      </w:r>
    </w:p>
    <w:p/>
    <w:bookmarkEnd w:id="14"/>
    <w:bookmarkEnd w:id="15"/>
    <w:p>
      <w:pPr>
        <w:adjustRightInd w:val="0"/>
        <w:snapToGrid w:val="0"/>
        <w:spacing w:before="72" w:line="600" w:lineRule="exact"/>
        <w:ind w:left="672" w:leftChars="320" w:firstLine="640" w:firstLineChars="200"/>
        <w:rPr>
          <w:rFonts w:ascii="仿宋" w:hAnsi="仿宋" w:eastAsia="仿宋"/>
          <w:color w:val="000000"/>
          <w:sz w:val="36"/>
          <w:szCs w:val="36"/>
        </w:rPr>
      </w:pPr>
      <w:r>
        <w:rPr>
          <w:rFonts w:ascii="仿宋" w:hAnsi="仿宋" w:eastAsia="仿宋"/>
          <w:sz w:val="32"/>
          <w:szCs w:val="32"/>
        </w:rPr>
        <w:br w:type="page"/>
      </w:r>
    </w:p>
    <w:p>
      <w:pPr>
        <w:widowControl/>
        <w:jc w:val="left"/>
        <w:rPr>
          <w:rFonts w:ascii="仿宋" w:hAnsi="仿宋" w:eastAsia="仿宋"/>
          <w:kern w:val="0"/>
          <w:sz w:val="32"/>
          <w:szCs w:val="32"/>
        </w:rPr>
      </w:pPr>
    </w:p>
    <w:p>
      <w:pPr>
        <w:pStyle w:val="3"/>
        <w:ind w:right="440"/>
        <w:jc w:val="center"/>
        <w:rPr>
          <w:rStyle w:val="24"/>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
      <w:pPr>
        <w:pStyle w:val="23"/>
        <w:numPr>
          <w:ilvl w:val="0"/>
          <w:numId w:val="2"/>
        </w:numPr>
        <w:spacing w:line="600" w:lineRule="exact"/>
        <w:ind w:firstLineChars="0"/>
        <w:outlineLvl w:val="1"/>
        <w:rPr>
          <w:rStyle w:val="25"/>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2022年度收、支总计1695.82万元。与2021年相比，收、支总计各增加758.14万元，增长55</w:t>
      </w:r>
      <w:r>
        <w:rPr>
          <w:rFonts w:ascii="仿宋" w:hAnsi="仿宋" w:eastAsia="仿宋"/>
          <w:sz w:val="32"/>
          <w:szCs w:val="32"/>
        </w:rPr>
        <w:t>%</w:t>
      </w:r>
      <w:r>
        <w:rPr>
          <w:rFonts w:hint="eastAsia" w:ascii="仿宋" w:hAnsi="仿宋" w:eastAsia="仿宋"/>
          <w:sz w:val="32"/>
          <w:szCs w:val="32"/>
        </w:rPr>
        <w:t>。主要变动原因是2022年项目经费增加。</w:t>
      </w:r>
    </w:p>
    <w:p>
      <w:pPr>
        <w:pStyle w:val="2"/>
        <w:spacing w:before="93"/>
      </w:pPr>
    </w:p>
    <w:p>
      <w:pPr>
        <w:pStyle w:val="2"/>
        <w:spacing w:before="93"/>
      </w:pPr>
      <w:r>
        <w:drawing>
          <wp:inline distT="0" distB="0" distL="0" distR="0">
            <wp:extent cx="5550535" cy="3044190"/>
            <wp:effectExtent l="4445" t="4445" r="762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22年本年收入合计1453.16万元，其中：一般公共预算财政拨款收入</w:t>
      </w:r>
      <w:r>
        <w:rPr>
          <w:rFonts w:ascii="仿宋" w:hAnsi="仿宋" w:eastAsia="仿宋"/>
          <w:sz w:val="32"/>
          <w:szCs w:val="32"/>
        </w:rPr>
        <w:t>430.98</w:t>
      </w:r>
      <w:r>
        <w:rPr>
          <w:rFonts w:hint="eastAsia" w:ascii="仿宋" w:hAnsi="仿宋" w:eastAsia="仿宋"/>
          <w:sz w:val="32"/>
          <w:szCs w:val="32"/>
        </w:rPr>
        <w:t>万元，占30</w:t>
      </w:r>
      <w:r>
        <w:rPr>
          <w:rFonts w:ascii="仿宋" w:hAnsi="仿宋" w:eastAsia="仿宋"/>
          <w:sz w:val="32"/>
          <w:szCs w:val="32"/>
        </w:rPr>
        <w:t>%</w:t>
      </w:r>
      <w:r>
        <w:rPr>
          <w:rFonts w:hint="eastAsia" w:ascii="仿宋" w:hAnsi="仿宋" w:eastAsia="仿宋"/>
          <w:sz w:val="32"/>
          <w:szCs w:val="32"/>
        </w:rPr>
        <w:t>；政府性基金预算财政拨款收入</w:t>
      </w:r>
      <w:r>
        <w:rPr>
          <w:rFonts w:ascii="仿宋" w:hAnsi="仿宋" w:eastAsia="仿宋"/>
          <w:sz w:val="32"/>
          <w:szCs w:val="32"/>
        </w:rPr>
        <w:t>1022.17</w:t>
      </w:r>
      <w:r>
        <w:rPr>
          <w:rFonts w:hint="eastAsia" w:ascii="仿宋" w:hAnsi="仿宋" w:eastAsia="仿宋"/>
          <w:sz w:val="32"/>
          <w:szCs w:val="32"/>
        </w:rPr>
        <w:t>万元，占70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pStyle w:val="2"/>
        <w:spacing w:before="93"/>
      </w:pPr>
    </w:p>
    <w:p>
      <w:pPr>
        <w:pStyle w:val="2"/>
        <w:spacing w:before="93"/>
      </w:pPr>
      <w:r>
        <w:rPr>
          <w:rFonts w:hint="eastAsia"/>
        </w:rPr>
        <w:drawing>
          <wp:inline distT="0" distB="0" distL="0" distR="0">
            <wp:extent cx="3895725" cy="2619375"/>
            <wp:effectExtent l="19050" t="0" r="9525"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spacing w:before="93"/>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ascii="仿宋" w:hAnsi="仿宋" w:eastAsia="仿宋"/>
          <w:sz w:val="32"/>
          <w:szCs w:val="32"/>
        </w:rPr>
        <w:t>1695.82</w:t>
      </w:r>
      <w:r>
        <w:rPr>
          <w:rFonts w:hint="eastAsia" w:ascii="仿宋" w:hAnsi="仿宋" w:eastAsia="仿宋"/>
          <w:sz w:val="32"/>
          <w:szCs w:val="32"/>
        </w:rPr>
        <w:t>万元，其中：基本支出365万元，占22</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sz w:val="32"/>
          <w:szCs w:val="32"/>
        </w:rPr>
        <w:t>1330.82</w:t>
      </w:r>
      <w:r>
        <w:rPr>
          <w:rFonts w:hint="eastAsia" w:ascii="仿宋" w:hAnsi="仿宋" w:eastAsia="仿宋"/>
          <w:sz w:val="32"/>
          <w:szCs w:val="32"/>
        </w:rPr>
        <w:t>万元，占78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pStyle w:val="2"/>
        <w:spacing w:before="93"/>
      </w:pPr>
    </w:p>
    <w:p>
      <w:pPr>
        <w:pStyle w:val="2"/>
        <w:spacing w:before="93"/>
      </w:pPr>
      <w:r>
        <w:rPr>
          <w:rFonts w:hint="eastAsia"/>
        </w:rPr>
        <w:drawing>
          <wp:inline distT="0" distB="0" distL="0" distR="0">
            <wp:extent cx="4352925" cy="2790825"/>
            <wp:effectExtent l="19050" t="0" r="9525" b="0"/>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22年财政拨款收、支总计1695.82万元。与</w:t>
      </w:r>
      <w:r>
        <w:rPr>
          <w:rFonts w:ascii="仿宋" w:hAnsi="仿宋" w:eastAsia="仿宋"/>
          <w:sz w:val="32"/>
          <w:szCs w:val="32"/>
        </w:rPr>
        <w:t>20</w:t>
      </w:r>
      <w:r>
        <w:rPr>
          <w:rFonts w:hint="eastAsia" w:ascii="仿宋" w:hAnsi="仿宋" w:eastAsia="仿宋"/>
          <w:sz w:val="32"/>
          <w:szCs w:val="32"/>
        </w:rPr>
        <w:t>21年相比，财政拨款收、支总计各增加758.14万元，增长55</w:t>
      </w:r>
      <w:r>
        <w:rPr>
          <w:rFonts w:ascii="仿宋" w:hAnsi="仿宋" w:eastAsia="仿宋"/>
          <w:sz w:val="32"/>
          <w:szCs w:val="32"/>
        </w:rPr>
        <w:t>%</w:t>
      </w:r>
      <w:r>
        <w:rPr>
          <w:rFonts w:hint="eastAsia" w:ascii="仿宋" w:hAnsi="仿宋" w:eastAsia="仿宋"/>
          <w:sz w:val="32"/>
          <w:szCs w:val="32"/>
        </w:rPr>
        <w:t>。主要变动原因是2022年项目经费增加。</w:t>
      </w:r>
    </w:p>
    <w:p>
      <w:pPr>
        <w:pStyle w:val="2"/>
        <w:spacing w:before="93"/>
      </w:pPr>
      <w:r>
        <w:rPr>
          <w:rFonts w:ascii="仿宋" w:hAnsi="仿宋" w:eastAsia="仿宋"/>
          <w:kern w:val="2"/>
          <w:sz w:val="32"/>
          <w:szCs w:val="32"/>
        </w:rPr>
        <w:drawing>
          <wp:inline distT="0" distB="0" distL="0" distR="0">
            <wp:extent cx="3657600" cy="2486025"/>
            <wp:effectExtent l="19050" t="0" r="19050" b="0"/>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spacing w:before="93"/>
      </w:pPr>
    </w:p>
    <w:p>
      <w:pPr>
        <w:spacing w:line="600" w:lineRule="exact"/>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5"/>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481.65</w:t>
      </w:r>
      <w:r>
        <w:rPr>
          <w:rFonts w:hint="eastAsia" w:ascii="仿宋" w:hAnsi="仿宋" w:eastAsia="仿宋"/>
          <w:sz w:val="32"/>
          <w:szCs w:val="32"/>
        </w:rPr>
        <w:t>万元，占本年支出合计的28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21年相比，一般公共预算财政拨款支出减少300.26万元，下降62</w:t>
      </w:r>
      <w:r>
        <w:rPr>
          <w:rFonts w:ascii="仿宋" w:hAnsi="仿宋" w:eastAsia="仿宋"/>
          <w:sz w:val="32"/>
          <w:szCs w:val="32"/>
        </w:rPr>
        <w:t>%</w:t>
      </w:r>
      <w:r>
        <w:rPr>
          <w:rFonts w:hint="eastAsia" w:ascii="仿宋" w:hAnsi="仿宋" w:eastAsia="仿宋"/>
          <w:sz w:val="32"/>
          <w:szCs w:val="32"/>
        </w:rPr>
        <w:t>。主要变动原因是人员、办公经费减少</w:t>
      </w:r>
    </w:p>
    <w:p>
      <w:pPr>
        <w:pStyle w:val="2"/>
        <w:spacing w:before="93"/>
      </w:pPr>
    </w:p>
    <w:p>
      <w:pPr>
        <w:pStyle w:val="2"/>
        <w:spacing w:before="93"/>
      </w:pPr>
      <w:r>
        <w:rPr>
          <w:rFonts w:hint="eastAsia"/>
        </w:rPr>
        <w:drawing>
          <wp:inline distT="0" distB="0" distL="0" distR="0">
            <wp:extent cx="4095750" cy="2933700"/>
            <wp:effectExtent l="5080" t="4445" r="13970" b="18415"/>
            <wp:docPr id="15"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67" w:name="_GoBack"/>
      <w:bookmarkEnd w:id="67"/>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spacing w:before="93"/>
      </w:pP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22年一般公共预算财政拨款支出481.65万元，主要用于以下方面</w:t>
      </w:r>
      <w:r>
        <w:rPr>
          <w:rFonts w:ascii="仿宋" w:hAnsi="仿宋" w:eastAsia="仿宋"/>
          <w:sz w:val="32"/>
          <w:szCs w:val="32"/>
        </w:rPr>
        <w:t>:</w:t>
      </w:r>
      <w:r>
        <w:rPr>
          <w:rFonts w:hint="eastAsia" w:ascii="仿宋" w:hAnsi="仿宋" w:eastAsia="仿宋"/>
          <w:b/>
          <w:color w:val="000000"/>
          <w:sz w:val="32"/>
          <w:szCs w:val="32"/>
        </w:rPr>
        <w:t xml:space="preserve"> </w:t>
      </w:r>
      <w:r>
        <w:rPr>
          <w:rFonts w:hint="eastAsia" w:ascii="仿宋" w:hAnsi="仿宋" w:eastAsia="仿宋"/>
          <w:color w:val="000000"/>
          <w:sz w:val="32"/>
          <w:szCs w:val="32"/>
        </w:rPr>
        <w:t>城乡社区支出</w:t>
      </w:r>
      <w:r>
        <w:rPr>
          <w:rFonts w:ascii="仿宋" w:hAnsi="仿宋" w:eastAsia="仿宋"/>
          <w:color w:val="000000"/>
          <w:sz w:val="32"/>
          <w:szCs w:val="32"/>
        </w:rPr>
        <w:t>427.51</w:t>
      </w:r>
      <w:r>
        <w:rPr>
          <w:rFonts w:hint="eastAsia" w:ascii="仿宋" w:hAnsi="仿宋" w:eastAsia="仿宋"/>
          <w:color w:val="000000"/>
          <w:sz w:val="32"/>
          <w:szCs w:val="32"/>
        </w:rPr>
        <w:t>万元，占89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sz w:val="32"/>
          <w:szCs w:val="32"/>
        </w:rPr>
        <w:t>社会保障和就业</w:t>
      </w:r>
      <w:r>
        <w:rPr>
          <w:rFonts w:hint="eastAsia" w:ascii="仿宋" w:hAnsi="仿宋" w:eastAsia="仿宋"/>
          <w:bCs/>
          <w:sz w:val="32"/>
          <w:szCs w:val="32"/>
        </w:rPr>
        <w:t>支出</w:t>
      </w:r>
      <w:r>
        <w:rPr>
          <w:rFonts w:ascii="仿宋" w:hAnsi="仿宋" w:eastAsia="仿宋"/>
          <w:sz w:val="32"/>
          <w:szCs w:val="32"/>
        </w:rPr>
        <w:t>22.83</w:t>
      </w:r>
      <w:r>
        <w:rPr>
          <w:rFonts w:hint="eastAsia" w:ascii="仿宋" w:hAnsi="仿宋" w:eastAsia="仿宋"/>
          <w:sz w:val="32"/>
          <w:szCs w:val="32"/>
        </w:rPr>
        <w:t>万元，占5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Cs/>
          <w:sz w:val="32"/>
          <w:szCs w:val="32"/>
        </w:rPr>
        <w:t>卫生健康支出</w:t>
      </w:r>
      <w:r>
        <w:rPr>
          <w:rFonts w:ascii="仿宋" w:hAnsi="仿宋" w:eastAsia="仿宋"/>
          <w:sz w:val="32"/>
          <w:szCs w:val="32"/>
        </w:rPr>
        <w:t>14.64</w:t>
      </w:r>
      <w:r>
        <w:rPr>
          <w:rFonts w:hint="eastAsia" w:ascii="仿宋" w:hAnsi="仿宋" w:eastAsia="仿宋"/>
          <w:sz w:val="32"/>
          <w:szCs w:val="32"/>
        </w:rPr>
        <w:t>万元，占3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Cs/>
          <w:sz w:val="32"/>
          <w:szCs w:val="32"/>
        </w:rPr>
        <w:t>住房保障支出</w:t>
      </w:r>
      <w:r>
        <w:rPr>
          <w:rFonts w:ascii="仿宋" w:hAnsi="仿宋" w:eastAsia="仿宋"/>
          <w:sz w:val="32"/>
          <w:szCs w:val="32"/>
        </w:rPr>
        <w:t>16.68</w:t>
      </w:r>
      <w:r>
        <w:rPr>
          <w:rFonts w:hint="eastAsia" w:ascii="仿宋" w:hAnsi="仿宋" w:eastAsia="仿宋"/>
          <w:sz w:val="32"/>
          <w:szCs w:val="32"/>
        </w:rPr>
        <w:t>万元，占3</w:t>
      </w:r>
      <w:r>
        <w:rPr>
          <w:rFonts w:ascii="仿宋" w:hAnsi="仿宋" w:eastAsia="仿宋"/>
          <w:sz w:val="32"/>
          <w:szCs w:val="32"/>
        </w:rPr>
        <w:t>%</w:t>
      </w:r>
      <w:r>
        <w:rPr>
          <w:rFonts w:hint="eastAsia" w:ascii="仿宋" w:hAnsi="仿宋" w:eastAsia="仿宋"/>
          <w:sz w:val="32"/>
          <w:szCs w:val="32"/>
        </w:rPr>
        <w:t>。</w:t>
      </w:r>
    </w:p>
    <w:p>
      <w:pPr>
        <w:pStyle w:val="2"/>
        <w:spacing w:before="93"/>
      </w:pPr>
    </w:p>
    <w:p>
      <w:pPr>
        <w:pStyle w:val="2"/>
        <w:spacing w:before="93"/>
      </w:pPr>
      <w:r>
        <w:rPr>
          <w:rFonts w:hint="eastAsia"/>
        </w:rPr>
        <w:drawing>
          <wp:inline distT="0" distB="0" distL="0" distR="0">
            <wp:extent cx="5274310" cy="3076575"/>
            <wp:effectExtent l="19050" t="0" r="2159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spacing w:before="93"/>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0" w:firstLineChars="200"/>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sz w:val="32"/>
          <w:szCs w:val="32"/>
        </w:rPr>
        <w:t>2022年一般公共预算支出决算数为481.65，</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。其中：</w:t>
      </w:r>
      <w:bookmarkEnd w:id="31"/>
      <w:bookmarkEnd w:id="32"/>
      <w:bookmarkEnd w:id="33"/>
    </w:p>
    <w:p>
      <w:pPr>
        <w:spacing w:line="600" w:lineRule="exact"/>
        <w:ind w:firstLine="640" w:firstLineChars="200"/>
        <w:rPr>
          <w:rFonts w:ascii="仿宋" w:hAnsi="仿宋" w:eastAsia="仿宋"/>
          <w:bCs/>
          <w:sz w:val="32"/>
          <w:szCs w:val="32"/>
        </w:rPr>
      </w:pPr>
      <w:r>
        <w:rPr>
          <w:rStyle w:val="14"/>
          <w:rFonts w:ascii="仿宋" w:hAnsi="仿宋" w:eastAsia="仿宋"/>
          <w:b w:val="0"/>
          <w:bCs/>
          <w:sz w:val="32"/>
          <w:szCs w:val="32"/>
        </w:rPr>
        <w:t>1</w:t>
      </w:r>
      <w:r>
        <w:rPr>
          <w:rStyle w:val="14"/>
          <w:rFonts w:hint="eastAsia" w:ascii="仿宋" w:hAnsi="仿宋" w:eastAsia="仿宋"/>
          <w:b w:val="0"/>
          <w:bCs/>
          <w:color w:val="000000"/>
          <w:sz w:val="32"/>
          <w:szCs w:val="32"/>
        </w:rPr>
        <w:t>.</w:t>
      </w:r>
      <w:r>
        <w:rPr>
          <w:rStyle w:val="14"/>
          <w:rFonts w:hint="eastAsia" w:ascii="仿宋" w:hAnsi="仿宋" w:eastAsia="仿宋"/>
          <w:b w:val="0"/>
          <w:bCs/>
          <w:sz w:val="32"/>
          <w:szCs w:val="32"/>
        </w:rPr>
        <w:t xml:space="preserve"> 社会保障和就业（类）行政</w:t>
      </w:r>
      <w:r>
        <w:rPr>
          <w:rStyle w:val="14"/>
          <w:rFonts w:ascii="仿宋" w:hAnsi="仿宋" w:eastAsia="仿宋"/>
          <w:b w:val="0"/>
          <w:bCs/>
          <w:sz w:val="32"/>
          <w:szCs w:val="32"/>
        </w:rPr>
        <w:t>事业养老支出</w:t>
      </w:r>
      <w:r>
        <w:rPr>
          <w:rStyle w:val="14"/>
          <w:rFonts w:hint="eastAsia" w:ascii="仿宋" w:hAnsi="仿宋" w:eastAsia="仿宋"/>
          <w:b w:val="0"/>
          <w:bCs/>
          <w:sz w:val="32"/>
          <w:szCs w:val="32"/>
        </w:rPr>
        <w:t>（款）行政单位离退休（项）2080501</w:t>
      </w:r>
      <w:r>
        <w:rPr>
          <w:rStyle w:val="14"/>
          <w:rFonts w:ascii="仿宋" w:hAnsi="仿宋" w:eastAsia="仿宋"/>
          <w:b w:val="0"/>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7.9</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firstLineChars="200"/>
        <w:rPr>
          <w:rFonts w:ascii="仿宋" w:hAnsi="仿宋" w:eastAsia="仿宋"/>
          <w:bCs/>
          <w:sz w:val="32"/>
          <w:szCs w:val="32"/>
        </w:rPr>
      </w:pPr>
      <w:r>
        <w:rPr>
          <w:rStyle w:val="14"/>
          <w:rFonts w:ascii="仿宋" w:hAnsi="仿宋" w:eastAsia="仿宋"/>
          <w:b w:val="0"/>
          <w:bCs/>
          <w:sz w:val="32"/>
          <w:szCs w:val="32"/>
        </w:rPr>
        <w:t>2</w:t>
      </w:r>
      <w:r>
        <w:rPr>
          <w:rStyle w:val="14"/>
          <w:rFonts w:hint="eastAsia" w:ascii="仿宋" w:hAnsi="仿宋" w:eastAsia="仿宋"/>
          <w:b w:val="0"/>
          <w:bCs/>
          <w:color w:val="000000"/>
          <w:sz w:val="32"/>
          <w:szCs w:val="32"/>
        </w:rPr>
        <w:t>.</w:t>
      </w:r>
      <w:r>
        <w:rPr>
          <w:rStyle w:val="14"/>
          <w:rFonts w:hint="eastAsia" w:ascii="仿宋" w:hAnsi="仿宋" w:eastAsia="仿宋"/>
          <w:b w:val="0"/>
          <w:bCs/>
          <w:sz w:val="32"/>
          <w:szCs w:val="32"/>
        </w:rPr>
        <w:t xml:space="preserve"> 社会保障和就业（类）行政</w:t>
      </w:r>
      <w:r>
        <w:rPr>
          <w:rStyle w:val="14"/>
          <w:rFonts w:ascii="仿宋" w:hAnsi="仿宋" w:eastAsia="仿宋"/>
          <w:b w:val="0"/>
          <w:bCs/>
          <w:sz w:val="32"/>
          <w:szCs w:val="32"/>
        </w:rPr>
        <w:t>事业养老支出</w:t>
      </w:r>
      <w:r>
        <w:rPr>
          <w:rStyle w:val="14"/>
          <w:rFonts w:hint="eastAsia" w:ascii="仿宋" w:hAnsi="仿宋" w:eastAsia="仿宋"/>
          <w:b w:val="0"/>
          <w:bCs/>
          <w:sz w:val="32"/>
          <w:szCs w:val="32"/>
        </w:rPr>
        <w:t>（款）</w:t>
      </w:r>
      <w:r>
        <w:rPr>
          <w:rStyle w:val="14"/>
          <w:rFonts w:hint="eastAsia" w:ascii="仿宋" w:hAnsi="仿宋" w:eastAsia="仿宋"/>
          <w:b w:val="0"/>
          <w:bCs/>
          <w:color w:val="000000"/>
          <w:sz w:val="32"/>
          <w:szCs w:val="32"/>
        </w:rPr>
        <w:t>机关事业单位基本养老保险缴费支出</w:t>
      </w:r>
      <w:r>
        <w:rPr>
          <w:rStyle w:val="14"/>
          <w:rFonts w:hint="eastAsia" w:ascii="仿宋" w:hAnsi="仿宋" w:eastAsia="仿宋"/>
          <w:b w:val="0"/>
          <w:bCs/>
          <w:sz w:val="32"/>
          <w:szCs w:val="32"/>
        </w:rPr>
        <w:t>（项）2080505</w:t>
      </w:r>
      <w:r>
        <w:rPr>
          <w:rStyle w:val="14"/>
          <w:rFonts w:ascii="仿宋" w:hAnsi="仿宋" w:eastAsia="仿宋"/>
          <w:b w:val="0"/>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14.93</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firstLineChars="200"/>
        <w:rPr>
          <w:rStyle w:val="14"/>
          <w:rFonts w:ascii="仿宋" w:hAnsi="仿宋" w:eastAsia="仿宋"/>
          <w:b w:val="0"/>
          <w:bCs/>
          <w:sz w:val="32"/>
          <w:szCs w:val="32"/>
        </w:rPr>
      </w:pPr>
      <w:r>
        <w:rPr>
          <w:rStyle w:val="14"/>
          <w:rFonts w:hint="eastAsia" w:ascii="仿宋" w:hAnsi="仿宋" w:eastAsia="仿宋"/>
          <w:b w:val="0"/>
          <w:bCs/>
          <w:sz w:val="32"/>
          <w:szCs w:val="32"/>
        </w:rPr>
        <w:t>3</w:t>
      </w:r>
      <w:r>
        <w:rPr>
          <w:rStyle w:val="14"/>
          <w:rFonts w:ascii="仿宋" w:hAnsi="仿宋" w:eastAsia="仿宋"/>
          <w:b w:val="0"/>
          <w:bCs/>
          <w:sz w:val="32"/>
          <w:szCs w:val="32"/>
        </w:rPr>
        <w:t>.</w:t>
      </w:r>
      <w:r>
        <w:rPr>
          <w:rFonts w:hint="eastAsia" w:ascii="仿宋" w:hAnsi="仿宋" w:eastAsia="仿宋"/>
          <w:bCs/>
          <w:sz w:val="32"/>
          <w:szCs w:val="32"/>
        </w:rPr>
        <w:t xml:space="preserve"> 卫生健康</w:t>
      </w:r>
      <w:r>
        <w:rPr>
          <w:rStyle w:val="14"/>
          <w:rFonts w:hint="eastAsia" w:ascii="仿宋" w:hAnsi="仿宋" w:eastAsia="仿宋"/>
          <w:b w:val="0"/>
          <w:bCs/>
          <w:sz w:val="32"/>
          <w:szCs w:val="32"/>
        </w:rPr>
        <w:t>（类）行政</w:t>
      </w:r>
      <w:r>
        <w:rPr>
          <w:rStyle w:val="14"/>
          <w:rFonts w:ascii="仿宋" w:hAnsi="仿宋" w:eastAsia="仿宋"/>
          <w:b w:val="0"/>
          <w:bCs/>
          <w:sz w:val="32"/>
          <w:szCs w:val="32"/>
        </w:rPr>
        <w:t>事业单位医疗</w:t>
      </w:r>
      <w:r>
        <w:rPr>
          <w:rStyle w:val="14"/>
          <w:rFonts w:hint="eastAsia" w:ascii="仿宋" w:hAnsi="仿宋" w:eastAsia="仿宋"/>
          <w:b w:val="0"/>
          <w:bCs/>
          <w:sz w:val="32"/>
          <w:szCs w:val="32"/>
        </w:rPr>
        <w:t>（款）行政单位</w:t>
      </w:r>
      <w:r>
        <w:rPr>
          <w:rStyle w:val="14"/>
          <w:rFonts w:ascii="仿宋" w:hAnsi="仿宋" w:eastAsia="仿宋"/>
          <w:b w:val="0"/>
          <w:bCs/>
          <w:sz w:val="32"/>
          <w:szCs w:val="32"/>
        </w:rPr>
        <w:t>医疗</w:t>
      </w:r>
      <w:r>
        <w:rPr>
          <w:rStyle w:val="14"/>
          <w:rFonts w:hint="eastAsia" w:ascii="仿宋" w:hAnsi="仿宋" w:eastAsia="仿宋"/>
          <w:b w:val="0"/>
          <w:bCs/>
          <w:sz w:val="32"/>
          <w:szCs w:val="32"/>
        </w:rPr>
        <w:t>（项）2101101</w:t>
      </w:r>
      <w:r>
        <w:rPr>
          <w:rStyle w:val="14"/>
          <w:rFonts w:ascii="仿宋" w:hAnsi="仿宋" w:eastAsia="仿宋"/>
          <w:b w:val="0"/>
          <w:bCs/>
          <w:sz w:val="32"/>
          <w:szCs w:val="32"/>
        </w:rPr>
        <w:t>:</w:t>
      </w:r>
      <w:r>
        <w:rPr>
          <w:rStyle w:val="14"/>
          <w:rFonts w:hint="eastAsia" w:ascii="仿宋" w:hAnsi="仿宋" w:eastAsia="仿宋"/>
          <w:b w:val="0"/>
          <w:bCs/>
          <w:sz w:val="32"/>
          <w:szCs w:val="32"/>
        </w:rPr>
        <w:t>支出决算为12.74万元，完成预算100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4. 卫生健康</w:t>
      </w:r>
      <w:r>
        <w:rPr>
          <w:rStyle w:val="14"/>
          <w:rFonts w:hint="eastAsia" w:ascii="仿宋" w:hAnsi="仿宋" w:eastAsia="仿宋"/>
          <w:b w:val="0"/>
          <w:bCs/>
          <w:sz w:val="32"/>
          <w:szCs w:val="32"/>
        </w:rPr>
        <w:t>（类）行政</w:t>
      </w:r>
      <w:r>
        <w:rPr>
          <w:rStyle w:val="14"/>
          <w:rFonts w:ascii="仿宋" w:hAnsi="仿宋" w:eastAsia="仿宋"/>
          <w:b w:val="0"/>
          <w:bCs/>
          <w:sz w:val="32"/>
          <w:szCs w:val="32"/>
        </w:rPr>
        <w:t>事业单位医疗</w:t>
      </w:r>
      <w:r>
        <w:rPr>
          <w:rStyle w:val="14"/>
          <w:rFonts w:hint="eastAsia" w:ascii="仿宋" w:hAnsi="仿宋" w:eastAsia="仿宋"/>
          <w:b w:val="0"/>
          <w:bCs/>
          <w:sz w:val="32"/>
          <w:szCs w:val="32"/>
        </w:rPr>
        <w:t>（款）</w:t>
      </w:r>
      <w:r>
        <w:rPr>
          <w:rFonts w:hint="eastAsia" w:ascii="仿宋" w:hAnsi="仿宋" w:eastAsia="仿宋"/>
          <w:bCs/>
          <w:color w:val="000000"/>
          <w:sz w:val="32"/>
          <w:szCs w:val="32"/>
        </w:rPr>
        <w:t>公务员医疗补助</w:t>
      </w:r>
      <w:r>
        <w:rPr>
          <w:rStyle w:val="14"/>
          <w:rFonts w:hint="eastAsia" w:ascii="仿宋" w:hAnsi="仿宋" w:eastAsia="仿宋"/>
          <w:b w:val="0"/>
          <w:bCs/>
          <w:sz w:val="32"/>
          <w:szCs w:val="32"/>
        </w:rPr>
        <w:t>（项）2101103</w:t>
      </w:r>
      <w:r>
        <w:rPr>
          <w:rStyle w:val="14"/>
          <w:rFonts w:ascii="仿宋" w:hAnsi="仿宋" w:eastAsia="仿宋"/>
          <w:b w:val="0"/>
          <w:bCs/>
          <w:sz w:val="32"/>
          <w:szCs w:val="32"/>
        </w:rPr>
        <w:t>:</w:t>
      </w:r>
      <w:r>
        <w:rPr>
          <w:rStyle w:val="14"/>
          <w:rFonts w:hint="eastAsia" w:ascii="仿宋" w:hAnsi="仿宋" w:eastAsia="仿宋"/>
          <w:b w:val="0"/>
          <w:bCs/>
          <w:sz w:val="32"/>
          <w:szCs w:val="32"/>
        </w:rPr>
        <w:t>支出决算为1.9万元，完成预算100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firstLineChars="200"/>
        <w:rPr>
          <w:rFonts w:ascii="仿宋" w:hAnsi="仿宋" w:eastAsia="仿宋"/>
          <w:bCs/>
          <w:sz w:val="32"/>
          <w:szCs w:val="32"/>
        </w:rPr>
      </w:pPr>
      <w:r>
        <w:rPr>
          <w:rStyle w:val="14"/>
          <w:rFonts w:hint="eastAsia" w:ascii="仿宋" w:hAnsi="仿宋" w:eastAsia="仿宋"/>
          <w:b w:val="0"/>
          <w:bCs/>
          <w:color w:val="000000"/>
          <w:sz w:val="32"/>
          <w:szCs w:val="32"/>
        </w:rPr>
        <w:t>5.城乡社区支出（类）城乡社区管理事务</w:t>
      </w:r>
      <w:r>
        <w:rPr>
          <w:rStyle w:val="14"/>
          <w:rFonts w:hint="eastAsia" w:ascii="仿宋" w:hAnsi="仿宋" w:eastAsia="仿宋"/>
          <w:b w:val="0"/>
          <w:bCs/>
          <w:sz w:val="32"/>
          <w:szCs w:val="32"/>
        </w:rPr>
        <w:t>（款）</w:t>
      </w:r>
      <w:r>
        <w:rPr>
          <w:rStyle w:val="14"/>
          <w:rFonts w:hint="eastAsia" w:ascii="仿宋" w:hAnsi="仿宋" w:eastAsia="仿宋"/>
          <w:b w:val="0"/>
          <w:bCs/>
          <w:color w:val="000000"/>
          <w:sz w:val="32"/>
          <w:szCs w:val="32"/>
        </w:rPr>
        <w:t>行政运行</w:t>
      </w:r>
      <w:r>
        <w:rPr>
          <w:rStyle w:val="14"/>
          <w:rFonts w:hint="eastAsia" w:ascii="仿宋" w:hAnsi="仿宋" w:eastAsia="仿宋"/>
          <w:b w:val="0"/>
          <w:bCs/>
          <w:sz w:val="32"/>
          <w:szCs w:val="32"/>
        </w:rPr>
        <w:t>（项）2120101</w:t>
      </w:r>
      <w:r>
        <w:rPr>
          <w:rStyle w:val="14"/>
          <w:rFonts w:hint="eastAsia" w:ascii="仿宋" w:hAnsi="仿宋" w:eastAsia="仿宋"/>
          <w:b w:val="0"/>
          <w:bCs/>
          <w:color w:val="000000"/>
          <w:sz w:val="32"/>
          <w:szCs w:val="32"/>
        </w:rPr>
        <w:t>:</w:t>
      </w:r>
      <w:r>
        <w:rPr>
          <w:rStyle w:val="14"/>
          <w:rFonts w:hint="eastAsia" w:ascii="仿宋" w:hAnsi="仿宋" w:eastAsia="仿宋"/>
          <w:b w:val="0"/>
          <w:bCs/>
          <w:sz w:val="32"/>
          <w:szCs w:val="32"/>
        </w:rPr>
        <w:t xml:space="preserve"> 支出决算为</w:t>
      </w:r>
      <w:r>
        <w:rPr>
          <w:rStyle w:val="14"/>
          <w:rFonts w:ascii="仿宋" w:hAnsi="仿宋" w:eastAsia="仿宋"/>
          <w:b w:val="0"/>
          <w:bCs/>
          <w:sz w:val="32"/>
          <w:szCs w:val="32"/>
        </w:rPr>
        <w:t>310.86</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firstLineChars="200"/>
        <w:rPr>
          <w:rStyle w:val="14"/>
          <w:rFonts w:ascii="仿宋" w:hAnsi="仿宋" w:eastAsia="仿宋"/>
          <w:b w:val="0"/>
          <w:bCs/>
          <w:sz w:val="32"/>
          <w:szCs w:val="32"/>
        </w:rPr>
      </w:pPr>
      <w:r>
        <w:rPr>
          <w:rStyle w:val="14"/>
          <w:rFonts w:hint="eastAsia" w:ascii="仿宋" w:hAnsi="仿宋" w:eastAsia="仿宋"/>
          <w:b w:val="0"/>
          <w:bCs/>
          <w:color w:val="000000"/>
          <w:sz w:val="32"/>
          <w:szCs w:val="32"/>
        </w:rPr>
        <w:t>6. 城乡社区支出（类）城乡社区管理事务</w:t>
      </w:r>
      <w:r>
        <w:rPr>
          <w:rStyle w:val="14"/>
          <w:rFonts w:hint="eastAsia" w:ascii="仿宋" w:hAnsi="仿宋" w:eastAsia="仿宋"/>
          <w:b w:val="0"/>
          <w:bCs/>
          <w:sz w:val="32"/>
          <w:szCs w:val="32"/>
        </w:rPr>
        <w:t>（款）</w:t>
      </w:r>
      <w:r>
        <w:rPr>
          <w:rStyle w:val="14"/>
          <w:rFonts w:hint="eastAsia" w:ascii="仿宋" w:hAnsi="仿宋" w:eastAsia="仿宋"/>
          <w:b w:val="0"/>
          <w:bCs/>
          <w:color w:val="000000"/>
          <w:sz w:val="32"/>
          <w:szCs w:val="32"/>
        </w:rPr>
        <w:t>其他城乡社区管理事务支出</w:t>
      </w:r>
      <w:r>
        <w:rPr>
          <w:rStyle w:val="14"/>
          <w:rFonts w:hint="eastAsia" w:ascii="仿宋" w:hAnsi="仿宋" w:eastAsia="仿宋"/>
          <w:b w:val="0"/>
          <w:bCs/>
          <w:sz w:val="32"/>
          <w:szCs w:val="32"/>
        </w:rPr>
        <w:t>（项）2120199</w:t>
      </w:r>
      <w:r>
        <w:rPr>
          <w:rStyle w:val="14"/>
          <w:rFonts w:hint="eastAsia" w:ascii="仿宋" w:hAnsi="仿宋" w:eastAsia="仿宋"/>
          <w:b w:val="0"/>
          <w:bCs/>
          <w:color w:val="000000"/>
          <w:sz w:val="32"/>
          <w:szCs w:val="32"/>
        </w:rPr>
        <w:t>:</w:t>
      </w:r>
      <w:r>
        <w:rPr>
          <w:rStyle w:val="14"/>
          <w:rFonts w:hint="eastAsia" w:ascii="仿宋" w:hAnsi="仿宋" w:eastAsia="仿宋"/>
          <w:b w:val="0"/>
          <w:bCs/>
          <w:sz w:val="32"/>
          <w:szCs w:val="32"/>
        </w:rPr>
        <w:t xml:space="preserve"> 支出决算为50.65万元，完成预算100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firstLineChars="200"/>
        <w:rPr>
          <w:rStyle w:val="14"/>
          <w:rFonts w:ascii="仿宋" w:hAnsi="仿宋" w:eastAsia="仿宋"/>
          <w:b w:val="0"/>
          <w:bCs/>
          <w:sz w:val="32"/>
          <w:szCs w:val="32"/>
        </w:rPr>
      </w:pPr>
      <w:r>
        <w:rPr>
          <w:rStyle w:val="14"/>
          <w:rFonts w:hint="eastAsia" w:ascii="仿宋" w:hAnsi="仿宋" w:eastAsia="仿宋"/>
          <w:b w:val="0"/>
          <w:bCs/>
          <w:color w:val="000000"/>
          <w:sz w:val="32"/>
          <w:szCs w:val="32"/>
        </w:rPr>
        <w:t>7. 城乡社区支出（类）其他城乡社区支出</w:t>
      </w:r>
      <w:r>
        <w:rPr>
          <w:rStyle w:val="14"/>
          <w:rFonts w:hint="eastAsia" w:ascii="仿宋" w:hAnsi="仿宋" w:eastAsia="仿宋"/>
          <w:b w:val="0"/>
          <w:bCs/>
          <w:sz w:val="32"/>
          <w:szCs w:val="32"/>
        </w:rPr>
        <w:t>（款）</w:t>
      </w:r>
      <w:r>
        <w:rPr>
          <w:rStyle w:val="14"/>
          <w:rFonts w:hint="eastAsia" w:ascii="仿宋" w:hAnsi="仿宋" w:eastAsia="仿宋"/>
          <w:b w:val="0"/>
          <w:bCs/>
          <w:color w:val="000000"/>
          <w:sz w:val="32"/>
          <w:szCs w:val="32"/>
        </w:rPr>
        <w:t>其他城乡社区支出</w:t>
      </w:r>
      <w:r>
        <w:rPr>
          <w:rStyle w:val="14"/>
          <w:rFonts w:hint="eastAsia" w:ascii="仿宋" w:hAnsi="仿宋" w:eastAsia="仿宋"/>
          <w:b w:val="0"/>
          <w:bCs/>
          <w:sz w:val="32"/>
          <w:szCs w:val="32"/>
        </w:rPr>
        <w:t>（项）</w:t>
      </w:r>
      <w:r>
        <w:rPr>
          <w:rStyle w:val="14"/>
          <w:rFonts w:ascii="仿宋" w:hAnsi="仿宋" w:eastAsia="仿宋"/>
          <w:b w:val="0"/>
          <w:bCs/>
          <w:sz w:val="32"/>
          <w:szCs w:val="32"/>
        </w:rPr>
        <w:t>2129999</w:t>
      </w:r>
      <w:r>
        <w:rPr>
          <w:rStyle w:val="14"/>
          <w:rFonts w:hint="eastAsia" w:ascii="仿宋" w:hAnsi="仿宋" w:eastAsia="仿宋"/>
          <w:b w:val="0"/>
          <w:bCs/>
          <w:color w:val="000000"/>
          <w:sz w:val="32"/>
          <w:szCs w:val="32"/>
        </w:rPr>
        <w:t>:</w:t>
      </w:r>
      <w:r>
        <w:rPr>
          <w:rStyle w:val="14"/>
          <w:rFonts w:hint="eastAsia" w:ascii="仿宋" w:hAnsi="仿宋" w:eastAsia="仿宋"/>
          <w:b w:val="0"/>
          <w:bCs/>
          <w:sz w:val="32"/>
          <w:szCs w:val="32"/>
        </w:rPr>
        <w:t xml:space="preserve"> 支出决算为</w:t>
      </w:r>
      <w:r>
        <w:rPr>
          <w:rStyle w:val="14"/>
          <w:rFonts w:ascii="仿宋" w:hAnsi="仿宋" w:eastAsia="仿宋"/>
          <w:b w:val="0"/>
          <w:bCs/>
          <w:sz w:val="32"/>
          <w:szCs w:val="32"/>
        </w:rPr>
        <w:t>65.99</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firstLineChars="200"/>
        <w:rPr>
          <w:rFonts w:ascii="仿宋" w:hAnsi="仿宋" w:eastAsia="仿宋"/>
          <w:bCs/>
          <w:sz w:val="32"/>
          <w:szCs w:val="32"/>
        </w:rPr>
      </w:pPr>
      <w:r>
        <w:rPr>
          <w:rStyle w:val="14"/>
          <w:rFonts w:hint="eastAsia" w:ascii="仿宋" w:hAnsi="仿宋" w:eastAsia="仿宋"/>
          <w:b w:val="0"/>
          <w:bCs/>
          <w:color w:val="000000"/>
          <w:sz w:val="32"/>
          <w:szCs w:val="32"/>
        </w:rPr>
        <w:t>8.住房保障支出（类）住房改革支出（款）(2210201)住房公积金（项）2210201:</w:t>
      </w:r>
      <w:r>
        <w:rPr>
          <w:rStyle w:val="14"/>
          <w:rFonts w:hint="eastAsia" w:ascii="仿宋" w:hAnsi="仿宋" w:eastAsia="仿宋"/>
          <w:b w:val="0"/>
          <w:bCs/>
          <w:sz w:val="32"/>
          <w:szCs w:val="32"/>
        </w:rPr>
        <w:t xml:space="preserve"> 支出决算为16.68万元，完成预算100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5"/>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22年一般公共预算财政拨款基本支出365万元，其中：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ascii="仿宋" w:hAnsi="仿宋" w:eastAsia="仿宋"/>
          <w:sz w:val="32"/>
          <w:szCs w:val="32"/>
        </w:rPr>
        <w:t>347.0</w:t>
      </w:r>
      <w:r>
        <w:rPr>
          <w:rFonts w:hint="eastAsia" w:ascii="仿宋" w:hAnsi="仿宋" w:eastAsia="仿宋"/>
          <w:sz w:val="32"/>
          <w:szCs w:val="32"/>
        </w:rPr>
        <w:t>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　　公用经费</w:t>
      </w:r>
      <w:r>
        <w:rPr>
          <w:rFonts w:ascii="仿宋" w:hAnsi="仿宋" w:eastAsia="仿宋"/>
          <w:sz w:val="32"/>
          <w:szCs w:val="32"/>
        </w:rPr>
        <w:t>17.93</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22年“三公”经费财政拨款支出决算为0万元，完成预算0</w:t>
      </w:r>
      <w:r>
        <w:rPr>
          <w:rFonts w:ascii="仿宋" w:hAnsi="仿宋" w:eastAsia="仿宋"/>
          <w:sz w:val="32"/>
          <w:szCs w:val="32"/>
        </w:rPr>
        <w:t>%</w:t>
      </w:r>
      <w:r>
        <w:rPr>
          <w:rFonts w:hint="eastAsia" w:ascii="仿宋" w:hAnsi="仿宋" w:eastAsia="仿宋"/>
          <w:sz w:val="32"/>
          <w:szCs w:val="32"/>
        </w:rPr>
        <w:t>，与上年数据持平。与预算数持平的主要原因是2022年本单位未产生“三公”经费。</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因公出国（境）经费支出0万元，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Cs/>
          <w:sz w:val="32"/>
          <w:szCs w:val="32"/>
        </w:rPr>
        <w:t>。</w:t>
      </w:r>
      <w:r>
        <w:rPr>
          <w:rFonts w:hint="eastAsia" w:ascii="仿宋" w:hAnsi="仿宋" w:eastAsia="仿宋"/>
          <w:sz w:val="32"/>
          <w:szCs w:val="32"/>
        </w:rPr>
        <w:t>全年安排因公出国（境）团组0次，出国（境）0人。因公出国（境）支出决算与</w:t>
      </w:r>
      <w:r>
        <w:rPr>
          <w:rStyle w:val="28"/>
          <w:rFonts w:hint="eastAsia" w:ascii="仿宋" w:hAnsi="仿宋" w:eastAsia="仿宋" w:cs="仿宋"/>
          <w:b w:val="0"/>
        </w:rPr>
        <w:t>2021年持平</w:t>
      </w:r>
      <w:r>
        <w:rPr>
          <w:rFonts w:hint="eastAsia" w:ascii="仿宋" w:hAnsi="仿宋" w:eastAsia="仿宋"/>
          <w:sz w:val="32"/>
          <w:szCs w:val="32"/>
        </w:rPr>
        <w:t>。主要原因是</w:t>
      </w:r>
      <w:r>
        <w:rPr>
          <w:rStyle w:val="28"/>
          <w:rFonts w:hint="eastAsia" w:ascii="仿宋" w:hAnsi="仿宋" w:eastAsia="仿宋" w:cs="仿宋"/>
          <w:b w:val="0"/>
        </w:rPr>
        <w:t>2022年本单位未产生</w:t>
      </w:r>
      <w:r>
        <w:rPr>
          <w:rFonts w:hint="eastAsia" w:ascii="仿宋" w:hAnsi="仿宋" w:eastAsia="仿宋" w:cs="仿宋"/>
          <w:bCs/>
          <w:sz w:val="32"/>
          <w:szCs w:val="32"/>
        </w:rPr>
        <w:t>因公出国（境）经费支出</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公务用车购置及运行维护费支出0万元</w:t>
      </w:r>
      <w:r>
        <w:rPr>
          <w:rFonts w:hint="eastAsia" w:ascii="仿宋" w:hAnsi="仿宋" w:eastAsia="仿宋"/>
          <w:b/>
          <w:sz w:val="32"/>
          <w:szCs w:val="32"/>
        </w:rPr>
        <w:t>,</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 w:hAnsi="仿宋" w:eastAsia="仿宋"/>
          <w:sz w:val="32"/>
          <w:szCs w:val="32"/>
        </w:rPr>
        <w:t>公务用车购置及运行维护费支出决算与</w:t>
      </w:r>
      <w:r>
        <w:rPr>
          <w:rFonts w:ascii="仿宋" w:hAnsi="仿宋" w:eastAsia="仿宋"/>
          <w:sz w:val="32"/>
          <w:szCs w:val="32"/>
        </w:rPr>
        <w:t>20</w:t>
      </w:r>
      <w:r>
        <w:rPr>
          <w:rFonts w:hint="eastAsia" w:ascii="仿宋" w:hAnsi="仿宋" w:eastAsia="仿宋"/>
          <w:sz w:val="32"/>
          <w:szCs w:val="32"/>
        </w:rPr>
        <w:t>21年</w:t>
      </w:r>
      <w:r>
        <w:rPr>
          <w:rStyle w:val="28"/>
          <w:rFonts w:hint="eastAsia" w:ascii="仿宋" w:hAnsi="仿宋" w:eastAsia="仿宋" w:cs="仿宋"/>
          <w:b w:val="0"/>
        </w:rPr>
        <w:t>持平</w:t>
      </w:r>
      <w:r>
        <w:rPr>
          <w:rFonts w:hint="eastAsia" w:ascii="仿宋" w:hAnsi="仿宋" w:eastAsia="仿宋"/>
          <w:sz w:val="32"/>
          <w:szCs w:val="32"/>
        </w:rPr>
        <w:t>。主要原因是</w:t>
      </w:r>
      <w:r>
        <w:rPr>
          <w:rStyle w:val="28"/>
          <w:rFonts w:hint="eastAsia" w:ascii="仿宋" w:hAnsi="仿宋" w:eastAsia="仿宋" w:cs="仿宋"/>
          <w:b w:val="0"/>
        </w:rPr>
        <w:t>2022年本单位未产生</w:t>
      </w:r>
      <w:r>
        <w:rPr>
          <w:rFonts w:hint="eastAsia" w:ascii="仿宋" w:hAnsi="仿宋" w:eastAsia="仿宋" w:cs="仿宋"/>
          <w:sz w:val="32"/>
          <w:szCs w:val="32"/>
        </w:rPr>
        <w:t>公务用车购置及运行维护费支出</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其中：公务用车购置支出0万元。全年按规定更新购置公务用车0辆，其中：轿车0辆、金额0万元，越野车0辆、金额0万元，载客汽车0辆、金额0万元。截至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月底，单位共有公务用车0辆，其中：轿车0辆、越野车0辆、载客汽车0辆。</w:t>
      </w:r>
    </w:p>
    <w:p>
      <w:pPr>
        <w:spacing w:line="600" w:lineRule="exact"/>
        <w:ind w:firstLine="640"/>
        <w:rPr>
          <w:rFonts w:ascii="仿宋" w:hAnsi="仿宋" w:eastAsia="仿宋"/>
          <w:sz w:val="32"/>
          <w:szCs w:val="32"/>
        </w:rPr>
      </w:pPr>
      <w:r>
        <w:rPr>
          <w:rFonts w:hint="eastAsia" w:ascii="仿宋" w:hAnsi="仿宋" w:eastAsia="仿宋"/>
          <w:sz w:val="32"/>
          <w:szCs w:val="32"/>
        </w:rPr>
        <w:t>公务用车运行维护费支出0万元。。</w:t>
      </w:r>
    </w:p>
    <w:p>
      <w:pPr>
        <w:spacing w:line="600" w:lineRule="exact"/>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公务接待费支出0万元，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Cs/>
          <w:sz w:val="32"/>
          <w:szCs w:val="32"/>
        </w:rPr>
        <w:t>。</w:t>
      </w:r>
      <w:r>
        <w:rPr>
          <w:rFonts w:hint="eastAsia" w:ascii="仿宋" w:hAnsi="仿宋" w:eastAsia="仿宋"/>
          <w:sz w:val="32"/>
          <w:szCs w:val="32"/>
        </w:rPr>
        <w:t>公务接待费支出决算与</w:t>
      </w:r>
      <w:r>
        <w:rPr>
          <w:rFonts w:ascii="仿宋" w:hAnsi="仿宋" w:eastAsia="仿宋"/>
          <w:sz w:val="32"/>
          <w:szCs w:val="32"/>
        </w:rPr>
        <w:t>20</w:t>
      </w:r>
      <w:r>
        <w:rPr>
          <w:rFonts w:hint="eastAsia" w:ascii="仿宋" w:hAnsi="仿宋" w:eastAsia="仿宋"/>
          <w:sz w:val="32"/>
          <w:szCs w:val="32"/>
        </w:rPr>
        <w:t>21年持平。主要原因是</w:t>
      </w:r>
      <w:r>
        <w:rPr>
          <w:rStyle w:val="28"/>
          <w:rFonts w:hint="eastAsia" w:ascii="仿宋" w:hAnsi="仿宋" w:eastAsia="仿宋" w:cs="仿宋"/>
          <w:b w:val="0"/>
        </w:rPr>
        <w:t>2022年本单位未产生</w:t>
      </w:r>
      <w:r>
        <w:rPr>
          <w:rFonts w:hint="eastAsia" w:ascii="仿宋" w:hAnsi="仿宋" w:eastAsia="仿宋" w:cs="仿宋"/>
          <w:sz w:val="32"/>
          <w:szCs w:val="32"/>
        </w:rPr>
        <w:t>公务接待费支出</w:t>
      </w:r>
      <w:r>
        <w:rPr>
          <w:rFonts w:hint="eastAsia" w:ascii="仿宋" w:hAnsi="仿宋" w:eastAsia="仿宋"/>
          <w:sz w:val="32"/>
          <w:szCs w:val="32"/>
        </w:rPr>
        <w:t>。其中：</w:t>
      </w:r>
    </w:p>
    <w:p>
      <w:pPr>
        <w:spacing w:line="600" w:lineRule="exact"/>
        <w:ind w:firstLine="640"/>
        <w:rPr>
          <w:rFonts w:ascii="仿宋" w:hAnsi="仿宋" w:eastAsia="仿宋"/>
          <w:sz w:val="32"/>
          <w:szCs w:val="32"/>
        </w:rPr>
      </w:pPr>
      <w:r>
        <w:rPr>
          <w:rFonts w:hint="eastAsia" w:ascii="仿宋" w:hAnsi="仿宋" w:eastAsia="仿宋"/>
          <w:sz w:val="32"/>
          <w:szCs w:val="32"/>
        </w:rPr>
        <w:t>国内公务接待支出0万元。国内公务接待0批次，0人次（不包括陪同人员），共计支出0万元。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外事接待支出0万元。外事接待0批次，0人次（不包括陪同人员），共计支出0万元。</w:t>
      </w:r>
    </w:p>
    <w:p>
      <w:pPr>
        <w:spacing w:line="600" w:lineRule="exact"/>
        <w:ind w:firstLine="640"/>
        <w:outlineLvl w:val="1"/>
        <w:rPr>
          <w:rStyle w:val="25"/>
          <w:rFonts w:ascii="黑体" w:hAnsi="黑体" w:eastAsia="黑体"/>
        </w:rPr>
      </w:pPr>
      <w:bookmarkStart w:id="40" w:name="_Toc15396610"/>
      <w:bookmarkStart w:id="41" w:name="_Toc15377218"/>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22年政府性基金预算财政拨款支出</w:t>
      </w:r>
      <w:r>
        <w:rPr>
          <w:rFonts w:ascii="仿宋" w:hAnsi="仿宋" w:eastAsia="仿宋"/>
          <w:sz w:val="32"/>
          <w:szCs w:val="32"/>
        </w:rPr>
        <w:t>1214.17</w:t>
      </w:r>
      <w:r>
        <w:rPr>
          <w:rFonts w:hint="eastAsia" w:ascii="仿宋" w:hAnsi="仿宋" w:eastAsia="仿宋"/>
          <w:sz w:val="32"/>
          <w:szCs w:val="32"/>
        </w:rPr>
        <w:t>万元</w:t>
      </w:r>
      <w:r>
        <w:rPr>
          <w:rFonts w:hint="eastAsia" w:ascii="仿宋_GB2312" w:eastAsia="仿宋_GB2312"/>
          <w:sz w:val="32"/>
          <w:szCs w:val="32"/>
        </w:rPr>
        <w:t>。</w:t>
      </w:r>
    </w:p>
    <w:p>
      <w:pPr>
        <w:numPr>
          <w:ilvl w:val="0"/>
          <w:numId w:val="3"/>
        </w:numPr>
        <w:spacing w:line="600" w:lineRule="exact"/>
        <w:ind w:firstLine="64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rPr>
        <w:t>国有资本经营预算支出决算情况说明</w:t>
      </w:r>
      <w:bookmarkEnd w:id="42"/>
      <w:bookmarkEnd w:id="4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5"/>
          <w:rFonts w:ascii="黑体" w:hAnsi="黑体" w:eastAsia="黑体"/>
          <w:b w:val="0"/>
        </w:rPr>
      </w:pPr>
      <w:bookmarkStart w:id="44" w:name="_Toc15396612"/>
      <w:bookmarkStart w:id="45" w:name="_Toc15377221"/>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w:t>
      </w:r>
      <w:r>
        <w:rPr>
          <w:rFonts w:ascii="仿宋" w:hAnsi="仿宋" w:eastAsia="仿宋"/>
          <w:sz w:val="32"/>
          <w:szCs w:val="32"/>
        </w:rPr>
        <w:t>市容环境卫生服务中心</w:t>
      </w:r>
      <w:r>
        <w:rPr>
          <w:rFonts w:hint="eastAsia" w:ascii="仿宋" w:hAnsi="仿宋" w:eastAsia="仿宋"/>
          <w:sz w:val="32"/>
          <w:szCs w:val="32"/>
        </w:rPr>
        <w:t>机关运行经费支出17.93万元，比</w:t>
      </w:r>
      <w:r>
        <w:rPr>
          <w:rFonts w:ascii="仿宋" w:hAnsi="仿宋" w:eastAsia="仿宋"/>
          <w:sz w:val="32"/>
          <w:szCs w:val="32"/>
        </w:rPr>
        <w:t>20</w:t>
      </w:r>
      <w:r>
        <w:rPr>
          <w:rFonts w:hint="eastAsia" w:ascii="仿宋" w:hAnsi="仿宋" w:eastAsia="仿宋"/>
          <w:sz w:val="32"/>
          <w:szCs w:val="32"/>
        </w:rPr>
        <w:t>21年减少3.87万元，下降22</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cs="仿宋"/>
          <w:sz w:val="32"/>
          <w:szCs w:val="32"/>
        </w:rPr>
        <w:t>2022年本单位人员、办公经费资金减少。</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w:t>
      </w:r>
      <w:r>
        <w:rPr>
          <w:rFonts w:ascii="仿宋" w:hAnsi="仿宋" w:eastAsia="仿宋"/>
          <w:sz w:val="32"/>
          <w:szCs w:val="32"/>
        </w:rPr>
        <w:t>市容环境卫生服务中心</w:t>
      </w:r>
      <w:r>
        <w:rPr>
          <w:rFonts w:hint="eastAsia" w:ascii="仿宋" w:hAnsi="仿宋" w:eastAsia="仿宋"/>
          <w:sz w:val="32"/>
          <w:szCs w:val="32"/>
        </w:rPr>
        <w:t>政府采购支出总额108.49万元，其中：政府采购货物支出108.49万元、政府采购工程支出0万元、政府采购服务支出0万元。主要用于攀枝花西区垃圾分类提档升级建设项目第二批采购垃圾桶、果皮箱及垃圾分类亭费用。授予中小企业合同金额0万元，占政府采购支出总额的0</w:t>
      </w:r>
      <w:r>
        <w:rPr>
          <w:rFonts w:ascii="仿宋" w:hAnsi="仿宋" w:eastAsia="仿宋"/>
          <w:sz w:val="32"/>
          <w:szCs w:val="32"/>
        </w:rPr>
        <w:t>%</w:t>
      </w:r>
      <w:r>
        <w:rPr>
          <w:rFonts w:hint="eastAsia" w:ascii="仿宋" w:hAnsi="仿宋" w:eastAsia="仿宋"/>
          <w:sz w:val="32"/>
          <w:szCs w:val="32"/>
        </w:rPr>
        <w:t>，其中：授予小微企业合同金额108.49万元，占政府采购支出总额的100</w:t>
      </w:r>
      <w:r>
        <w:rPr>
          <w:rFonts w:ascii="仿宋" w:hAnsi="仿宋" w:eastAsia="仿宋"/>
          <w:sz w:val="32"/>
          <w:szCs w:val="32"/>
        </w:rPr>
        <w:t>%</w:t>
      </w:r>
      <w:r>
        <w:rPr>
          <w:rFonts w:hint="eastAsia" w:ascii="仿宋" w:hAnsi="仿宋" w:eastAsia="仿宋"/>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日，西区</w:t>
      </w:r>
      <w:r>
        <w:rPr>
          <w:rFonts w:ascii="仿宋" w:hAnsi="仿宋" w:eastAsia="仿宋"/>
          <w:sz w:val="32"/>
          <w:szCs w:val="32"/>
        </w:rPr>
        <w:t>市容环境卫生服务中心</w:t>
      </w:r>
      <w:r>
        <w:rPr>
          <w:rFonts w:hint="eastAsia" w:ascii="仿宋" w:hAnsi="仿宋" w:eastAsia="仿宋"/>
          <w:sz w:val="32"/>
          <w:szCs w:val="32"/>
        </w:rPr>
        <w:t>共有车辆6辆，其中：主要领导干部用车0辆、机要通信用车0辆、应急保障用车0辆、</w:t>
      </w:r>
      <w:r>
        <w:rPr>
          <w:rFonts w:hint="eastAsia" w:ascii="仿宋" w:hAnsi="仿宋" w:eastAsia="仿宋" w:cs="仿宋"/>
          <w:sz w:val="30"/>
          <w:szCs w:val="30"/>
        </w:rPr>
        <w:t>特种专业技术用车6辆，主要是用于垃圾清运及洒水用车。</w:t>
      </w:r>
      <w:r>
        <w:rPr>
          <w:rFonts w:hint="eastAsia" w:ascii="仿宋" w:hAnsi="仿宋" w:eastAsia="仿宋"/>
          <w:sz w:val="32"/>
          <w:szCs w:val="32"/>
        </w:rPr>
        <w:t>单价</w:t>
      </w:r>
      <w:r>
        <w:rPr>
          <w:rFonts w:ascii="仿宋" w:hAnsi="仿宋" w:eastAsia="仿宋"/>
          <w:sz w:val="32"/>
          <w:szCs w:val="32"/>
        </w:rPr>
        <w:t>100</w:t>
      </w:r>
      <w:r>
        <w:rPr>
          <w:rFonts w:hint="eastAsia" w:ascii="仿宋" w:hAnsi="仿宋" w:eastAsia="仿宋"/>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本部门在2022年度预算编制阶段，组织对环卫日常作业经费、垃圾焚烧发电处理服务经费、餐厨垃圾处置服务经费、生活垃圾中转站委托运营经费、大集体退休人员环龄工资、西区生活垃圾填埋场封场管理委托运营费项目6个项目开展了预算事前绩效评估，对6个项目编制了绩效目标，预算执行过程中，选取6个项目开展绩效监控，组织对6个项目开展了绩效自评。绩效自评表详见附件（第四部分）。</w:t>
      </w:r>
    </w:p>
    <w:p>
      <w:pPr>
        <w:pStyle w:val="2"/>
        <w:spacing w:before="93"/>
        <w:ind w:firstLine="600" w:firstLineChars="200"/>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pStyle w:val="22"/>
        <w:spacing w:line="560" w:lineRule="exact"/>
        <w:ind w:firstLine="640" w:firstLineChars="200"/>
        <w:rPr>
          <w:rFonts w:hAnsi="仿宋"/>
          <w:color w:val="auto"/>
          <w:sz w:val="32"/>
          <w:szCs w:val="32"/>
        </w:rPr>
      </w:pPr>
      <w:r>
        <w:rPr>
          <w:rFonts w:hAnsi="仿宋"/>
          <w:color w:val="auto"/>
          <w:sz w:val="32"/>
          <w:szCs w:val="32"/>
        </w:rPr>
        <w:t>1.</w:t>
      </w:r>
      <w:r>
        <w:rPr>
          <w:rFonts w:hint="eastAsia" w:hAnsi="仿宋"/>
          <w:color w:val="auto"/>
          <w:sz w:val="32"/>
          <w:szCs w:val="32"/>
        </w:rPr>
        <w:t>财政拨款收入：指单位从同级财政部门取得的财政预算资金。</w:t>
      </w:r>
    </w:p>
    <w:p>
      <w:pPr>
        <w:pStyle w:val="22"/>
        <w:spacing w:line="560" w:lineRule="exact"/>
        <w:ind w:firstLine="640" w:firstLineChars="200"/>
        <w:rPr>
          <w:rFonts w:hAnsi="仿宋"/>
          <w:color w:val="auto"/>
          <w:sz w:val="32"/>
          <w:szCs w:val="32"/>
        </w:rPr>
      </w:pPr>
      <w:r>
        <w:rPr>
          <w:rFonts w:hint="eastAsia" w:hAnsi="仿宋"/>
          <w:color w:val="auto"/>
          <w:sz w:val="32"/>
          <w:szCs w:val="32"/>
        </w:rPr>
        <w:t>2</w:t>
      </w:r>
      <w:r>
        <w:rPr>
          <w:rFonts w:hAnsi="仿宋"/>
          <w:color w:val="auto"/>
          <w:sz w:val="32"/>
          <w:szCs w:val="32"/>
        </w:rPr>
        <w:t>.</w:t>
      </w:r>
      <w:r>
        <w:rPr>
          <w:rFonts w:hint="eastAsia" w:hAnsi="仿宋"/>
          <w:color w:val="auto"/>
          <w:sz w:val="32"/>
          <w:szCs w:val="32"/>
        </w:rPr>
        <w:t>使用非财政拨款结余：指事业单位使用以前年度积累的非财政拨款结余弥补当年收支差额的金额。</w:t>
      </w:r>
    </w:p>
    <w:p>
      <w:pPr>
        <w:pStyle w:val="22"/>
        <w:spacing w:line="560" w:lineRule="exact"/>
        <w:ind w:firstLine="640" w:firstLineChars="200"/>
        <w:rPr>
          <w:rFonts w:hAnsi="仿宋"/>
          <w:color w:val="auto"/>
          <w:sz w:val="32"/>
          <w:szCs w:val="32"/>
        </w:rPr>
      </w:pPr>
      <w:r>
        <w:rPr>
          <w:rFonts w:hint="eastAsia" w:hAnsi="仿宋"/>
          <w:color w:val="auto"/>
          <w:sz w:val="32"/>
          <w:szCs w:val="32"/>
        </w:rPr>
        <w:t>3</w:t>
      </w:r>
      <w:r>
        <w:rPr>
          <w:rFonts w:hAnsi="仿宋"/>
          <w:color w:val="auto"/>
          <w:sz w:val="32"/>
          <w:szCs w:val="32"/>
        </w:rPr>
        <w:t>.</w:t>
      </w:r>
      <w:r>
        <w:rPr>
          <w:rFonts w:hint="eastAsia" w:hAnsi="仿宋"/>
          <w:color w:val="auto"/>
          <w:sz w:val="32"/>
          <w:szCs w:val="32"/>
        </w:rPr>
        <w:t>年初结转和结余：指以前年度尚未完成、结转到本年按有关规定继续使用的资金。</w:t>
      </w:r>
    </w:p>
    <w:p>
      <w:pPr>
        <w:pStyle w:val="22"/>
        <w:spacing w:line="560" w:lineRule="exact"/>
        <w:ind w:firstLine="640" w:firstLineChars="200"/>
        <w:rPr>
          <w:rFonts w:hAnsi="仿宋"/>
          <w:color w:val="auto"/>
          <w:sz w:val="32"/>
          <w:szCs w:val="32"/>
        </w:rPr>
      </w:pPr>
      <w:r>
        <w:rPr>
          <w:rFonts w:hint="eastAsia" w:hAnsi="仿宋"/>
          <w:color w:val="auto"/>
          <w:sz w:val="32"/>
          <w:szCs w:val="32"/>
        </w:rPr>
        <w:t>4</w:t>
      </w:r>
      <w:r>
        <w:rPr>
          <w:rFonts w:hAnsi="仿宋"/>
          <w:color w:val="auto"/>
          <w:sz w:val="32"/>
          <w:szCs w:val="32"/>
        </w:rPr>
        <w:t>.</w:t>
      </w:r>
      <w:r>
        <w:rPr>
          <w:rFonts w:hint="eastAsia" w:hAnsi="仿宋"/>
          <w:color w:val="auto"/>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hAnsi="仿宋"/>
          <w:color w:val="auto"/>
          <w:sz w:val="32"/>
          <w:szCs w:val="32"/>
        </w:rPr>
      </w:pPr>
      <w:r>
        <w:rPr>
          <w:rFonts w:hint="eastAsia" w:hAnsi="仿宋"/>
          <w:color w:val="auto"/>
          <w:sz w:val="32"/>
          <w:szCs w:val="32"/>
        </w:rPr>
        <w:t>5.年末结转和结余：指单位按有关规定结转到下年或以后年度继续使用的资金。</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 城乡社区支出（类）城乡社区管理事务（款）行政运行（项）：指行政单位（包括实行公务员管理的事业单位）的基本支出。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 城乡社区支出（类）国有土地使用权出让收入及对应专项债务收入安排的支出（款）土地开发支出（项）：指项目以外其他用于城乡社区管理事务方面的支出。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8. 社会保障和就业（类）行政事业单位离退休（款）未归口管理的行政单位离退休（项）：指未实行归口管理的行政单位（包括实行公务员管理的事业单位）开支的离退休支出。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9. 社会保障和就业（类）行政事业单位离退休（款）机关事业单位基本养老保险缴费支出（项）：指机关事业单位实施养老保险制度由单位缴纳的基本养老保险支出。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10. 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11.医疗卫生与计划生育（类）行政事业单位医疗（款）行政单位医疗（项）：指单位为职工缴纳的基本医疗保险。</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12.医疗卫生与计划生育（类）行政事业单位医疗（款）公务员医疗补助（项）：指单位为职工缴纳的公务员医疗补助费用。</w:t>
      </w:r>
    </w:p>
    <w:p>
      <w:pPr>
        <w:ind w:firstLine="640" w:firstLineChars="200"/>
        <w:rPr>
          <w:rFonts w:ascii="仿宋" w:hAnsi="仿宋" w:eastAsia="仿宋"/>
          <w:sz w:val="32"/>
          <w:szCs w:val="32"/>
        </w:rPr>
      </w:pPr>
      <w:r>
        <w:rPr>
          <w:rFonts w:hint="eastAsia" w:ascii="仿宋" w:hAnsi="仿宋" w:eastAsia="仿宋"/>
          <w:sz w:val="32"/>
          <w:szCs w:val="32"/>
        </w:rPr>
        <w:t>13</w:t>
      </w:r>
      <w:r>
        <w:rPr>
          <w:rFonts w:ascii="仿宋" w:hAnsi="仿宋" w:eastAsia="仿宋"/>
          <w:sz w:val="32"/>
          <w:szCs w:val="32"/>
        </w:rPr>
        <w:t>.</w:t>
      </w:r>
      <w:r>
        <w:rPr>
          <w:rFonts w:hint="eastAsia" w:ascii="仿宋" w:hAnsi="仿宋" w:eastAsia="仿宋"/>
          <w:sz w:val="32"/>
          <w:szCs w:val="32"/>
        </w:rPr>
        <w:t>基本支出：指为保障机构正常运转、完成日常工作任务而发生的人员支出和公用支出。</w:t>
      </w:r>
    </w:p>
    <w:p>
      <w:pPr>
        <w:ind w:left="155" w:leftChars="74" w:firstLine="480" w:firstLineChars="150"/>
        <w:rPr>
          <w:rFonts w:ascii="仿宋" w:hAnsi="仿宋" w:eastAsia="仿宋"/>
          <w:sz w:val="32"/>
          <w:szCs w:val="32"/>
        </w:rPr>
      </w:pPr>
      <w:r>
        <w:rPr>
          <w:rFonts w:hint="eastAsia" w:ascii="仿宋" w:hAnsi="仿宋" w:eastAsia="仿宋"/>
          <w:sz w:val="32"/>
          <w:szCs w:val="32"/>
        </w:rPr>
        <w:t>14</w:t>
      </w:r>
      <w:r>
        <w:rPr>
          <w:rFonts w:ascii="仿宋" w:hAnsi="仿宋" w:eastAsia="仿宋"/>
          <w:sz w:val="32"/>
          <w:szCs w:val="32"/>
        </w:rPr>
        <w:t>.</w:t>
      </w:r>
      <w:r>
        <w:rPr>
          <w:rFonts w:hint="eastAsia" w:ascii="仿宋" w:hAnsi="仿宋" w:eastAsia="仿宋"/>
          <w:sz w:val="32"/>
          <w:szCs w:val="32"/>
        </w:rPr>
        <w:t>项目支出：指在基本支出之外为完成特定行政任务和事业发展目标所发生的支出。</w:t>
      </w:r>
    </w:p>
    <w:p>
      <w:pPr>
        <w:pStyle w:val="22"/>
        <w:spacing w:line="560" w:lineRule="exact"/>
        <w:ind w:firstLine="640" w:firstLineChars="200"/>
        <w:rPr>
          <w:rFonts w:hAnsi="仿宋"/>
          <w:color w:val="auto"/>
          <w:sz w:val="32"/>
          <w:szCs w:val="32"/>
        </w:rPr>
      </w:pPr>
      <w:r>
        <w:rPr>
          <w:rFonts w:hint="eastAsia" w:hAnsi="仿宋"/>
          <w:color w:val="auto"/>
          <w:sz w:val="32"/>
          <w:szCs w:val="32"/>
        </w:rPr>
        <w:t>15</w:t>
      </w:r>
      <w:r>
        <w:rPr>
          <w:rFonts w:hAnsi="仿宋"/>
          <w:color w:val="auto"/>
          <w:sz w:val="32"/>
          <w:szCs w:val="32"/>
        </w:rPr>
        <w:t>.</w:t>
      </w:r>
      <w:r>
        <w:rPr>
          <w:rFonts w:hint="eastAsia" w:hAnsi="仿宋"/>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Ansi="仿宋"/>
          <w:color w:val="auto"/>
          <w:sz w:val="32"/>
          <w:szCs w:val="32"/>
        </w:rPr>
      </w:pPr>
      <w:r>
        <w:rPr>
          <w:rFonts w:hint="eastAsia" w:hAnsi="仿宋"/>
          <w:color w:val="auto"/>
          <w:sz w:val="32"/>
          <w:szCs w:val="32"/>
        </w:rPr>
        <w:t>16</w:t>
      </w:r>
      <w:r>
        <w:rPr>
          <w:rFonts w:hAnsi="仿宋"/>
          <w:color w:val="auto"/>
          <w:sz w:val="32"/>
          <w:szCs w:val="32"/>
        </w:rPr>
        <w:t>.</w:t>
      </w:r>
      <w:r>
        <w:rPr>
          <w:rFonts w:hint="eastAsia" w:hAnsi="仿宋"/>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4"/>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53" w:name="_Toc15396618"/>
      <w:r>
        <w:rPr>
          <w:rFonts w:hint="eastAsia" w:ascii="宋体" w:hAnsi="宋体" w:cs="宋体"/>
          <w:kern w:val="0"/>
          <w:sz w:val="32"/>
          <w:szCs w:val="32"/>
        </w:rPr>
        <w:t>部门预算项目支出绩效自评表（2022年度）见附件。</w:t>
      </w:r>
    </w:p>
    <w:p>
      <w:pPr>
        <w:spacing w:line="600" w:lineRule="exact"/>
        <w:jc w:val="left"/>
        <w:outlineLvl w:val="0"/>
        <w:rPr>
          <w:rFonts w:ascii="仿宋_GB2312" w:hAnsi="Calibri" w:eastAsia="仿宋_GB2312" w:cs="仿宋"/>
          <w:kern w:val="0"/>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5"/>
          <w:rFonts w:hint="eastAsia" w:ascii="仿宋" w:hAnsi="仿宋" w:eastAsia="仿宋"/>
          <w:b w:val="0"/>
          <w:bCs w:val="0"/>
        </w:rPr>
        <w:t>十、</w:t>
      </w:r>
      <w:bookmarkEnd w:id="63"/>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5"/>
          <w:rFonts w:hint="eastAsia" w:ascii="仿宋" w:hAnsi="仿宋" w:eastAsia="仿宋"/>
          <w:b w:val="0"/>
          <w:bCs w:val="0"/>
        </w:rPr>
        <w:t>十一、</w:t>
      </w:r>
      <w:bookmarkEnd w:id="64"/>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5"/>
          <w:rFonts w:hint="eastAsia" w:ascii="仿宋" w:hAnsi="仿宋" w:eastAsia="仿宋"/>
          <w:b w:val="0"/>
          <w:bCs w:val="0"/>
        </w:rPr>
        <w:t>十二、</w:t>
      </w:r>
      <w:bookmarkEnd w:id="65"/>
      <w:r>
        <w:rPr>
          <w:rStyle w:val="25"/>
          <w:rFonts w:hint="eastAsia" w:ascii="仿宋" w:hAnsi="仿宋" w:eastAsia="仿宋"/>
          <w:b w:val="0"/>
          <w:bCs w:val="0"/>
        </w:rPr>
        <w:t>国有资本经营预算财政拨款支出决算表</w:t>
      </w:r>
    </w:p>
    <w:p>
      <w:pPr>
        <w:pStyle w:val="4"/>
        <w:rPr>
          <w:rFonts w:eastAsia="仿宋"/>
        </w:rPr>
      </w:pPr>
      <w:bookmarkStart w:id="66" w:name="_Toc15396631"/>
      <w:r>
        <w:rPr>
          <w:rStyle w:val="25"/>
          <w:rFonts w:hint="eastAsia" w:ascii="仿宋" w:hAnsi="仿宋" w:eastAsia="仿宋"/>
          <w:b w:val="0"/>
          <w:bCs w:val="0"/>
        </w:rPr>
        <w:t>十三、</w:t>
      </w:r>
      <w:bookmarkEnd w:id="66"/>
      <w:r>
        <w:rPr>
          <w:rStyle w:val="25"/>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hkNmNiM2ZmYzk1ZGRmYTJmMjVhMDFkYjVhNzFiNjEifQ=="/>
  </w:docVars>
  <w:rsids>
    <w:rsidRoot w:val="00F1361C"/>
    <w:rsid w:val="000222C6"/>
    <w:rsid w:val="000244E3"/>
    <w:rsid w:val="0002549F"/>
    <w:rsid w:val="000468DB"/>
    <w:rsid w:val="0006487A"/>
    <w:rsid w:val="00065F8F"/>
    <w:rsid w:val="00070A43"/>
    <w:rsid w:val="00071604"/>
    <w:rsid w:val="0007245C"/>
    <w:rsid w:val="000768F2"/>
    <w:rsid w:val="0008447A"/>
    <w:rsid w:val="0009184B"/>
    <w:rsid w:val="00094236"/>
    <w:rsid w:val="0009593C"/>
    <w:rsid w:val="00097322"/>
    <w:rsid w:val="000A1C69"/>
    <w:rsid w:val="000A6A92"/>
    <w:rsid w:val="000B047F"/>
    <w:rsid w:val="000B5923"/>
    <w:rsid w:val="000B5A48"/>
    <w:rsid w:val="000B6FF3"/>
    <w:rsid w:val="000C3467"/>
    <w:rsid w:val="000C3CA6"/>
    <w:rsid w:val="000D1267"/>
    <w:rsid w:val="000D1D50"/>
    <w:rsid w:val="000D5782"/>
    <w:rsid w:val="000E06AC"/>
    <w:rsid w:val="000E6613"/>
    <w:rsid w:val="000E6EBE"/>
    <w:rsid w:val="000E7119"/>
    <w:rsid w:val="000F3D30"/>
    <w:rsid w:val="001064A9"/>
    <w:rsid w:val="00114E9B"/>
    <w:rsid w:val="00123991"/>
    <w:rsid w:val="0013771B"/>
    <w:rsid w:val="00142216"/>
    <w:rsid w:val="00142960"/>
    <w:rsid w:val="00144D6A"/>
    <w:rsid w:val="0014729F"/>
    <w:rsid w:val="00157BAB"/>
    <w:rsid w:val="001654D1"/>
    <w:rsid w:val="00166E95"/>
    <w:rsid w:val="00174518"/>
    <w:rsid w:val="0018106D"/>
    <w:rsid w:val="00185467"/>
    <w:rsid w:val="00185ECE"/>
    <w:rsid w:val="001877A7"/>
    <w:rsid w:val="00191536"/>
    <w:rsid w:val="00196687"/>
    <w:rsid w:val="001C0962"/>
    <w:rsid w:val="001D7531"/>
    <w:rsid w:val="001E737D"/>
    <w:rsid w:val="001F0592"/>
    <w:rsid w:val="001F7506"/>
    <w:rsid w:val="002006CD"/>
    <w:rsid w:val="00202B36"/>
    <w:rsid w:val="00204B7A"/>
    <w:rsid w:val="00204CDE"/>
    <w:rsid w:val="0021101A"/>
    <w:rsid w:val="00217A88"/>
    <w:rsid w:val="00220536"/>
    <w:rsid w:val="00235629"/>
    <w:rsid w:val="002514DE"/>
    <w:rsid w:val="00260950"/>
    <w:rsid w:val="00260C38"/>
    <w:rsid w:val="00260C9E"/>
    <w:rsid w:val="002616C0"/>
    <w:rsid w:val="00265372"/>
    <w:rsid w:val="002662AA"/>
    <w:rsid w:val="0026653C"/>
    <w:rsid w:val="00280496"/>
    <w:rsid w:val="0028617E"/>
    <w:rsid w:val="00294DC9"/>
    <w:rsid w:val="00295495"/>
    <w:rsid w:val="0029700E"/>
    <w:rsid w:val="002A31DE"/>
    <w:rsid w:val="002B2613"/>
    <w:rsid w:val="002B53CF"/>
    <w:rsid w:val="002D6D05"/>
    <w:rsid w:val="002F1818"/>
    <w:rsid w:val="002F567B"/>
    <w:rsid w:val="003216A9"/>
    <w:rsid w:val="0033420A"/>
    <w:rsid w:val="00334FC1"/>
    <w:rsid w:val="00335A74"/>
    <w:rsid w:val="0035761E"/>
    <w:rsid w:val="0036561B"/>
    <w:rsid w:val="0037013F"/>
    <w:rsid w:val="00380C92"/>
    <w:rsid w:val="0038744D"/>
    <w:rsid w:val="0039117B"/>
    <w:rsid w:val="003A484F"/>
    <w:rsid w:val="003A4883"/>
    <w:rsid w:val="003A65C6"/>
    <w:rsid w:val="003B0BE0"/>
    <w:rsid w:val="003B0C1B"/>
    <w:rsid w:val="003B688C"/>
    <w:rsid w:val="003B6DD0"/>
    <w:rsid w:val="003C0291"/>
    <w:rsid w:val="003C39AE"/>
    <w:rsid w:val="003C5564"/>
    <w:rsid w:val="003C7B60"/>
    <w:rsid w:val="003D08C3"/>
    <w:rsid w:val="003D0C0F"/>
    <w:rsid w:val="003D1FB2"/>
    <w:rsid w:val="003D66DA"/>
    <w:rsid w:val="003E1310"/>
    <w:rsid w:val="003E6F55"/>
    <w:rsid w:val="00406254"/>
    <w:rsid w:val="004223DE"/>
    <w:rsid w:val="00425144"/>
    <w:rsid w:val="004256CA"/>
    <w:rsid w:val="0042699C"/>
    <w:rsid w:val="00434489"/>
    <w:rsid w:val="00437085"/>
    <w:rsid w:val="00443880"/>
    <w:rsid w:val="004464F4"/>
    <w:rsid w:val="00464B39"/>
    <w:rsid w:val="00466DC5"/>
    <w:rsid w:val="00471401"/>
    <w:rsid w:val="00473F31"/>
    <w:rsid w:val="0048263A"/>
    <w:rsid w:val="00485945"/>
    <w:rsid w:val="00487E5D"/>
    <w:rsid w:val="004A711F"/>
    <w:rsid w:val="004B17D4"/>
    <w:rsid w:val="004B199D"/>
    <w:rsid w:val="004B4690"/>
    <w:rsid w:val="004D3488"/>
    <w:rsid w:val="004E0A2D"/>
    <w:rsid w:val="004E206B"/>
    <w:rsid w:val="004E3E8B"/>
    <w:rsid w:val="004E6DF7"/>
    <w:rsid w:val="004F0FBD"/>
    <w:rsid w:val="004F49DB"/>
    <w:rsid w:val="004F719E"/>
    <w:rsid w:val="00505A47"/>
    <w:rsid w:val="00512FDA"/>
    <w:rsid w:val="00520DA0"/>
    <w:rsid w:val="00522645"/>
    <w:rsid w:val="005664BB"/>
    <w:rsid w:val="00566FFA"/>
    <w:rsid w:val="0057481D"/>
    <w:rsid w:val="0058486E"/>
    <w:rsid w:val="00585B33"/>
    <w:rsid w:val="0059014D"/>
    <w:rsid w:val="005A049A"/>
    <w:rsid w:val="005B5C64"/>
    <w:rsid w:val="005C5337"/>
    <w:rsid w:val="005C6BD0"/>
    <w:rsid w:val="005C7BB2"/>
    <w:rsid w:val="005D1C8B"/>
    <w:rsid w:val="005D468D"/>
    <w:rsid w:val="005D5CED"/>
    <w:rsid w:val="005D7391"/>
    <w:rsid w:val="005F1A4C"/>
    <w:rsid w:val="00605688"/>
    <w:rsid w:val="006070AF"/>
    <w:rsid w:val="00607E6C"/>
    <w:rsid w:val="006101B1"/>
    <w:rsid w:val="00611C50"/>
    <w:rsid w:val="00614E44"/>
    <w:rsid w:val="0062270A"/>
    <w:rsid w:val="00622830"/>
    <w:rsid w:val="00623DA0"/>
    <w:rsid w:val="00630AEF"/>
    <w:rsid w:val="006325F8"/>
    <w:rsid w:val="00633463"/>
    <w:rsid w:val="00634C9A"/>
    <w:rsid w:val="00640BF6"/>
    <w:rsid w:val="006440E4"/>
    <w:rsid w:val="0066343B"/>
    <w:rsid w:val="00663AE4"/>
    <w:rsid w:val="00664777"/>
    <w:rsid w:val="006748A4"/>
    <w:rsid w:val="00681A31"/>
    <w:rsid w:val="00683E73"/>
    <w:rsid w:val="006A3141"/>
    <w:rsid w:val="006A5E34"/>
    <w:rsid w:val="006B2422"/>
    <w:rsid w:val="006B2B9A"/>
    <w:rsid w:val="006C1937"/>
    <w:rsid w:val="006D4C9E"/>
    <w:rsid w:val="006F020C"/>
    <w:rsid w:val="007127B7"/>
    <w:rsid w:val="0071798E"/>
    <w:rsid w:val="00736BFB"/>
    <w:rsid w:val="007416B6"/>
    <w:rsid w:val="00746F48"/>
    <w:rsid w:val="0075404D"/>
    <w:rsid w:val="0076182A"/>
    <w:rsid w:val="00761A89"/>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15F5"/>
    <w:rsid w:val="0083706E"/>
    <w:rsid w:val="008402F1"/>
    <w:rsid w:val="008408F6"/>
    <w:rsid w:val="008423A5"/>
    <w:rsid w:val="008460DF"/>
    <w:rsid w:val="00850625"/>
    <w:rsid w:val="00853718"/>
    <w:rsid w:val="00855221"/>
    <w:rsid w:val="00860645"/>
    <w:rsid w:val="00871F71"/>
    <w:rsid w:val="00872FD8"/>
    <w:rsid w:val="00885AF4"/>
    <w:rsid w:val="008939CD"/>
    <w:rsid w:val="008A1BE1"/>
    <w:rsid w:val="008B473D"/>
    <w:rsid w:val="008B768C"/>
    <w:rsid w:val="008C11BF"/>
    <w:rsid w:val="008C4DB1"/>
    <w:rsid w:val="008C4EAF"/>
    <w:rsid w:val="008C5176"/>
    <w:rsid w:val="008C7FD0"/>
    <w:rsid w:val="008E1DE7"/>
    <w:rsid w:val="008E707C"/>
    <w:rsid w:val="00900B08"/>
    <w:rsid w:val="00902155"/>
    <w:rsid w:val="00902FA3"/>
    <w:rsid w:val="009116D3"/>
    <w:rsid w:val="00914B05"/>
    <w:rsid w:val="00920D66"/>
    <w:rsid w:val="00923564"/>
    <w:rsid w:val="0092392E"/>
    <w:rsid w:val="009315F9"/>
    <w:rsid w:val="00933499"/>
    <w:rsid w:val="00935C98"/>
    <w:rsid w:val="00944748"/>
    <w:rsid w:val="00946945"/>
    <w:rsid w:val="00951248"/>
    <w:rsid w:val="0095152F"/>
    <w:rsid w:val="00954C49"/>
    <w:rsid w:val="00955E37"/>
    <w:rsid w:val="009641D5"/>
    <w:rsid w:val="0097099F"/>
    <w:rsid w:val="00971997"/>
    <w:rsid w:val="00971FFC"/>
    <w:rsid w:val="00980214"/>
    <w:rsid w:val="009824AB"/>
    <w:rsid w:val="0098660A"/>
    <w:rsid w:val="009931C3"/>
    <w:rsid w:val="009A54EB"/>
    <w:rsid w:val="009B197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2631"/>
    <w:rsid w:val="00A331C8"/>
    <w:rsid w:val="00A35860"/>
    <w:rsid w:val="00A40A00"/>
    <w:rsid w:val="00A4142F"/>
    <w:rsid w:val="00A422EB"/>
    <w:rsid w:val="00A45BB7"/>
    <w:rsid w:val="00A56DF2"/>
    <w:rsid w:val="00A56E6E"/>
    <w:rsid w:val="00A67AB5"/>
    <w:rsid w:val="00A733B2"/>
    <w:rsid w:val="00A741C2"/>
    <w:rsid w:val="00A81325"/>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6C3F"/>
    <w:rsid w:val="00BB4DF0"/>
    <w:rsid w:val="00BC1CEE"/>
    <w:rsid w:val="00BC289F"/>
    <w:rsid w:val="00BC2D50"/>
    <w:rsid w:val="00BC5361"/>
    <w:rsid w:val="00BC5460"/>
    <w:rsid w:val="00BC636B"/>
    <w:rsid w:val="00BC6B50"/>
    <w:rsid w:val="00BD0E25"/>
    <w:rsid w:val="00BD7FCA"/>
    <w:rsid w:val="00BE2D28"/>
    <w:rsid w:val="00BF5BD6"/>
    <w:rsid w:val="00C03E31"/>
    <w:rsid w:val="00C04150"/>
    <w:rsid w:val="00C30D6C"/>
    <w:rsid w:val="00C32B9B"/>
    <w:rsid w:val="00C33E72"/>
    <w:rsid w:val="00C354B2"/>
    <w:rsid w:val="00C35554"/>
    <w:rsid w:val="00C42709"/>
    <w:rsid w:val="00C533CC"/>
    <w:rsid w:val="00C5751C"/>
    <w:rsid w:val="00C61BFC"/>
    <w:rsid w:val="00C62B85"/>
    <w:rsid w:val="00C65438"/>
    <w:rsid w:val="00C7524A"/>
    <w:rsid w:val="00C82F1E"/>
    <w:rsid w:val="00C87FD8"/>
    <w:rsid w:val="00C91381"/>
    <w:rsid w:val="00C91CBB"/>
    <w:rsid w:val="00CB3802"/>
    <w:rsid w:val="00CB4E70"/>
    <w:rsid w:val="00CC09B6"/>
    <w:rsid w:val="00CC666F"/>
    <w:rsid w:val="00CD1E3F"/>
    <w:rsid w:val="00CD50F3"/>
    <w:rsid w:val="00CD5B56"/>
    <w:rsid w:val="00CE3D99"/>
    <w:rsid w:val="00CE44F6"/>
    <w:rsid w:val="00CE49DA"/>
    <w:rsid w:val="00CE5CB9"/>
    <w:rsid w:val="00CE7B61"/>
    <w:rsid w:val="00CF55C2"/>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DF45C7"/>
    <w:rsid w:val="00E01053"/>
    <w:rsid w:val="00E07ACF"/>
    <w:rsid w:val="00E27F85"/>
    <w:rsid w:val="00E331A1"/>
    <w:rsid w:val="00E33202"/>
    <w:rsid w:val="00E336A9"/>
    <w:rsid w:val="00E41200"/>
    <w:rsid w:val="00E472B1"/>
    <w:rsid w:val="00E50624"/>
    <w:rsid w:val="00E5504B"/>
    <w:rsid w:val="00E568DF"/>
    <w:rsid w:val="00E64269"/>
    <w:rsid w:val="00E721DA"/>
    <w:rsid w:val="00E75CF1"/>
    <w:rsid w:val="00E82267"/>
    <w:rsid w:val="00E853CE"/>
    <w:rsid w:val="00E867B6"/>
    <w:rsid w:val="00EA010F"/>
    <w:rsid w:val="00EA1FE8"/>
    <w:rsid w:val="00ED1B63"/>
    <w:rsid w:val="00ED1FFE"/>
    <w:rsid w:val="00ED3C1F"/>
    <w:rsid w:val="00ED4085"/>
    <w:rsid w:val="00ED420E"/>
    <w:rsid w:val="00ED6FBE"/>
    <w:rsid w:val="00EE2F57"/>
    <w:rsid w:val="00EF07E6"/>
    <w:rsid w:val="00EF4C34"/>
    <w:rsid w:val="00EF519C"/>
    <w:rsid w:val="00EF77C6"/>
    <w:rsid w:val="00F05438"/>
    <w:rsid w:val="00F1361C"/>
    <w:rsid w:val="00F156F0"/>
    <w:rsid w:val="00F160C7"/>
    <w:rsid w:val="00F2408F"/>
    <w:rsid w:val="00F240E9"/>
    <w:rsid w:val="00F36D8F"/>
    <w:rsid w:val="00F372E9"/>
    <w:rsid w:val="00F417B1"/>
    <w:rsid w:val="00F45853"/>
    <w:rsid w:val="00F602DF"/>
    <w:rsid w:val="00F754A1"/>
    <w:rsid w:val="00F81FD9"/>
    <w:rsid w:val="00F841AA"/>
    <w:rsid w:val="00F84A94"/>
    <w:rsid w:val="00F87E96"/>
    <w:rsid w:val="00F95E33"/>
    <w:rsid w:val="00FA23E8"/>
    <w:rsid w:val="00FC6F13"/>
    <w:rsid w:val="00FD3CC1"/>
    <w:rsid w:val="00FF1E02"/>
    <w:rsid w:val="00FF30B4"/>
    <w:rsid w:val="00FF3713"/>
    <w:rsid w:val="053A62B5"/>
    <w:rsid w:val="05D112B4"/>
    <w:rsid w:val="0A2032A3"/>
    <w:rsid w:val="0B8A37D8"/>
    <w:rsid w:val="10C055FF"/>
    <w:rsid w:val="11663423"/>
    <w:rsid w:val="118107EC"/>
    <w:rsid w:val="11DD6519"/>
    <w:rsid w:val="125C7A00"/>
    <w:rsid w:val="16BB723D"/>
    <w:rsid w:val="18015F3F"/>
    <w:rsid w:val="1BE8440E"/>
    <w:rsid w:val="1C957AEB"/>
    <w:rsid w:val="1D155CEE"/>
    <w:rsid w:val="20F57F95"/>
    <w:rsid w:val="240371BF"/>
    <w:rsid w:val="25711CC6"/>
    <w:rsid w:val="25C741E6"/>
    <w:rsid w:val="27842671"/>
    <w:rsid w:val="29FD04D3"/>
    <w:rsid w:val="2ABE7A3E"/>
    <w:rsid w:val="2AF35F25"/>
    <w:rsid w:val="2CA234A8"/>
    <w:rsid w:val="2EFA178C"/>
    <w:rsid w:val="30B46D73"/>
    <w:rsid w:val="319F7F4E"/>
    <w:rsid w:val="383D272C"/>
    <w:rsid w:val="39AE70AB"/>
    <w:rsid w:val="3C0C0783"/>
    <w:rsid w:val="3F9F3A96"/>
    <w:rsid w:val="48BF60AB"/>
    <w:rsid w:val="49395702"/>
    <w:rsid w:val="493C27E9"/>
    <w:rsid w:val="496F39ED"/>
    <w:rsid w:val="49FF41D3"/>
    <w:rsid w:val="4B6C51B0"/>
    <w:rsid w:val="4BE068DB"/>
    <w:rsid w:val="4BF6002B"/>
    <w:rsid w:val="4ECE2238"/>
    <w:rsid w:val="51DB4B86"/>
    <w:rsid w:val="545309D2"/>
    <w:rsid w:val="55333C3E"/>
    <w:rsid w:val="5EE363AF"/>
    <w:rsid w:val="64CA39A1"/>
    <w:rsid w:val="69630ADE"/>
    <w:rsid w:val="6C4A05C8"/>
    <w:rsid w:val="6D3B1A89"/>
    <w:rsid w:val="71787FD9"/>
    <w:rsid w:val="71BF4EC2"/>
    <w:rsid w:val="72734D90"/>
    <w:rsid w:val="7412278C"/>
    <w:rsid w:val="79E7B28D"/>
    <w:rsid w:val="7D4C2098"/>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autoRedefine/>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autoRedefine/>
    <w:qFormat/>
    <w:uiPriority w:val="34"/>
    <w:pPr>
      <w:ind w:firstLine="420" w:firstLineChars="200"/>
    </w:pPr>
  </w:style>
  <w:style w:type="character" w:customStyle="1" w:styleId="24">
    <w:name w:val="标题 1 Char"/>
    <w:basedOn w:val="13"/>
    <w:link w:val="3"/>
    <w:autoRedefine/>
    <w:qFormat/>
    <w:uiPriority w:val="9"/>
    <w:rPr>
      <w:rFonts w:ascii="Times New Roman" w:hAnsi="Times New Roman"/>
      <w:b/>
      <w:bCs/>
      <w:kern w:val="44"/>
      <w:sz w:val="44"/>
      <w:szCs w:val="44"/>
    </w:rPr>
  </w:style>
  <w:style w:type="character" w:customStyle="1" w:styleId="25">
    <w:name w:val="标题 2 Char"/>
    <w:basedOn w:val="13"/>
    <w:link w:val="4"/>
    <w:autoRedefine/>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autoRedefine/>
    <w:semiHidden/>
    <w:qFormat/>
    <w:uiPriority w:val="99"/>
    <w:rPr>
      <w:rFonts w:ascii="Times New Roman" w:hAnsi="Times New Roman"/>
      <w:kern w:val="2"/>
      <w:sz w:val="18"/>
      <w:szCs w:val="18"/>
    </w:rPr>
  </w:style>
  <w:style w:type="character" w:customStyle="1" w:styleId="28">
    <w:name w:val="标题 3 Char"/>
    <w:basedOn w:val="13"/>
    <w:link w:val="5"/>
    <w:autoRedefine/>
    <w:qFormat/>
    <w:uiPriority w:val="9"/>
    <w:rPr>
      <w:rFonts w:ascii="Times New Roman" w:hAnsi="Times New Roman"/>
      <w:b/>
      <w:bCs/>
      <w:kern w:val="2"/>
      <w:sz w:val="32"/>
      <w:szCs w:val="32"/>
    </w:rPr>
  </w:style>
  <w:style w:type="paragraph" w:customStyle="1" w:styleId="29">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Intense Reference"/>
    <w:basedOn w:val="13"/>
    <w:autoRedefine/>
    <w:qFormat/>
    <w:uiPriority w:val="32"/>
    <w:rPr>
      <w:b/>
      <w:bCs/>
      <w:smallCaps/>
      <w:color w:val="C0504D" w:themeColor="accent2"/>
      <w:spacing w:val="5"/>
      <w:u w:val="singl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69484029220275"/>
          <c:y val="0.0209169483634598"/>
          <c:w val="0.714191370250501"/>
          <c:h val="0.81361320837466"/>
        </c:manualLayout>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收入</c:v>
                </c:pt>
                <c:pt idx="1">
                  <c:v>支出</c:v>
                </c:pt>
              </c:strCache>
            </c:strRef>
          </c:cat>
          <c:val>
            <c:numRef>
              <c:f>Sheet1!$B$2:$B$5</c:f>
              <c:numCache>
                <c:formatCode>General</c:formatCode>
                <c:ptCount val="4"/>
                <c:pt idx="0">
                  <c:v>861.57</c:v>
                </c:pt>
                <c:pt idx="1">
                  <c:v>1453.16</c:v>
                </c:pt>
              </c:numCache>
            </c:numRef>
          </c:val>
        </c:ser>
        <c:ser>
          <c:idx val="1"/>
          <c:order val="1"/>
          <c:tx>
            <c:strRef>
              <c:f>Sheet1!$C$1</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收入</c:v>
                </c:pt>
                <c:pt idx="1">
                  <c:v>支出</c:v>
                </c:pt>
              </c:strCache>
            </c:strRef>
          </c:cat>
          <c:val>
            <c:numRef>
              <c:f>Sheet1!$C$2:$C$5</c:f>
              <c:numCache>
                <c:formatCode>General</c:formatCode>
                <c:ptCount val="4"/>
                <c:pt idx="0">
                  <c:v>937.68</c:v>
                </c:pt>
                <c:pt idx="1">
                  <c:v>1695.82</c:v>
                </c:pt>
              </c:numCache>
            </c:numRef>
          </c:val>
        </c:ser>
        <c:dLbls>
          <c:showLegendKey val="0"/>
          <c:showVal val="1"/>
          <c:showCatName val="0"/>
          <c:showSerName val="0"/>
          <c:showPercent val="0"/>
          <c:showBubbleSize val="0"/>
        </c:dLbls>
        <c:gapWidth val="260"/>
        <c:overlap val="-32"/>
        <c:axId val="114505984"/>
        <c:axId val="114507776"/>
      </c:barChart>
      <c:catAx>
        <c:axId val="114505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507776"/>
        <c:crosses val="autoZero"/>
        <c:auto val="1"/>
        <c:lblAlgn val="ctr"/>
        <c:lblOffset val="100"/>
        <c:noMultiLvlLbl val="0"/>
      </c:catAx>
      <c:valAx>
        <c:axId val="114507776"/>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5059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2022年本年收入</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1"/>
              <c:layout/>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一般公共预算财政拨款收入430.98</c:v>
                </c:pt>
                <c:pt idx="1">
                  <c:v>政府性基金预算财政拨款收入1022.17</c:v>
                </c:pt>
              </c:strCache>
            </c:strRef>
          </c:cat>
          <c:val>
            <c:numRef>
              <c:f>Sheet1!$B$2:$B$3</c:f>
              <c:numCache>
                <c:formatCode>General</c:formatCode>
                <c:ptCount val="2"/>
                <c:pt idx="0">
                  <c:v>430.979999999999</c:v>
                </c:pt>
                <c:pt idx="1">
                  <c:v>1022.17</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2022年本年支出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1"/>
              <c:layout/>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基本支出365</c:v>
                </c:pt>
                <c:pt idx="1">
                  <c:v>项目支出1330.82</c:v>
                </c:pt>
              </c:strCache>
            </c:strRef>
          </c:cat>
          <c:val>
            <c:numRef>
              <c:f>Sheet1!$B$2:$B$3</c:f>
              <c:numCache>
                <c:formatCode>General</c:formatCode>
                <c:ptCount val="2"/>
                <c:pt idx="0">
                  <c:v>365</c:v>
                </c:pt>
                <c:pt idx="1">
                  <c:v>1330.82</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69484029220275"/>
          <c:y val="0.0209169483634598"/>
          <c:w val="0.714191370250501"/>
          <c:h val="0.81361320837466"/>
        </c:manualLayout>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2"/>
                <c:pt idx="0">
                  <c:v>收入</c:v>
                </c:pt>
                <c:pt idx="1">
                  <c:v>支出</c:v>
                </c:pt>
              </c:strCache>
            </c:strRef>
          </c:cat>
          <c:val>
            <c:numRef>
              <c:f>Sheet1!$B$2:$B$5</c:f>
              <c:numCache>
                <c:formatCode>General</c:formatCode>
                <c:ptCount val="4"/>
                <c:pt idx="0">
                  <c:v>861.57</c:v>
                </c:pt>
                <c:pt idx="1">
                  <c:v>1453.16</c:v>
                </c:pt>
              </c:numCache>
            </c:numRef>
          </c:val>
        </c:ser>
        <c:ser>
          <c:idx val="1"/>
          <c:order val="1"/>
          <c:tx>
            <c:strRef>
              <c:f>Sheet1!$C$1</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2"/>
                <c:pt idx="0">
                  <c:v>收入</c:v>
                </c:pt>
                <c:pt idx="1">
                  <c:v>支出</c:v>
                </c:pt>
              </c:strCache>
            </c:strRef>
          </c:cat>
          <c:val>
            <c:numRef>
              <c:f>Sheet1!$C$2:$C$5</c:f>
              <c:numCache>
                <c:formatCode>General</c:formatCode>
                <c:ptCount val="4"/>
                <c:pt idx="0">
                  <c:v>937.680000000001</c:v>
                </c:pt>
                <c:pt idx="1">
                  <c:v>1695.82</c:v>
                </c:pt>
              </c:numCache>
            </c:numRef>
          </c:val>
        </c:ser>
        <c:dLbls>
          <c:showLegendKey val="0"/>
          <c:showVal val="1"/>
          <c:showCatName val="0"/>
          <c:showSerName val="0"/>
          <c:showPercent val="0"/>
          <c:showBubbleSize val="0"/>
        </c:dLbls>
        <c:gapWidth val="260"/>
        <c:overlap val="-32"/>
        <c:axId val="114659328"/>
        <c:axId val="114660864"/>
      </c:barChart>
      <c:catAx>
        <c:axId val="1146593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660864"/>
        <c:crosses val="autoZero"/>
        <c:auto val="1"/>
        <c:lblAlgn val="ctr"/>
        <c:lblOffset val="100"/>
        <c:noMultiLvlLbl val="0"/>
      </c:catAx>
      <c:valAx>
        <c:axId val="114660864"/>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6593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numCache>
            </c:numRef>
          </c:cat>
          <c:val>
            <c:numRef>
              <c:f>Sheet1!$B$2:$B$3</c:f>
              <c:numCache>
                <c:formatCode>General</c:formatCode>
                <c:ptCount val="2"/>
                <c:pt idx="0">
                  <c:v>481.65</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numCache>
            </c:numRef>
          </c:cat>
          <c:val>
            <c:numRef>
              <c:f>Sheet1!$C$2:$C$3</c:f>
              <c:numCache>
                <c:formatCode>General</c:formatCode>
                <c:ptCount val="2"/>
                <c:pt idx="0">
                  <c:v>781.91</c:v>
                </c:pt>
              </c:numCache>
            </c:numRef>
          </c:val>
        </c:ser>
        <c:dLbls>
          <c:showLegendKey val="0"/>
          <c:showVal val="1"/>
          <c:showCatName val="0"/>
          <c:showSerName val="0"/>
          <c:showPercent val="0"/>
          <c:showBubbleSize val="0"/>
        </c:dLbls>
        <c:gapWidth val="260"/>
        <c:overlap val="-32"/>
        <c:axId val="114722304"/>
        <c:axId val="114723840"/>
      </c:barChart>
      <c:catAx>
        <c:axId val="1147223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723840"/>
        <c:crosses val="autoZero"/>
        <c:auto val="1"/>
        <c:lblAlgn val="ctr"/>
        <c:lblOffset val="100"/>
        <c:noMultiLvlLbl val="0"/>
      </c:catAx>
      <c:valAx>
        <c:axId val="114723840"/>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7223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2022年一般公共预算财政拨款支出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1"/>
              <c:layout/>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2"/>
              <c:layout/>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3"/>
              <c:layout/>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 城乡社区支出427.51</c:v>
                </c:pt>
                <c:pt idx="1">
                  <c:v>社会保障和就业支出22.83</c:v>
                </c:pt>
                <c:pt idx="2">
                  <c:v>卫生健康支出14.64</c:v>
                </c:pt>
                <c:pt idx="3">
                  <c:v>住房保障支出16.68</c:v>
                </c:pt>
              </c:strCache>
            </c:strRef>
          </c:cat>
          <c:val>
            <c:numRef>
              <c:f>Sheet1!$B$2:$B$5</c:f>
              <c:numCache>
                <c:formatCode>General</c:formatCode>
                <c:ptCount val="4"/>
                <c:pt idx="0">
                  <c:v>427.51</c:v>
                </c:pt>
                <c:pt idx="1">
                  <c:v>22.83</c:v>
                </c:pt>
                <c:pt idx="2">
                  <c:v>14.64</c:v>
                </c:pt>
                <c:pt idx="3">
                  <c:v>16.68</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5.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6.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1000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487B5-AD8A-4682-9662-EA5A917EFE05}">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820</Words>
  <Characters>4676</Characters>
  <Lines>38</Lines>
  <Paragraphs>10</Paragraphs>
  <TotalTime>3</TotalTime>
  <ScaleCrop>false</ScaleCrop>
  <LinksUpToDate>false</LinksUpToDate>
  <CharactersWithSpaces>5486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李东方</cp:lastModifiedBy>
  <cp:lastPrinted>2023-07-31T02:35:00Z</cp:lastPrinted>
  <dcterms:modified xsi:type="dcterms:W3CDTF">2024-05-11T02:51:31Z</dcterms:modified>
  <dc:title>四川省***</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46250A3C7F81477E9398D00FE0508E05_12</vt:lpwstr>
  </property>
</Properties>
</file>