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193"/>
      <w:bookmarkStart w:id="3" w:name="_Toc15377425"/>
      <w:bookmarkStart w:id="4" w:name="_Toc15396475"/>
      <w:bookmarkStart w:id="5" w:name="_Toc15378441"/>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96476"/>
      <w:bookmarkStart w:id="8" w:name="_Toc15377426"/>
      <w:bookmarkStart w:id="9" w:name="_Toc15396598"/>
      <w:bookmarkStart w:id="10" w:name="_Toc15378442"/>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b w:val="0"/>
          <w:bCs w:val="0"/>
          <w:sz w:val="72"/>
          <w:szCs w:val="72"/>
        </w:rPr>
        <w:t>攀枝花市第十九小</w:t>
      </w:r>
      <w:r>
        <w:rPr>
          <w:rFonts w:hint="eastAsia" w:ascii="方正小标宋简体" w:hAnsi="方正小标宋简体" w:eastAsia="方正小标宋简体" w:cs="方正小标宋简体"/>
          <w:sz w:val="72"/>
          <w:szCs w:val="72"/>
        </w:rPr>
        <w:t>学校单位决算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公开时间：2022年</w:t>
      </w:r>
      <w:r>
        <w:rPr>
          <w:rFonts w:hint="default"/>
          <w:lang w:val="en-US"/>
        </w:rPr>
        <w:t>10</w:t>
      </w:r>
      <w:r>
        <w:rPr>
          <w:rFonts w:hint="eastAsia"/>
        </w:rPr>
        <w:t>月</w:t>
      </w:r>
      <w:r>
        <w:rPr>
          <w:rFonts w:hint="default"/>
          <w:lang w:val="en-US"/>
        </w:rPr>
        <w:t>8</w:t>
      </w:r>
      <w:r>
        <w:rPr>
          <w:rFonts w:hint="eastAsia"/>
        </w:rPr>
        <w:t>日</w:t>
      </w:r>
    </w:p>
    <w:p/>
    <w:p>
      <w:pPr>
        <w:pStyle w:val="10"/>
        <w:adjustRightInd w:val="0"/>
        <w:snapToGrid w:val="0"/>
        <w:spacing w:before="0" w:line="440" w:lineRule="exact"/>
        <w:jc w:val="left"/>
        <w:rPr>
          <w:rFonts w:cstheme="minorBidi"/>
          <w:sz w:val="24"/>
          <w:szCs w:val="24"/>
        </w:rPr>
      </w:pPr>
      <w:bookmarkStart w:id="12" w:name="_Toc15396599"/>
      <w:bookmarkStart w:id="13" w:name="_Toc15377196"/>
      <w:r>
        <w:rPr>
          <w:rFonts w:hint="eastAsia"/>
          <w:sz w:val="24"/>
        </w:rPr>
        <w:t>第一部分</w:t>
      </w:r>
      <w:r>
        <w:rPr>
          <w:sz w:val="24"/>
        </w:rPr>
        <w:t xml:space="preserve"> </w:t>
      </w:r>
      <w:r>
        <w:rPr>
          <w:rFonts w:hint="eastAsia"/>
          <w:sz w:val="24"/>
        </w:rPr>
        <w:t>单位概况</w:t>
      </w:r>
      <w:r>
        <w:rPr>
          <w:rFonts w:hint="eastAsia"/>
          <w:sz w:val="24"/>
        </w:rPr>
        <w:tab/>
      </w:r>
      <w:r>
        <w:rPr>
          <w:rFonts w:hint="eastAsia"/>
          <w:sz w:val="24"/>
        </w:rPr>
        <w:t>4</w:t>
      </w:r>
    </w:p>
    <w:p>
      <w:pPr>
        <w:pStyle w:val="11"/>
        <w:adjustRightInd w:val="0"/>
        <w:snapToGrid w:val="0"/>
        <w:spacing w:line="440" w:lineRule="exact"/>
        <w:jc w:val="left"/>
        <w:rPr>
          <w:sz w:val="24"/>
        </w:rPr>
      </w:pPr>
      <w:r>
        <w:rPr>
          <w:rFonts w:hint="eastAsia"/>
          <w:sz w:val="24"/>
        </w:rPr>
        <w:t>一、职能简介</w:t>
      </w:r>
      <w:r>
        <w:rPr>
          <w:rFonts w:hint="eastAsia"/>
          <w:sz w:val="24"/>
        </w:rPr>
        <w:tab/>
      </w:r>
      <w:r>
        <w:rPr>
          <w:rFonts w:hint="eastAsia"/>
          <w:sz w:val="24"/>
        </w:rPr>
        <w:t>4</w:t>
      </w:r>
    </w:p>
    <w:p>
      <w:pPr>
        <w:pStyle w:val="11"/>
        <w:adjustRightInd w:val="0"/>
        <w:snapToGrid w:val="0"/>
        <w:spacing w:line="440" w:lineRule="exact"/>
        <w:jc w:val="left"/>
        <w:rPr>
          <w:rFonts w:hint="eastAsia"/>
          <w:sz w:val="24"/>
        </w:rPr>
      </w:pPr>
      <w:r>
        <w:rPr>
          <w:rFonts w:hint="eastAsia" w:asciiTheme="minorEastAsia" w:hAnsiTheme="minorEastAsia" w:eastAsiaTheme="minorEastAsia" w:cstheme="minorEastAsia"/>
          <w:sz w:val="24"/>
        </w:rPr>
        <w:t>二、2021年重点工作完成情况</w:t>
      </w:r>
      <w:r>
        <w:rPr>
          <w:rFonts w:hint="eastAsia"/>
          <w:sz w:val="24"/>
        </w:rPr>
        <w:tab/>
      </w:r>
      <w:r>
        <w:rPr>
          <w:rFonts w:hint="eastAsia"/>
          <w:sz w:val="24"/>
        </w:rPr>
        <w:t>4</w:t>
      </w:r>
    </w:p>
    <w:p>
      <w:pPr>
        <w:pStyle w:val="11"/>
        <w:adjustRightInd w:val="0"/>
        <w:snapToGrid w:val="0"/>
        <w:spacing w:line="440" w:lineRule="exact"/>
        <w:jc w:val="left"/>
        <w:rPr>
          <w:rFonts w:hint="eastAsia" w:eastAsia="宋体"/>
          <w:lang w:val="en-US" w:eastAsia="zh-CN"/>
        </w:rPr>
      </w:pPr>
      <w:r>
        <w:rPr>
          <w:rFonts w:hint="eastAsia"/>
          <w:sz w:val="24"/>
          <w:lang w:val="en-US" w:eastAsia="zh-CN"/>
        </w:rPr>
        <w:t>三、机构设置情况</w:t>
      </w:r>
      <w:r>
        <w:rPr>
          <w:rFonts w:hint="eastAsia"/>
          <w:sz w:val="24"/>
        </w:rPr>
        <w:tab/>
      </w:r>
      <w:r>
        <w:rPr>
          <w:rFonts w:hint="eastAsia"/>
          <w:sz w:val="24"/>
          <w:lang w:val="en-US" w:eastAsia="zh-CN"/>
        </w:rPr>
        <w:t>8</w:t>
      </w:r>
    </w:p>
    <w:p>
      <w:pPr>
        <w:pStyle w:val="10"/>
        <w:adjustRightInd w:val="0"/>
        <w:snapToGrid w:val="0"/>
        <w:spacing w:before="0" w:line="440" w:lineRule="exact"/>
        <w:jc w:val="left"/>
        <w:rPr>
          <w:sz w:val="24"/>
          <w:szCs w:val="24"/>
        </w:rPr>
      </w:pPr>
      <w:r>
        <w:rPr>
          <w:rFonts w:hint="eastAsia"/>
          <w:sz w:val="24"/>
        </w:rPr>
        <w:t>第二部分 2021年度单位决算情况说明</w:t>
      </w:r>
      <w:r>
        <w:rPr>
          <w:rFonts w:hint="eastAsia"/>
          <w:sz w:val="24"/>
        </w:rPr>
        <w:tab/>
      </w:r>
      <w:r>
        <w:rPr>
          <w:rFonts w:hint="eastAsia"/>
          <w:sz w:val="24"/>
        </w:rPr>
        <w:t>9</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hint="eastAsia"/>
          <w:sz w:val="24"/>
        </w:rPr>
        <w:tab/>
      </w:r>
      <w:r>
        <w:rPr>
          <w:rFonts w:hint="eastAsia"/>
          <w:sz w:val="24"/>
        </w:rPr>
        <w:t>9</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r>
        <w:rPr>
          <w:rFonts w:hint="eastAsia"/>
          <w:sz w:val="24"/>
        </w:rPr>
        <w:tab/>
      </w:r>
      <w:r>
        <w:rPr>
          <w:rFonts w:hint="eastAsia"/>
          <w:sz w:val="24"/>
        </w:rPr>
        <w:t>9</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r>
        <w:rPr>
          <w:rFonts w:hint="eastAsia"/>
          <w:sz w:val="24"/>
        </w:rPr>
        <w:tab/>
      </w:r>
      <w:r>
        <w:rPr>
          <w:rFonts w:hint="eastAsia"/>
          <w:sz w:val="24"/>
        </w:rPr>
        <w:t>10</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hint="eastAsia"/>
          <w:sz w:val="24"/>
        </w:rPr>
        <w:tab/>
      </w:r>
      <w:r>
        <w:rPr>
          <w:rFonts w:hint="eastAsia"/>
          <w:sz w:val="24"/>
        </w:rPr>
        <w:t>11</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hint="eastAsia"/>
          <w:sz w:val="24"/>
        </w:rPr>
        <w:tab/>
      </w:r>
      <w:r>
        <w:rPr>
          <w:rFonts w:hint="eastAsia"/>
          <w:sz w:val="24"/>
        </w:rPr>
        <w:t>11</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hint="eastAsia"/>
          <w:sz w:val="24"/>
        </w:rPr>
        <w:tab/>
      </w:r>
      <w:r>
        <w:rPr>
          <w:rFonts w:hint="eastAsia"/>
          <w:sz w:val="24"/>
        </w:rPr>
        <w:t>14</w:t>
      </w:r>
    </w:p>
    <w:p>
      <w:pPr>
        <w:pStyle w:val="11"/>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w:t>
      </w:r>
      <w:r>
        <w:rPr>
          <w:rFonts w:hint="eastAsia"/>
          <w:sz w:val="24"/>
        </w:rPr>
        <w:tab/>
      </w:r>
      <w:r>
        <w:rPr>
          <w:rFonts w:hint="eastAsia"/>
          <w:sz w:val="24"/>
        </w:rPr>
        <w:t>14</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hint="eastAsia"/>
          <w:sz w:val="24"/>
        </w:rPr>
        <w:tab/>
      </w:r>
      <w:r>
        <w:rPr>
          <w:rFonts w:hint="eastAsia"/>
          <w:sz w:val="24"/>
        </w:rPr>
        <w:t>16</w:t>
      </w:r>
    </w:p>
    <w:p>
      <w:pPr>
        <w:pStyle w:val="11"/>
        <w:adjustRightInd w:val="0"/>
        <w:snapToGrid w:val="0"/>
        <w:spacing w:line="440" w:lineRule="exact"/>
        <w:jc w:val="left"/>
        <w:rPr>
          <w:sz w:val="24"/>
        </w:rPr>
      </w:pPr>
      <w:r>
        <w:rPr>
          <w:rFonts w:hint="eastAsia"/>
          <w:sz w:val="24"/>
        </w:rPr>
        <w:t>九、国有资本经营预算支出决算情况说明</w:t>
      </w:r>
      <w:r>
        <w:rPr>
          <w:rFonts w:hint="eastAsia"/>
          <w:sz w:val="24"/>
        </w:rPr>
        <w:tab/>
      </w:r>
      <w:r>
        <w:rPr>
          <w:rFonts w:hint="eastAsia"/>
          <w:sz w:val="24"/>
        </w:rPr>
        <w:t>16</w:t>
      </w:r>
    </w:p>
    <w:p>
      <w:pPr>
        <w:pStyle w:val="11"/>
        <w:adjustRightInd w:val="0"/>
        <w:snapToGrid w:val="0"/>
        <w:spacing w:line="440" w:lineRule="exact"/>
        <w:jc w:val="left"/>
        <w:rPr>
          <w:sz w:val="24"/>
        </w:rPr>
      </w:pPr>
      <w:r>
        <w:rPr>
          <w:rFonts w:hint="eastAsia"/>
          <w:sz w:val="24"/>
        </w:rPr>
        <w:t>十、其他重要事项的情况说明</w:t>
      </w:r>
      <w:r>
        <w:rPr>
          <w:rFonts w:hint="eastAsia"/>
          <w:sz w:val="24"/>
        </w:rPr>
        <w:tab/>
      </w:r>
      <w:r>
        <w:rPr>
          <w:rFonts w:hint="eastAsia"/>
          <w:sz w:val="24"/>
        </w:rPr>
        <w:t>16</w:t>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hint="eastAsia"/>
          <w:sz w:val="24"/>
        </w:rPr>
        <w:tab/>
      </w:r>
      <w:r>
        <w:rPr>
          <w:rFonts w:hint="eastAsia"/>
          <w:sz w:val="24"/>
        </w:rPr>
        <w:t>18</w:t>
      </w:r>
    </w:p>
    <w:p>
      <w:pPr>
        <w:pStyle w:val="10"/>
        <w:adjustRightInd w:val="0"/>
        <w:snapToGrid w:val="0"/>
        <w:spacing w:before="0" w:line="440" w:lineRule="exact"/>
        <w:jc w:val="left"/>
        <w:rPr>
          <w:rFonts w:hint="eastAsia"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rPr>
        <w:tab/>
      </w:r>
      <w:r>
        <w:rPr>
          <w:rFonts w:hint="eastAsia"/>
          <w:sz w:val="24"/>
        </w:rPr>
        <w:t>2</w:t>
      </w:r>
      <w:r>
        <w:rPr>
          <w:rFonts w:hint="eastAsia"/>
          <w:sz w:val="24"/>
          <w:lang w:val="en-US" w:eastAsia="zh-CN"/>
        </w:rPr>
        <w:t>1</w:t>
      </w:r>
    </w:p>
    <w:p>
      <w:pPr>
        <w:pStyle w:val="10"/>
        <w:adjustRightInd w:val="0"/>
        <w:snapToGrid w:val="0"/>
        <w:spacing w:before="0" w:line="440" w:lineRule="exact"/>
        <w:jc w:val="left"/>
        <w:rPr>
          <w:rFonts w:hint="eastAsia"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rPr>
        <w:tab/>
      </w:r>
      <w:r>
        <w:rPr>
          <w:rFonts w:hint="eastAsia"/>
          <w:sz w:val="24"/>
        </w:rPr>
        <w:t>2</w:t>
      </w:r>
      <w:r>
        <w:rPr>
          <w:rFonts w:hint="eastAsia"/>
          <w:sz w:val="24"/>
          <w:lang w:val="en-US" w:eastAsia="zh-CN"/>
        </w:rPr>
        <w:t>2</w:t>
      </w:r>
    </w:p>
    <w:p>
      <w:pPr>
        <w:pStyle w:val="11"/>
        <w:adjustRightInd w:val="0"/>
        <w:snapToGrid w:val="0"/>
        <w:spacing w:line="440" w:lineRule="exact"/>
        <w:jc w:val="left"/>
        <w:rPr>
          <w:rFonts w:hint="eastAsia" w:eastAsia="宋体"/>
          <w:sz w:val="24"/>
          <w:lang w:val="en-US" w:eastAsia="zh-CN"/>
        </w:rPr>
      </w:pPr>
      <w:r>
        <w:rPr>
          <w:rFonts w:hint="eastAsia"/>
          <w:sz w:val="24"/>
        </w:rPr>
        <w:t>一、收入支出决算总表</w:t>
      </w:r>
      <w:r>
        <w:rPr>
          <w:rFonts w:hint="eastAsia"/>
          <w:sz w:val="24"/>
        </w:rPr>
        <w:tab/>
      </w:r>
      <w:r>
        <w:rPr>
          <w:rFonts w:hint="eastAsia"/>
          <w:sz w:val="24"/>
        </w:rPr>
        <w:t>2</w:t>
      </w:r>
      <w:r>
        <w:rPr>
          <w:rFonts w:hint="eastAsia"/>
          <w:sz w:val="24"/>
          <w:lang w:val="en-US" w:eastAsia="zh-CN"/>
        </w:rPr>
        <w:t>2</w:t>
      </w:r>
    </w:p>
    <w:p>
      <w:pPr>
        <w:pStyle w:val="11"/>
        <w:adjustRightInd w:val="0"/>
        <w:snapToGrid w:val="0"/>
        <w:spacing w:line="440" w:lineRule="exact"/>
        <w:jc w:val="left"/>
        <w:rPr>
          <w:rFonts w:hint="eastAsia" w:eastAsia="宋体"/>
          <w:sz w:val="24"/>
          <w:lang w:val="en-US" w:eastAsia="zh-CN"/>
        </w:rPr>
      </w:pPr>
      <w:r>
        <w:rPr>
          <w:rFonts w:hint="eastAsia"/>
          <w:sz w:val="24"/>
        </w:rPr>
        <w:t>二、收入决算表</w:t>
      </w:r>
      <w:r>
        <w:rPr>
          <w:rFonts w:hint="eastAsia"/>
          <w:sz w:val="24"/>
        </w:rPr>
        <w:tab/>
      </w:r>
      <w:r>
        <w:rPr>
          <w:rFonts w:hint="eastAsia"/>
          <w:sz w:val="24"/>
        </w:rPr>
        <w:t>2</w:t>
      </w:r>
      <w:r>
        <w:rPr>
          <w:rFonts w:hint="eastAsia"/>
          <w:sz w:val="24"/>
          <w:lang w:val="en-US" w:eastAsia="zh-CN"/>
        </w:rPr>
        <w:t>2</w:t>
      </w:r>
    </w:p>
    <w:p>
      <w:pPr>
        <w:pStyle w:val="11"/>
        <w:adjustRightInd w:val="0"/>
        <w:snapToGrid w:val="0"/>
        <w:spacing w:line="440" w:lineRule="exact"/>
        <w:jc w:val="left"/>
        <w:rPr>
          <w:rFonts w:hint="eastAsia" w:eastAsia="宋体"/>
          <w:sz w:val="24"/>
          <w:lang w:val="en-US" w:eastAsia="zh-CN"/>
        </w:rPr>
      </w:pPr>
      <w:r>
        <w:rPr>
          <w:rFonts w:hint="eastAsia"/>
          <w:sz w:val="24"/>
        </w:rPr>
        <w:t>三、支出决算表</w:t>
      </w:r>
      <w:r>
        <w:rPr>
          <w:rFonts w:hint="eastAsia"/>
          <w:sz w:val="24"/>
        </w:rPr>
        <w:tab/>
      </w:r>
      <w:r>
        <w:rPr>
          <w:rFonts w:hint="eastAsia"/>
          <w:sz w:val="24"/>
        </w:rPr>
        <w:t>2</w:t>
      </w:r>
      <w:r>
        <w:rPr>
          <w:rFonts w:hint="eastAsia"/>
          <w:sz w:val="24"/>
          <w:lang w:val="en-US" w:eastAsia="zh-CN"/>
        </w:rPr>
        <w:t>2</w:t>
      </w:r>
    </w:p>
    <w:p>
      <w:pPr>
        <w:pStyle w:val="11"/>
        <w:adjustRightInd w:val="0"/>
        <w:snapToGrid w:val="0"/>
        <w:spacing w:line="440" w:lineRule="exact"/>
        <w:jc w:val="left"/>
        <w:rPr>
          <w:rFonts w:hint="eastAsia" w:eastAsia="宋体"/>
          <w:sz w:val="24"/>
          <w:lang w:val="en-US" w:eastAsia="zh-CN"/>
        </w:rPr>
      </w:pPr>
      <w:r>
        <w:rPr>
          <w:rFonts w:hint="eastAsia"/>
          <w:sz w:val="24"/>
        </w:rPr>
        <w:t>四、财政拨款收入支出决算总表</w:t>
      </w:r>
      <w:r>
        <w:rPr>
          <w:rFonts w:hint="eastAsia"/>
          <w:sz w:val="24"/>
        </w:rPr>
        <w:tab/>
      </w:r>
      <w:r>
        <w:rPr>
          <w:rFonts w:hint="eastAsia"/>
          <w:sz w:val="24"/>
        </w:rPr>
        <w:t>2</w:t>
      </w:r>
      <w:r>
        <w:rPr>
          <w:rFonts w:hint="eastAsia"/>
          <w:sz w:val="24"/>
          <w:lang w:val="en-US" w:eastAsia="zh-CN"/>
        </w:rPr>
        <w:t>2</w:t>
      </w:r>
    </w:p>
    <w:p>
      <w:pPr>
        <w:pStyle w:val="11"/>
        <w:adjustRightInd w:val="0"/>
        <w:snapToGrid w:val="0"/>
        <w:spacing w:line="440" w:lineRule="exact"/>
        <w:jc w:val="left"/>
        <w:rPr>
          <w:rFonts w:hint="eastAsia" w:eastAsia="宋体"/>
          <w:sz w:val="24"/>
          <w:lang w:val="en-US" w:eastAsia="zh-CN"/>
        </w:rPr>
      </w:pPr>
      <w:r>
        <w:rPr>
          <w:rFonts w:hint="eastAsia"/>
          <w:sz w:val="24"/>
        </w:rPr>
        <w:t>五、财政拨款支出决算明细表</w:t>
      </w:r>
      <w:r>
        <w:rPr>
          <w:rFonts w:hint="eastAsia"/>
          <w:sz w:val="24"/>
        </w:rPr>
        <w:tab/>
      </w:r>
      <w:r>
        <w:rPr>
          <w:rFonts w:hint="eastAsia"/>
          <w:sz w:val="24"/>
        </w:rPr>
        <w:t>2</w:t>
      </w:r>
      <w:r>
        <w:rPr>
          <w:rFonts w:hint="eastAsia"/>
          <w:sz w:val="24"/>
          <w:lang w:val="en-US" w:eastAsia="zh-CN"/>
        </w:rPr>
        <w:t>2</w:t>
      </w:r>
    </w:p>
    <w:p>
      <w:pPr>
        <w:pStyle w:val="11"/>
        <w:adjustRightInd w:val="0"/>
        <w:snapToGrid w:val="0"/>
        <w:spacing w:line="440" w:lineRule="exact"/>
        <w:jc w:val="left"/>
        <w:rPr>
          <w:rFonts w:hint="eastAsia" w:eastAsia="宋体"/>
          <w:sz w:val="24"/>
          <w:lang w:val="en-US" w:eastAsia="zh-CN"/>
        </w:rPr>
      </w:pPr>
      <w:r>
        <w:rPr>
          <w:rFonts w:hint="eastAsia"/>
          <w:sz w:val="24"/>
        </w:rPr>
        <w:t>六、一般公共预算财政拨款支出决算表</w:t>
      </w:r>
      <w:r>
        <w:rPr>
          <w:rFonts w:hint="eastAsia"/>
          <w:sz w:val="24"/>
        </w:rPr>
        <w:tab/>
      </w:r>
      <w:r>
        <w:rPr>
          <w:rFonts w:hint="eastAsia"/>
          <w:sz w:val="24"/>
        </w:rPr>
        <w:t>2</w:t>
      </w:r>
      <w:r>
        <w:rPr>
          <w:rFonts w:hint="eastAsia"/>
          <w:sz w:val="24"/>
          <w:lang w:val="en-US" w:eastAsia="zh-CN"/>
        </w:rPr>
        <w:t>2</w:t>
      </w:r>
    </w:p>
    <w:p>
      <w:pPr>
        <w:pStyle w:val="11"/>
        <w:adjustRightInd w:val="0"/>
        <w:snapToGrid w:val="0"/>
        <w:spacing w:line="440" w:lineRule="exact"/>
        <w:jc w:val="left"/>
        <w:rPr>
          <w:rFonts w:hint="eastAsia" w:eastAsia="宋体"/>
          <w:sz w:val="24"/>
          <w:lang w:val="en-US" w:eastAsia="zh-CN"/>
        </w:rPr>
      </w:pPr>
      <w:r>
        <w:rPr>
          <w:rFonts w:hint="eastAsia"/>
          <w:sz w:val="24"/>
        </w:rPr>
        <w:t>七、一般公共预算财政拨款支出决算明细表</w:t>
      </w:r>
      <w:r>
        <w:rPr>
          <w:rFonts w:hint="eastAsia"/>
          <w:sz w:val="24"/>
        </w:rPr>
        <w:tab/>
      </w:r>
      <w:r>
        <w:rPr>
          <w:rFonts w:hint="eastAsia"/>
          <w:sz w:val="24"/>
        </w:rPr>
        <w:t>2</w:t>
      </w:r>
      <w:r>
        <w:rPr>
          <w:rFonts w:hint="eastAsia"/>
          <w:sz w:val="24"/>
          <w:lang w:val="en-US" w:eastAsia="zh-CN"/>
        </w:rPr>
        <w:t>2</w:t>
      </w:r>
    </w:p>
    <w:p>
      <w:pPr>
        <w:pStyle w:val="11"/>
        <w:adjustRightInd w:val="0"/>
        <w:snapToGrid w:val="0"/>
        <w:spacing w:line="440" w:lineRule="exact"/>
        <w:jc w:val="left"/>
        <w:rPr>
          <w:rFonts w:hint="eastAsia" w:eastAsia="宋体"/>
          <w:sz w:val="24"/>
          <w:lang w:val="en-US" w:eastAsia="zh-CN"/>
        </w:rPr>
      </w:pPr>
      <w:r>
        <w:rPr>
          <w:rFonts w:hint="eastAsia"/>
          <w:sz w:val="24"/>
        </w:rPr>
        <w:t>八、一般公共预算财政拨款基本支出决算表</w:t>
      </w:r>
      <w:r>
        <w:rPr>
          <w:rFonts w:hint="eastAsia"/>
          <w:sz w:val="24"/>
        </w:rPr>
        <w:tab/>
      </w:r>
      <w:r>
        <w:rPr>
          <w:rFonts w:hint="eastAsia"/>
          <w:sz w:val="24"/>
        </w:rPr>
        <w:t>2</w:t>
      </w:r>
      <w:r>
        <w:rPr>
          <w:rFonts w:hint="eastAsia"/>
          <w:sz w:val="24"/>
          <w:lang w:val="en-US" w:eastAsia="zh-CN"/>
        </w:rPr>
        <w:t>2</w:t>
      </w:r>
    </w:p>
    <w:p>
      <w:pPr>
        <w:pStyle w:val="11"/>
        <w:adjustRightInd w:val="0"/>
        <w:snapToGrid w:val="0"/>
        <w:spacing w:line="440" w:lineRule="exact"/>
        <w:jc w:val="left"/>
        <w:rPr>
          <w:rFonts w:hint="eastAsia" w:eastAsia="宋体"/>
          <w:sz w:val="24"/>
          <w:lang w:val="en-US" w:eastAsia="zh-CN"/>
        </w:rPr>
      </w:pPr>
      <w:r>
        <w:rPr>
          <w:rFonts w:hint="eastAsia"/>
          <w:sz w:val="24"/>
        </w:rPr>
        <w:t>九、一般公共预算财政拨款项目支出决算表</w:t>
      </w:r>
      <w:r>
        <w:rPr>
          <w:rFonts w:hint="eastAsia"/>
          <w:sz w:val="24"/>
        </w:rPr>
        <w:tab/>
      </w:r>
      <w:r>
        <w:rPr>
          <w:rFonts w:hint="eastAsia"/>
          <w:sz w:val="24"/>
        </w:rPr>
        <w:t>2</w:t>
      </w:r>
      <w:r>
        <w:rPr>
          <w:rFonts w:hint="eastAsia"/>
          <w:sz w:val="24"/>
          <w:lang w:val="en-US" w:eastAsia="zh-CN"/>
        </w:rPr>
        <w:t>2</w:t>
      </w:r>
    </w:p>
    <w:p>
      <w:pPr>
        <w:pStyle w:val="11"/>
        <w:adjustRightInd w:val="0"/>
        <w:snapToGrid w:val="0"/>
        <w:spacing w:line="440" w:lineRule="exact"/>
        <w:jc w:val="left"/>
        <w:rPr>
          <w:rFonts w:hint="eastAsia" w:eastAsia="宋体"/>
          <w:sz w:val="24"/>
          <w:lang w:val="en-US" w:eastAsia="zh-CN"/>
        </w:rPr>
      </w:pPr>
      <w:r>
        <w:rPr>
          <w:rFonts w:hint="eastAsia"/>
          <w:sz w:val="24"/>
        </w:rPr>
        <w:t>十、一般公共预算财政拨款“三公”经费支出决算表</w:t>
      </w:r>
      <w:r>
        <w:rPr>
          <w:rFonts w:hint="eastAsia"/>
          <w:sz w:val="24"/>
        </w:rPr>
        <w:tab/>
      </w:r>
      <w:r>
        <w:rPr>
          <w:rFonts w:hint="eastAsia"/>
          <w:sz w:val="24"/>
        </w:rPr>
        <w:t>2</w:t>
      </w:r>
      <w:r>
        <w:rPr>
          <w:rFonts w:hint="eastAsia"/>
          <w:sz w:val="24"/>
          <w:lang w:val="en-US" w:eastAsia="zh-CN"/>
        </w:rPr>
        <w:t>2</w:t>
      </w:r>
    </w:p>
    <w:p>
      <w:pPr>
        <w:pStyle w:val="11"/>
        <w:adjustRightInd w:val="0"/>
        <w:snapToGrid w:val="0"/>
        <w:spacing w:line="440" w:lineRule="exact"/>
        <w:jc w:val="left"/>
        <w:rPr>
          <w:rFonts w:hint="eastAsia" w:eastAsia="宋体"/>
          <w:sz w:val="24"/>
          <w:lang w:val="en-US" w:eastAsia="zh-CN"/>
        </w:rPr>
      </w:pPr>
      <w:r>
        <w:rPr>
          <w:rFonts w:hint="eastAsia"/>
          <w:sz w:val="24"/>
        </w:rPr>
        <w:t>十一、政府性基金预算财政拨款收入支出决算表</w:t>
      </w:r>
      <w:r>
        <w:rPr>
          <w:rFonts w:hint="eastAsia"/>
          <w:sz w:val="24"/>
        </w:rPr>
        <w:tab/>
      </w:r>
      <w:r>
        <w:rPr>
          <w:rFonts w:hint="eastAsia"/>
          <w:sz w:val="24"/>
        </w:rPr>
        <w:t>2</w:t>
      </w:r>
      <w:r>
        <w:rPr>
          <w:rFonts w:hint="eastAsia"/>
          <w:sz w:val="24"/>
          <w:lang w:val="en-US" w:eastAsia="zh-CN"/>
        </w:rPr>
        <w:t>2</w:t>
      </w:r>
    </w:p>
    <w:p>
      <w:pPr>
        <w:pStyle w:val="11"/>
        <w:adjustRightInd w:val="0"/>
        <w:snapToGrid w:val="0"/>
        <w:spacing w:line="440" w:lineRule="exact"/>
        <w:jc w:val="left"/>
        <w:rPr>
          <w:rFonts w:hint="eastAsia" w:eastAsia="宋体"/>
          <w:sz w:val="24"/>
          <w:lang w:val="en-US" w:eastAsia="zh-CN"/>
        </w:rPr>
      </w:pPr>
      <w:r>
        <w:rPr>
          <w:rFonts w:hint="eastAsia"/>
          <w:sz w:val="24"/>
        </w:rPr>
        <w:t>十二、政府性基金预算财政拨款“三公”经费支出决算表</w:t>
      </w:r>
      <w:r>
        <w:rPr>
          <w:rFonts w:hint="eastAsia"/>
          <w:sz w:val="24"/>
        </w:rPr>
        <w:tab/>
      </w:r>
      <w:r>
        <w:rPr>
          <w:rFonts w:hint="eastAsia"/>
          <w:sz w:val="24"/>
        </w:rPr>
        <w:t>2</w:t>
      </w:r>
      <w:r>
        <w:rPr>
          <w:rFonts w:hint="eastAsia"/>
          <w:sz w:val="24"/>
          <w:lang w:val="en-US" w:eastAsia="zh-CN"/>
        </w:rPr>
        <w:t>2</w:t>
      </w:r>
    </w:p>
    <w:p>
      <w:pPr>
        <w:pStyle w:val="11"/>
        <w:adjustRightInd w:val="0"/>
        <w:snapToGrid w:val="0"/>
        <w:spacing w:line="440" w:lineRule="exact"/>
        <w:jc w:val="left"/>
        <w:rPr>
          <w:rFonts w:hint="eastAsia" w:eastAsia="宋体"/>
          <w:sz w:val="24"/>
          <w:lang w:val="en-US" w:eastAsia="zh-CN"/>
        </w:rPr>
      </w:pPr>
      <w:r>
        <w:rPr>
          <w:rFonts w:hint="eastAsia"/>
          <w:sz w:val="24"/>
        </w:rPr>
        <w:t>十三、国有资本经营预算财政拨款收入支出决算表</w:t>
      </w:r>
      <w:r>
        <w:rPr>
          <w:rFonts w:hint="eastAsia"/>
          <w:sz w:val="24"/>
        </w:rPr>
        <w:tab/>
      </w:r>
      <w:r>
        <w:rPr>
          <w:rFonts w:hint="eastAsia"/>
          <w:sz w:val="24"/>
        </w:rPr>
        <w:t>2</w:t>
      </w:r>
      <w:r>
        <w:rPr>
          <w:rFonts w:hint="eastAsia"/>
          <w:sz w:val="24"/>
          <w:lang w:val="en-US" w:eastAsia="zh-CN"/>
        </w:rPr>
        <w:t>2</w:t>
      </w:r>
    </w:p>
    <w:p>
      <w:pPr>
        <w:pStyle w:val="11"/>
        <w:adjustRightInd w:val="0"/>
        <w:snapToGrid w:val="0"/>
        <w:spacing w:line="440" w:lineRule="exact"/>
        <w:jc w:val="left"/>
        <w:rPr>
          <w:rFonts w:hint="eastAsia" w:eastAsia="宋体"/>
          <w:sz w:val="24"/>
          <w:lang w:val="en-US" w:eastAsia="zh-CN"/>
        </w:rPr>
      </w:pPr>
      <w:r>
        <w:rPr>
          <w:rFonts w:hint="eastAsia"/>
          <w:sz w:val="24"/>
        </w:rPr>
        <w:t>十四、国有资本经营预算财政拨款支出决算表</w:t>
      </w:r>
      <w:r>
        <w:rPr>
          <w:rFonts w:hint="eastAsia"/>
          <w:sz w:val="24"/>
        </w:rPr>
        <w:tab/>
      </w:r>
      <w:r>
        <w:rPr>
          <w:rFonts w:hint="eastAsia"/>
          <w:sz w:val="24"/>
        </w:rPr>
        <w:t>2</w:t>
      </w:r>
      <w:r>
        <w:rPr>
          <w:rFonts w:hint="eastAsia"/>
          <w:sz w:val="24"/>
          <w:lang w:val="en-US" w:eastAsia="zh-CN"/>
        </w:rPr>
        <w:t>2</w:t>
      </w:r>
    </w:p>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3"/>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5"/>
          <w:rFonts w:ascii="黑体" w:hAnsi="黑体" w:eastAsia="黑体"/>
          <w:b w:val="0"/>
          <w:bCs w:val="0"/>
        </w:rPr>
      </w:pPr>
      <w:bookmarkStart w:id="14" w:name="_Toc15396600"/>
      <w:bookmarkStart w:id="15" w:name="_Toc15377197"/>
      <w:r>
        <w:rPr>
          <w:rStyle w:val="25"/>
          <w:rFonts w:hint="eastAsia" w:ascii="黑体" w:hAnsi="黑体" w:eastAsia="黑体"/>
          <w:b w:val="0"/>
          <w:bCs w:val="0"/>
        </w:rPr>
        <w:t>职能简介</w:t>
      </w:r>
    </w:p>
    <w:p>
      <w:pPr>
        <w:snapToGrid w:val="0"/>
        <w:spacing w:line="520" w:lineRule="exact"/>
        <w:rPr>
          <w:rFonts w:ascii="仿宋" w:hAnsi="仿宋" w:eastAsia="仿宋"/>
          <w:sz w:val="32"/>
          <w:szCs w:val="32"/>
        </w:rPr>
      </w:pPr>
      <w:r>
        <w:rPr>
          <w:rFonts w:hint="eastAsia" w:ascii="仿宋" w:hAnsi="仿宋" w:eastAsia="仿宋"/>
          <w:sz w:val="32"/>
          <w:szCs w:val="32"/>
        </w:rPr>
        <w:t xml:space="preserve">    研究拟定全校教育发展战略法，贯彻执行党和国家的教育方针、政策、法规，贯彻区教体局的行政规章制度；研究拟定学校发展规划和年度计划，组织实施教育体制和办学体制改革，组织开展本校的教育教学科研和教育教学改革，科研兴教，科研兴校。负责对本校教育教学业务的具体管理，负责教育教学管理及教研教改工作，全力推进素质教育实施；管理学校基础教育工作，确保普及九年义务教育工作成果；管理学校教育经费，执行财务管理制度；负责和指导学校教职工的思想政治工作，规划学校品德教育、体育卫生教育、艺术教育和国防安全教育工作。</w:t>
      </w:r>
    </w:p>
    <w:p/>
    <w:p>
      <w:pPr>
        <w:pStyle w:val="4"/>
        <w:rPr>
          <w:rFonts w:ascii="黑体" w:hAnsi="黑体" w:eastAsia="黑体"/>
          <w:b w:val="0"/>
        </w:rPr>
      </w:pPr>
      <w:r>
        <w:rPr>
          <w:rFonts w:hint="eastAsia" w:ascii="黑体" w:hAnsi="黑体" w:eastAsia="黑体"/>
          <w:b w:val="0"/>
        </w:rPr>
        <w:t>二、2021年重点工作</w:t>
      </w:r>
      <w:bookmarkEnd w:id="14"/>
      <w:bookmarkEnd w:id="15"/>
      <w:r>
        <w:rPr>
          <w:rFonts w:hint="eastAsia" w:ascii="黑体" w:hAnsi="黑体" w:eastAsia="黑体"/>
          <w:b w:val="0"/>
        </w:rPr>
        <w:t>完成情况</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（一）党务工作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1、把党的政治建设摆在首位。抓好党章学习贯彻落地落实，加强本校区领导班子政治建设，加强党内政治文化建设。</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2、深入学习贯彻落实习近平新时代中国特色社会主义思想和党的十九大精神</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一是开展大规模学习培训工作。二是开展“不忘初心、牢记使命”主题教育。三是推进“两学一做”学习教育常态化制度化。</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3、扎实抓好校区党建工作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落实党建主体责任，执行局党委基层党建质量提升计划，落实党员发展教育管理基本制度，强化基层基础保障。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4、全力打好创建全国文明城市硬仗。实施信仰信念学习，全面准确把握思想精髓和核心要义，真正做到学懂弄通做实；深入开展“学党章党规、学系列讲话，做合格党员”学习教育；大力开展“中国梦”主题系列教育活动。扎实开展文明素质宣传教育活动；扎实开展“榜样力量”示范引领行动；扎实开展学雷锋志愿服务活动；扎实开展诚信制度化建设行动。</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5、把师德师风建设摆在教师队伍建设的首要位置</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开展各种形式的师德教育。加强教师党员队伍建设，落实</w:t>
      </w:r>
      <w:r>
        <w:rPr>
          <w:rFonts w:hint="eastAsia" w:ascii="仿宋" w:hAnsi="仿宋" w:eastAsia="仿宋"/>
          <w:sz w:val="32"/>
          <w:szCs w:val="32"/>
          <w:lang w:val="en-US" w:eastAsia="zh-CN"/>
        </w:rPr>
        <w:t>全面</w:t>
      </w:r>
      <w:r>
        <w:rPr>
          <w:rFonts w:hint="eastAsia" w:ascii="仿宋" w:hAnsi="仿宋" w:eastAsia="仿宋"/>
          <w:sz w:val="32"/>
          <w:szCs w:val="32"/>
        </w:rPr>
        <w:t>从严治党要求，加强政治建设，用习近平新时代中国特色社会主义思想武装头脑，增强四个意识。提高思想政治素质，坚定“四个自信”。引导教师带头践行社会主义</w:t>
      </w:r>
      <w:bookmarkStart w:id="67" w:name="_GoBack"/>
      <w:bookmarkEnd w:id="67"/>
      <w:r>
        <w:rPr>
          <w:rFonts w:hint="eastAsia" w:ascii="仿宋" w:hAnsi="仿宋" w:eastAsia="仿宋"/>
          <w:sz w:val="32"/>
          <w:szCs w:val="32"/>
        </w:rPr>
        <w:t>核心价值观，加强中华优秀传统文化和革命文化、社会主义先进文化教育。</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6、加强对外宣传营造良好氛围。做好宣传报道工作，全面推行校务公开党务公开，抓实意识形态工作。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7、加强对学校共青团、工会、妇联等群团组织的领导，调动相关干部的工作积极性和主动性，结合学校实际，创造性的开展好工作，促进学校改革发展。</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（二）学校管理</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1、修订、完善各项管理规章制度。</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2、完善“学校党政统筹、部门和年级负责”的管理模式。</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3、严格执行教学常规检查制度。</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4、完善民主化、公开化的管理体制</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5、完善奖励性绩效工资的分配方案。</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6、全面提升基层党建工作质量。</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7、全力打好创建全国文明城市硬仗。</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 xml:space="preserve">（三）师德师风    </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1、教育与处罚相结合。严格执行学校已制定的《师德师风考核办法》和上级部门对违反师德师风相关的处理文件，在评优、晋级、绩效工资考核、岗位设置等工作中师德师风将实行“一票否决”。</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2、积极开展师德师风专项教育活动。</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（四）德育工作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1、班级及班主任的管理。</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2、学生行为习惯、思想品德教育。</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3、活动育人。</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（1）进一步以爱国主义教育为重点。充分利用重大节日、重要事件和重要人物纪念日，结合本土的民族文化、历史名人、革命传统等开展教育活动。</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（2）进一步规范学校心理咨询工作，开展经常性心理辅导活动。</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（3）加强学生“四自”教育，即“自我管理、自我教育、自我约束、自我服务”，开展“诚信”之人教育活动。</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4、德育科研。开好本学期的德育研讨会，加强班级管理经验交流，强化“立德树人”宗旨。把“管、卡、压、罚”向“疏、导、育、教”转变。</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5、共建共育。经常与共建共育单位合作，形成长效机制和教育合力。</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6、家长学校。认真开好多种形式的家长会。加强学校、社会、家庭之间的联系，进一步规划、建设好三结合教育网络。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（五）教学教研</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1、教学管理</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（1）坚持每周一次教学工作会例会，教学管理人员深入教学第一线，每学期听课不少于40节；</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（2）加强教学管理。“向40分钟要质量”，抓好教学五认真，做到超周备课；坚持巡课制度与推门听课制度。</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（3）切实落实培优辅差。</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（4）规范每月检测工作。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（5）加强对毕业年级的质量监控。坚持学校领导“双包”（包年级、包毕业班级）制度；开好三个会（毕业年级领导小组工作会、毕业班家长会和毕业学生会）；突出抓好“三类”学生的辅导工作。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2、教师队伍建设。</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（1）结合新课程教学模式的实施，组织教师外出培训。</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（2）开展教师“微课”赛课活动。</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（3）年轻教师进行师徒结对,进行青年教师赛课和献课活动，提高教法与学法的技能，力争早日成长为优秀的教师。</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3、教研科研工作。加强校本课题研究，推进国家、省、市、区级课题的研究工作。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4、课改工作。继续深入“练动主线”模式的“四练法”模式探究，积极推进“智慧课堂”建设。</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（六）后勤服务</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1、巩固“城乡环境综合治理”成果，扎实做好“全国文明城市创建工作”。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2、做好“厕所革命”等校园环境卫生“净化、绿化、美化”工作，预防各种传染病发生。</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3、切实加强学校安全保卫工作。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4、改善办学条件。</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（七）“安全隐患整治”（“校园文化建设”）</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（八）其它工作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1、做好校务、财务管理。</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2、发挥好“体育特长”作用，积极适应中考“体考”改革。</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3、认真做好档案管理工作。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4、发挥好学校微信功能、加强宣传和对外交流工作。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5、积极开展“推普”工作。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6、做好信访维稳等工作。</w:t>
      </w:r>
    </w:p>
    <w:p>
      <w:pPr>
        <w:rPr>
          <w:rFonts w:ascii="仿宋" w:hAnsi="仿宋" w:eastAsia="仿宋"/>
          <w:sz w:val="32"/>
          <w:szCs w:val="32"/>
        </w:rPr>
      </w:pPr>
    </w:p>
    <w:p>
      <w:pPr>
        <w:pStyle w:val="23"/>
        <w:numPr>
          <w:ilvl w:val="0"/>
          <w:numId w:val="0"/>
        </w:numPr>
        <w:spacing w:line="600" w:lineRule="exact"/>
        <w:ind w:leftChars="0"/>
        <w:outlineLvl w:val="1"/>
        <w:rPr>
          <w:rFonts w:hint="eastAsia" w:ascii="黑体" w:hAnsi="黑体" w:eastAsia="黑体"/>
          <w:sz w:val="32"/>
          <w:szCs w:val="32"/>
          <w:lang w:eastAsia="zh-CN"/>
        </w:rPr>
      </w:pPr>
      <w:r>
        <w:rPr>
          <w:rFonts w:hint="eastAsia" w:ascii="黑体" w:hAnsi="黑体" w:eastAsia="黑体"/>
          <w:sz w:val="32"/>
          <w:szCs w:val="32"/>
          <w:lang w:eastAsia="zh-CN"/>
        </w:rPr>
        <w:t>三、机构设置情况</w:t>
      </w:r>
    </w:p>
    <w:p>
      <w:pPr>
        <w:pStyle w:val="23"/>
        <w:numPr>
          <w:ilvl w:val="0"/>
          <w:numId w:val="0"/>
        </w:numPr>
        <w:spacing w:line="600" w:lineRule="exact"/>
        <w:ind w:leftChars="0"/>
        <w:outlineLvl w:val="1"/>
        <w:rPr>
          <w:rFonts w:hint="eastAsia" w:ascii="黑体" w:hAnsi="黑体" w:eastAsia="黑体"/>
          <w:sz w:val="32"/>
          <w:szCs w:val="32"/>
          <w:lang w:eastAsia="zh-CN"/>
        </w:rPr>
      </w:pPr>
    </w:p>
    <w:p>
      <w:pPr>
        <w:snapToGrid w:val="0"/>
        <w:spacing w:line="576" w:lineRule="exact"/>
        <w:ind w:firstLine="640" w:firstLineChars="200"/>
        <w:rPr>
          <w:rFonts w:hint="eastAsia" w:ascii="仿宋" w:hAnsi="仿宋" w:eastAsia="仿宋"/>
          <w:sz w:val="32"/>
          <w:szCs w:val="32"/>
        </w:rPr>
      </w:pPr>
      <w:r>
        <w:rPr>
          <w:rFonts w:hint="eastAsia" w:ascii="仿宋" w:hAnsi="仿宋" w:eastAsia="仿宋" w:cs="Times New Roman"/>
          <w:kern w:val="2"/>
          <w:sz w:val="32"/>
          <w:szCs w:val="32"/>
          <w:lang w:val="en-US" w:eastAsia="zh-CN" w:bidi="ar-SA"/>
        </w:rPr>
        <w:t>攀枝花市第十九小学校</w:t>
      </w:r>
      <w:r>
        <w:rPr>
          <w:rFonts w:hint="eastAsia" w:ascii="仿宋" w:hAnsi="仿宋" w:eastAsia="仿宋"/>
          <w:sz w:val="32"/>
          <w:szCs w:val="32"/>
        </w:rPr>
        <w:t>下属二级单位0个，其中行政单位0个，参照公务员法管理的事业单位0个，其他事业单位0个。</w:t>
      </w:r>
    </w:p>
    <w:p>
      <w:pPr>
        <w:pStyle w:val="23"/>
        <w:numPr>
          <w:ilvl w:val="0"/>
          <w:numId w:val="0"/>
        </w:numPr>
        <w:spacing w:line="600" w:lineRule="exact"/>
        <w:ind w:leftChars="0"/>
        <w:outlineLvl w:val="1"/>
        <w:rPr>
          <w:rFonts w:hint="eastAsia" w:ascii="黑体" w:hAnsi="黑体" w:eastAsia="黑体"/>
          <w:sz w:val="32"/>
          <w:szCs w:val="32"/>
          <w:lang w:eastAsia="zh-CN"/>
        </w:rPr>
      </w:pPr>
    </w:p>
    <w:p>
      <w:pPr>
        <w:widowControl/>
        <w:jc w:val="left"/>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3"/>
        <w:ind w:right="440"/>
        <w:jc w:val="center"/>
        <w:rPr>
          <w:rStyle w:val="24"/>
          <w:rFonts w:ascii="黑体" w:hAnsi="黑体" w:eastAsia="黑体"/>
          <w:b w:val="0"/>
          <w:bCs/>
        </w:rPr>
      </w:pPr>
      <w:bookmarkStart w:id="16" w:name="_Toc15396602"/>
      <w:bookmarkStart w:id="17" w:name="_Toc15377204"/>
      <w:r>
        <w:rPr>
          <w:rFonts w:hint="eastAsia" w:ascii="黑体" w:hAnsi="黑体" w:eastAsia="黑体"/>
          <w:b w:val="0"/>
        </w:rPr>
        <w:t>第二部分 2021年度</w:t>
      </w:r>
      <w:r>
        <w:rPr>
          <w:rStyle w:val="24"/>
          <w:rFonts w:hint="eastAsia" w:ascii="黑体" w:hAnsi="黑体" w:eastAsia="黑体"/>
          <w:b w:val="0"/>
          <w:bCs/>
        </w:rPr>
        <w:t>单位决算情况说明</w:t>
      </w:r>
      <w:bookmarkEnd w:id="16"/>
      <w:bookmarkEnd w:id="17"/>
    </w:p>
    <w:p/>
    <w:p>
      <w:pPr>
        <w:pStyle w:val="23"/>
        <w:numPr>
          <w:ilvl w:val="0"/>
          <w:numId w:val="2"/>
        </w:numPr>
        <w:spacing w:line="600" w:lineRule="exact"/>
        <w:ind w:firstLineChars="0"/>
        <w:outlineLvl w:val="1"/>
        <w:rPr>
          <w:rStyle w:val="25"/>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w:t>
      </w:r>
      <w:r>
        <w:rPr>
          <w:rFonts w:ascii="仿宋" w:hAnsi="仿宋" w:eastAsia="仿宋"/>
          <w:sz w:val="32"/>
          <w:szCs w:val="32"/>
        </w:rPr>
        <w:t>832.13</w:t>
      </w:r>
      <w:r>
        <w:rPr>
          <w:rFonts w:hint="eastAsia" w:ascii="仿宋" w:hAnsi="仿宋" w:eastAsia="仿宋"/>
          <w:sz w:val="32"/>
          <w:szCs w:val="32"/>
        </w:rPr>
        <w:t>万元。与2020年相比，收、支总计各增加88.86万元，增长11.96</w:t>
      </w:r>
      <w:r>
        <w:rPr>
          <w:rFonts w:ascii="仿宋" w:hAnsi="仿宋" w:eastAsia="仿宋"/>
          <w:sz w:val="32"/>
          <w:szCs w:val="32"/>
        </w:rPr>
        <w:t>%</w:t>
      </w:r>
      <w:r>
        <w:rPr>
          <w:rFonts w:hint="eastAsia" w:ascii="仿宋" w:hAnsi="仿宋" w:eastAsia="仿宋"/>
          <w:sz w:val="32"/>
          <w:szCs w:val="32"/>
        </w:rPr>
        <w:t>。主要变动原因是教职工工资社保费用增加，所以收入支出增加。</w:t>
      </w:r>
    </w:p>
    <w:p>
      <w:pPr>
        <w:pStyle w:val="2"/>
        <w:spacing w:before="93"/>
        <w:jc w:val="center"/>
      </w:pPr>
      <w:r>
        <w:drawing>
          <wp:inline distT="0" distB="0" distL="0" distR="0">
            <wp:extent cx="3883025" cy="2477135"/>
            <wp:effectExtent l="19050" t="0" r="22151"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rPr>
          <w:rFonts w:ascii="仿宋" w:hAnsi="仿宋" w:eastAsia="仿宋"/>
          <w:sz w:val="32"/>
          <w:szCs w:val="32"/>
        </w:rPr>
      </w:pPr>
      <w:r>
        <w:rPr>
          <w:rFonts w:hint="eastAsia" w:ascii="仿宋" w:hAnsi="仿宋" w:eastAsia="仿宋"/>
          <w:sz w:val="32"/>
          <w:szCs w:val="32"/>
        </w:rPr>
        <w:t xml:space="preserve">     （图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3"/>
        <w:numPr>
          <w:ilvl w:val="0"/>
          <w:numId w:val="2"/>
        </w:numPr>
        <w:spacing w:line="600" w:lineRule="exact"/>
        <w:ind w:firstLineChars="0"/>
        <w:outlineLvl w:val="1"/>
        <w:rPr>
          <w:rStyle w:val="25"/>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ascii="仿宋" w:hAnsi="仿宋" w:eastAsia="仿宋"/>
          <w:sz w:val="32"/>
          <w:szCs w:val="32"/>
        </w:rPr>
        <w:t>832.13</w:t>
      </w:r>
      <w:r>
        <w:rPr>
          <w:rFonts w:hint="eastAsia" w:ascii="仿宋" w:hAnsi="仿宋" w:eastAsia="仿宋"/>
          <w:sz w:val="32"/>
          <w:szCs w:val="32"/>
        </w:rPr>
        <w:t>万元，其中：一般公共预算财政拨款收入</w:t>
      </w:r>
      <w:r>
        <w:rPr>
          <w:rFonts w:ascii="仿宋" w:hAnsi="仿宋" w:eastAsia="仿宋"/>
          <w:sz w:val="32"/>
          <w:szCs w:val="32"/>
        </w:rPr>
        <w:t>832.13</w:t>
      </w:r>
      <w:r>
        <w:rPr>
          <w:rFonts w:hint="eastAsia" w:ascii="仿宋" w:hAnsi="仿宋" w:eastAsia="仿宋"/>
          <w:sz w:val="32"/>
          <w:szCs w:val="32"/>
        </w:rPr>
        <w:t>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pStyle w:val="2"/>
        <w:spacing w:before="93"/>
        <w:jc w:val="center"/>
      </w:pPr>
      <w:r>
        <w:drawing>
          <wp:inline distT="0" distB="0" distL="0" distR="0">
            <wp:extent cx="3542665" cy="2243455"/>
            <wp:effectExtent l="19050" t="0" r="19493" b="443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rPr>
          <w:rFonts w:ascii="仿宋" w:hAnsi="仿宋" w:eastAsia="仿宋"/>
          <w:sz w:val="32"/>
          <w:szCs w:val="32"/>
        </w:rPr>
      </w:pPr>
      <w:r>
        <w:rPr>
          <w:rFonts w:hint="eastAsia" w:ascii="仿宋" w:hAnsi="仿宋" w:eastAsia="仿宋"/>
          <w:sz w:val="32"/>
          <w:szCs w:val="32"/>
        </w:rPr>
        <w:t xml:space="preserve">          （图2：收入决算结构图）（饼状图）</w:t>
      </w:r>
    </w:p>
    <w:p>
      <w:pPr>
        <w:spacing w:line="600" w:lineRule="exact"/>
        <w:ind w:firstLine="640" w:firstLineChars="200"/>
        <w:rPr>
          <w:rFonts w:ascii="仿宋_GB2312" w:eastAsia="仿宋_GB2312"/>
          <w:sz w:val="32"/>
          <w:szCs w:val="32"/>
        </w:rPr>
      </w:pPr>
    </w:p>
    <w:p>
      <w:pPr>
        <w:pStyle w:val="23"/>
        <w:numPr>
          <w:ilvl w:val="0"/>
          <w:numId w:val="2"/>
        </w:numPr>
        <w:spacing w:line="600" w:lineRule="exact"/>
        <w:ind w:firstLineChars="0"/>
        <w:outlineLvl w:val="1"/>
        <w:rPr>
          <w:rStyle w:val="25"/>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w:t>
      </w:r>
      <w:r>
        <w:rPr>
          <w:rFonts w:ascii="仿宋" w:hAnsi="仿宋" w:eastAsia="仿宋"/>
          <w:sz w:val="32"/>
          <w:szCs w:val="32"/>
        </w:rPr>
        <w:t>832.13</w:t>
      </w:r>
      <w:r>
        <w:rPr>
          <w:rFonts w:hint="eastAsia" w:ascii="仿宋" w:hAnsi="仿宋" w:eastAsia="仿宋"/>
          <w:sz w:val="32"/>
          <w:szCs w:val="32"/>
        </w:rPr>
        <w:t>万元，其中：基本支出</w:t>
      </w:r>
      <w:r>
        <w:rPr>
          <w:rFonts w:ascii="仿宋" w:hAnsi="仿宋" w:eastAsia="仿宋"/>
          <w:sz w:val="32"/>
          <w:szCs w:val="32"/>
        </w:rPr>
        <w:t>832.13</w:t>
      </w:r>
      <w:r>
        <w:rPr>
          <w:rFonts w:hint="eastAsia" w:ascii="仿宋" w:hAnsi="仿宋" w:eastAsia="仿宋"/>
          <w:sz w:val="32"/>
          <w:szCs w:val="32"/>
        </w:rPr>
        <w:t>万元，占100</w:t>
      </w:r>
      <w:r>
        <w:rPr>
          <w:rFonts w:ascii="仿宋" w:hAnsi="仿宋" w:eastAsia="仿宋"/>
          <w:sz w:val="32"/>
          <w:szCs w:val="32"/>
        </w:rPr>
        <w:t>%</w:t>
      </w:r>
      <w:r>
        <w:rPr>
          <w:rFonts w:hint="eastAsia" w:ascii="仿宋" w:hAnsi="仿宋" w:eastAsia="仿宋"/>
          <w:sz w:val="32"/>
          <w:szCs w:val="32"/>
        </w:rPr>
        <w:t>；项目支出0万元，占0</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pStyle w:val="2"/>
        <w:spacing w:before="93"/>
        <w:jc w:val="center"/>
      </w:pPr>
      <w:r>
        <w:drawing>
          <wp:inline distT="0" distB="0" distL="0" distR="0">
            <wp:extent cx="3712845" cy="2190115"/>
            <wp:effectExtent l="19050" t="0" r="20822" b="443"/>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rPr>
          <w:rFonts w:ascii="仿宋" w:hAnsi="仿宋" w:eastAsia="仿宋"/>
          <w:sz w:val="32"/>
          <w:szCs w:val="32"/>
        </w:rPr>
      </w:pPr>
      <w:r>
        <w:rPr>
          <w:rFonts w:hint="eastAsia" w:ascii="仿宋" w:hAnsi="仿宋" w:eastAsia="仿宋"/>
          <w:sz w:val="32"/>
          <w:szCs w:val="32"/>
        </w:rPr>
        <w:t xml:space="preserve">         （图3：支出决算结构图）（饼状图）</w:t>
      </w:r>
    </w:p>
    <w:p>
      <w:pPr>
        <w:spacing w:line="600" w:lineRule="exact"/>
        <w:ind w:firstLine="640" w:firstLineChars="200"/>
        <w:rPr>
          <w:rFonts w:ascii="仿宋_GB2312" w:eastAsia="仿宋_GB2312"/>
          <w:sz w:val="32"/>
          <w:szCs w:val="32"/>
        </w:rPr>
      </w:pPr>
    </w:p>
    <w:p>
      <w:pPr>
        <w:pStyle w:val="2"/>
        <w:spacing w:before="93"/>
      </w:pPr>
    </w:p>
    <w:p>
      <w:pPr>
        <w:spacing w:line="600" w:lineRule="exact"/>
        <w:ind w:firstLine="640" w:firstLineChars="200"/>
        <w:outlineLvl w:val="1"/>
        <w:rPr>
          <w:rStyle w:val="25"/>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w:t>
      </w:r>
      <w:r>
        <w:rPr>
          <w:rFonts w:ascii="仿宋" w:hAnsi="仿宋" w:eastAsia="仿宋"/>
          <w:sz w:val="32"/>
          <w:szCs w:val="32"/>
        </w:rPr>
        <w:t>832.13</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20年相比，财政拨款收、支总计各增加88.95万元，增长11.97</w:t>
      </w:r>
      <w:r>
        <w:rPr>
          <w:rFonts w:ascii="仿宋" w:hAnsi="仿宋" w:eastAsia="仿宋"/>
          <w:sz w:val="32"/>
          <w:szCs w:val="32"/>
        </w:rPr>
        <w:t>%</w:t>
      </w:r>
      <w:r>
        <w:rPr>
          <w:rFonts w:hint="eastAsia" w:ascii="仿宋" w:hAnsi="仿宋" w:eastAsia="仿宋"/>
          <w:sz w:val="32"/>
          <w:szCs w:val="32"/>
        </w:rPr>
        <w:t>。主要变动原因是教职工工资社保费用增加，所以收入支出增加。</w:t>
      </w:r>
    </w:p>
    <w:p>
      <w:pPr>
        <w:pStyle w:val="2"/>
        <w:spacing w:before="93"/>
        <w:jc w:val="center"/>
      </w:pPr>
      <w:r>
        <w:drawing>
          <wp:inline distT="0" distB="0" distL="0" distR="0">
            <wp:extent cx="3383280" cy="2296160"/>
            <wp:effectExtent l="19050" t="0" r="26581" b="8418"/>
            <wp:docPr id="3"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25"/>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ascii="仿宋" w:hAnsi="仿宋" w:eastAsia="仿宋"/>
          <w:sz w:val="32"/>
          <w:szCs w:val="32"/>
        </w:rPr>
        <w:t>832.13</w:t>
      </w:r>
      <w:r>
        <w:rPr>
          <w:rFonts w:hint="eastAsia" w:ascii="仿宋" w:hAnsi="仿宋" w:eastAsia="仿宋"/>
          <w:sz w:val="32"/>
          <w:szCs w:val="32"/>
        </w:rPr>
        <w:t>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20年相比，一般公共预算财政拨款支出增加88.9万元，增长11.97</w:t>
      </w:r>
      <w:r>
        <w:rPr>
          <w:rFonts w:ascii="仿宋" w:hAnsi="仿宋" w:eastAsia="仿宋"/>
          <w:sz w:val="32"/>
          <w:szCs w:val="32"/>
        </w:rPr>
        <w:t>%</w:t>
      </w:r>
      <w:r>
        <w:rPr>
          <w:rFonts w:hint="eastAsia" w:ascii="仿宋" w:hAnsi="仿宋" w:eastAsia="仿宋"/>
          <w:sz w:val="32"/>
          <w:szCs w:val="32"/>
        </w:rPr>
        <w:t>。主要变动原因是教职工工资社保费用增加，所以支出增加。</w:t>
      </w:r>
    </w:p>
    <w:p>
      <w:pPr>
        <w:spacing w:line="600" w:lineRule="exact"/>
        <w:ind w:firstLine="640" w:firstLineChars="200"/>
        <w:rPr>
          <w:rFonts w:ascii="仿宋" w:hAnsi="仿宋" w:eastAsia="仿宋"/>
          <w:sz w:val="32"/>
          <w:szCs w:val="32"/>
        </w:rPr>
      </w:pPr>
    </w:p>
    <w:p>
      <w:pPr>
        <w:pStyle w:val="2"/>
        <w:spacing w:before="93"/>
      </w:pPr>
    </w:p>
    <w:p>
      <w:pPr>
        <w:pStyle w:val="2"/>
        <w:spacing w:before="93"/>
      </w:pPr>
    </w:p>
    <w:p>
      <w:pPr>
        <w:pStyle w:val="2"/>
        <w:spacing w:before="93"/>
        <w:jc w:val="center"/>
      </w:pPr>
      <w:r>
        <w:drawing>
          <wp:inline distT="0" distB="0" distL="0" distR="0">
            <wp:extent cx="3886200" cy="2305050"/>
            <wp:effectExtent l="19050" t="0" r="19049" b="0"/>
            <wp:docPr id="4"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ascii="仿宋" w:hAnsi="仿宋" w:eastAsia="仿宋"/>
          <w:sz w:val="32"/>
          <w:szCs w:val="32"/>
        </w:rPr>
        <w:t>832.13</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ascii="仿宋" w:hAnsi="仿宋" w:eastAsia="仿宋"/>
          <w:sz w:val="32"/>
          <w:szCs w:val="32"/>
        </w:rPr>
        <w:t>564.24</w:t>
      </w:r>
      <w:r>
        <w:rPr>
          <w:rFonts w:hint="eastAsia" w:ascii="仿宋" w:hAnsi="仿宋" w:eastAsia="仿宋"/>
          <w:sz w:val="32"/>
          <w:szCs w:val="32"/>
        </w:rPr>
        <w:t>万元，占67.81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ascii="仿宋" w:hAnsi="仿宋" w:eastAsia="仿宋"/>
          <w:sz w:val="32"/>
          <w:szCs w:val="32"/>
        </w:rPr>
        <w:t>148.85</w:t>
      </w:r>
      <w:r>
        <w:rPr>
          <w:rFonts w:hint="eastAsia" w:ascii="仿宋" w:hAnsi="仿宋" w:eastAsia="仿宋"/>
          <w:sz w:val="32"/>
          <w:szCs w:val="32"/>
        </w:rPr>
        <w:t>万元，占17.89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ascii="仿宋" w:hAnsi="仿宋" w:eastAsia="仿宋"/>
          <w:sz w:val="32"/>
          <w:szCs w:val="32"/>
        </w:rPr>
        <w:t>42.58</w:t>
      </w:r>
      <w:r>
        <w:rPr>
          <w:rFonts w:hint="eastAsia" w:ascii="仿宋" w:hAnsi="仿宋" w:eastAsia="仿宋"/>
          <w:sz w:val="32"/>
          <w:szCs w:val="32"/>
        </w:rPr>
        <w:t>万元，占5.12</w:t>
      </w:r>
      <w:r>
        <w:rPr>
          <w:rFonts w:ascii="仿宋" w:hAnsi="仿宋" w:eastAsia="仿宋"/>
          <w:sz w:val="32"/>
          <w:szCs w:val="32"/>
        </w:rPr>
        <w:t>%</w:t>
      </w:r>
      <w:r>
        <w:rPr>
          <w:rFonts w:hint="eastAsia" w:ascii="仿宋" w:hAnsi="仿宋" w:eastAsia="仿宋"/>
          <w:sz w:val="32"/>
          <w:szCs w:val="32"/>
        </w:rPr>
        <w:t>；住房保障支出</w:t>
      </w:r>
      <w:r>
        <w:rPr>
          <w:rFonts w:ascii="仿宋" w:hAnsi="仿宋" w:eastAsia="仿宋"/>
          <w:sz w:val="32"/>
          <w:szCs w:val="32"/>
        </w:rPr>
        <w:t>76.45</w:t>
      </w:r>
      <w:r>
        <w:rPr>
          <w:rFonts w:hint="eastAsia" w:ascii="仿宋" w:hAnsi="仿宋" w:eastAsia="仿宋"/>
          <w:sz w:val="32"/>
          <w:szCs w:val="32"/>
        </w:rPr>
        <w:t>万元，占9.18</w:t>
      </w:r>
      <w:r>
        <w:rPr>
          <w:rFonts w:ascii="仿宋" w:hAnsi="仿宋" w:eastAsia="仿宋"/>
          <w:sz w:val="32"/>
          <w:szCs w:val="32"/>
        </w:rPr>
        <w:t>%</w:t>
      </w:r>
      <w:r>
        <w:rPr>
          <w:rFonts w:hint="eastAsia" w:ascii="仿宋" w:hAnsi="仿宋" w:eastAsia="仿宋"/>
          <w:sz w:val="32"/>
          <w:szCs w:val="32"/>
        </w:rPr>
        <w:t>。</w:t>
      </w:r>
    </w:p>
    <w:p>
      <w:pPr>
        <w:pStyle w:val="2"/>
        <w:spacing w:before="93"/>
        <w:jc w:val="center"/>
      </w:pPr>
      <w:r>
        <w:drawing>
          <wp:inline distT="0" distB="0" distL="0" distR="0">
            <wp:extent cx="3585210" cy="2360295"/>
            <wp:effectExtent l="19050" t="0" r="15063" b="1773"/>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8460"/>
      <w:bookmarkStart w:id="32" w:name="_Toc15377444"/>
      <w:bookmarkStart w:id="33" w:name="_Toc15377213"/>
      <w:r>
        <w:rPr>
          <w:rFonts w:hint="eastAsia" w:ascii="仿宋" w:hAnsi="仿宋" w:eastAsia="仿宋"/>
          <w:b/>
          <w:sz w:val="32"/>
          <w:szCs w:val="32"/>
        </w:rPr>
        <w:t>2021年一般公共预算支出决算数为</w:t>
      </w:r>
      <w:r>
        <w:rPr>
          <w:rFonts w:ascii="仿宋" w:hAnsi="仿宋" w:eastAsia="仿宋"/>
          <w:b/>
          <w:sz w:val="32"/>
          <w:szCs w:val="32"/>
        </w:rPr>
        <w:t>832.13</w:t>
      </w:r>
      <w:r>
        <w:rPr>
          <w:rFonts w:hint="eastAsia" w:ascii="仿宋" w:hAnsi="仿宋" w:eastAsia="仿宋"/>
          <w:b/>
          <w:sz w:val="32"/>
          <w:szCs w:val="32"/>
        </w:rPr>
        <w:t>万元</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4"/>
          <w:rFonts w:ascii="仿宋" w:hAnsi="仿宋" w:eastAsia="仿宋" w:cs="仿宋"/>
          <w:sz w:val="32"/>
          <w:szCs w:val="32"/>
        </w:rPr>
        <w:t>1.</w:t>
      </w:r>
      <w:r>
        <w:rPr>
          <w:rStyle w:val="14"/>
          <w:rFonts w:hint="eastAsia" w:ascii="仿宋" w:hAnsi="仿宋" w:eastAsia="仿宋" w:cs="仿宋"/>
          <w:sz w:val="32"/>
          <w:szCs w:val="32"/>
        </w:rPr>
        <w:t>一般公共服务支出（类）宣传事物（款）其他宣传事物支出（项）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支出决算为0万元，完成预算0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2.</w:t>
      </w:r>
      <w:r>
        <w:rPr>
          <w:rStyle w:val="14"/>
          <w:rFonts w:hint="eastAsia" w:ascii="仿宋" w:hAnsi="仿宋" w:eastAsia="仿宋" w:cs="仿宋"/>
          <w:sz w:val="32"/>
          <w:szCs w:val="32"/>
        </w:rPr>
        <w:t>教育支出（类）普通教育（款）小学教育（项）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Fonts w:ascii="仿宋" w:hAnsi="仿宋" w:eastAsia="仿宋"/>
          <w:sz w:val="32"/>
          <w:szCs w:val="32"/>
        </w:rPr>
        <w:t>564.24</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cs="仿宋"/>
          <w:sz w:val="32"/>
          <w:szCs w:val="32"/>
          <w:lang w:val="en-US" w:eastAsia="zh-CN"/>
        </w:rPr>
        <w:t>3</w:t>
      </w:r>
      <w:r>
        <w:rPr>
          <w:rStyle w:val="14"/>
          <w:rFonts w:ascii="仿宋" w:hAnsi="仿宋" w:eastAsia="仿宋" w:cs="仿宋"/>
          <w:sz w:val="32"/>
          <w:szCs w:val="32"/>
        </w:rPr>
        <w:t>.</w:t>
      </w:r>
      <w:r>
        <w:rPr>
          <w:rStyle w:val="14"/>
          <w:rFonts w:hint="eastAsia" w:ascii="仿宋" w:hAnsi="仿宋" w:eastAsia="仿宋" w:cs="仿宋"/>
          <w:sz w:val="32"/>
          <w:szCs w:val="32"/>
        </w:rPr>
        <w:t>社会保障和就业（类）行政事业单位养老（款）事业单位离退休（项）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70.12</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cs="仿宋"/>
          <w:sz w:val="32"/>
          <w:szCs w:val="32"/>
          <w:lang w:val="en-US" w:eastAsia="zh-CN"/>
        </w:rPr>
        <w:t>4</w:t>
      </w:r>
      <w:r>
        <w:rPr>
          <w:rStyle w:val="14"/>
          <w:rFonts w:ascii="仿宋" w:hAnsi="仿宋" w:eastAsia="仿宋" w:cs="仿宋"/>
          <w:sz w:val="32"/>
          <w:szCs w:val="32"/>
        </w:rPr>
        <w:t>.</w:t>
      </w:r>
      <w:r>
        <w:rPr>
          <w:rStyle w:val="14"/>
          <w:rFonts w:hint="eastAsia" w:ascii="仿宋" w:hAnsi="仿宋" w:eastAsia="仿宋" w:cs="仿宋"/>
          <w:sz w:val="32"/>
          <w:szCs w:val="32"/>
        </w:rPr>
        <w:t>社会保障和就业（类）行政事业单位养老（款）机关事业单位基本养老保险缴费（项）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66.75</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cs="仿宋"/>
          <w:sz w:val="32"/>
          <w:szCs w:val="32"/>
          <w:lang w:val="en-US" w:eastAsia="zh-CN"/>
        </w:rPr>
        <w:t>5</w:t>
      </w:r>
      <w:r>
        <w:rPr>
          <w:rStyle w:val="14"/>
          <w:rFonts w:ascii="仿宋" w:hAnsi="仿宋" w:eastAsia="仿宋" w:cs="仿宋"/>
          <w:sz w:val="32"/>
          <w:szCs w:val="32"/>
        </w:rPr>
        <w:t>.</w:t>
      </w:r>
      <w:r>
        <w:rPr>
          <w:rStyle w:val="14"/>
          <w:rFonts w:hint="eastAsia" w:ascii="仿宋" w:hAnsi="仿宋" w:eastAsia="仿宋" w:cs="仿宋"/>
          <w:sz w:val="32"/>
          <w:szCs w:val="32"/>
        </w:rPr>
        <w:t>社会保障和就业（类）行政事业单位养老（款）机关事业单位职业年金缴费（项）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5.31</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bCs/>
          <w:sz w:val="32"/>
          <w:szCs w:val="32"/>
        </w:rPr>
      </w:pPr>
      <w:r>
        <w:rPr>
          <w:rStyle w:val="14"/>
          <w:rFonts w:hint="eastAsia" w:ascii="仿宋" w:hAnsi="仿宋" w:eastAsia="仿宋" w:cs="仿宋"/>
          <w:sz w:val="32"/>
          <w:szCs w:val="32"/>
          <w:lang w:val="en-US" w:eastAsia="zh-CN"/>
        </w:rPr>
        <w:t>6</w:t>
      </w:r>
      <w:r>
        <w:rPr>
          <w:rStyle w:val="14"/>
          <w:rFonts w:ascii="仿宋" w:hAnsi="仿宋" w:eastAsia="仿宋" w:cs="仿宋"/>
          <w:sz w:val="32"/>
          <w:szCs w:val="32"/>
        </w:rPr>
        <w:t>.</w:t>
      </w:r>
      <w:r>
        <w:rPr>
          <w:rStyle w:val="14"/>
          <w:rFonts w:hint="eastAsia" w:ascii="仿宋" w:hAnsi="仿宋" w:eastAsia="仿宋" w:cs="仿宋"/>
          <w:sz w:val="32"/>
          <w:szCs w:val="32"/>
        </w:rPr>
        <w:t>社会保障和就业（类）行政事业单位养老（款）死亡抚恤（项）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6.67</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cs="仿宋"/>
          <w:sz w:val="32"/>
          <w:szCs w:val="32"/>
          <w:lang w:val="en-US" w:eastAsia="zh-CN"/>
        </w:rPr>
        <w:t>7</w:t>
      </w:r>
      <w:r>
        <w:rPr>
          <w:rStyle w:val="14"/>
          <w:rFonts w:ascii="仿宋" w:hAnsi="仿宋" w:eastAsia="仿宋" w:cs="仿宋"/>
          <w:sz w:val="32"/>
          <w:szCs w:val="32"/>
        </w:rPr>
        <w:t>.</w:t>
      </w:r>
      <w:r>
        <w:rPr>
          <w:rFonts w:hint="eastAsia" w:ascii="仿宋" w:hAnsi="仿宋" w:eastAsia="仿宋" w:cs="仿宋"/>
          <w:b/>
          <w:bCs/>
          <w:sz w:val="32"/>
          <w:szCs w:val="32"/>
        </w:rPr>
        <w:t>卫生健康</w:t>
      </w:r>
      <w:r>
        <w:rPr>
          <w:rStyle w:val="14"/>
          <w:rFonts w:hint="eastAsia" w:ascii="仿宋" w:hAnsi="仿宋" w:eastAsia="仿宋" w:cs="仿宋"/>
          <w:sz w:val="32"/>
          <w:szCs w:val="32"/>
        </w:rPr>
        <w:t>（类）行政事业单位医疗（款）事业单位医疗（项）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ascii="仿宋" w:hAnsi="仿宋" w:eastAsia="仿宋"/>
          <w:b w:val="0"/>
          <w:bCs/>
          <w:sz w:val="32"/>
          <w:szCs w:val="32"/>
        </w:rPr>
        <w:t>35.9</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cs="仿宋"/>
          <w:sz w:val="32"/>
          <w:szCs w:val="32"/>
          <w:lang w:val="en-US" w:eastAsia="zh-CN"/>
        </w:rPr>
        <w:t>8</w:t>
      </w:r>
      <w:r>
        <w:rPr>
          <w:rStyle w:val="14"/>
          <w:rFonts w:ascii="仿宋" w:hAnsi="仿宋" w:eastAsia="仿宋" w:cs="仿宋"/>
          <w:sz w:val="32"/>
          <w:szCs w:val="32"/>
        </w:rPr>
        <w:t>.</w:t>
      </w:r>
      <w:r>
        <w:rPr>
          <w:rFonts w:hint="eastAsia" w:ascii="仿宋" w:hAnsi="仿宋" w:eastAsia="仿宋" w:cs="仿宋"/>
          <w:b/>
          <w:bCs/>
          <w:sz w:val="32"/>
          <w:szCs w:val="32"/>
        </w:rPr>
        <w:t>卫生健康</w:t>
      </w:r>
      <w:r>
        <w:rPr>
          <w:rStyle w:val="14"/>
          <w:rFonts w:hint="eastAsia" w:ascii="仿宋" w:hAnsi="仿宋" w:eastAsia="仿宋" w:cs="仿宋"/>
          <w:sz w:val="32"/>
          <w:szCs w:val="32"/>
        </w:rPr>
        <w:t>（类）行政事业单位医疗（款）公务员医疗补助（项）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ascii="仿宋" w:hAnsi="仿宋" w:eastAsia="仿宋"/>
          <w:b w:val="0"/>
          <w:bCs/>
          <w:sz w:val="32"/>
          <w:szCs w:val="32"/>
        </w:rPr>
        <w:t>6.69</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cs="仿宋"/>
          <w:sz w:val="32"/>
          <w:szCs w:val="32"/>
          <w:lang w:val="en-US" w:eastAsia="zh-CN"/>
        </w:rPr>
        <w:t>9</w:t>
      </w:r>
      <w:r>
        <w:rPr>
          <w:rStyle w:val="14"/>
          <w:rFonts w:ascii="仿宋" w:hAnsi="仿宋" w:eastAsia="仿宋" w:cs="仿宋"/>
          <w:sz w:val="32"/>
          <w:szCs w:val="32"/>
        </w:rPr>
        <w:t xml:space="preserve">. </w:t>
      </w:r>
      <w:r>
        <w:rPr>
          <w:rStyle w:val="14"/>
          <w:rFonts w:hint="eastAsia" w:ascii="仿宋" w:hAnsi="仿宋" w:eastAsia="仿宋" w:cs="仿宋"/>
          <w:sz w:val="32"/>
          <w:szCs w:val="32"/>
        </w:rPr>
        <w:t>住房保障（类）住房改革（款）住房公积金（项）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Fonts w:ascii="仿宋" w:hAnsi="仿宋" w:eastAsia="仿宋"/>
          <w:sz w:val="32"/>
          <w:szCs w:val="32"/>
        </w:rPr>
        <w:t>76.45</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rPr>
          <w:rFonts w:ascii="仿宋" w:hAnsi="仿宋" w:eastAsia="仿宋"/>
          <w:b/>
          <w:sz w:val="32"/>
          <w:szCs w:val="32"/>
        </w:rPr>
      </w:pPr>
    </w:p>
    <w:p>
      <w:pPr>
        <w:tabs>
          <w:tab w:val="right" w:pos="8306"/>
        </w:tabs>
        <w:spacing w:line="600" w:lineRule="exact"/>
        <w:ind w:firstLine="640"/>
        <w:outlineLvl w:val="1"/>
        <w:rPr>
          <w:rStyle w:val="25"/>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ascii="仿宋" w:hAnsi="仿宋" w:eastAsia="仿宋"/>
          <w:sz w:val="32"/>
          <w:szCs w:val="32"/>
        </w:rPr>
        <w:t>832.13</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794.24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pPr>
      <w:r>
        <w:rPr>
          <w:rFonts w:hint="eastAsia" w:ascii="仿宋" w:hAnsi="仿宋" w:eastAsia="仿宋"/>
          <w:sz w:val="32"/>
          <w:szCs w:val="32"/>
        </w:rPr>
        <w:t>公用经费37.89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36" w:name="_Toc15377215"/>
      <w:bookmarkStart w:id="37" w:name="_Toc15396609"/>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21年“三公”经费财政拨款支出决算为0万元，完成预算0</w:t>
      </w:r>
      <w:r>
        <w:rPr>
          <w:rFonts w:ascii="仿宋" w:hAnsi="仿宋" w:eastAsia="仿宋"/>
          <w:sz w:val="32"/>
          <w:szCs w:val="32"/>
        </w:rPr>
        <w:t>%</w:t>
      </w:r>
      <w:r>
        <w:rPr>
          <w:rFonts w:hint="eastAsia" w:ascii="仿宋" w:hAnsi="仿宋" w:eastAsia="仿宋"/>
          <w:sz w:val="32"/>
          <w:szCs w:val="32"/>
        </w:rPr>
        <w:t>，决算数与预算数持平</w:t>
      </w:r>
      <w:r>
        <w:rPr>
          <w:rFonts w:hint="eastAsia" w:ascii="仿宋" w:hAnsi="仿宋" w:eastAsia="仿宋"/>
          <w:sz w:val="32"/>
          <w:szCs w:val="32"/>
          <w:lang w:eastAsia="zh-CN"/>
        </w:rPr>
        <w:t>，</w:t>
      </w:r>
      <w:r>
        <w:rPr>
          <w:rFonts w:hint="eastAsia" w:ascii="仿宋_GB2312" w:eastAsia="仿宋_GB2312"/>
          <w:color w:val="auto"/>
          <w:sz w:val="32"/>
          <w:szCs w:val="32"/>
          <w:highlight w:val="none"/>
          <w:lang w:eastAsia="zh-CN"/>
        </w:rPr>
        <w:t>与2020年决算数持平</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w:t>
      </w:r>
      <w:r>
        <w:rPr>
          <w:rFonts w:hint="eastAsia" w:ascii="仿宋_GB2312" w:eastAsia="仿宋_GB2312"/>
          <w:color w:val="auto"/>
          <w:sz w:val="32"/>
          <w:szCs w:val="32"/>
          <w:highlight w:val="none"/>
          <w:lang w:eastAsia="zh-CN"/>
        </w:rPr>
        <w:t>与2020年决算数持平</w:t>
      </w:r>
      <w:r>
        <w:rPr>
          <w:rFonts w:hint="eastAsia" w:ascii="仿宋" w:hAnsi="仿宋" w:eastAsia="仿宋"/>
          <w:sz w:val="32"/>
          <w:szCs w:val="32"/>
          <w:lang w:val="en-US" w:eastAsia="zh-CN"/>
        </w:rPr>
        <w:t>，</w:t>
      </w:r>
      <w:r>
        <w:rPr>
          <w:rFonts w:hint="eastAsia" w:ascii="仿宋" w:hAnsi="仿宋" w:eastAsia="仿宋"/>
          <w:sz w:val="32"/>
          <w:szCs w:val="32"/>
        </w:rPr>
        <w:t>具体情况如下：</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w:t>
      </w:r>
      <w:r>
        <w:rPr>
          <w:rFonts w:hint="eastAsia" w:ascii="仿宋_GB2312" w:eastAsia="仿宋_GB2312"/>
          <w:color w:val="auto"/>
          <w:sz w:val="32"/>
          <w:szCs w:val="32"/>
          <w:highlight w:val="none"/>
          <w:lang w:eastAsia="zh-CN"/>
        </w:rPr>
        <w:t>与2020年决算数持平</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color w:val="auto"/>
          <w:sz w:val="32"/>
          <w:szCs w:val="32"/>
          <w:highlight w:val="none"/>
          <w:lang w:eastAsia="zh-CN"/>
        </w:rPr>
        <w:t>与2020年决算数持平</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color w:val="auto"/>
          <w:sz w:val="32"/>
          <w:szCs w:val="32"/>
          <w:highlight w:val="none"/>
          <w:lang w:eastAsia="zh-CN"/>
        </w:rPr>
        <w:t>与2020年决算数持平</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万元。国内公务接待0批次，0人次（不包括陪同人员），共计支出0万元。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p>
    <w:p>
      <w:pPr>
        <w:spacing w:line="600" w:lineRule="exact"/>
        <w:ind w:firstLine="640"/>
        <w:outlineLvl w:val="1"/>
        <w:rPr>
          <w:rFonts w:ascii="黑体" w:eastAsia="黑体"/>
          <w:sz w:val="32"/>
          <w:szCs w:val="32"/>
        </w:rPr>
      </w:pPr>
      <w:bookmarkStart w:id="40" w:name="_Toc15396610"/>
      <w:bookmarkStart w:id="41" w:name="_Toc15377218"/>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5"/>
          <w:rFonts w:ascii="黑体" w:hAnsi="黑体" w:eastAsia="黑体"/>
          <w:b w:val="0"/>
        </w:rPr>
      </w:pPr>
      <w:bookmarkStart w:id="42" w:name="_Toc15396611"/>
      <w:bookmarkStart w:id="43" w:name="_Toc15377219"/>
      <w:r>
        <w:rPr>
          <w:rStyle w:val="25"/>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5"/>
          <w:rFonts w:ascii="黑体" w:hAnsi="黑体" w:eastAsia="黑体"/>
          <w:b w:val="0"/>
        </w:rPr>
      </w:pPr>
      <w:bookmarkStart w:id="44" w:name="_Toc15396612"/>
      <w:bookmarkStart w:id="45" w:name="_Toc15377221"/>
      <w:r>
        <w:rPr>
          <w:rStyle w:val="25"/>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21年，机关运行经费支出0万元，比</w:t>
      </w:r>
      <w:r>
        <w:rPr>
          <w:rFonts w:ascii="仿宋_GB2312" w:eastAsia="仿宋_GB2312"/>
          <w:sz w:val="32"/>
          <w:szCs w:val="32"/>
        </w:rPr>
        <w:t>20</w:t>
      </w:r>
      <w:r>
        <w:rPr>
          <w:rFonts w:hint="eastAsia" w:ascii="仿宋_GB2312" w:eastAsia="仿宋_GB2312"/>
          <w:sz w:val="32"/>
          <w:szCs w:val="32"/>
        </w:rPr>
        <w:t>20年增加0万元，增长0</w:t>
      </w:r>
      <w:r>
        <w:rPr>
          <w:rFonts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与</w:t>
      </w:r>
      <w:r>
        <w:rPr>
          <w:rFonts w:ascii="仿宋_GB2312" w:eastAsia="仿宋_GB2312"/>
          <w:sz w:val="32"/>
          <w:szCs w:val="32"/>
        </w:rPr>
        <w:t>20</w:t>
      </w:r>
      <w:r>
        <w:rPr>
          <w:rFonts w:hint="eastAsia" w:ascii="仿宋_GB2312" w:eastAsia="仿宋_GB2312"/>
          <w:sz w:val="32"/>
          <w:szCs w:val="32"/>
        </w:rPr>
        <w:t>20年决算数持平。</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21年，攀枝花市第十九小学校政府采购支出总额0万元，其中：政府采购货物支出0万元、政府采购工程支出0万元、政府采购服务支出0万元。授予中小企业合同金额0万元，占政府采购支出总额的0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日，攀枝花市第十九小学校共有车辆0辆，其中：主要领导干部用车0辆、机要通信用车0辆、应急保障用车0辆、其他用车0辆</w:t>
      </w:r>
      <w:r>
        <w:rPr>
          <w:rFonts w:hint="eastAsia" w:ascii="仿宋_GB2312" w:eastAsia="仿宋_GB2312"/>
          <w:sz w:val="32"/>
          <w:szCs w:val="32"/>
          <w:lang w:eastAsia="zh-CN"/>
        </w:rPr>
        <w:t>。</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w:t>
      </w:r>
      <w:r>
        <w:rPr>
          <w:rFonts w:hint="eastAsia" w:ascii="仿宋_GB2312" w:hAnsi="仿宋_GB2312" w:eastAsia="仿宋_GB2312" w:cs="仿宋_GB2312"/>
          <w:sz w:val="32"/>
          <w:szCs w:val="32"/>
          <w:lang w:val="en-US" w:eastAsia="zh-CN"/>
        </w:rPr>
        <w:t>0个</w:t>
      </w:r>
      <w:r>
        <w:rPr>
          <w:rFonts w:hint="eastAsia" w:ascii="仿宋_GB2312" w:hAnsi="仿宋_GB2312" w:eastAsia="仿宋_GB2312" w:cs="仿宋_GB2312"/>
          <w:sz w:val="32"/>
          <w:szCs w:val="32"/>
        </w:rPr>
        <w:t>项目（项目名称）等</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个项目开展了绩效自评，2021年特定目标类部门预算项目绩效目标自评表见附件（第四部分）。</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numPr>
          <w:ilvl w:val="0"/>
          <w:numId w:val="4"/>
        </w:numPr>
        <w:spacing w:line="600" w:lineRule="exact"/>
        <w:ind w:firstLine="660" w:firstLineChars="150"/>
        <w:jc w:val="center"/>
        <w:outlineLvl w:val="0"/>
        <w:rPr>
          <w:rStyle w:val="24"/>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sz w:val="44"/>
          <w:szCs w:val="44"/>
        </w:rPr>
      </w:pPr>
    </w:p>
    <w:p>
      <w:pPr>
        <w:pStyle w:val="2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bookmarkStart w:id="51"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教育（类）普通教育（款）小学教育（项）：指反映各部门举办的小学教育支出。政府各部门对社会中介组织等举办的小学的资助，如各类捐赠、补贴等，也在本科目中反映。</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社会保障和就业（类）行政事业单位养老（款）事业单位离退休（项）：指反映实行归口管理的事业单位离退休经费。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社会保障和就业（类）行政事业单位养老（款）机关事业单位基本养老保险缴费（项）：指反映机关事业单位实施养老保险制度由单位缴纳的基本养老保险费支出。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社会保障和就业（类）行政事业单位养老（款）机关事业单位职业年金缴费（项）：指反映机关事业单位实施养老保险制度由单位实际缴纳的职业年金支出。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社会保障和就业（类）行政事业单位养老（款）死亡抚恤（项）：指反映按规定用于烈士和牺牲、病故人员家属的一次性定期抚恤金以及丧葬补助费。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卫生健康（类）行政事业单位医疗（款）事业单位医疗（项）：指反映财政部门集中安排事业单位基本医疗保险缴费经费，未参加医疗保险的事业单位的公费医疗经费，按国家规定享受离休人员待遇的医疗经费。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卫生健康（类）行政事业单位医疗（款）公务员医疗补助（项）：指反映财政部门集中安排的公务员医疗补助经费。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住房保障（类）住房改革（款）住房公积金（项）：指反映行政事业单位按人力资源和社会保障部、财政部规定的基本工资和津贴补贴以及规定比例为职工缴纳的住房公积金。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r>
        <w:rPr>
          <w:rFonts w:ascii="宋体"/>
          <w:b/>
          <w:sz w:val="44"/>
          <w:szCs w:val="44"/>
        </w:rPr>
        <w:br w:type="page"/>
      </w:r>
      <w:bookmarkStart w:id="52" w:name="_Toc15396614"/>
      <w:r>
        <w:rPr>
          <w:rFonts w:hint="eastAsia" w:ascii="黑体" w:hAnsi="黑体" w:eastAsia="黑体"/>
          <w:sz w:val="44"/>
          <w:szCs w:val="44"/>
        </w:rPr>
        <w:t>第</w:t>
      </w:r>
      <w:r>
        <w:rPr>
          <w:rStyle w:val="24"/>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w:t>
      </w:r>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bookmarkStart w:id="53" w:name="_Toc15396618"/>
            <w:r>
              <w:rPr>
                <w:rFonts w:hint="eastAsia" w:ascii="宋体" w:hAnsi="宋体" w:cs="宋体"/>
                <w:b/>
                <w:sz w:val="32"/>
                <w:szCs w:val="32"/>
              </w:rPr>
              <w:t>2021年部门预算项目绩效目标自评</w:t>
            </w:r>
            <w:r>
              <w:rPr>
                <w:rFonts w:hint="eastAsia" w:ascii="宋体" w:hAnsi="宋体" w:cs="宋体"/>
                <w:b/>
                <w:sz w:val="32"/>
                <w:szCs w:val="32"/>
                <w:lang w:eastAsia="zh-CN"/>
              </w:rPr>
              <w:t>（</w:t>
            </w:r>
            <w:r>
              <w:rPr>
                <w:rFonts w:hint="eastAsia" w:ascii="宋体" w:hAnsi="宋体" w:cs="宋体"/>
                <w:sz w:val="24"/>
                <w:lang w:eastAsia="zh-CN"/>
              </w:rPr>
              <w:t>本年度无项目</w:t>
            </w:r>
            <w:r>
              <w:rPr>
                <w:rFonts w:hint="eastAsia" w:ascii="宋体" w:hAnsi="宋体" w:cs="宋体"/>
                <w:b/>
                <w:sz w:val="32"/>
                <w:szCs w:val="32"/>
                <w:lang w:eastAsia="zh-CN"/>
              </w:rPr>
              <w:t>）</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宋体" w:hAnsi="宋体" w:eastAsia="宋体" w:cs="宋体"/>
                <w:sz w:val="24"/>
                <w:lang w:eastAsia="zh-CN"/>
              </w:rPr>
            </w:pPr>
            <w:r>
              <w:rPr>
                <w:rFonts w:hint="eastAsia" w:ascii="宋体" w:hAnsi="宋体" w:cs="宋体"/>
                <w:sz w:val="24"/>
                <w:szCs w:val="24"/>
              </w:rPr>
              <w:t>攀枝花市西区教育和体育局</w:t>
            </w:r>
            <w:r>
              <w:rPr>
                <w:rFonts w:ascii="宋体" w:hAnsi="宋体" w:cs="宋体"/>
                <w:sz w:val="24"/>
                <w:szCs w:val="24"/>
              </w:rPr>
              <w:t>128001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项目预算</w:t>
            </w:r>
          </w:p>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eastAsia="宋体" w:cs="宋体"/>
                <w:sz w:val="24"/>
                <w:lang w:val="en-US" w:eastAsia="zh-CN"/>
              </w:rPr>
            </w:pPr>
            <w:r>
              <w:rPr>
                <w:rFonts w:hint="eastAsia" w:ascii="宋体" w:hAnsi="宋体" w:cs="宋体"/>
                <w:sz w:val="24"/>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center"/>
              <w:rPr>
                <w:rFonts w:hint="eastAsia" w:ascii="宋体" w:hAnsi="宋体" w:eastAsia="宋体" w:cs="宋体"/>
                <w:sz w:val="24"/>
                <w:lang w:val="en-US" w:eastAsia="zh-CN"/>
              </w:rPr>
            </w:pPr>
            <w:r>
              <w:rPr>
                <w:rFonts w:hint="eastAsia" w:ascii="宋体" w:hAnsi="宋体" w:cs="宋体"/>
                <w:sz w:val="24"/>
                <w:lang w:val="en-US" w:eastAsia="zh-CN"/>
              </w:rPr>
              <w:t>0</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eastAsia="宋体" w:cs="宋体"/>
                <w:sz w:val="24"/>
                <w:lang w:val="en-US" w:eastAsia="zh-CN"/>
              </w:rPr>
            </w:pPr>
            <w:r>
              <w:rPr>
                <w:rFonts w:hint="eastAsia" w:ascii="宋体" w:hAnsi="宋体" w:cs="宋体"/>
                <w:sz w:val="24"/>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宋体" w:hAnsi="宋体" w:eastAsia="宋体" w:cs="宋体"/>
                <w:sz w:val="24"/>
                <w:lang w:val="en-US" w:eastAsia="zh-CN"/>
              </w:rPr>
            </w:pPr>
            <w:r>
              <w:rPr>
                <w:rFonts w:hint="eastAsia" w:ascii="宋体" w:hAnsi="宋体" w:cs="宋体"/>
                <w:sz w:val="24"/>
                <w:lang w:val="en-US" w:eastAsia="zh-CN"/>
              </w:rPr>
              <w:t>0</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eastAsia="宋体" w:cs="宋体"/>
                <w:sz w:val="24"/>
                <w:lang w:val="en-US" w:eastAsia="zh-CN"/>
              </w:rPr>
            </w:pPr>
            <w:r>
              <w:rPr>
                <w:rFonts w:hint="eastAsia" w:ascii="宋体" w:hAnsi="宋体" w:cs="宋体"/>
                <w:sz w:val="24"/>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center"/>
              <w:rPr>
                <w:rFonts w:hint="eastAsia" w:ascii="宋体" w:hAnsi="宋体" w:eastAsia="宋体" w:cs="宋体"/>
                <w:sz w:val="24"/>
                <w:lang w:val="en-US" w:eastAsia="zh-CN"/>
              </w:rPr>
            </w:pPr>
            <w:r>
              <w:rPr>
                <w:rFonts w:hint="eastAsia" w:ascii="宋体" w:hAnsi="宋体" w:cs="宋体"/>
                <w:sz w:val="24"/>
                <w:lang w:val="en-US" w:eastAsia="zh-CN"/>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bl>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pStyle w:val="2"/>
        <w:spacing w:before="93"/>
        <w:rPr>
          <w:rFonts w:ascii="黑体" w:hAnsi="黑体" w:eastAsia="黑体"/>
          <w:sz w:val="44"/>
          <w:szCs w:val="44"/>
        </w:rPr>
      </w:pPr>
    </w:p>
    <w:p>
      <w:pPr>
        <w:pStyle w:val="2"/>
        <w:spacing w:before="93"/>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5"/>
          <w:rFonts w:hint="eastAsia" w:ascii="仿宋" w:hAnsi="仿宋" w:eastAsia="仿宋"/>
          <w:b w:val="0"/>
          <w:bCs w:val="0"/>
        </w:rPr>
        <w:t>入决算表</w:t>
      </w:r>
      <w:bookmarkEnd w:id="55"/>
    </w:p>
    <w:p>
      <w:pPr>
        <w:pStyle w:val="4"/>
        <w:rPr>
          <w:rFonts w:ascii="仿宋" w:hAnsi="仿宋" w:eastAsia="仿宋"/>
        </w:rPr>
      </w:pPr>
      <w:bookmarkStart w:id="56"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7"/>
    </w:p>
    <w:p>
      <w:pPr>
        <w:pStyle w:val="4"/>
        <w:rPr>
          <w:rStyle w:val="25"/>
          <w:rFonts w:ascii="仿宋" w:hAnsi="仿宋" w:eastAsia="仿宋"/>
          <w:b w:val="0"/>
          <w:bCs w:val="0"/>
        </w:rPr>
      </w:pPr>
      <w:bookmarkStart w:id="58"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63"/>
    </w:p>
    <w:p>
      <w:pPr>
        <w:pStyle w:val="4"/>
        <w:rPr>
          <w:rFonts w:ascii="仿宋" w:hAnsi="仿宋" w:eastAsia="仿宋"/>
        </w:rPr>
      </w:pPr>
      <w:bookmarkStart w:id="64" w:name="_Toc15396629"/>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64"/>
    </w:p>
    <w:p>
      <w:pPr>
        <w:pStyle w:val="4"/>
        <w:rPr>
          <w:rFonts w:ascii="仿宋" w:hAnsi="仿宋" w:eastAsia="仿宋"/>
        </w:rPr>
      </w:pPr>
      <w:bookmarkStart w:id="65" w:name="_Toc15396630"/>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65"/>
    </w:p>
    <w:p>
      <w:pPr>
        <w:pStyle w:val="4"/>
        <w:rPr>
          <w:rStyle w:val="25"/>
          <w:rFonts w:ascii="仿宋" w:hAnsi="仿宋" w:eastAsia="仿宋"/>
          <w:b w:val="0"/>
          <w:bCs w:val="0"/>
        </w:rPr>
      </w:pPr>
      <w:bookmarkStart w:id="66" w:name="_Toc15396631"/>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66"/>
    </w:p>
    <w:p>
      <w:pPr>
        <w:rPr>
          <w:rFonts w:eastAsia="仿宋"/>
        </w:rPr>
      </w:pPr>
      <w:r>
        <w:rPr>
          <w:rStyle w:val="25"/>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04CBBE-B631-4234-9741-F50B9ECE8C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4DAC5993-9DFA-4C60-9398-31539C7139A3}"/>
  </w:font>
  <w:font w:name="Cambria">
    <w:panose1 w:val="02040503050406030204"/>
    <w:charset w:val="00"/>
    <w:family w:val="roman"/>
    <w:pitch w:val="default"/>
    <w:sig w:usb0="E00006FF" w:usb1="400004FF" w:usb2="00000000" w:usb3="00000000" w:csb0="2000019F" w:csb1="00000000"/>
    <w:embedRegular r:id="rId3" w:fontKey="{0F67B291-D79D-40E1-889C-C2ECC5D4B79E}"/>
  </w:font>
  <w:font w:name="仿宋_GB2312">
    <w:panose1 w:val="02010609030101010101"/>
    <w:charset w:val="86"/>
    <w:family w:val="modern"/>
    <w:pitch w:val="default"/>
    <w:sig w:usb0="00000001" w:usb1="080E0000" w:usb2="00000000" w:usb3="00000000" w:csb0="00040000" w:csb1="00000000"/>
    <w:embedRegular r:id="rId4" w:fontKey="{CE69068F-B445-4C91-AA26-F3A2DD22362A}"/>
  </w:font>
  <w:font w:name="仿宋">
    <w:panose1 w:val="02010609060101010101"/>
    <w:charset w:val="86"/>
    <w:family w:val="modern"/>
    <w:pitch w:val="default"/>
    <w:sig w:usb0="800002BF" w:usb1="38CF7CFA" w:usb2="00000016" w:usb3="00000000" w:csb0="00040001" w:csb1="00000000"/>
    <w:embedRegular r:id="rId5" w:fontKey="{D10E1ABD-9283-4CD0-8727-BD1C3CDFDAEA}"/>
  </w:font>
  <w:font w:name="方正小标宋简体">
    <w:panose1 w:val="03000509000000000000"/>
    <w:charset w:val="86"/>
    <w:family w:val="script"/>
    <w:pitch w:val="default"/>
    <w:sig w:usb0="00000001" w:usb1="080E0000" w:usb2="00000000" w:usb3="00000000" w:csb0="00040000" w:csb1="00000000"/>
    <w:embedRegular r:id="rId6" w:fontKey="{27E383F5-33A9-4346-8834-8BB8C95F8A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FA12DB4"/>
    <w:multiLevelType w:val="multilevel"/>
    <w:tmpl w:val="1FA12DB4"/>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NjU4ZWMyNzRjNWRkODQwMDZiZGE1MWU4ZTU3OW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6DDA"/>
    <w:rsid w:val="001877A7"/>
    <w:rsid w:val="00191536"/>
    <w:rsid w:val="00196687"/>
    <w:rsid w:val="001C0962"/>
    <w:rsid w:val="001C78E4"/>
    <w:rsid w:val="001D7531"/>
    <w:rsid w:val="001E737D"/>
    <w:rsid w:val="001F0592"/>
    <w:rsid w:val="001F7506"/>
    <w:rsid w:val="002006CD"/>
    <w:rsid w:val="00202B36"/>
    <w:rsid w:val="00204B7A"/>
    <w:rsid w:val="00204CDE"/>
    <w:rsid w:val="0021101A"/>
    <w:rsid w:val="00220536"/>
    <w:rsid w:val="00235629"/>
    <w:rsid w:val="00260C38"/>
    <w:rsid w:val="002616C0"/>
    <w:rsid w:val="002637F1"/>
    <w:rsid w:val="00265372"/>
    <w:rsid w:val="002662AA"/>
    <w:rsid w:val="00280496"/>
    <w:rsid w:val="002932FA"/>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41F6"/>
    <w:rsid w:val="00406254"/>
    <w:rsid w:val="004223DE"/>
    <w:rsid w:val="00434489"/>
    <w:rsid w:val="00437085"/>
    <w:rsid w:val="00443880"/>
    <w:rsid w:val="004464F4"/>
    <w:rsid w:val="00471401"/>
    <w:rsid w:val="00473F31"/>
    <w:rsid w:val="0048263A"/>
    <w:rsid w:val="00487E5D"/>
    <w:rsid w:val="004A711F"/>
    <w:rsid w:val="004B199D"/>
    <w:rsid w:val="004B4690"/>
    <w:rsid w:val="004B6A5C"/>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E2FB6"/>
    <w:rsid w:val="005E7185"/>
    <w:rsid w:val="005F1A4C"/>
    <w:rsid w:val="00605688"/>
    <w:rsid w:val="006070AF"/>
    <w:rsid w:val="00607E6C"/>
    <w:rsid w:val="006101B1"/>
    <w:rsid w:val="00613135"/>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D40B7"/>
    <w:rsid w:val="006F020C"/>
    <w:rsid w:val="00711EDA"/>
    <w:rsid w:val="007127B7"/>
    <w:rsid w:val="0071798E"/>
    <w:rsid w:val="007416B6"/>
    <w:rsid w:val="00746F48"/>
    <w:rsid w:val="0075404D"/>
    <w:rsid w:val="0076182A"/>
    <w:rsid w:val="00765E8E"/>
    <w:rsid w:val="00767B7E"/>
    <w:rsid w:val="007770C3"/>
    <w:rsid w:val="00784D24"/>
    <w:rsid w:val="00785FBA"/>
    <w:rsid w:val="00786E4A"/>
    <w:rsid w:val="007875EB"/>
    <w:rsid w:val="00793792"/>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3F31"/>
    <w:rsid w:val="008C4DB1"/>
    <w:rsid w:val="008C4EAF"/>
    <w:rsid w:val="008C5176"/>
    <w:rsid w:val="008C7FD0"/>
    <w:rsid w:val="008E1DE7"/>
    <w:rsid w:val="008E707C"/>
    <w:rsid w:val="008F594E"/>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F7D"/>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A1A98"/>
    <w:rsid w:val="00AB4D69"/>
    <w:rsid w:val="00AB5CA3"/>
    <w:rsid w:val="00AB64C9"/>
    <w:rsid w:val="00AC3C6A"/>
    <w:rsid w:val="00AD5620"/>
    <w:rsid w:val="00AD656B"/>
    <w:rsid w:val="00AD7C1B"/>
    <w:rsid w:val="00AE16BA"/>
    <w:rsid w:val="00AE1EBE"/>
    <w:rsid w:val="00B03C9D"/>
    <w:rsid w:val="00B060AE"/>
    <w:rsid w:val="00B10517"/>
    <w:rsid w:val="00B14E76"/>
    <w:rsid w:val="00B161B8"/>
    <w:rsid w:val="00B2048C"/>
    <w:rsid w:val="00B22FFB"/>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BF7D16"/>
    <w:rsid w:val="00C03E31"/>
    <w:rsid w:val="00C33E72"/>
    <w:rsid w:val="00C354B2"/>
    <w:rsid w:val="00C35554"/>
    <w:rsid w:val="00C42709"/>
    <w:rsid w:val="00C5270F"/>
    <w:rsid w:val="00C533CC"/>
    <w:rsid w:val="00C5751C"/>
    <w:rsid w:val="00C61BFC"/>
    <w:rsid w:val="00C62B85"/>
    <w:rsid w:val="00C65438"/>
    <w:rsid w:val="00C87FD8"/>
    <w:rsid w:val="00C9130F"/>
    <w:rsid w:val="00C91381"/>
    <w:rsid w:val="00C91CBB"/>
    <w:rsid w:val="00CB4E70"/>
    <w:rsid w:val="00CC09B6"/>
    <w:rsid w:val="00CC666F"/>
    <w:rsid w:val="00CD1E3F"/>
    <w:rsid w:val="00CE44F6"/>
    <w:rsid w:val="00CE49DA"/>
    <w:rsid w:val="00CE7B61"/>
    <w:rsid w:val="00D00095"/>
    <w:rsid w:val="00D114F0"/>
    <w:rsid w:val="00D16F3C"/>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15BD"/>
    <w:rsid w:val="00E07ACF"/>
    <w:rsid w:val="00E331A1"/>
    <w:rsid w:val="00E33202"/>
    <w:rsid w:val="00E336A9"/>
    <w:rsid w:val="00E472B1"/>
    <w:rsid w:val="00E50624"/>
    <w:rsid w:val="00E5621A"/>
    <w:rsid w:val="00E568DF"/>
    <w:rsid w:val="00E64269"/>
    <w:rsid w:val="00E82267"/>
    <w:rsid w:val="00E853CE"/>
    <w:rsid w:val="00E867B6"/>
    <w:rsid w:val="00EA010F"/>
    <w:rsid w:val="00EA3662"/>
    <w:rsid w:val="00ED1B63"/>
    <w:rsid w:val="00ED3C1F"/>
    <w:rsid w:val="00ED4085"/>
    <w:rsid w:val="00ED420E"/>
    <w:rsid w:val="00ED6FBE"/>
    <w:rsid w:val="00EE2F57"/>
    <w:rsid w:val="00EF4C34"/>
    <w:rsid w:val="00EF5AA3"/>
    <w:rsid w:val="00EF77C6"/>
    <w:rsid w:val="00F05438"/>
    <w:rsid w:val="00F1361C"/>
    <w:rsid w:val="00F156F0"/>
    <w:rsid w:val="00F160C7"/>
    <w:rsid w:val="00F2408F"/>
    <w:rsid w:val="00F240E9"/>
    <w:rsid w:val="00F36D8F"/>
    <w:rsid w:val="00F417B1"/>
    <w:rsid w:val="00F45853"/>
    <w:rsid w:val="00F54C07"/>
    <w:rsid w:val="00F602DF"/>
    <w:rsid w:val="00F647E2"/>
    <w:rsid w:val="00F65795"/>
    <w:rsid w:val="00F754A1"/>
    <w:rsid w:val="00F81FD9"/>
    <w:rsid w:val="00F841AA"/>
    <w:rsid w:val="00F84A94"/>
    <w:rsid w:val="00F87E96"/>
    <w:rsid w:val="00FA23E8"/>
    <w:rsid w:val="00FD3CC1"/>
    <w:rsid w:val="00FF1E02"/>
    <w:rsid w:val="00FF30B4"/>
    <w:rsid w:val="01951B01"/>
    <w:rsid w:val="01A61946"/>
    <w:rsid w:val="0A2032A3"/>
    <w:rsid w:val="0B8A37D8"/>
    <w:rsid w:val="0DD609B5"/>
    <w:rsid w:val="101664C4"/>
    <w:rsid w:val="10C055FF"/>
    <w:rsid w:val="118107EC"/>
    <w:rsid w:val="11DD6519"/>
    <w:rsid w:val="15944689"/>
    <w:rsid w:val="16BB723D"/>
    <w:rsid w:val="18015F3F"/>
    <w:rsid w:val="1B711DA8"/>
    <w:rsid w:val="1BE8440E"/>
    <w:rsid w:val="1D155CEE"/>
    <w:rsid w:val="20F57F95"/>
    <w:rsid w:val="231A56F4"/>
    <w:rsid w:val="240371BF"/>
    <w:rsid w:val="25C741E6"/>
    <w:rsid w:val="277B190D"/>
    <w:rsid w:val="27842671"/>
    <w:rsid w:val="288C2C67"/>
    <w:rsid w:val="29F94C3C"/>
    <w:rsid w:val="29FD04D3"/>
    <w:rsid w:val="2ABE7A3E"/>
    <w:rsid w:val="2EFA178C"/>
    <w:rsid w:val="2F4E6864"/>
    <w:rsid w:val="30B46D73"/>
    <w:rsid w:val="319F7F4E"/>
    <w:rsid w:val="3532368F"/>
    <w:rsid w:val="39AE70AB"/>
    <w:rsid w:val="3C0C0783"/>
    <w:rsid w:val="3F9F3A96"/>
    <w:rsid w:val="493C27E9"/>
    <w:rsid w:val="496F39ED"/>
    <w:rsid w:val="49FF41D3"/>
    <w:rsid w:val="4BE068DB"/>
    <w:rsid w:val="4BF6002B"/>
    <w:rsid w:val="4ECE2238"/>
    <w:rsid w:val="51DB4B86"/>
    <w:rsid w:val="55333C3E"/>
    <w:rsid w:val="58711EEA"/>
    <w:rsid w:val="64CA39A1"/>
    <w:rsid w:val="687C269F"/>
    <w:rsid w:val="6C4A05C8"/>
    <w:rsid w:val="6DA96067"/>
    <w:rsid w:val="72734D90"/>
    <w:rsid w:val="7732217D"/>
    <w:rsid w:val="79E7B28D"/>
    <w:rsid w:val="7B84284C"/>
    <w:rsid w:val="7CAB4F22"/>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autoRedefine/>
    <w:unhideWhenUsed/>
    <w:qFormat/>
    <w:uiPriority w:val="9"/>
    <w:pPr>
      <w:keepNext/>
      <w:keepLines/>
      <w:spacing w:before="260" w:after="260" w:line="416" w:lineRule="auto"/>
      <w:outlineLvl w:val="2"/>
    </w:pPr>
    <w:rPr>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1"/>
    <w:autoRedefine/>
    <w:qFormat/>
    <w:uiPriority w:val="99"/>
    <w:pPr>
      <w:spacing w:beforeLines="30"/>
    </w:pPr>
    <w:rPr>
      <w:rFonts w:ascii="仿宋_GB2312" w:eastAsia="仿宋_GB2312"/>
      <w:kern w:val="0"/>
      <w:sz w:val="30"/>
    </w:rPr>
  </w:style>
  <w:style w:type="paragraph" w:styleId="6">
    <w:name w:val="toc 3"/>
    <w:basedOn w:val="1"/>
    <w:next w:val="1"/>
    <w:autoRedefine/>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autoRedefine/>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autoRedefine/>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autoRedefine/>
    <w:qFormat/>
    <w:locked/>
    <w:uiPriority w:val="99"/>
    <w:rPr>
      <w:rFonts w:ascii="仿宋_GB2312" w:hAnsi="Times New Roman" w:eastAsia="仿宋_GB2312"/>
      <w:sz w:val="24"/>
    </w:rPr>
  </w:style>
  <w:style w:type="paragraph" w:customStyle="1" w:styleId="22">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autoRedefine/>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autoRedefine/>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autoRedefine/>
    <w:semiHidden/>
    <w:qFormat/>
    <w:uiPriority w:val="99"/>
    <w:rPr>
      <w:rFonts w:ascii="Times New Roman" w:hAnsi="Times New Roman"/>
      <w:kern w:val="2"/>
      <w:sz w:val="18"/>
      <w:szCs w:val="18"/>
    </w:rPr>
  </w:style>
  <w:style w:type="character" w:customStyle="1" w:styleId="28">
    <w:name w:val="标题 3 Char"/>
    <w:basedOn w:val="13"/>
    <w:link w:val="5"/>
    <w:autoRedefine/>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file:///D:\Users\Administrator\Desktop\&#30011;&#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Administrator\Desktop\&#30011;&#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Administrator\Desktop\&#30011;&#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Administrator\Desktop\&#30011;&#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Administrator\Desktop\&#30011;&#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Administrator\Desktop\&#30011;&#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收、支决算总计变动情况图 </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Sheet1!$B$4:$B$7</c:f>
              <c:strCache>
                <c:ptCount val="4"/>
                <c:pt idx="0">
                  <c:v>本年收入</c:v>
                </c:pt>
                <c:pt idx="1">
                  <c:v>本年支出</c:v>
                </c:pt>
                <c:pt idx="2">
                  <c:v>上年收入</c:v>
                </c:pt>
                <c:pt idx="3">
                  <c:v>上年支出</c:v>
                </c:pt>
              </c:strCache>
            </c:strRef>
          </c:cat>
          <c:val>
            <c:numRef>
              <c:f>Sheet1!$C$4:$C$7</c:f>
              <c:numCache>
                <c:formatCode>General</c:formatCode>
                <c:ptCount val="4"/>
                <c:pt idx="0">
                  <c:v>832.13</c:v>
                </c:pt>
                <c:pt idx="1">
                  <c:v>832.13</c:v>
                </c:pt>
                <c:pt idx="2">
                  <c:v>743.270000000001</c:v>
                </c:pt>
                <c:pt idx="3">
                  <c:v>743.270000000001</c:v>
                </c:pt>
              </c:numCache>
            </c:numRef>
          </c:val>
        </c:ser>
        <c:dLbls>
          <c:showLegendKey val="0"/>
          <c:showVal val="1"/>
          <c:showCatName val="0"/>
          <c:showSerName val="0"/>
          <c:showPercent val="0"/>
          <c:showBubbleSize val="0"/>
        </c:dLbls>
        <c:gapWidth val="219"/>
        <c:overlap val="-27"/>
        <c:axId val="80448128"/>
        <c:axId val="80498688"/>
      </c:barChart>
      <c:catAx>
        <c:axId val="8044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80498688"/>
        <c:crosses val="autoZero"/>
        <c:auto val="1"/>
        <c:lblAlgn val="ctr"/>
        <c:lblOffset val="100"/>
        <c:noMultiLvlLbl val="0"/>
      </c:catAx>
      <c:valAx>
        <c:axId val="804986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80448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收入决算结构图</a:t>
            </a:r>
            <a:endParaRPr lang="zh-CN" altLang="en-US"/>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dPt>
          <c:dLbls>
            <c:dLbl>
              <c:idx val="1"/>
              <c:layout>
                <c:manualLayout>
                  <c:x val="-0.0525374212727963"/>
                  <c:y val="0.060500723176679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77691019067452"/>
                  <c:y val="0.048391514198406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3175" cap="flat" cmpd="sng" algn="ctr">
                      <a:solidFill>
                        <a:srgbClr val="969696"/>
                      </a:solidFill>
                      <a:prstDash val="solid"/>
                      <a:round/>
                    </a:ln>
                  </c:spPr>
                </c15:leaderLines>
              </c:ext>
            </c:extLst>
          </c:dLbls>
          <c:cat>
            <c:strRef>
              <c:f>Sheet1!$P$18:$P$20</c:f>
              <c:strCache>
                <c:ptCount val="1"/>
                <c:pt idx="0">
                  <c:v>一般财政拨款收入</c:v>
                </c:pt>
              </c:strCache>
            </c:strRef>
          </c:cat>
          <c:val>
            <c:numRef>
              <c:f>Sheet1!$Q$18:$Q$20</c:f>
              <c:numCache>
                <c:formatCode>General</c:formatCode>
                <c:ptCount val="3"/>
                <c:pt idx="0">
                  <c:v>832.13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支出决算结构图</a:t>
            </a:r>
            <a:endParaRPr lang="zh-CN" altLang="en-US"/>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3175" cap="flat" cmpd="sng" algn="ctr">
                      <a:solidFill>
                        <a:srgbClr val="969696"/>
                      </a:solidFill>
                      <a:prstDash val="solid"/>
                      <a:round/>
                    </a:ln>
                  </c:spPr>
                </c15:leaderLines>
              </c:ext>
            </c:extLst>
          </c:dLbls>
          <c:cat>
            <c:strRef>
              <c:f>Sheet1!$P$13:$P$14</c:f>
              <c:strCache>
                <c:ptCount val="2"/>
                <c:pt idx="0">
                  <c:v>基本支出</c:v>
                </c:pt>
                <c:pt idx="1">
                  <c:v>项目支出</c:v>
                </c:pt>
              </c:strCache>
            </c:strRef>
          </c:cat>
          <c:val>
            <c:numRef>
              <c:f>Sheet1!$Q$13:$Q$14</c:f>
              <c:numCache>
                <c:formatCode>General</c:formatCode>
                <c:ptCount val="2"/>
                <c:pt idx="0">
                  <c:v>832.13</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财政拨款收、支决算总计变动情况</a:t>
            </a:r>
            <a:endParaRPr lang="zh-CN" altLang="en-US"/>
          </a:p>
        </c:rich>
      </c:tx>
      <c:layout>
        <c:manualLayout>
          <c:xMode val="edge"/>
          <c:yMode val="edge"/>
          <c:x val="0.00416666666666667"/>
          <c:y val="0.00694605232692754"/>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Sheet1!$P$6:$P$7</c:f>
              <c:strCache>
                <c:ptCount val="2"/>
                <c:pt idx="0">
                  <c:v>2021财政拨款收、支总计</c:v>
                </c:pt>
                <c:pt idx="1">
                  <c:v>2020财政拨款收、支总计</c:v>
                </c:pt>
              </c:strCache>
            </c:strRef>
          </c:cat>
          <c:val>
            <c:numRef>
              <c:f>Sheet1!$Q$6:$Q$7</c:f>
              <c:numCache>
                <c:formatCode>General</c:formatCode>
                <c:ptCount val="2"/>
                <c:pt idx="0">
                  <c:v>832.13</c:v>
                </c:pt>
                <c:pt idx="1">
                  <c:v>743.18</c:v>
                </c:pt>
              </c:numCache>
            </c:numRef>
          </c:val>
        </c:ser>
        <c:dLbls>
          <c:showLegendKey val="0"/>
          <c:showVal val="1"/>
          <c:showCatName val="0"/>
          <c:showSerName val="0"/>
          <c:showPercent val="0"/>
          <c:showBubbleSize val="0"/>
        </c:dLbls>
        <c:gapWidth val="219"/>
        <c:overlap val="-27"/>
        <c:axId val="90495232"/>
        <c:axId val="92226304"/>
      </c:barChart>
      <c:catAx>
        <c:axId val="90495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92226304"/>
        <c:crosses val="autoZero"/>
        <c:auto val="1"/>
        <c:lblAlgn val="ctr"/>
        <c:lblOffset val="100"/>
        <c:noMultiLvlLbl val="0"/>
      </c:catAx>
      <c:valAx>
        <c:axId val="922263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90495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一般公共预算财政拨款支出决算变动情况</a:t>
            </a:r>
            <a:endParaRPr lang="zh-CN" altLang="en-US"/>
          </a:p>
        </c:rich>
      </c:tx>
      <c:layout>
        <c:manualLayout>
          <c:xMode val="edge"/>
          <c:yMode val="edge"/>
          <c:x val="0.0856104626563796"/>
          <c:y val="0.0296393589099236"/>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Sheet1!$B$12:$B$13</c:f>
              <c:strCache>
                <c:ptCount val="2"/>
                <c:pt idx="0">
                  <c:v>2020一般公共预算财政拨款支出</c:v>
                </c:pt>
                <c:pt idx="1">
                  <c:v>2021一般公共预算财政拨款支出</c:v>
                </c:pt>
              </c:strCache>
            </c:strRef>
          </c:cat>
          <c:val>
            <c:numRef>
              <c:f>Sheet1!$C$12:$C$13</c:f>
              <c:numCache>
                <c:formatCode>General</c:formatCode>
                <c:ptCount val="2"/>
                <c:pt idx="0">
                  <c:v>743.18</c:v>
                </c:pt>
                <c:pt idx="1">
                  <c:v>832.13</c:v>
                </c:pt>
              </c:numCache>
            </c:numRef>
          </c:val>
        </c:ser>
        <c:dLbls>
          <c:showLegendKey val="0"/>
          <c:showVal val="1"/>
          <c:showCatName val="0"/>
          <c:showSerName val="0"/>
          <c:showPercent val="0"/>
          <c:showBubbleSize val="0"/>
        </c:dLbls>
        <c:gapWidth val="219"/>
        <c:overlap val="-27"/>
        <c:axId val="100232192"/>
        <c:axId val="101307136"/>
      </c:barChart>
      <c:catAx>
        <c:axId val="10023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01307136"/>
        <c:crosses val="autoZero"/>
        <c:auto val="1"/>
        <c:lblAlgn val="ctr"/>
        <c:lblOffset val="100"/>
        <c:noMultiLvlLbl val="0"/>
      </c:catAx>
      <c:valAx>
        <c:axId val="1013071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00232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一般公共预算财政拨款支出决算结构</a:t>
            </a:r>
            <a:endParaRPr lang="zh-CN" altLang="en-US"/>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3175" cap="flat" cmpd="sng" algn="ctr">
                      <a:solidFill>
                        <a:srgbClr val="969696"/>
                      </a:solidFill>
                      <a:prstDash val="solid"/>
                      <a:round/>
                    </a:ln>
                  </c:spPr>
                </c15:leaderLines>
              </c:ext>
            </c:extLst>
          </c:dLbls>
          <c:cat>
            <c:strRef>
              <c:f>Sheet1!$B$25:$B$28</c:f>
              <c:strCache>
                <c:ptCount val="4"/>
                <c:pt idx="0">
                  <c:v>教育支出</c:v>
                </c:pt>
                <c:pt idx="1">
                  <c:v>社会保障和就业</c:v>
                </c:pt>
                <c:pt idx="2">
                  <c:v>卫生健康支出</c:v>
                </c:pt>
                <c:pt idx="3">
                  <c:v>住房保障支出</c:v>
                </c:pt>
              </c:strCache>
            </c:strRef>
          </c:cat>
          <c:val>
            <c:numRef>
              <c:f>Sheet1!$C$25:$C$28</c:f>
              <c:numCache>
                <c:formatCode>General</c:formatCode>
                <c:ptCount val="4"/>
                <c:pt idx="0">
                  <c:v>1831.75</c:v>
                </c:pt>
                <c:pt idx="1">
                  <c:v>282.64</c:v>
                </c:pt>
                <c:pt idx="2">
                  <c:v>144.69</c:v>
                </c:pt>
                <c:pt idx="3">
                  <c:v>235.33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7067</Words>
  <Characters>7455</Characters>
  <Lines>61</Lines>
  <Paragraphs>17</Paragraphs>
  <TotalTime>0</TotalTime>
  <ScaleCrop>false</ScaleCrop>
  <LinksUpToDate>false</LinksUpToDate>
  <CharactersWithSpaces>7584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2024-05-07T01:17:00Z</dcterms:modified>
  <dc:title>四川省***</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1AAA849FDAEB40C0A517496192F6A096_13</vt:lpwstr>
  </property>
</Properties>
</file>