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77425"/>
      <w:bookmarkStart w:id="4" w:name="_Toc15396597"/>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77426"/>
      <w:bookmarkStart w:id="10" w:name="_Toc15396598"/>
      <w:bookmarkStart w:id="11" w:name="_Toc15306268"/>
      <w:r>
        <w:rPr>
          <w:rFonts w:hint="eastAsia" w:ascii="方正小标宋简体" w:hAnsi="方正小标宋简体" w:eastAsia="方正小标宋简体" w:cs="方正小标宋简体"/>
          <w:sz w:val="72"/>
          <w:szCs w:val="72"/>
        </w:rPr>
        <w:t>攀枝花市西区文化馆（西区文物保护中心）单位决算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公开时间：2023年10月30日</w:t>
      </w:r>
    </w:p>
    <w:p/>
    <w:p>
      <w:pPr>
        <w:pStyle w:val="10"/>
        <w:adjustRightInd w:val="0"/>
        <w:snapToGrid w:val="0"/>
        <w:spacing w:before="0" w:line="440" w:lineRule="exact"/>
        <w:jc w:val="left"/>
        <w:rPr>
          <w:rFonts w:hint="eastAsia" w:ascii="Times New Roman" w:hAnsi="Times New Roman" w:eastAsia="宋体" w:cstheme="minorBidi"/>
          <w:sz w:val="24"/>
          <w:szCs w:val="24"/>
          <w:lang w:eastAsia="zh-CN"/>
        </w:rPr>
      </w:pPr>
      <w:r>
        <w:rPr>
          <w:rFonts w:hint="eastAsia" w:ascii="Times New Roman" w:hAnsi="Times New Roman" w:eastAsia="宋体"/>
          <w:sz w:val="24"/>
          <w:lang w:eastAsia="zh-CN"/>
        </w:rPr>
        <w:t>一、</w:t>
      </w:r>
      <w:r>
        <w:rPr>
          <w:rFonts w:hint="eastAsia" w:ascii="Times New Roman" w:hAnsi="Times New Roman" w:eastAsia="宋体"/>
          <w:sz w:val="24"/>
        </w:rPr>
        <w:t>单位概况</w:t>
      </w:r>
      <w:r>
        <w:rPr>
          <w:rFonts w:ascii="Times New Roman" w:hAnsi="Times New Roman" w:eastAsia="宋体" w:cstheme="minorBidi"/>
          <w:sz w:val="24"/>
          <w:szCs w:val="24"/>
        </w:rPr>
        <w:tab/>
      </w:r>
      <w:r>
        <w:rPr>
          <w:rFonts w:hint="eastAsia" w:ascii="Times New Roman" w:hAnsi="Times New Roman" w:eastAsia="宋体" w:cstheme="minorBidi"/>
          <w:sz w:val="24"/>
          <w:szCs w:val="24"/>
          <w:lang w:val="en-US" w:eastAsia="zh-CN"/>
        </w:rPr>
        <w:t>1</w:t>
      </w:r>
    </w:p>
    <w:p>
      <w:pPr>
        <w:pStyle w:val="11"/>
        <w:adjustRightInd w:val="0"/>
        <w:snapToGrid w:val="0"/>
        <w:spacing w:line="440" w:lineRule="exact"/>
        <w:jc w:val="left"/>
        <w:rPr>
          <w:rFonts w:hint="eastAsia" w:ascii="Times New Roman" w:hAnsi="Times New Roman" w:eastAsia="宋体"/>
          <w:sz w:val="24"/>
          <w:lang w:eastAsia="zh-CN"/>
        </w:rPr>
      </w:pPr>
      <w:r>
        <w:rPr>
          <w:rFonts w:hint="eastAsia"/>
          <w:sz w:val="24"/>
          <w:lang w:eastAsia="zh-CN"/>
        </w:rPr>
        <w:t>（一）</w:t>
      </w:r>
      <w:r>
        <w:rPr>
          <w:rFonts w:hint="eastAsia" w:ascii="Times New Roman" w:hAnsi="Times New Roman" w:eastAsia="宋体"/>
          <w:sz w:val="24"/>
        </w:rPr>
        <w:t>主要职责</w:t>
      </w:r>
      <w:r>
        <w:rPr>
          <w:rFonts w:ascii="Times New Roman" w:hAnsi="Times New Roman" w:eastAsia="宋体" w:cstheme="minorBidi"/>
          <w:sz w:val="24"/>
        </w:rPr>
        <w:tab/>
      </w:r>
      <w:r>
        <w:rPr>
          <w:rFonts w:hint="eastAsia" w:cstheme="minorBidi"/>
          <w:sz w:val="24"/>
          <w:lang w:val="en-US" w:eastAsia="zh-CN"/>
        </w:rPr>
        <w:t>1</w:t>
      </w:r>
    </w:p>
    <w:p>
      <w:pPr>
        <w:pStyle w:val="11"/>
        <w:adjustRightInd w:val="0"/>
        <w:snapToGrid w:val="0"/>
        <w:spacing w:line="440" w:lineRule="exact"/>
        <w:jc w:val="left"/>
        <w:rPr>
          <w:rFonts w:hint="eastAsia" w:ascii="Times New Roman" w:hAnsi="Times New Roman" w:eastAsia="宋体"/>
          <w:lang w:eastAsia="zh-CN"/>
        </w:rPr>
      </w:pPr>
      <w:r>
        <w:rPr>
          <w:rFonts w:hint="eastAsia"/>
          <w:sz w:val="24"/>
          <w:lang w:eastAsia="zh-CN"/>
        </w:rPr>
        <w:t>（二）</w:t>
      </w:r>
      <w:r>
        <w:rPr>
          <w:rFonts w:hint="eastAsia" w:ascii="Times New Roman" w:hAnsi="Times New Roman" w:eastAsia="宋体"/>
          <w:sz w:val="24"/>
        </w:rPr>
        <w:t>机构设置</w:t>
      </w:r>
      <w:r>
        <w:rPr>
          <w:rFonts w:ascii="Times New Roman" w:hAnsi="Times New Roman" w:eastAsia="宋体" w:cstheme="minorBidi"/>
          <w:sz w:val="24"/>
        </w:rPr>
        <w:tab/>
      </w:r>
      <w:r>
        <w:rPr>
          <w:rFonts w:hint="eastAsia" w:cstheme="minorBidi"/>
          <w:sz w:val="24"/>
          <w:lang w:val="en-US" w:eastAsia="zh-CN"/>
        </w:rPr>
        <w:t>1</w:t>
      </w:r>
    </w:p>
    <w:p>
      <w:pPr>
        <w:pStyle w:val="10"/>
        <w:adjustRightInd w:val="0"/>
        <w:snapToGrid w:val="0"/>
        <w:spacing w:before="0" w:line="440" w:lineRule="exact"/>
        <w:jc w:val="left"/>
        <w:rPr>
          <w:rFonts w:hint="eastAsia" w:ascii="Times New Roman" w:hAnsi="Times New Roman" w:eastAsia="宋体"/>
          <w:sz w:val="24"/>
          <w:szCs w:val="24"/>
          <w:lang w:eastAsia="zh-CN"/>
        </w:rPr>
      </w:pPr>
      <w:r>
        <w:rPr>
          <w:rFonts w:hint="eastAsia" w:ascii="Times New Roman" w:hAnsi="Times New Roman" w:eastAsia="宋体"/>
          <w:sz w:val="24"/>
          <w:lang w:eastAsia="zh-CN"/>
        </w:rPr>
        <w:t>二、</w:t>
      </w:r>
      <w:r>
        <w:rPr>
          <w:rFonts w:hint="eastAsia" w:ascii="Times New Roman" w:hAnsi="Times New Roman" w:eastAsia="宋体"/>
          <w:sz w:val="24"/>
        </w:rPr>
        <w:t xml:space="preserve"> 2022年度单位决算情况说明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（一）</w:t>
      </w:r>
      <w:r>
        <w:rPr>
          <w:rFonts w:hint="eastAsia" w:ascii="Times New Roman" w:hAnsi="Times New Roman" w:eastAsia="宋体"/>
          <w:sz w:val="24"/>
        </w:rPr>
        <w:t>收入支出决算总体情况说明</w:t>
      </w:r>
      <w:r>
        <w:rPr>
          <w:rFonts w:ascii="Times New Roman" w:hAnsi="Times New Roman" w:eastAsia="宋体" w:cstheme="minorBidi"/>
          <w:sz w:val="24"/>
        </w:rPr>
        <w:tab/>
      </w:r>
      <w:r>
        <w:rPr>
          <w:rFonts w:hint="eastAsia"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（二）</w:t>
      </w:r>
      <w:r>
        <w:rPr>
          <w:rFonts w:hint="eastAsia" w:ascii="Times New Roman" w:hAnsi="Times New Roman" w:eastAsia="宋体"/>
          <w:sz w:val="24"/>
        </w:rPr>
        <w:t>收入决算情况说明</w:t>
      </w:r>
      <w:r>
        <w:rPr>
          <w:rFonts w:ascii="Times New Roman" w:hAnsi="Times New Roman" w:eastAsia="宋体" w:cstheme="minorBidi"/>
          <w:sz w:val="24"/>
        </w:rPr>
        <w:tab/>
      </w:r>
      <w:r>
        <w:rPr>
          <w:rFonts w:hint="eastAsia"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（三）</w:t>
      </w:r>
      <w:r>
        <w:rPr>
          <w:rFonts w:hint="eastAsia" w:ascii="Times New Roman" w:hAnsi="Times New Roman" w:eastAsia="宋体"/>
          <w:sz w:val="24"/>
        </w:rPr>
        <w:t>支出决算情况说明</w:t>
      </w:r>
      <w:r>
        <w:rPr>
          <w:rFonts w:ascii="Times New Roman" w:hAnsi="Times New Roman" w:eastAsia="宋体" w:cstheme="minorBidi"/>
          <w:sz w:val="24"/>
        </w:rPr>
        <w:tab/>
      </w:r>
      <w:r>
        <w:rPr>
          <w:rFonts w:hint="eastAsia"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（四）</w:t>
      </w:r>
      <w:r>
        <w:rPr>
          <w:rFonts w:hint="eastAsia" w:ascii="Times New Roman" w:hAnsi="Times New Roman" w:eastAsia="宋体"/>
          <w:sz w:val="24"/>
        </w:rPr>
        <w:t>财政拨款收入支出决算总体情况说明</w:t>
      </w:r>
      <w:r>
        <w:rPr>
          <w:rFonts w:ascii="Times New Roman" w:hAnsi="Times New Roman" w:eastAsia="宋体" w:cstheme="minorBidi"/>
          <w:sz w:val="24"/>
        </w:rPr>
        <w:tab/>
      </w:r>
      <w:r>
        <w:rPr>
          <w:rFonts w:hint="eastAsia"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（五）</w:t>
      </w:r>
      <w:r>
        <w:rPr>
          <w:rFonts w:hint="eastAsia" w:ascii="Times New Roman" w:hAnsi="Times New Roman" w:eastAsia="宋体"/>
          <w:sz w:val="24"/>
        </w:rPr>
        <w:t>一般公共预算财政拨款支出决算情况说明</w:t>
      </w:r>
      <w:r>
        <w:rPr>
          <w:rFonts w:ascii="Times New Roman" w:hAnsi="Times New Roman" w:eastAsia="宋体" w:cstheme="minorBidi"/>
          <w:sz w:val="24"/>
        </w:rPr>
        <w:tab/>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cstheme="minorBidi"/>
          <w:sz w:val="24"/>
        </w:rPr>
      </w:pPr>
      <w:r>
        <w:rPr>
          <w:rFonts w:hint="eastAsia"/>
          <w:sz w:val="24"/>
          <w:lang w:eastAsia="zh-CN"/>
        </w:rPr>
        <w:t>（六）</w:t>
      </w:r>
      <w:r>
        <w:rPr>
          <w:rFonts w:hint="eastAsia" w:ascii="Times New Roman" w:hAnsi="Times New Roman" w:eastAsia="宋体"/>
          <w:sz w:val="24"/>
        </w:rPr>
        <w:t>一般公共预算财政拨款基本支出决算情况说明</w:t>
      </w:r>
      <w:r>
        <w:rPr>
          <w:rFonts w:ascii="Times New Roman" w:hAnsi="Times New Roman" w:eastAsia="宋体" w:cstheme="minorBidi"/>
          <w:sz w:val="24"/>
        </w:rPr>
        <w:tab/>
      </w:r>
      <w:r>
        <w:rPr>
          <w:rFonts w:hint="eastAsia" w:cstheme="minorBidi"/>
          <w:sz w:val="24"/>
          <w:lang w:val="en-US" w:eastAsia="zh-CN"/>
        </w:rPr>
        <w:t>6</w:t>
      </w:r>
    </w:p>
    <w:p>
      <w:pPr>
        <w:pStyle w:val="11"/>
        <w:adjustRightInd w:val="0"/>
        <w:snapToGrid w:val="0"/>
        <w:spacing w:line="440" w:lineRule="exact"/>
        <w:jc w:val="left"/>
        <w:rPr>
          <w:rFonts w:ascii="Times New Roman" w:hAnsi="Times New Roman" w:eastAsia="宋体" w:cstheme="minorBidi"/>
          <w:sz w:val="24"/>
        </w:rPr>
      </w:pPr>
      <w:r>
        <w:rPr>
          <w:rFonts w:hint="eastAsia"/>
          <w:sz w:val="24"/>
          <w:lang w:eastAsia="zh-CN"/>
        </w:rPr>
        <w:t>（七）</w:t>
      </w:r>
      <w:r>
        <w:rPr>
          <w:rFonts w:hint="eastAsia" w:ascii="Times New Roman" w:hAnsi="Times New Roman" w:eastAsia="宋体"/>
          <w:sz w:val="24"/>
        </w:rPr>
        <w:t>财政拨款“三公”经费支出决算情况说明</w:t>
      </w:r>
      <w:r>
        <w:rPr>
          <w:rFonts w:ascii="Times New Roman" w:hAnsi="Times New Roman" w:eastAsia="宋体"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（八）</w:t>
      </w:r>
      <w:r>
        <w:rPr>
          <w:rFonts w:hint="eastAsia" w:ascii="Times New Roman" w:hAnsi="Times New Roman" w:eastAsia="宋体"/>
          <w:sz w:val="24"/>
        </w:rPr>
        <w:t>政府性基金预算支出决算情况说明</w:t>
      </w:r>
      <w:r>
        <w:rPr>
          <w:rFonts w:ascii="Times New Roman" w:hAnsi="Times New Roman" w:eastAsia="宋体" w:cstheme="minorBidi"/>
          <w:sz w:val="24"/>
        </w:rPr>
        <w:tab/>
      </w:r>
      <w:r>
        <w:rPr>
          <w:rFonts w:hint="eastAsia" w:cstheme="minorBidi"/>
          <w:sz w:val="24"/>
          <w:lang w:val="en-US" w:eastAsia="zh-CN"/>
        </w:rPr>
        <w:t>8</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（九）</w:t>
      </w:r>
      <w:r>
        <w:rPr>
          <w:rFonts w:hint="eastAsia" w:ascii="Times New Roman" w:hAnsi="Times New Roman" w:eastAsia="宋体"/>
          <w:sz w:val="24"/>
        </w:rPr>
        <w:t>国有资本经营预算支出决算情况说明</w:t>
      </w:r>
      <w:r>
        <w:rPr>
          <w:rFonts w:ascii="Times New Roman" w:hAnsi="Times New Roman" w:eastAsia="宋体" w:cstheme="minorBidi"/>
          <w:sz w:val="24"/>
        </w:rPr>
        <w:tab/>
      </w:r>
      <w:r>
        <w:rPr>
          <w:rFonts w:hint="eastAsia" w:cstheme="minorBidi"/>
          <w:sz w:val="24"/>
          <w:lang w:val="en-US" w:eastAsia="zh-CN"/>
        </w:rPr>
        <w:t>8</w:t>
      </w:r>
    </w:p>
    <w:p>
      <w:pPr>
        <w:pStyle w:val="11"/>
        <w:adjustRightInd w:val="0"/>
        <w:snapToGrid w:val="0"/>
        <w:spacing w:line="440" w:lineRule="exact"/>
        <w:jc w:val="left"/>
        <w:rPr>
          <w:rFonts w:hint="eastAsia" w:ascii="Times New Roman" w:hAnsi="Times New Roman" w:eastAsia="宋体"/>
          <w:sz w:val="24"/>
          <w:lang w:eastAsia="zh-CN"/>
        </w:rPr>
      </w:pPr>
      <w:r>
        <w:rPr>
          <w:rFonts w:hint="eastAsia"/>
          <w:sz w:val="24"/>
          <w:lang w:eastAsia="zh-CN"/>
        </w:rPr>
        <w:t>（十）</w:t>
      </w:r>
      <w:r>
        <w:rPr>
          <w:rFonts w:hint="eastAsia" w:ascii="Times New Roman" w:hAnsi="Times New Roman" w:eastAsia="宋体"/>
          <w:sz w:val="24"/>
        </w:rPr>
        <w:t>其他重要事项的情况说明</w:t>
      </w:r>
      <w:r>
        <w:rPr>
          <w:rFonts w:ascii="Times New Roman" w:hAnsi="Times New Roman" w:eastAsia="宋体" w:cstheme="minorBidi"/>
          <w:sz w:val="24"/>
        </w:rPr>
        <w:tab/>
      </w:r>
      <w:r>
        <w:rPr>
          <w:rFonts w:hint="eastAsia" w:cstheme="minorBidi"/>
          <w:sz w:val="24"/>
          <w:lang w:val="en-US" w:eastAsia="zh-CN"/>
        </w:rPr>
        <w:t>8</w:t>
      </w:r>
    </w:p>
    <w:p>
      <w:pPr>
        <w:pStyle w:val="10"/>
        <w:adjustRightInd w:val="0"/>
        <w:snapToGrid w:val="0"/>
        <w:spacing w:before="0" w:line="440" w:lineRule="exact"/>
        <w:jc w:val="left"/>
        <w:rPr>
          <w:rFonts w:ascii="Times New Roman" w:hAnsi="Times New Roman" w:eastAsia="宋体" w:cstheme="minorBidi"/>
          <w:sz w:val="24"/>
          <w:szCs w:val="24"/>
        </w:rPr>
      </w:pPr>
      <w:r>
        <w:rPr>
          <w:rFonts w:hint="eastAsia" w:ascii="Times New Roman" w:hAnsi="Times New Roman" w:eastAsia="宋体"/>
          <w:sz w:val="24"/>
          <w:lang w:eastAsia="zh-CN"/>
        </w:rPr>
        <w:t>三、</w:t>
      </w:r>
      <w:r>
        <w:rPr>
          <w:rFonts w:hint="eastAsia" w:ascii="Times New Roman" w:hAnsi="Times New Roman" w:eastAsia="宋体"/>
          <w:sz w:val="24"/>
        </w:rPr>
        <w:t>名词解释</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0</w:t>
      </w:r>
    </w:p>
    <w:p>
      <w:pPr>
        <w:pStyle w:val="10"/>
        <w:adjustRightInd w:val="0"/>
        <w:snapToGrid w:val="0"/>
        <w:spacing w:before="0" w:line="440" w:lineRule="exact"/>
        <w:jc w:val="left"/>
        <w:rPr>
          <w:rFonts w:hint="default" w:ascii="Times New Roman" w:hAnsi="Times New Roman" w:eastAsia="宋体" w:cstheme="minorBidi"/>
          <w:sz w:val="24"/>
          <w:szCs w:val="24"/>
          <w:lang w:val="en-US" w:eastAsia="zh-CN"/>
        </w:rPr>
      </w:pPr>
      <w:r>
        <w:rPr>
          <w:rFonts w:hint="eastAsia" w:ascii="Times New Roman" w:hAnsi="Times New Roman" w:eastAsia="宋体"/>
          <w:sz w:val="24"/>
          <w:lang w:eastAsia="zh-CN"/>
        </w:rPr>
        <w:t>四、</w:t>
      </w:r>
      <w:r>
        <w:rPr>
          <w:rFonts w:hint="eastAsia" w:ascii="Times New Roman" w:hAnsi="Times New Roman" w:eastAsia="宋体"/>
          <w:sz w:val="24"/>
        </w:rPr>
        <w:t>附件</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13</w:t>
      </w:r>
    </w:p>
    <w:p>
      <w:pPr>
        <w:pStyle w:val="10"/>
        <w:adjustRightInd w:val="0"/>
        <w:snapToGrid w:val="0"/>
        <w:spacing w:before="0" w:line="440" w:lineRule="exact"/>
        <w:jc w:val="left"/>
        <w:rPr>
          <w:rFonts w:ascii="Times New Roman" w:hAnsi="Times New Roman" w:eastAsia="宋体" w:cstheme="minorBidi"/>
          <w:sz w:val="24"/>
          <w:szCs w:val="24"/>
        </w:rPr>
      </w:pPr>
      <w:r>
        <w:rPr>
          <w:rFonts w:hint="eastAsia" w:ascii="Times New Roman" w:hAnsi="Times New Roman" w:eastAsia="宋体"/>
          <w:sz w:val="24"/>
          <w:lang w:eastAsia="zh-CN"/>
        </w:rPr>
        <w:t>五、</w:t>
      </w:r>
      <w:r>
        <w:rPr>
          <w:rFonts w:hint="eastAsia" w:ascii="Times New Roman" w:hAnsi="Times New Roman" w:eastAsia="宋体"/>
          <w:sz w:val="24"/>
        </w:rPr>
        <w:t>附表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（一）</w:t>
      </w:r>
      <w:r>
        <w:rPr>
          <w:rFonts w:hint="eastAsia" w:ascii="Times New Roman" w:hAnsi="Times New Roman" w:eastAsia="宋体"/>
          <w:sz w:val="24"/>
        </w:rPr>
        <w:t>收入支出决算总表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（二）</w:t>
      </w:r>
      <w:r>
        <w:rPr>
          <w:rFonts w:hint="eastAsia" w:ascii="Times New Roman" w:hAnsi="Times New Roman" w:eastAsia="宋体"/>
          <w:sz w:val="24"/>
        </w:rPr>
        <w:t>收入决算表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（三）</w:t>
      </w:r>
      <w:r>
        <w:rPr>
          <w:rFonts w:hint="eastAsia" w:ascii="Times New Roman" w:hAnsi="Times New Roman" w:eastAsia="宋体"/>
          <w:sz w:val="24"/>
        </w:rPr>
        <w:t>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（四）</w:t>
      </w:r>
      <w:r>
        <w:rPr>
          <w:rFonts w:hint="eastAsia" w:ascii="Times New Roman" w:hAnsi="Times New Roman" w:eastAsia="宋体"/>
          <w:sz w:val="24"/>
        </w:rPr>
        <w:t>财政拨款收入支出决算总表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（五）</w:t>
      </w:r>
      <w:r>
        <w:rPr>
          <w:rFonts w:hint="eastAsia" w:ascii="Times New Roman" w:hAnsi="Times New Roman" w:eastAsia="宋体"/>
          <w:sz w:val="24"/>
        </w:rPr>
        <w:t>财政拨款支出决算明细表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（六）</w:t>
      </w:r>
      <w:r>
        <w:rPr>
          <w:rFonts w:hint="eastAsia" w:ascii="Times New Roman" w:hAnsi="Times New Roman" w:eastAsia="宋体"/>
          <w:sz w:val="24"/>
        </w:rPr>
        <w:t>一般公共预算财政拨款支出决算表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（七）</w:t>
      </w:r>
      <w:r>
        <w:rPr>
          <w:rFonts w:hint="eastAsia" w:ascii="Times New Roman" w:hAnsi="Times New Roman" w:eastAsia="宋体"/>
          <w:sz w:val="24"/>
        </w:rPr>
        <w:t>一般公共预算财政拨款支出决算明细表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（八）</w:t>
      </w:r>
      <w:r>
        <w:rPr>
          <w:rFonts w:hint="eastAsia" w:ascii="Times New Roman" w:hAnsi="Times New Roman" w:eastAsia="宋体"/>
          <w:sz w:val="24"/>
        </w:rPr>
        <w:t>一般公共预算财政拨款基本支出决算明细表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（九）</w:t>
      </w:r>
      <w:r>
        <w:rPr>
          <w:rFonts w:hint="eastAsia" w:ascii="Times New Roman" w:hAnsi="Times New Roman" w:eastAsia="宋体"/>
          <w:sz w:val="24"/>
        </w:rPr>
        <w:t>一般公共预算财政拨款项目支出决算表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w:t>
      </w:r>
      <w:r>
        <w:rPr>
          <w:rFonts w:hint="eastAsia" w:ascii="Times New Roman" w:hAnsi="Times New Roman" w:eastAsia="宋体"/>
          <w:sz w:val="24"/>
        </w:rPr>
        <w:t>政府性基金预算财政拨款收入支出决算表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（十一）</w:t>
      </w:r>
      <w:r>
        <w:rPr>
          <w:rFonts w:hint="eastAsia" w:ascii="Times New Roman" w:hAnsi="Times New Roman" w:eastAsia="宋体"/>
          <w:sz w:val="24"/>
        </w:rPr>
        <w:t>国有资本经营预算财政拨款收入支出决算表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（十二）</w:t>
      </w:r>
      <w:r>
        <w:rPr>
          <w:rFonts w:hint="eastAsia" w:ascii="Times New Roman" w:hAnsi="Times New Roman" w:eastAsia="宋体"/>
          <w:sz w:val="24"/>
        </w:rPr>
        <w:t>国有资本经营预算财政拨款支出决算表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（十三）</w:t>
      </w:r>
      <w:r>
        <w:rPr>
          <w:rFonts w:hint="eastAsia" w:ascii="Times New Roman" w:hAnsi="Times New Roman" w:eastAsia="宋体"/>
          <w:sz w:val="24"/>
        </w:rPr>
        <w:t>财政拨款“三公”经费支出决算表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cstheme="minorBidi"/>
          <w:sz w:val="24"/>
          <w:lang w:val="en-US" w:eastAsia="zh-CN"/>
        </w:rPr>
        <w:t>4</w:t>
      </w:r>
      <w:bookmarkStart w:id="67" w:name="_GoBack"/>
      <w:bookmarkEnd w:id="67"/>
    </w:p>
    <w:p>
      <w:pPr>
        <w:widowControl/>
        <w:spacing w:line="440" w:lineRule="exact"/>
        <w:jc w:val="left"/>
        <w:rPr>
          <w:rFonts w:ascii="仿宋" w:hAnsi="仿宋" w:eastAsia="仿宋"/>
          <w:sz w:val="24"/>
        </w:rPr>
      </w:pPr>
      <w:bookmarkStart w:id="12" w:name="_Toc15396599"/>
      <w:bookmarkStart w:id="13" w:name="_Toc15377196"/>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hint="eastAsia" w:ascii="黑体" w:hAnsi="黑体" w:eastAsia="黑体"/>
          <w:b w:val="0"/>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pPr>
        <w:pStyle w:val="3"/>
        <w:jc w:val="center"/>
        <w:rPr>
          <w:rFonts w:ascii="黑体" w:hAnsi="黑体" w:eastAsia="黑体"/>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一、主要职责</w:t>
      </w:r>
    </w:p>
    <w:p>
      <w:pPr>
        <w:spacing w:line="353" w:lineRule="auto"/>
        <w:rPr>
          <w:rFonts w:eastAsia="仿宋"/>
          <w:sz w:val="32"/>
          <w:szCs w:val="32"/>
        </w:rPr>
      </w:pPr>
      <w:r>
        <w:rPr>
          <w:rFonts w:hint="eastAsia" w:eastAsia="仿宋"/>
          <w:sz w:val="32"/>
          <w:szCs w:val="32"/>
        </w:rPr>
        <w:t xml:space="preserve">    </w:t>
      </w:r>
      <w:r>
        <w:rPr>
          <w:rFonts w:ascii="仿宋" w:hAnsi="仿宋" w:eastAsia="仿宋"/>
          <w:sz w:val="32"/>
          <w:szCs w:val="32"/>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r>
        <w:rPr>
          <w:rFonts w:eastAsia="仿宋"/>
          <w:sz w:val="32"/>
          <w:szCs w:val="32"/>
        </w:rPr>
        <w:t>。</w:t>
      </w:r>
    </w:p>
    <w:p>
      <w:pPr>
        <w:pStyle w:val="4"/>
        <w:rPr>
          <w:rFonts w:ascii="黑体" w:hAnsi="黑体" w:eastAsia="黑体"/>
          <w:b w:val="0"/>
        </w:rPr>
      </w:pPr>
      <w:r>
        <w:rPr>
          <w:rFonts w:hint="eastAsia" w:ascii="黑体" w:hAnsi="黑体" w:eastAsia="黑体"/>
          <w:b w:val="0"/>
        </w:rPr>
        <w:t>二、机构设置</w:t>
      </w:r>
    </w:p>
    <w:bookmarkEnd w:id="14"/>
    <w:bookmarkEnd w:id="15"/>
    <w:p>
      <w:pPr>
        <w:pStyle w:val="2"/>
        <w:adjustRightInd w:val="0"/>
        <w:snapToGrid w:val="0"/>
        <w:spacing w:before="93" w:line="353" w:lineRule="auto"/>
        <w:ind w:firstLine="640" w:firstLineChars="200"/>
        <w:rPr>
          <w:rFonts w:ascii="Times New Roman" w:eastAsia="仿宋"/>
          <w:sz w:val="32"/>
          <w:szCs w:val="32"/>
        </w:rPr>
      </w:pPr>
      <w:r>
        <w:rPr>
          <w:rFonts w:hint="eastAsia" w:ascii="Times New Roman" w:eastAsia="仿宋"/>
          <w:sz w:val="32"/>
          <w:szCs w:val="32"/>
        </w:rPr>
        <w:t>西区文化馆（西区文物保护中心）</w:t>
      </w:r>
      <w:r>
        <w:rPr>
          <w:rFonts w:ascii="Times New Roman" w:eastAsia="仿宋"/>
          <w:sz w:val="32"/>
          <w:szCs w:val="32"/>
        </w:rPr>
        <w:t>下属二级单位0个，其中行政单位0个，参照公务员法管理的事业单位0个，其他事业单位0个。</w:t>
      </w:r>
    </w:p>
    <w:p>
      <w:pPr>
        <w:widowControl/>
        <w:jc w:val="left"/>
        <w:rPr>
          <w:rFonts w:ascii="仿宋" w:hAnsi="仿宋" w:eastAsia="仿宋"/>
          <w:kern w:val="0"/>
          <w:sz w:val="32"/>
          <w:szCs w:val="32"/>
        </w:rPr>
      </w:pPr>
      <w:r>
        <w:rPr>
          <w:rFonts w:hint="eastAsia" w:eastAsia="仿宋"/>
          <w:sz w:val="32"/>
          <w:szCs w:val="32"/>
        </w:rPr>
        <w:t xml:space="preserve">    </w:t>
      </w:r>
      <w:r>
        <w:rPr>
          <w:rFonts w:eastAsia="仿宋"/>
          <w:sz w:val="32"/>
          <w:szCs w:val="32"/>
        </w:rPr>
        <w:t>纳入</w:t>
      </w:r>
      <w:r>
        <w:rPr>
          <w:rFonts w:hint="eastAsia" w:eastAsia="仿宋"/>
          <w:sz w:val="32"/>
          <w:szCs w:val="32"/>
        </w:rPr>
        <w:t>西区文化馆（西区文物保护中心）</w:t>
      </w:r>
      <w:r>
        <w:rPr>
          <w:rFonts w:eastAsia="仿宋"/>
          <w:sz w:val="32"/>
          <w:szCs w:val="32"/>
        </w:rPr>
        <w:t>20</w:t>
      </w:r>
      <w:r>
        <w:rPr>
          <w:rFonts w:hint="eastAsia" w:eastAsia="仿宋"/>
          <w:sz w:val="32"/>
          <w:szCs w:val="32"/>
        </w:rPr>
        <w:t>22</w:t>
      </w:r>
      <w:r>
        <w:rPr>
          <w:rFonts w:eastAsia="仿宋"/>
          <w:sz w:val="32"/>
          <w:szCs w:val="32"/>
        </w:rPr>
        <w:t>年度部门决算编制范围的二级预算单位</w:t>
      </w:r>
      <w:r>
        <w:rPr>
          <w:rFonts w:hint="eastAsia" w:eastAsia="仿宋"/>
          <w:sz w:val="32"/>
          <w:szCs w:val="32"/>
        </w:rPr>
        <w:t>无。</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2022年度收、支总计131.77万元。与2021年相比，收、支总计各减少21.74万元，下降14.16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762375" cy="2314575"/>
            <wp:effectExtent l="19050" t="0" r="9525" b="0"/>
            <wp:docPr id="4" name="图片 1" descr="C:\Users\Administrator\AppData\Roaming\Tencent\Users\248301485\QQ\WinTemp\RichOle\`ARNIYYU1[EQ~$@Z)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AppData\Roaming\Tencent\Users\248301485\QQ\WinTemp\RichOle\`ARNIYYU1[EQ~$@Z)B~}@~6.png"/>
                    <pic:cNvPicPr>
                      <a:picLocks noChangeAspect="1" noChangeArrowheads="1"/>
                    </pic:cNvPicPr>
                  </pic:nvPicPr>
                  <pic:blipFill>
                    <a:blip r:embed="rId7"/>
                    <a:srcRect/>
                    <a:stretch>
                      <a:fillRect/>
                    </a:stretch>
                  </pic:blipFill>
                  <pic:spPr>
                    <a:xfrm>
                      <a:off x="0" y="0"/>
                      <a:ext cx="3762375" cy="23145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22年本年收入合计131.77万元，其中：一般公共预算财政拨款收入131.77万元，占100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695575" cy="2371725"/>
            <wp:effectExtent l="19050" t="0" r="9525" b="0"/>
            <wp:docPr id="3" name="图片 3" descr="C:\Users\Administrator\AppData\Roaming\Tencent\Users\248301485\QQ\WinTemp\RichOle\15NC5C]]EB5WZ_5VT`I5X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15NC5C]]EB5WZ_5VT`I5XC7.png"/>
                    <pic:cNvPicPr>
                      <a:picLocks noChangeAspect="1" noChangeArrowheads="1"/>
                    </pic:cNvPicPr>
                  </pic:nvPicPr>
                  <pic:blipFill>
                    <a:blip r:embed="rId8"/>
                    <a:srcRect/>
                    <a:stretch>
                      <a:fillRect/>
                    </a:stretch>
                  </pic:blipFill>
                  <pic:spPr>
                    <a:xfrm>
                      <a:off x="0" y="0"/>
                      <a:ext cx="2695575" cy="23717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22年本年支出合计131.77万元，其中：基本支出111.5万元，占84.62</w:t>
      </w:r>
      <w:r>
        <w:rPr>
          <w:rFonts w:ascii="仿宋" w:hAnsi="仿宋" w:eastAsia="仿宋"/>
          <w:sz w:val="32"/>
          <w:szCs w:val="32"/>
        </w:rPr>
        <w:t>%</w:t>
      </w:r>
      <w:r>
        <w:rPr>
          <w:rFonts w:hint="eastAsia" w:ascii="仿宋" w:hAnsi="仿宋" w:eastAsia="仿宋"/>
          <w:sz w:val="32"/>
          <w:szCs w:val="32"/>
        </w:rPr>
        <w:t>；项目支出20.26万元，占15.38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667000" cy="2362200"/>
            <wp:effectExtent l="19050" t="0" r="0" b="0"/>
            <wp:docPr id="6" name="图片 3" descr="C:\Users\Administrator\AppData\Roaming\Tencent\Users\248301485\QQ\WinTemp\RichOle\0)K1RI[PMGMDF8R27I2AL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248301485\QQ\WinTemp\RichOle\0)K1RI[PMGMDF8R27I2ALQC.png"/>
                    <pic:cNvPicPr>
                      <a:picLocks noChangeAspect="1" noChangeArrowheads="1"/>
                    </pic:cNvPicPr>
                  </pic:nvPicPr>
                  <pic:blipFill>
                    <a:blip r:embed="rId9"/>
                    <a:srcRect/>
                    <a:stretch>
                      <a:fillRect/>
                    </a:stretch>
                  </pic:blipFill>
                  <pic:spPr>
                    <a:xfrm>
                      <a:off x="0" y="0"/>
                      <a:ext cx="2667000" cy="23622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22年财政拨款收、支总计131.77万元。与2021年相比，收、支总计各减少21.74万元，下降14.16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533775" cy="2352675"/>
            <wp:effectExtent l="19050" t="0" r="9525" b="0"/>
            <wp:docPr id="8" name="图片 5" descr="C:\Users\Administrator\AppData\Roaming\Tencent\Users\248301485\QQ\WinTemp\RichOle\)I$1_02Z@YSEBQ(QD31Y7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Administrator\AppData\Roaming\Tencent\Users\248301485\QQ\WinTemp\RichOle\)I$1_02Z@YSEBQ(QD31Y7YI.png"/>
                    <pic:cNvPicPr>
                      <a:picLocks noChangeAspect="1" noChangeArrowheads="1"/>
                    </pic:cNvPicPr>
                  </pic:nvPicPr>
                  <pic:blipFill>
                    <a:blip r:embed="rId10"/>
                    <a:srcRect/>
                    <a:stretch>
                      <a:fillRect/>
                    </a:stretch>
                  </pic:blipFill>
                  <pic:spPr>
                    <a:xfrm>
                      <a:off x="0" y="0"/>
                      <a:ext cx="3533775" cy="23526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22年一般公共预算财政拨款支出131.77万元，占本年支出合计的100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448050" cy="2409825"/>
            <wp:effectExtent l="19050" t="0" r="0" b="0"/>
            <wp:docPr id="10" name="图片 7" descr="C:\Users\Administrator\AppData\Roaming\Tencent\Users\248301485\QQ\WinTemp\RichOle\A1NMQC3IP_B34M}~G}(V{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Administrator\AppData\Roaming\Tencent\Users\248301485\QQ\WinTemp\RichOle\A1NMQC3IP_B34M}~G}(V{65.png"/>
                    <pic:cNvPicPr>
                      <a:picLocks noChangeAspect="1" noChangeArrowheads="1"/>
                    </pic:cNvPicPr>
                  </pic:nvPicPr>
                  <pic:blipFill>
                    <a:blip r:embed="rId11"/>
                    <a:srcRect/>
                    <a:stretch>
                      <a:fillRect/>
                    </a:stretch>
                  </pic:blipFill>
                  <pic:spPr>
                    <a:xfrm>
                      <a:off x="0" y="0"/>
                      <a:ext cx="3448050" cy="24098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22年一般公共预算财政拨款支出131.77万元，主要用于以下方面</w:t>
      </w:r>
      <w:r>
        <w:rPr>
          <w:rFonts w:ascii="仿宋" w:hAnsi="仿宋" w:eastAsia="仿宋"/>
          <w:sz w:val="32"/>
          <w:szCs w:val="32"/>
        </w:rPr>
        <w:t>:</w:t>
      </w:r>
      <w:r>
        <w:rPr>
          <w:rFonts w:hint="eastAsia" w:ascii="仿宋" w:hAnsi="仿宋" w:eastAsia="仿宋"/>
          <w:b/>
          <w:bCs/>
          <w:sz w:val="32"/>
          <w:szCs w:val="32"/>
        </w:rPr>
        <w:t>文化旅游体育与传媒支出107.85万元，占81.85</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10.6万元，占8.04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5.92万元，占4.49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7.39万元，占5.62</w:t>
      </w:r>
      <w:r>
        <w:rPr>
          <w:rFonts w:ascii="仿宋" w:hAnsi="仿宋" w:eastAsia="仿宋"/>
          <w:sz w:val="32"/>
          <w:szCs w:val="32"/>
        </w:rPr>
        <w:t>%</w:t>
      </w:r>
      <w:r>
        <w:rPr>
          <w:rFonts w:hint="eastAsia" w:ascii="仿宋" w:hAnsi="仿宋" w:eastAsia="仿宋"/>
          <w:sz w:val="32"/>
          <w:szCs w:val="32"/>
        </w:rPr>
        <w:t>。</w:t>
      </w:r>
    </w:p>
    <w:p>
      <w:pPr>
        <w:rPr>
          <w:rFonts w:ascii="宋体" w:hAnsi="宋体" w:cs="宋体"/>
          <w:kern w:val="0"/>
          <w:sz w:val="24"/>
        </w:rPr>
      </w:pPr>
    </w:p>
    <w:p>
      <w:pPr>
        <w:rPr>
          <w:rFonts w:ascii="宋体" w:hAnsi="宋体" w:cs="宋体"/>
          <w:kern w:val="0"/>
          <w:sz w:val="24"/>
        </w:rPr>
      </w:pP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rPr>
          <w:rFonts w:ascii="宋体" w:hAnsi="宋体" w:cs="宋体"/>
          <w:kern w:val="0"/>
          <w:sz w:val="24"/>
        </w:rPr>
        <w:drawing>
          <wp:inline distT="0" distB="0" distL="0" distR="0">
            <wp:extent cx="4038600" cy="2409825"/>
            <wp:effectExtent l="19050" t="0" r="0" b="0"/>
            <wp:docPr id="21" name="图片 21" descr="C:\Users\Administrator\AppData\Roaming\Tencent\Users\248301485\QQ\WinTemp\RichOle\7QLMWNQ%AQIM[R3ATBRX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Roaming\Tencent\Users\248301485\QQ\WinTemp\RichOle\7QLMWNQ%AQIM[R3ATBRXJ$K.png"/>
                    <pic:cNvPicPr>
                      <a:picLocks noChangeAspect="1" noChangeArrowheads="1"/>
                    </pic:cNvPicPr>
                  </pic:nvPicPr>
                  <pic:blipFill>
                    <a:blip r:embed="rId12"/>
                    <a:srcRect/>
                    <a:stretch>
                      <a:fillRect/>
                    </a:stretch>
                  </pic:blipFill>
                  <pic:spPr>
                    <a:xfrm>
                      <a:off x="0" y="0"/>
                      <a:ext cx="4038600" cy="24098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2022年一般公共预算支出决算数为131.77万元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color w:val="000000"/>
          <w:sz w:val="32"/>
          <w:szCs w:val="32"/>
        </w:rPr>
        <w:t>文化旅游体育与传媒支出（类）文化和旅游（款）群众文化</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支出决算为91.47万元，完成预算100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color w:val="000000"/>
          <w:sz w:val="32"/>
          <w:szCs w:val="32"/>
        </w:rPr>
        <w:t>文化旅游体育与传媒支出（类）其他文化旅游体育与传媒支出（款）其他文化旅游体育与传媒支出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支出决算为16.38万元，完成预算100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color w:val="000000"/>
          <w:sz w:val="32"/>
          <w:szCs w:val="32"/>
        </w:rPr>
        <w:t>社会保障和就业支出（类）行政事业单位养老支出（款）事业单位离退休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支出决算为4.07万元，完成预算100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社</w:t>
      </w:r>
      <w:r>
        <w:rPr>
          <w:rStyle w:val="14"/>
          <w:rFonts w:hint="eastAsia" w:ascii="仿宋" w:hAnsi="仿宋" w:eastAsia="仿宋"/>
          <w:bCs/>
          <w:color w:val="000000"/>
          <w:sz w:val="32"/>
          <w:szCs w:val="32"/>
        </w:rPr>
        <w:t>会保障和就业支出（类）行政事业单位养老支出（款）机关事业单位基本养老保险缴费支出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支出决算为6.53万元，完成预算100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支出决算为5.11万元，完成预算100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卫生健康支出（类）行政事业单位医疗（款）其他行政事业单位医疗支出（项）</w:t>
      </w:r>
      <w:r>
        <w:rPr>
          <w:rStyle w:val="14"/>
          <w:rFonts w:ascii="仿宋" w:hAnsi="仿宋" w:eastAsia="仿宋"/>
          <w:bCs/>
          <w:sz w:val="32"/>
          <w:szCs w:val="32"/>
        </w:rPr>
        <w:t>:</w:t>
      </w:r>
      <w:r>
        <w:rPr>
          <w:rStyle w:val="14"/>
          <w:rFonts w:hint="eastAsia" w:ascii="仿宋" w:hAnsi="仿宋" w:eastAsia="仿宋"/>
          <w:b w:val="0"/>
          <w:bCs/>
          <w:sz w:val="32"/>
          <w:szCs w:val="32"/>
        </w:rPr>
        <w:t>支出决算为0.81万元，完成预算100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支出决算为7.39万元，完成预算100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22年一般公共预算财政拨款基本支出111.5万元，其中：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107.64万元，主要包括：基本工资、津贴补贴、绩效工资、机关事业单位基本养老保险缴费、职工基本医疗保险缴费、公务员医疗补助缴费、其他社会保障缴费、其他工资福利支出、生活补助、住房公积金。</w:t>
      </w:r>
      <w:r>
        <w:rPr>
          <w:rFonts w:ascii="仿宋" w:hAnsi="仿宋" w:eastAsia="仿宋"/>
          <w:sz w:val="32"/>
          <w:szCs w:val="32"/>
        </w:rPr>
        <w:br w:type="textWrapping"/>
      </w:r>
      <w:r>
        <w:rPr>
          <w:rFonts w:hint="eastAsia" w:ascii="仿宋" w:hAnsi="仿宋" w:eastAsia="仿宋"/>
          <w:sz w:val="32"/>
          <w:szCs w:val="32"/>
        </w:rPr>
        <w:t>　　公用经费3.87万元，主要包括：办公费、咨询费、水费、电费、差旅费、劳务费、工会经费、福利费。</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 w:hAnsi="仿宋" w:eastAsia="仿宋"/>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22年政府性基金预算财政拨款支出0万元。</w:t>
      </w:r>
    </w:p>
    <w:p>
      <w:pPr>
        <w:numPr>
          <w:ilvl w:val="0"/>
          <w:numId w:val="2"/>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22年，西区文化馆（西区文物保护中心）</w:t>
      </w:r>
      <w:r>
        <w:rPr>
          <w:rFonts w:hint="eastAsia" w:ascii="仿宋" w:hAnsi="仿宋" w:eastAsia="仿宋"/>
          <w:sz w:val="32"/>
          <w:szCs w:val="32"/>
          <w:lang w:eastAsia="zh-CN"/>
        </w:rPr>
        <w:t>机关</w:t>
      </w:r>
      <w:r>
        <w:rPr>
          <w:rFonts w:hint="eastAsia" w:ascii="仿宋" w:hAnsi="仿宋" w:eastAsia="仿宋"/>
          <w:sz w:val="32"/>
          <w:szCs w:val="32"/>
        </w:rPr>
        <w:t>无运行经费。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22年，西区文化馆（西区文物保护中心）政府采购支出总额0万元，其中：政府采购货物支出0万元、政府采购工程支出0万元、政府采购服务支出0万元。授予中小企业合同金额0万元，占政府采购支出总额的0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日，西区文化馆（西区文物保护中心）共有车辆0辆，其中：主要领导干部用车0辆、机要通信用车0辆、应急保障用车0辆、其他用车0辆。单价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单位在2022年度预算编制阶段，组织对免费开放资金、苏铁剧场及文化活动进基层等18个项目开展了预算事前绩效评估，对18个项目编制了绩效目标，预算执行过程中，选取18个项目开展绩效监控，组织对0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经营收入：指事业单位在专业业务活动及其辅助活动之外开展非独立核算经营活动取得的收入。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其他收入：指单位取得的除上述收入以外的各项收入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5.使用非财政拨款结余：指事业单位使用以前年度积累的非财政拨款结余弥补当年收支差额的金额。</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年初结转和结余：指以前年度尚未完成、结转到本年按有关规定继续使用的资金。</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结余分配：指事业单位按照会计制度规定缴纳的所得税、提取的专用结余以及转入非财政拨款结余的金额等。</w:t>
      </w:r>
    </w:p>
    <w:p>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.年末结转和结余：指单位按有关规定结转到下年或以后年度继续使用的资金。</w:t>
      </w:r>
    </w:p>
    <w:p>
      <w:pPr>
        <w:pStyle w:val="22"/>
        <w:spacing w:line="560" w:lineRule="exact"/>
        <w:ind w:firstLine="640" w:firstLineChars="200"/>
        <w:rPr>
          <w:rFonts w:hAnsi="仿宋"/>
          <w:sz w:val="32"/>
          <w:szCs w:val="32"/>
        </w:rPr>
      </w:pPr>
      <w:r>
        <w:rPr>
          <w:rFonts w:hint="eastAsia" w:hAnsi="仿宋"/>
          <w:sz w:val="32"/>
          <w:szCs w:val="32"/>
        </w:rPr>
        <w:t>9.文化旅游体育与传媒支出（类）文化和旅游（款） 群众文化（项）：反映群众文化方面的支出,包括基层文化馆(站)、群众艺术馆支出等。</w:t>
      </w:r>
    </w:p>
    <w:p>
      <w:pPr>
        <w:pStyle w:val="22"/>
        <w:spacing w:line="560" w:lineRule="exact"/>
        <w:ind w:firstLine="640" w:firstLineChars="200"/>
        <w:rPr>
          <w:rFonts w:hAnsi="仿宋"/>
          <w:sz w:val="32"/>
          <w:szCs w:val="32"/>
        </w:rPr>
      </w:pPr>
      <w:r>
        <w:rPr>
          <w:rFonts w:hint="eastAsia" w:hAnsi="仿宋"/>
          <w:sz w:val="32"/>
          <w:szCs w:val="32"/>
        </w:rPr>
        <w:t xml:space="preserve">10.文化旅游体育与传媒支出（类）文化和旅游（款）其他文化和旅游支出（项）:反映除上述项目以外其他用于文化和旅游方面的支出。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11.文化旅游体育与传媒支出（类）其他文化旅游体育与传媒支出（款） 其他文化旅游体育与传媒支出（项）:反映除上述项目以外其他用于文化旅游体育与传媒方面的支出。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12.社会保障和就业（类）行政事业单位养老支出（款） 机关事业单位基本养老保险缴费支出（项）:指机关事业单 位实施养老保险制度由单位缴纳的基本养老保险费。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13.社会保障和就业（类）行政事业单位养老支出（款）机关事业单位职业年金缴费支出（项):反映机关事业单位实施养老保险制度由单位实际缴纳的职业年金支出。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14.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15.卫生健康支出（类）行政事业单位医疗（款）其他行政事业单位医疗支出（项）:反映财政部门安排的公务员医疗补助经费。 </w:t>
      </w:r>
    </w:p>
    <w:p>
      <w:pPr>
        <w:spacing w:line="600" w:lineRule="exact"/>
        <w:ind w:firstLine="640" w:firstLineChars="200"/>
        <w:rPr>
          <w:rFonts w:ascii="仿宋" w:hAnsi="仿宋" w:eastAsia="仿宋"/>
          <w:sz w:val="32"/>
          <w:szCs w:val="32"/>
        </w:rPr>
      </w:pPr>
      <w:r>
        <w:rPr>
          <w:rFonts w:hint="eastAsia" w:ascii="仿宋" w:hAnsi="仿宋" w:eastAsia="仿宋" w:cs="仿宋"/>
          <w:color w:val="000000"/>
          <w:kern w:val="0"/>
          <w:sz w:val="32"/>
          <w:szCs w:val="32"/>
        </w:rPr>
        <w:t>16.住房保障支出（类）住房改革支出（款）住房公积金（项）:指行政事业单位按人力资源和社会保障部、财政部规定的基本工资和津贴补贴以及规定比例为职工缴纳的住房公积金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项目支出：指在基本支出之外为完成特定行政任务和事业发展目标所发生的支出。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经营支出：指事业单位在专业业务活动及其辅助活动之外开展非独立核算经营活动发生的支出。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footerReference r:id="rId5" w:type="firs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7BD"/>
    <w:rsid w:val="000B6FF3"/>
    <w:rsid w:val="000C3467"/>
    <w:rsid w:val="000C3CA6"/>
    <w:rsid w:val="000D1267"/>
    <w:rsid w:val="000D1D50"/>
    <w:rsid w:val="000D5782"/>
    <w:rsid w:val="000E6613"/>
    <w:rsid w:val="000E7119"/>
    <w:rsid w:val="000F3D30"/>
    <w:rsid w:val="00114E9B"/>
    <w:rsid w:val="00123991"/>
    <w:rsid w:val="00141BE0"/>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40A7"/>
    <w:rsid w:val="001F7506"/>
    <w:rsid w:val="002006CD"/>
    <w:rsid w:val="00202B36"/>
    <w:rsid w:val="00204B7A"/>
    <w:rsid w:val="00204CDE"/>
    <w:rsid w:val="0021101A"/>
    <w:rsid w:val="002146A1"/>
    <w:rsid w:val="00220536"/>
    <w:rsid w:val="00233CE2"/>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27DFC"/>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72ED"/>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07A58"/>
    <w:rsid w:val="00512FDA"/>
    <w:rsid w:val="00520DA0"/>
    <w:rsid w:val="00553BD2"/>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71D5"/>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6D85"/>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54F4"/>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4A42"/>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E4E9C"/>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1D90"/>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24D8"/>
    <w:rsid w:val="00B77EA6"/>
    <w:rsid w:val="00B81598"/>
    <w:rsid w:val="00B841F1"/>
    <w:rsid w:val="00B9434A"/>
    <w:rsid w:val="00B944D6"/>
    <w:rsid w:val="00BB4DF0"/>
    <w:rsid w:val="00BC289F"/>
    <w:rsid w:val="00BC2D50"/>
    <w:rsid w:val="00BC5361"/>
    <w:rsid w:val="00BC5460"/>
    <w:rsid w:val="00BC6B50"/>
    <w:rsid w:val="00BD0E25"/>
    <w:rsid w:val="00BF5BD6"/>
    <w:rsid w:val="00C03E31"/>
    <w:rsid w:val="00C30A33"/>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0B"/>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403"/>
    <w:rsid w:val="00FD3CC1"/>
    <w:rsid w:val="00FE61F1"/>
    <w:rsid w:val="00FF1E02"/>
    <w:rsid w:val="00FF30B4"/>
    <w:rsid w:val="053A62B5"/>
    <w:rsid w:val="05D112B4"/>
    <w:rsid w:val="0A2032A3"/>
    <w:rsid w:val="0B8A37D8"/>
    <w:rsid w:val="10C055FF"/>
    <w:rsid w:val="118107EC"/>
    <w:rsid w:val="11DD6519"/>
    <w:rsid w:val="16BB723D"/>
    <w:rsid w:val="18015F3F"/>
    <w:rsid w:val="1BE8440E"/>
    <w:rsid w:val="1D155CEE"/>
    <w:rsid w:val="20F57F95"/>
    <w:rsid w:val="21A02CAF"/>
    <w:rsid w:val="240371BF"/>
    <w:rsid w:val="25711CC6"/>
    <w:rsid w:val="25C741E6"/>
    <w:rsid w:val="27842671"/>
    <w:rsid w:val="29FD04D3"/>
    <w:rsid w:val="2ABE7A3E"/>
    <w:rsid w:val="2CA234A8"/>
    <w:rsid w:val="2EFA178C"/>
    <w:rsid w:val="30B46D73"/>
    <w:rsid w:val="30D61A7F"/>
    <w:rsid w:val="319F7F4E"/>
    <w:rsid w:val="383D272C"/>
    <w:rsid w:val="39AE70AB"/>
    <w:rsid w:val="3C0C0783"/>
    <w:rsid w:val="3F9F3A96"/>
    <w:rsid w:val="48BF60AB"/>
    <w:rsid w:val="493C27E9"/>
    <w:rsid w:val="496F39ED"/>
    <w:rsid w:val="49FF41D3"/>
    <w:rsid w:val="4BE068DB"/>
    <w:rsid w:val="4BF6002B"/>
    <w:rsid w:val="4ECE2238"/>
    <w:rsid w:val="515135CA"/>
    <w:rsid w:val="51DB4B86"/>
    <w:rsid w:val="55333C3E"/>
    <w:rsid w:val="64CA39A1"/>
    <w:rsid w:val="66C90AEC"/>
    <w:rsid w:val="69630ADE"/>
    <w:rsid w:val="697369A6"/>
    <w:rsid w:val="6AE5781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4945</Words>
  <Characters>618</Characters>
  <Lines>5</Lines>
  <Paragraphs>11</Paragraphs>
  <TotalTime>5</TotalTime>
  <ScaleCrop>false</ScaleCrop>
  <LinksUpToDate>false</LinksUpToDate>
  <CharactersWithSpaces>5552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邓文婧(收文1)</cp:lastModifiedBy>
  <cp:lastPrinted>2023-10-30T09:14:00Z</cp:lastPrinted>
  <dcterms:modified xsi:type="dcterms:W3CDTF">2024-04-30T05:54:59Z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