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3" w:name="_GoBack"/>
      <w:bookmarkEnd w:id="73"/>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426"/>
      <w:bookmarkStart w:id="7" w:name="_Toc15396476"/>
      <w:bookmarkStart w:id="8" w:name="_Toc15377194"/>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攀枝花市第十初级中学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24</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r>
        <w:tab/>
      </w:r>
      <w:r>
        <w:rPr>
          <w:rFonts w:hint="eastAsia"/>
        </w:rPr>
        <w:t>4</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tab/>
      </w:r>
      <w:r>
        <w:rPr>
          <w:rFonts w:hint="eastAsia"/>
          <w:lang w:val="en-US" w:eastAsia="zh-CN"/>
        </w:rPr>
        <w:t>8</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第二部分度部门决算情况说明</w:t>
      </w:r>
      <w:r>
        <w:tab/>
      </w:r>
      <w:r>
        <w:rPr>
          <w:rFonts w:hint="eastAsia"/>
          <w:lang w:val="en-US" w:eastAsia="zh-CN"/>
        </w:rPr>
        <w:t>9</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tab/>
      </w:r>
      <w:r>
        <w:rPr>
          <w:rFonts w:hint="eastAsia"/>
          <w:lang w:val="en-US" w:eastAsia="zh-CN"/>
        </w:rPr>
        <w:t>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tab/>
      </w:r>
      <w:r>
        <w:rPr>
          <w:rFonts w:hint="eastAsia"/>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tab/>
      </w:r>
      <w:r>
        <w:rPr>
          <w:rFonts w:hint="eastAsia"/>
          <w:lang w:val="en-US" w:eastAsia="zh-CN"/>
        </w:rPr>
        <w:t>11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12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tab/>
      </w:r>
      <w:r>
        <w:rPr>
          <w:rFonts w:hint="eastAsia"/>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tab/>
      </w:r>
      <w:r>
        <w:rPr>
          <w:rFonts w:hint="eastAsia"/>
          <w:lang w:val="en-US" w:eastAsia="zh-CN"/>
        </w:rPr>
        <w:t>15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tab/>
      </w:r>
      <w:r>
        <w:rPr>
          <w:rFonts w:hint="eastAsia"/>
          <w:lang w:val="en-US" w:eastAsia="zh-CN"/>
        </w:rPr>
        <w:t>15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lang w:val="en-US" w:eastAsia="zh-CN"/>
        </w:rPr>
        <w:t>16</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tab/>
      </w:r>
      <w:r>
        <w:rPr>
          <w:rFonts w:hint="eastAsia"/>
          <w:lang w:val="en-US" w:eastAsia="zh-CN"/>
        </w:rPr>
        <w:t>16</w:t>
      </w:r>
    </w:p>
    <w:p>
      <w:pPr>
        <w:adjustRightInd w:val="0"/>
        <w:snapToGrid w:val="0"/>
        <w:spacing w:line="440" w:lineRule="exact"/>
        <w:ind w:firstLine="480" w:firstLineChars="200"/>
        <w:jc w:val="left"/>
        <w:rPr>
          <w:rFonts w:hint="default" w:ascii="仿宋" w:hAnsi="仿宋" w:eastAsia="宋体" w:cstheme="minorBidi"/>
          <w:sz w:val="24"/>
          <w:lang w:val="en-US" w:eastAsia="zh-CN"/>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r>
        <w:tab/>
      </w:r>
      <w:r>
        <w:rPr>
          <w:rFonts w:hint="eastAsia"/>
          <w:lang w:val="en-US" w:eastAsia="zh-CN"/>
        </w:rPr>
        <w:t xml:space="preserve">                                     16</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ascii="Times New Roman" w:hAnsi="Times New Roman" w:eastAsia="宋体" w:cs="Times New Roman"/>
          <w:kern w:val="2"/>
          <w:sz w:val="21"/>
          <w:szCs w:val="24"/>
          <w:lang w:val="en-US" w:eastAsia="zh-CN" w:bidi="ar-SA"/>
        </w:rPr>
        <w:t>20</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tab/>
      </w:r>
      <w:r>
        <w:rPr>
          <w:rFonts w:hint="eastAsia" w:ascii="Times New Roman" w:hAnsi="Times New Roman" w:eastAsia="宋体" w:cs="Times New Roman"/>
          <w:kern w:val="2"/>
          <w:sz w:val="21"/>
          <w:szCs w:val="24"/>
          <w:lang w:val="en-US" w:eastAsia="zh-CN" w:bidi="ar-SA"/>
        </w:rPr>
        <w:t>24</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tab/>
      </w:r>
      <w:r>
        <w:rPr>
          <w:rFonts w:hint="eastAsia"/>
          <w:lang w:val="en-US" w:eastAsia="zh-CN"/>
        </w:rPr>
        <w:t>24</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tab/>
      </w:r>
      <w:r>
        <w:rPr>
          <w:rFonts w:hint="eastAsia"/>
          <w:lang w:val="en-US" w:eastAsia="zh-CN"/>
        </w:rPr>
        <w:t>25</w:t>
      </w:r>
    </w:p>
    <w:p>
      <w:pPr>
        <w:pStyle w:val="10"/>
        <w:adjustRightInd w:val="0"/>
        <w:snapToGrid w:val="0"/>
        <w:spacing w:before="0" w:line="440" w:lineRule="exact"/>
        <w:jc w:val="left"/>
        <w:rPr>
          <w:rFonts w:hint="default" w:ascii="Times New Roman" w:hAnsi="Times New Roman" w:eastAsia="宋体" w:cs="Times New Roman"/>
          <w:kern w:val="2"/>
          <w:sz w:val="21"/>
          <w:szCs w:val="24"/>
          <w:lang w:val="en-US" w:eastAsia="zh-CN" w:bidi="ar-SA"/>
        </w:rPr>
      </w:pPr>
      <w:r>
        <w:rPr>
          <w:rFonts w:hint="eastAsia"/>
          <w:sz w:val="24"/>
        </w:rPr>
        <w:t>第五部分</w:t>
      </w:r>
      <w:r>
        <w:rPr>
          <w:sz w:val="24"/>
        </w:rPr>
        <w:t xml:space="preserve"> </w:t>
      </w:r>
      <w:r>
        <w:rPr>
          <w:rFonts w:hint="eastAsia"/>
          <w:sz w:val="24"/>
        </w:rPr>
        <w:t>附表</w:t>
      </w:r>
      <w: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一、收入支出决算总表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二、收入决算表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三、支出决算表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四、财政拨款收入支出决算总表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五、财政拨款支出决算明细表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七、一般公共预算财政拨款支出决算明细表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八、一般公共预算财政拨款基本支出决算表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rPr>
        <w:t>十、一般公共预算财政拨款“三公”经费支出决算表</w:t>
      </w:r>
      <w:r>
        <w:rPr>
          <w:rFonts w:hint="eastAsia"/>
          <w:sz w:val="24"/>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Times New Roman" w:hAnsi="Times New Roman" w:eastAsia="宋体" w:cs="Times New Roman"/>
          <w:kern w:val="2"/>
          <w:sz w:val="21"/>
          <w:szCs w:val="24"/>
          <w:lang w:val="en-US" w:eastAsia="zh-CN" w:bidi="ar-SA"/>
        </w:rPr>
      </w:pPr>
      <w:r>
        <w:rPr>
          <w:rFonts w:hint="eastAsia"/>
          <w:sz w:val="24"/>
          <w:lang w:val="en-US" w:eastAsia="zh-CN"/>
        </w:rPr>
        <w:t>十一、政府性基金预算财政拨款收入支出决算表</w:t>
      </w:r>
      <w:r>
        <w:rPr>
          <w:rFonts w:hint="eastAsia"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29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十二、政府性基金预算财政拨款“三公”经费支出决算表</w:t>
      </w:r>
      <w:r>
        <w:tab/>
      </w:r>
      <w:r>
        <w:rPr>
          <w:rFonts w:hint="eastAsia"/>
          <w:lang w:val="en-US" w:eastAsia="zh-CN"/>
        </w:rPr>
        <w:t>29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十三、</w:t>
      </w:r>
      <w:r>
        <w:rPr>
          <w:rFonts w:hint="eastAsia"/>
          <w:sz w:val="24"/>
        </w:rPr>
        <w:t>国有资本经营预算支出决算表</w:t>
      </w:r>
      <w:r>
        <w:tab/>
      </w:r>
      <w:r>
        <w:rPr>
          <w:rFonts w:hint="eastAsia"/>
          <w:lang w:val="en-US" w:eastAsia="zh-CN"/>
        </w:rPr>
        <w:t>29</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1、主要职能</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研究拟定全校教育发展战略法，贯彻执行党和国家的教育方针、政策、法规，贯彻区教体局的行政规章制度；研究拟定学校发展规划和年度计划，组织实施教育体制和办学体制改革，组织开展本校的教育教学科研和教育教学改革，科研兴教，科研兴校。负责对本校教育教学业务的具体管理，负责教育教学管理及教研教改工作，全力推进素质教育实施；管理学校基础教育工作，确保普及九年义务教育工作成果；管理学校教育经费，执行财务管理制度；负责和指导学校教职工的思想政治工作，规划学校品德教育、体育卫生教育、艺术教育和国防安全教育工作。</w:t>
      </w:r>
    </w:p>
    <w:p>
      <w:pPr>
        <w:numPr>
          <w:ilvl w:val="0"/>
          <w:numId w:val="1"/>
        </w:num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机构情况</w:t>
      </w:r>
    </w:p>
    <w:p>
      <w:pPr>
        <w:numPr>
          <w:ilvl w:val="0"/>
          <w:numId w:val="0"/>
        </w:numPr>
        <w:ind w:firstLine="640"/>
        <w:rPr>
          <w:rFonts w:hint="eastAsia" w:ascii="仿宋_GB2312" w:hAnsi="仿宋" w:eastAsia="仿宋_GB2312" w:cs="Times New Roman"/>
          <w:sz w:val="32"/>
          <w:szCs w:val="32"/>
          <w:lang w:val="en-US" w:eastAsia="zh-CN"/>
        </w:rPr>
      </w:pPr>
      <w:r>
        <w:rPr>
          <w:rFonts w:hint="eastAsia" w:ascii="仿宋_GB2312" w:hAnsi="仿宋" w:eastAsia="仿宋_GB2312"/>
          <w:sz w:val="32"/>
          <w:szCs w:val="32"/>
          <w:lang w:val="en-US" w:eastAsia="zh-CN"/>
        </w:rPr>
        <w:t>我校是一所义务教育阶段初中学校。2019年末，单位机构数为1，机构无增减变动。</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3、人员情况</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学校年末教职工人数102人，其中在编在岗98人（专业技术教师94人，工勤人员4人），政府临聘人员4人；上年末108人，本年内调入4人，调走3人，辞职4人，退休3人。</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党务工作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1、把党的政治建设摆在首位。抓好党章学习贯彻落地落实，加强本校区领导班子政治建设，加强党内政治文化建设。</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2、深入学习贯彻落实习近平新时代中国特色社会主义思想和党的十九大精神</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一是开展大规模学习培训工作。二是开展“不忘初心、牢记使命”主题教育。三是推进“两学一做”学习教育常态化制度化。</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3、扎实抓好校区党建工作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落实党建主体责任，执行局党委基层党建质量提升计划，落实党员发展教育管理基本制度，强化基层基础保障。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全力打好创建全国文明城市硬仗。实施信仰信念学习，全面准确把握思想精髓和核心要义，真正做到学懂弄通做实；深入开展“学党章党规、学系列讲话，做合格党员”学习教育；大力开展“中国梦”主题系列教育活动。扎实开展文明素质宣传教育活动；扎实开展“榜样力量”示范引领行动；扎实开展学雷锋志愿服务活动；扎实开展诚信制度化建设行动。</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5、把师德师风建设摆在教师队伍建设的首要位置</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开展各种形式的师德教育。加强教师党员队伍建设，落实全面从严治党要求，加强政治建设，用习近平新时代中国特色社会主义思想武装头脑，增强四个意识。提高思想政治素质，坚定“四个自信”。引导教师带头践行社会主义核心价值观，加强中华优秀传统文化和革命文化、社会主义先进文化教育。</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6、加强对外宣传营造良好氛围。做好宣传报道工作，全面推行校务公开党务公开，抓实意识形态工作。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7、加强对学校共青团、工会、妇联等群团组织的领导，调动相关干部的工作积极性和主动性，结合学校实际，创造性的开展好工作，促进学校改革发展。</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学校管理</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1.修订、完善各项管理规章制度。</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2.完善“学校党政统筹、部门和年级负责”的管理模式。</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3.严格执行教学常规检查制度。</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4.完善民主化、公开化的管理体制</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5.完善奖励性绩效工资的分配方案。</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6.全面提升基层党建工作质量。</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7.全力打好创建全国文明城市硬仗。</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师德师风    </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1.教育与处罚相结合。严格执行学校已制定的《师德师风考核办法》和上级部门对违反师德师风相关的处理文件，在评优、晋级、绩效工资考核、岗位设置等工作中师德师风将实行“一票否决”。</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2.积极开展师德师风专项教育活动。</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德育工作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1.班级及班主任的管理。</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2.学生行为习惯、思想品德教育。</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3.活动育人。</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（1）进一步以爱国主义教育为重点。充分利用重大节日、重要事件和重要人物纪念日，结合本土的民族文化、历史名人、革命传统等开展教育活动。</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（2）进一步规范学校心理咨询工作，开展经常性心理辅导活动。</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（3）加强学生“四自”教育，即“自我管理、自我教育、自我约束、自我服务”，开展“诚信”之人教育活动。</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4.德育科研。开好本学期的德育研讨会，加强班级管理经验交流，强化“立德树人”宗旨。把“管、卡、压、罚”向“疏、导、育、教”转变。</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5.共建共育。经常与共建共育单位合作，形成长效机制和教育合力。</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6.家长学校。认真开好多种形式的家长会。加强学校、社会、家庭之间的联系，进一步规划、建设好三结合教育网络。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7.住校生管理。加强对300名左右的住校生管理。</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教学教研</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1.教学管理</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（1）坚持每周一次教学工作会例会，教学管理人员深入教学第一线，每学期听课不少于40节；</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（2）加强教学管理。“向40分钟要质量”，抓好教学五认真，做到超周备课；坚持巡课制度与推门听课制度。</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（3）切实落实培优辅差。</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（4）规范“月考”工作。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（5）加强对毕业年级的质量监控。坚持学校领导“双包”（包年级、包毕业班级）制度；开好三个会（毕业年级领导小组工作会、毕业班家长会和毕业学生会）；突出抓好“三类”学生的辅导工作。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2.教师队伍建设。</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（1）结合新课程教学模式的实施，组织教师外出培训。</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（2）预计全年教师培训经费将达10万元。</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（3）开展教师“微课”赛课活动。</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（4）年轻教师进行师徒结对,进行青年教师赛课和献课活动，提高教法与学法的技能，力争早日成长为优秀的教师。</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3.教研科研工作。加强校本课题研究，推进国家、省、市、区级课题的研究工作。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4.课改工作。继续深入“练动主线”模式的“四练法”模式探究，积极推进“智慧课堂”建设。</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后勤服务</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1.巩固“城乡环境综合治理”成果，扎实做好“全国文明城市创建工作”。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2、做好“厕所革命”等校园环境卫生“净化、绿化、美化”工作，预防各种传染病发生。</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3、切实加强学校安全保卫工作。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4、改善办学条件。</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“安全隐患整治”（“校园文化建设”）</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其它工作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1.做好校务、财务管理。</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2.发挥好“体育特长”作用，积极适应中考“体考”改革。</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3.认真做好档案管理工作。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4.发挥好学校微信功能、加强宣传和对外交流工作。</w:t>
      </w:r>
    </w:p>
    <w:p>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5.积极开展“推普”工作。</w:t>
      </w:r>
    </w:p>
    <w:p>
      <w:pPr>
        <w:snapToGrid w:val="0"/>
        <w:spacing w:line="520" w:lineRule="exact"/>
        <w:ind w:firstLine="640" w:firstLineChars="200"/>
        <w:rPr>
          <w:rFonts w:hint="eastAsia" w:ascii="仿宋" w:hAnsi="仿宋" w:eastAsia="仿宋"/>
          <w:bCs/>
          <w:color w:val="000000"/>
          <w:sz w:val="32"/>
          <w:szCs w:val="32"/>
        </w:rPr>
      </w:pPr>
      <w:r>
        <w:rPr>
          <w:rFonts w:hint="eastAsia" w:ascii="仿宋_GB2312" w:hAnsi="仿宋" w:eastAsia="仿宋_GB2312" w:cs="Times New Roman"/>
          <w:sz w:val="32"/>
          <w:szCs w:val="32"/>
          <w:lang w:val="en-US" w:eastAsia="zh-CN"/>
        </w:rPr>
        <w:t>6.做好信访维稳等工作。</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val="en-US" w:eastAsia="zh-CN"/>
        </w:rPr>
        <w:t>攀枝花市第十初级中学</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0个</w:t>
      </w:r>
      <w:r>
        <w:rPr>
          <w:rFonts w:hint="eastAsia" w:ascii="仿宋" w:hAnsi="仿宋" w:eastAsia="仿宋"/>
          <w:sz w:val="32"/>
          <w:szCs w:val="32"/>
        </w:rPr>
        <w:t>，其他事业单位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val="en-US" w:eastAsia="zh-CN"/>
        </w:rPr>
        <w:t>攀枝花市第十初级中学</w:t>
      </w:r>
      <w:r>
        <w:rPr>
          <w:rFonts w:hint="eastAsia" w:ascii="仿宋" w:hAnsi="仿宋" w:eastAsia="仿宋"/>
          <w:color w:val="000000"/>
          <w:sz w:val="32"/>
          <w:szCs w:val="32"/>
        </w:rPr>
        <w:t>2019年度部门决算编制范围的二级预算单位包括：</w:t>
      </w:r>
    </w:p>
    <w:p>
      <w:pPr>
        <w:widowControl/>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无</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hAnsi="仿宋" w:eastAsia="仿宋_GB2312"/>
          <w:sz w:val="32"/>
          <w:szCs w:val="32"/>
          <w:lang w:val="en-US"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出各</w:t>
      </w:r>
      <w:r>
        <w:rPr>
          <w:rFonts w:hint="eastAsia" w:ascii="仿宋" w:hAnsi="仿宋" w:eastAsia="仿宋"/>
          <w:color w:val="000000"/>
          <w:sz w:val="32"/>
          <w:szCs w:val="32"/>
        </w:rPr>
        <w:t>总计</w:t>
      </w:r>
      <w:r>
        <w:rPr>
          <w:rFonts w:hint="eastAsia" w:ascii="仿宋_GB2312" w:hAnsi="仿宋" w:eastAsia="仿宋_GB2312"/>
          <w:sz w:val="32"/>
          <w:szCs w:val="32"/>
          <w:lang w:val="en-US" w:eastAsia="zh-CN"/>
        </w:rPr>
        <w:t>1715.79万元</w:t>
      </w:r>
      <w:r>
        <w:rPr>
          <w:rFonts w:hint="eastAsia" w:ascii="仿宋" w:hAnsi="仿宋" w:eastAsia="仿宋"/>
          <w:color w:val="000000"/>
          <w:sz w:val="32"/>
          <w:szCs w:val="32"/>
        </w:rPr>
        <w:t>。与2018年相比，收</w:t>
      </w:r>
      <w:r>
        <w:rPr>
          <w:rFonts w:hint="eastAsia" w:ascii="仿宋" w:hAnsi="仿宋" w:eastAsia="仿宋"/>
          <w:color w:val="000000"/>
          <w:sz w:val="32"/>
          <w:szCs w:val="32"/>
          <w:lang w:val="en-US" w:eastAsia="zh-CN"/>
        </w:rPr>
        <w:t>入、支出总计减少</w:t>
      </w:r>
      <w:r>
        <w:rPr>
          <w:rFonts w:hint="eastAsia" w:ascii="仿宋_GB2312" w:hAnsi="仿宋" w:eastAsia="仿宋_GB2312"/>
          <w:sz w:val="32"/>
          <w:szCs w:val="32"/>
          <w:lang w:val="en-US" w:eastAsia="zh-CN"/>
        </w:rPr>
        <w:t>97.65万元，</w:t>
      </w:r>
      <w:r>
        <w:rPr>
          <w:rFonts w:hint="eastAsia" w:ascii="仿宋" w:hAnsi="仿宋" w:eastAsia="仿宋"/>
          <w:color w:val="000000"/>
          <w:sz w:val="32"/>
          <w:szCs w:val="32"/>
        </w:rPr>
        <w:t>下降</w:t>
      </w:r>
      <w:r>
        <w:rPr>
          <w:rFonts w:hint="eastAsia" w:ascii="仿宋_GB2312" w:hAnsi="仿宋" w:eastAsia="仿宋_GB2312"/>
          <w:sz w:val="32"/>
          <w:szCs w:val="32"/>
          <w:lang w:val="en-US" w:eastAsia="zh-CN"/>
        </w:rPr>
        <w:t>5.38%</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2019年学生人数减少，教师人数减少，学校公用经费支出减少。</w:t>
      </w: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4384" behindDoc="0" locked="0" layoutInCell="1" allowOverlap="1">
            <wp:simplePos x="0" y="0"/>
            <wp:positionH relativeFrom="column">
              <wp:posOffset>271145</wp:posOffset>
            </wp:positionH>
            <wp:positionV relativeFrom="paragraph">
              <wp:posOffset>-2262505</wp:posOffset>
            </wp:positionV>
            <wp:extent cx="4476750" cy="25527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单位：万元</w:t>
      </w:r>
      <w:r>
        <w:rPr>
          <w:rFonts w:hint="eastAsia" w:ascii="仿宋" w:hAnsi="仿宋" w:eastAsia="仿宋"/>
          <w:color w:val="000000" w:themeColor="text1"/>
          <w:sz w:val="32"/>
          <w:szCs w:val="32"/>
          <w:lang w:eastAsia="zh-CN"/>
          <w14:textFill>
            <w14:solidFill>
              <w14:schemeClr w14:val="tx1"/>
            </w14:solidFill>
          </w14:textFill>
        </w:rPr>
        <w:t>）</w:t>
      </w:r>
    </w:p>
    <w:p>
      <w:pPr>
        <w:pStyle w:val="23"/>
        <w:numPr>
          <w:ilvl w:val="0"/>
          <w:numId w:val="2"/>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_GB2312" w:hAnsi="仿宋" w:eastAsia="仿宋_GB2312"/>
          <w:sz w:val="32"/>
          <w:szCs w:val="32"/>
          <w:lang w:val="en-US" w:eastAsia="zh-CN"/>
        </w:rPr>
        <w:t>1685.15</w:t>
      </w:r>
      <w:r>
        <w:rPr>
          <w:rFonts w:hint="eastAsia" w:ascii="仿宋" w:hAnsi="仿宋" w:eastAsia="仿宋"/>
          <w:color w:val="000000"/>
          <w:sz w:val="32"/>
          <w:szCs w:val="32"/>
        </w:rPr>
        <w:t>万元，其中：一般公共预算财政拨款收入</w:t>
      </w:r>
      <w:r>
        <w:rPr>
          <w:rFonts w:hint="eastAsia" w:ascii="仿宋_GB2312" w:hAnsi="仿宋" w:eastAsia="仿宋_GB2312"/>
          <w:sz w:val="32"/>
          <w:szCs w:val="32"/>
          <w:lang w:val="en-US" w:eastAsia="zh-CN"/>
        </w:rPr>
        <w:t>1684.99</w:t>
      </w:r>
      <w:r>
        <w:rPr>
          <w:rFonts w:hint="eastAsia" w:ascii="仿宋" w:hAnsi="仿宋" w:eastAsia="仿宋"/>
          <w:color w:val="000000"/>
          <w:sz w:val="32"/>
          <w:szCs w:val="32"/>
        </w:rPr>
        <w:t>万元，占</w:t>
      </w:r>
      <w:r>
        <w:rPr>
          <w:rFonts w:hint="eastAsia" w:ascii="仿宋_GB2312" w:hAnsi="仿宋" w:eastAsia="仿宋_GB2312"/>
          <w:sz w:val="32"/>
          <w:szCs w:val="32"/>
          <w:lang w:val="en-US" w:eastAsia="zh-CN"/>
        </w:rPr>
        <w:t>99.99%</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0.16</w:t>
      </w:r>
      <w:r>
        <w:rPr>
          <w:rFonts w:hint="eastAsia" w:ascii="仿宋" w:hAnsi="仿宋" w:eastAsia="仿宋"/>
          <w:color w:val="000000"/>
          <w:sz w:val="32"/>
          <w:szCs w:val="32"/>
        </w:rPr>
        <w:t>万元</w:t>
      </w:r>
      <w:r>
        <w:rPr>
          <w:rFonts w:hint="eastAsia" w:ascii="仿宋_GB2312" w:hAnsi="仿宋" w:eastAsia="仿宋_GB2312"/>
          <w:sz w:val="32"/>
          <w:szCs w:val="32"/>
          <w:lang w:val="en-US" w:eastAsia="zh-CN"/>
        </w:rPr>
        <w:t>，占比0.01%</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单位：万元）</w:t>
      </w:r>
    </w:p>
    <w:p>
      <w:pPr>
        <w:pStyle w:val="23"/>
        <w:numPr>
          <w:ilvl w:val="0"/>
          <w:numId w:val="2"/>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hAnsi="仿宋" w:eastAsia="仿宋_GB2312"/>
          <w:sz w:val="32"/>
          <w:szCs w:val="32"/>
          <w:lang w:val="en-US" w:eastAsia="zh-CN"/>
        </w:rPr>
        <w:t>1715.63</w:t>
      </w:r>
      <w:r>
        <w:rPr>
          <w:rFonts w:hint="eastAsia" w:ascii="仿宋" w:hAnsi="仿宋" w:eastAsia="仿宋"/>
          <w:color w:val="000000"/>
          <w:sz w:val="32"/>
          <w:szCs w:val="32"/>
        </w:rPr>
        <w:t>万元，其中：基本支出</w:t>
      </w:r>
      <w:r>
        <w:rPr>
          <w:rFonts w:hint="eastAsia" w:ascii="仿宋_GB2312" w:hAnsi="仿宋" w:eastAsia="仿宋_GB2312"/>
          <w:sz w:val="32"/>
          <w:szCs w:val="32"/>
          <w:lang w:val="en-US" w:eastAsia="zh-CN"/>
        </w:rPr>
        <w:t>1715.63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outlineLvl w:val="1"/>
        <w:rPr>
          <w:rFonts w:hint="eastAsia"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354330</wp:posOffset>
            </wp:positionH>
            <wp:positionV relativeFrom="paragraph">
              <wp:posOffset>321310</wp:posOffset>
            </wp:positionV>
            <wp:extent cx="4262755" cy="2458085"/>
            <wp:effectExtent l="4445" t="4445" r="19050" b="1397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outlineLvl w:val="1"/>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单位：万元</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eastAsia" w:ascii="仿宋_GB2312" w:hAnsi="仿宋" w:eastAsia="仿宋_GB2312"/>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val="en-US" w:eastAsia="zh-CN"/>
        </w:rPr>
        <w:t>入、支出各总计</w:t>
      </w:r>
      <w:r>
        <w:rPr>
          <w:rFonts w:hint="eastAsia" w:ascii="仿宋_GB2312" w:hAnsi="仿宋" w:eastAsia="仿宋_GB2312"/>
          <w:sz w:val="32"/>
          <w:szCs w:val="32"/>
          <w:lang w:val="en-US" w:eastAsia="zh-CN"/>
        </w:rPr>
        <w:t>1684.99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w:t>
      </w:r>
      <w:r>
        <w:rPr>
          <w:rFonts w:hint="eastAsia" w:ascii="仿宋" w:hAnsi="仿宋" w:eastAsia="仿宋"/>
          <w:color w:val="000000"/>
          <w:sz w:val="32"/>
          <w:szCs w:val="32"/>
          <w:lang w:val="en-US" w:eastAsia="zh-CN"/>
        </w:rPr>
        <w:t>入、支出各</w:t>
      </w:r>
      <w:r>
        <w:rPr>
          <w:rFonts w:hint="eastAsia" w:ascii="仿宋_GB2312" w:hAnsi="仿宋" w:eastAsia="仿宋_GB2312"/>
          <w:sz w:val="32"/>
          <w:szCs w:val="32"/>
          <w:lang w:val="en-US" w:eastAsia="zh-CN"/>
        </w:rPr>
        <w:t>减少118.35万元，下降6.56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2019年学生人数减少，教师人数减少，学校公用经费支出减少。</w:t>
      </w:r>
    </w:p>
    <w:p>
      <w:pPr>
        <w:spacing w:line="600" w:lineRule="exact"/>
        <w:ind w:firstLine="640"/>
        <w:rPr>
          <w:rFonts w:hint="eastAsia" w:ascii="仿宋_GB2312" w:hAnsi="仿宋" w:eastAsia="仿宋_GB2312"/>
          <w:sz w:val="32"/>
          <w:szCs w:val="32"/>
          <w:lang w:val="en-US" w:eastAsia="zh-CN"/>
        </w:rPr>
      </w:pPr>
      <w:r>
        <w:drawing>
          <wp:anchor distT="0" distB="0" distL="114300" distR="114300" simplePos="0" relativeHeight="251661312" behindDoc="0" locked="0" layoutInCell="1" allowOverlap="1">
            <wp:simplePos x="0" y="0"/>
            <wp:positionH relativeFrom="column">
              <wp:posOffset>325755</wp:posOffset>
            </wp:positionH>
            <wp:positionV relativeFrom="paragraph">
              <wp:posOffset>273050</wp:posOffset>
            </wp:positionV>
            <wp:extent cx="4572000" cy="2743200"/>
            <wp:effectExtent l="4445" t="4445" r="14605" b="14605"/>
            <wp:wrapSquare wrapText="bothSides"/>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hint="eastAsia" w:ascii="仿宋_GB2312" w:hAnsi="仿宋" w:eastAsia="仿宋_GB2312"/>
          <w:sz w:val="32"/>
          <w:szCs w:val="32"/>
          <w:lang w:val="en-US" w:eastAsia="zh-CN"/>
        </w:rPr>
      </w:pPr>
    </w:p>
    <w:p>
      <w:pPr>
        <w:spacing w:line="600" w:lineRule="exact"/>
        <w:ind w:firstLine="640"/>
        <w:rPr>
          <w:rFonts w:hint="eastAsia" w:ascii="仿宋_GB2312" w:hAnsi="仿宋" w:eastAsia="仿宋_GB2312"/>
          <w:sz w:val="32"/>
          <w:szCs w:val="32"/>
          <w:lang w:val="en-US" w:eastAsia="zh-CN"/>
        </w:rPr>
      </w:pPr>
    </w:p>
    <w:p>
      <w:pPr>
        <w:spacing w:line="600" w:lineRule="exact"/>
        <w:ind w:firstLine="640"/>
        <w:rPr>
          <w:rFonts w:hint="eastAsia" w:ascii="仿宋_GB2312" w:hAnsi="仿宋" w:eastAsia="仿宋_GB2312"/>
          <w:sz w:val="32"/>
          <w:szCs w:val="32"/>
          <w:lang w:val="en-US" w:eastAsia="zh-CN"/>
        </w:rPr>
      </w:pPr>
    </w:p>
    <w:p>
      <w:pPr>
        <w:spacing w:line="600" w:lineRule="exact"/>
        <w:ind w:firstLine="640"/>
        <w:rPr>
          <w:rFonts w:hint="eastAsia" w:ascii="仿宋_GB2312" w:hAnsi="仿宋" w:eastAsia="仿宋_GB2312"/>
          <w:sz w:val="32"/>
          <w:szCs w:val="32"/>
          <w:lang w:val="en-US" w:eastAsia="zh-CN"/>
        </w:rPr>
      </w:pPr>
    </w:p>
    <w:p>
      <w:pPr>
        <w:spacing w:line="600" w:lineRule="exact"/>
        <w:ind w:firstLine="640"/>
        <w:rPr>
          <w:rFonts w:hint="eastAsia" w:ascii="仿宋_GB2312" w:hAnsi="仿宋" w:eastAsia="仿宋_GB2312"/>
          <w:sz w:val="32"/>
          <w:szCs w:val="32"/>
          <w:lang w:val="en-US" w:eastAsia="zh-CN"/>
        </w:rPr>
      </w:pPr>
    </w:p>
    <w:p>
      <w:pPr>
        <w:spacing w:line="600" w:lineRule="exact"/>
      </w:pPr>
    </w:p>
    <w:p>
      <w:pPr>
        <w:spacing w:line="600" w:lineRule="exact"/>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单位：万元</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_GB2312" w:hAnsi="仿宋" w:eastAsia="仿宋_GB2312"/>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_GB2312" w:hAnsi="仿宋" w:eastAsia="仿宋_GB2312"/>
          <w:sz w:val="32"/>
          <w:szCs w:val="32"/>
          <w:lang w:val="en-US" w:eastAsia="zh-CN"/>
        </w:rPr>
        <w:t>1684.99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98.21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_GB2312" w:hAnsi="仿宋" w:eastAsia="仿宋_GB2312"/>
          <w:sz w:val="32"/>
          <w:szCs w:val="32"/>
          <w:lang w:val="en-US" w:eastAsia="zh-CN"/>
        </w:rPr>
        <w:t>118.35万元</w:t>
      </w:r>
      <w:r>
        <w:rPr>
          <w:rFonts w:hint="eastAsia" w:ascii="仿宋" w:hAnsi="仿宋" w:eastAsia="仿宋"/>
          <w:color w:val="000000"/>
          <w:sz w:val="32"/>
          <w:szCs w:val="32"/>
        </w:rPr>
        <w:t>，下降</w:t>
      </w:r>
      <w:r>
        <w:rPr>
          <w:rFonts w:hint="eastAsia" w:ascii="仿宋_GB2312" w:hAnsi="仿宋" w:eastAsia="仿宋_GB2312"/>
          <w:sz w:val="32"/>
          <w:szCs w:val="32"/>
          <w:lang w:val="en-US" w:eastAsia="zh-CN"/>
        </w:rPr>
        <w:t>6.56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2019年学生人数减少，教师人数减少，学校公用经费支出减少。</w:t>
      </w: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640" w:firstLineChars="200"/>
        <w:rPr>
          <w:rFonts w:hint="eastAsia" w:ascii="仿宋_GB2312" w:hAnsi="仿宋" w:eastAsia="仿宋_GB2312"/>
          <w:sz w:val="32"/>
          <w:szCs w:val="32"/>
          <w:lang w:val="en-US" w:eastAsia="zh-CN"/>
        </w:rPr>
      </w:pPr>
    </w:p>
    <w:p>
      <w:pPr>
        <w:spacing w:line="600" w:lineRule="exact"/>
        <w:ind w:firstLine="420" w:firstLineChars="200"/>
        <w:rPr>
          <w:rFonts w:hint="eastAsia" w:ascii="仿宋_GB2312" w:hAnsi="仿宋" w:eastAsia="仿宋_GB2312"/>
          <w:sz w:val="32"/>
          <w:szCs w:val="32"/>
          <w:lang w:val="en-US" w:eastAsia="zh-CN"/>
        </w:rPr>
      </w:pPr>
      <w:r>
        <w:drawing>
          <wp:anchor distT="0" distB="0" distL="114300" distR="114300" simplePos="0" relativeHeight="251662336"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单位：万元</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_GB2312" w:hAnsi="仿宋" w:eastAsia="仿宋_GB2312"/>
          <w:sz w:val="32"/>
          <w:szCs w:val="32"/>
          <w:lang w:val="en-US" w:eastAsia="zh-CN"/>
        </w:rPr>
        <w:t>1684.99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_GB2312" w:hAnsi="仿宋" w:eastAsia="仿宋_GB2312"/>
          <w:sz w:val="32"/>
          <w:szCs w:val="32"/>
          <w:lang w:val="en-US" w:eastAsia="zh-CN"/>
        </w:rPr>
        <w:t>24.22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_GB2312" w:hAnsi="仿宋" w:eastAsia="仿宋_GB2312"/>
          <w:sz w:val="32"/>
          <w:szCs w:val="32"/>
          <w:lang w:val="en-US" w:eastAsia="zh-CN"/>
        </w:rPr>
        <w:t>1244.13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73.84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_GB2312" w:hAnsi="仿宋" w:eastAsia="仿宋_GB2312"/>
          <w:sz w:val="32"/>
          <w:szCs w:val="32"/>
          <w:lang w:val="en-US" w:eastAsia="zh-CN"/>
        </w:rPr>
        <w:t>177.38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10.53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color w:val="000000" w:themeColor="text1"/>
          <w:sz w:val="32"/>
          <w:szCs w:val="32"/>
          <w14:textFill>
            <w14:solidFill>
              <w14:schemeClr w14:val="tx1"/>
            </w14:solidFill>
          </w14:textFill>
        </w:rPr>
        <w:t>（类）</w:t>
      </w:r>
      <w:r>
        <w:rPr>
          <w:rFonts w:hint="eastAsia" w:ascii="仿宋_GB2312" w:hAnsi="仿宋" w:eastAsia="仿宋_GB2312"/>
          <w:sz w:val="32"/>
          <w:szCs w:val="32"/>
          <w:lang w:val="en-US" w:eastAsia="zh-CN"/>
        </w:rPr>
        <w:t>64.73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b/>
          <w:color w:val="000000" w:themeColor="text1"/>
          <w:sz w:val="32"/>
          <w:szCs w:val="32"/>
          <w14:textFill>
            <w14:solidFill>
              <w14:schemeClr w14:val="tx1"/>
            </w14:solidFill>
          </w14:textFill>
        </w:rPr>
        <w:t>（类）</w:t>
      </w:r>
      <w:r>
        <w:rPr>
          <w:rFonts w:hint="eastAsia" w:ascii="仿宋_GB2312" w:hAnsi="仿宋" w:eastAsia="仿宋_GB2312"/>
          <w:sz w:val="32"/>
          <w:szCs w:val="32"/>
          <w:lang w:val="en-US" w:eastAsia="zh-CN"/>
        </w:rPr>
        <w:t>174.53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10.35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410845</wp:posOffset>
            </wp:positionH>
            <wp:positionV relativeFrom="paragraph">
              <wp:posOffset>23495</wp:posOffset>
            </wp:positionV>
            <wp:extent cx="4453255" cy="2541270"/>
            <wp:effectExtent l="4445" t="4445" r="19050" b="698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pPr>
    </w:p>
    <w:p>
      <w:pPr>
        <w:spacing w:line="600" w:lineRule="exact"/>
        <w:ind w:firstLine="640"/>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（图6：一般公共预算财政拨款支出决算结构）（饼状图）</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单位：万元</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sz w:val="32"/>
          <w:szCs w:val="32"/>
        </w:rPr>
        <w:t>一</w:t>
      </w:r>
      <w:r>
        <w:rPr>
          <w:rFonts w:hint="eastAsia" w:ascii="仿宋" w:hAnsi="仿宋" w:eastAsia="仿宋"/>
          <w:b/>
          <w:color w:val="000000" w:themeColor="text1"/>
          <w:sz w:val="32"/>
          <w:szCs w:val="32"/>
          <w14:textFill>
            <w14:solidFill>
              <w14:schemeClr w14:val="tx1"/>
            </w14:solidFill>
          </w14:textFill>
        </w:rPr>
        <w:t>般公共预算支出决算数为1684.99</w:t>
      </w:r>
      <w:r>
        <w:rPr>
          <w:rFonts w:hint="eastAsia" w:ascii="仿宋" w:hAnsi="仿宋" w:eastAsia="仿宋"/>
          <w:b/>
          <w:color w:val="000000" w:themeColor="text1"/>
          <w:sz w:val="32"/>
          <w:szCs w:val="32"/>
          <w:lang w:val="en-US"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24.22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1257.75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194.39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64.73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val="en-US" w:eastAsia="zh-CN"/>
        </w:rPr>
        <w:t>住房保障支出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221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174.52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1715.62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1621.68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93.94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bookmarkStart w:id="45" w:name="_Toc15377217"/>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年“三公”经费无</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bookmarkStart w:id="46" w:name="_Toc15377218"/>
      <w:bookmarkStart w:id="47" w:name="_Toc15396610"/>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年“三公”经费无</w:t>
      </w:r>
    </w:p>
    <w:p>
      <w:pPr>
        <w:spacing w:line="600" w:lineRule="exact"/>
        <w:ind w:firstLine="640"/>
        <w:outlineLvl w:val="1"/>
        <w:rPr>
          <w:rFonts w:ascii="黑体" w:eastAsia="黑体"/>
          <w:color w:val="000000"/>
          <w:sz w:val="32"/>
          <w:szCs w:val="32"/>
        </w:rPr>
      </w:pP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val="en-US" w:eastAsia="zh-CN"/>
        </w:rPr>
      </w:pPr>
      <w:bookmarkStart w:id="53" w:name="_Toc15377223"/>
      <w:r>
        <w:rPr>
          <w:rFonts w:hint="eastAsia" w:ascii="仿宋_GB2312" w:eastAsia="仿宋_GB2312"/>
          <w:color w:val="000000"/>
          <w:sz w:val="32"/>
          <w:szCs w:val="32"/>
          <w:lang w:val="en-US"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val="en-US" w:eastAsia="zh-CN"/>
        </w:rPr>
      </w:pPr>
      <w:bookmarkStart w:id="54" w:name="_Toc15377224"/>
      <w:r>
        <w:rPr>
          <w:rFonts w:hint="eastAsia" w:ascii="仿宋_GB2312" w:eastAsia="仿宋_GB2312"/>
          <w:color w:val="000000"/>
          <w:sz w:val="32"/>
          <w:szCs w:val="32"/>
          <w:lang w:val="en-US"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XXX项目（项目名称）开展了预算事前绩效评估，对XX个项目编制了绩效目标，预算执行过程中，选取XX个项目开展绩效监控，年终执行完毕后，对XX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简要说明整体绩效情况）。本部门还自行组织了X个项目支出绩效评价，从评价情况来看…………（简要说明项目绩效情况；若未开展项目支出绩效评价，则说明未开展情况。如：本部门无专项预算项目，因此未组织开展项目支出绩效评价/本部门未组织开展项目支出绩效评价）。</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X”等X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本部门按要求对2019年部门整体支出绩效评价情况开展自评，《XX部门2019年部门整体支出绩效评价报告》见附件（附件1）。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反映各部门举办的小学教育支出。政府各部门对社会中介组织等举办的小学的资助，如各类捐赠、补贴等，也在本科目中反映</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反映各部门举办的初中教育支出。政府各部门对社会中介组织等举办的初中教育的资助，如各类捐赠、补贴等，也在本科目中反映</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06</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反映机关事业单位实施养老保险制度由单位实际缴纳的职业年金支出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（款</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反映财政部门集中安排的事业单位基本医疗保险缴纳经费，未参加医疗保险的事业单位的公费医疗经费，按国家规定享受离休人员的医疗经费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（款</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反映财政部门集中安排的公务员医疗补助经费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en-US" w:eastAsia="zh-CN"/>
        </w:rPr>
        <w:t>攀枝花市第十初级中学</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内设3个年级组，8个职能处室，201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年无增减变动。</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spacing w:line="580" w:lineRule="exact"/>
        <w:rPr>
          <w:rFonts w:hint="default" w:ascii="仿宋" w:hAnsi="仿宋" w:eastAsia="仿宋" w:cs="仿宋_GB2312"/>
          <w:sz w:val="32"/>
          <w:szCs w:val="32"/>
          <w:lang w:val="en-US" w:eastAsia="zh-CN"/>
        </w:rPr>
      </w:pPr>
      <w:r>
        <w:rPr>
          <w:rFonts w:hint="default" w:ascii="仿宋" w:hAnsi="仿宋" w:eastAsia="仿宋" w:cs="仿宋_GB2312"/>
          <w:sz w:val="32"/>
          <w:szCs w:val="32"/>
          <w:lang w:val="en-US"/>
        </w:rPr>
        <w:t xml:space="preserve">     </w:t>
      </w:r>
      <w:r>
        <w:rPr>
          <w:rFonts w:hint="eastAsia" w:ascii="仿宋" w:hAnsi="仿宋" w:eastAsia="仿宋" w:cs="仿宋_GB2312"/>
          <w:sz w:val="32"/>
          <w:szCs w:val="32"/>
          <w:lang w:val="en-US" w:eastAsia="zh-CN"/>
        </w:rPr>
        <w:t>完成中学义务教育。</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截至201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年底，共有人员1</w:t>
      </w:r>
      <w:r>
        <w:rPr>
          <w:rFonts w:hint="eastAsia" w:ascii="仿宋" w:hAnsi="仿宋" w:eastAsia="仿宋" w:cs="仿宋_GB2312"/>
          <w:sz w:val="32"/>
          <w:szCs w:val="32"/>
          <w:lang w:val="en-US" w:eastAsia="zh-CN"/>
        </w:rPr>
        <w:t>02</w:t>
      </w:r>
      <w:r>
        <w:rPr>
          <w:rFonts w:hint="eastAsia" w:ascii="仿宋" w:hAnsi="仿宋" w:eastAsia="仿宋" w:cs="仿宋_GB2312"/>
          <w:sz w:val="32"/>
          <w:szCs w:val="32"/>
        </w:rPr>
        <w:t>人，其中：事业在职</w:t>
      </w:r>
      <w:r>
        <w:rPr>
          <w:rFonts w:hint="eastAsia" w:ascii="仿宋" w:hAnsi="仿宋" w:eastAsia="仿宋" w:cs="仿宋_GB2312"/>
          <w:sz w:val="32"/>
          <w:szCs w:val="32"/>
          <w:lang w:val="en-US" w:eastAsia="zh-CN"/>
        </w:rPr>
        <w:t>98</w:t>
      </w:r>
      <w:r>
        <w:rPr>
          <w:rFonts w:hint="eastAsia" w:ascii="仿宋" w:hAnsi="仿宋" w:eastAsia="仿宋" w:cs="仿宋_GB2312"/>
          <w:sz w:val="32"/>
          <w:szCs w:val="32"/>
        </w:rPr>
        <w:t>人，临聘4人。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年收入</w:t>
      </w:r>
      <w:r>
        <w:rPr>
          <w:rFonts w:hint="eastAsia" w:ascii="仿宋" w:hAnsi="仿宋" w:eastAsia="仿宋"/>
          <w:color w:val="000000"/>
          <w:sz w:val="32"/>
          <w:szCs w:val="32"/>
          <w:lang w:val="en-US" w:eastAsia="zh-CN"/>
        </w:rPr>
        <w:t>1685.15</w:t>
      </w:r>
      <w:r>
        <w:rPr>
          <w:rFonts w:hint="eastAsia" w:ascii="仿宋" w:hAnsi="仿宋" w:eastAsia="仿宋" w:cs="仿宋_GB2312"/>
          <w:sz w:val="32"/>
          <w:szCs w:val="32"/>
        </w:rPr>
        <w:t>万元。</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年支出</w:t>
      </w:r>
      <w:r>
        <w:rPr>
          <w:rFonts w:hint="eastAsia" w:ascii="仿宋" w:hAnsi="仿宋" w:eastAsia="仿宋" w:cs="仿宋_GB2312"/>
          <w:sz w:val="32"/>
          <w:szCs w:val="32"/>
          <w:lang w:val="en-US" w:eastAsia="zh-CN"/>
        </w:rPr>
        <w:t>1715.63</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1715.63</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B576C"/>
    <w:multiLevelType w:val="singleLevel"/>
    <w:tmpl w:val="C80B576C"/>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AB01C21"/>
    <w:multiLevelType w:val="singleLevel"/>
    <w:tmpl w:val="5AB01C21"/>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93B0B"/>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BE23794"/>
    <w:rsid w:val="0F2771A7"/>
    <w:rsid w:val="10C055FF"/>
    <w:rsid w:val="14340BE8"/>
    <w:rsid w:val="16BB723D"/>
    <w:rsid w:val="240371BF"/>
    <w:rsid w:val="244E04A8"/>
    <w:rsid w:val="26C667D9"/>
    <w:rsid w:val="29FD04D3"/>
    <w:rsid w:val="2D76027F"/>
    <w:rsid w:val="311C6E49"/>
    <w:rsid w:val="319F7F4E"/>
    <w:rsid w:val="3DD057F2"/>
    <w:rsid w:val="44C867FC"/>
    <w:rsid w:val="4C606798"/>
    <w:rsid w:val="4ECE2238"/>
    <w:rsid w:val="5A0A34D1"/>
    <w:rsid w:val="5ABF6927"/>
    <w:rsid w:val="5CAC4E79"/>
    <w:rsid w:val="5CAF0EB7"/>
    <w:rsid w:val="5DDD701E"/>
    <w:rsid w:val="5F291303"/>
    <w:rsid w:val="63AE55C8"/>
    <w:rsid w:val="63B360CF"/>
    <w:rsid w:val="6C3739FA"/>
    <w:rsid w:val="72734D90"/>
    <w:rsid w:val="73B678A3"/>
    <w:rsid w:val="73BE24C8"/>
    <w:rsid w:val="750271F1"/>
    <w:rsid w:val="79C67B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Administrator\Desktop\&#30011;&#2227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[画图.xls]Sheet1!$B$16:$B$17</c:f>
              <c:strCache>
                <c:ptCount val="2"/>
                <c:pt idx="0">
                  <c:v>本年收、支总计</c:v>
                </c:pt>
                <c:pt idx="1">
                  <c:v>上年收、支总计</c:v>
                </c:pt>
              </c:strCache>
            </c:strRef>
          </c:cat>
          <c:val>
            <c:numRef>
              <c:f>[画图.xls]Sheet1!$C$16:$C$17</c:f>
              <c:numCache>
                <c:formatCode>General</c:formatCode>
                <c:ptCount val="2"/>
                <c:pt idx="0">
                  <c:v>1715.79</c:v>
                </c:pt>
                <c:pt idx="1">
                  <c:v>1813.44</c:v>
                </c:pt>
              </c:numCache>
            </c:numRef>
          </c:val>
        </c:ser>
        <c:dLbls>
          <c:showLegendKey val="0"/>
          <c:showVal val="1"/>
          <c:showCatName val="0"/>
          <c:showSerName val="0"/>
          <c:showPercent val="0"/>
          <c:showBubbleSize val="0"/>
        </c:dLbls>
        <c:gapWidth val="219"/>
        <c:overlap val="-27"/>
        <c:axId val="147421651"/>
        <c:axId val="57946823"/>
      </c:barChart>
      <c:catAx>
        <c:axId val="1474216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946823"/>
        <c:crosses val="autoZero"/>
        <c:auto val="1"/>
        <c:lblAlgn val="ctr"/>
        <c:lblOffset val="100"/>
        <c:noMultiLvlLbl val="0"/>
      </c:catAx>
      <c:valAx>
        <c:axId val="57946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4216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工作表.xls]Sheet1'!$P$17:$P$19</c:f>
              <c:strCache>
                <c:ptCount val="3"/>
                <c:pt idx="1">
                  <c:v>一般财政拨款收入</c:v>
                </c:pt>
                <c:pt idx="2">
                  <c:v>其他收入</c:v>
                </c:pt>
              </c:strCache>
            </c:strRef>
          </c:cat>
          <c:val>
            <c:numRef>
              <c:f>'[新建 XLS 工作表.xls]Sheet1'!$Q$17:$Q$19</c:f>
              <c:numCache>
                <c:formatCode>General</c:formatCode>
                <c:ptCount val="3"/>
                <c:pt idx="1">
                  <c:v>1684.99</c:v>
                </c:pt>
                <c:pt idx="2">
                  <c:v>0.16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工作表.xls]Sheet1'!$P$13:$P$14</c:f>
              <c:strCache>
                <c:ptCount val="2"/>
                <c:pt idx="0">
                  <c:v>基本支出</c:v>
                </c:pt>
                <c:pt idx="1">
                  <c:v>其他支出</c:v>
                </c:pt>
              </c:strCache>
            </c:strRef>
          </c:cat>
          <c:val>
            <c:numRef>
              <c:f>'[新建 XLS 工作表.xls]Sheet1'!$Q$13:$Q$14</c:f>
              <c:numCache>
                <c:formatCode>General</c:formatCode>
                <c:ptCount val="2"/>
                <c:pt idx="0">
                  <c:v>1715.63</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工作表.xls]Sheet1'!$P$5:$P$8</c:f>
              <c:strCache>
                <c:ptCount val="4"/>
                <c:pt idx="0">
                  <c:v>2018财政拨款收入</c:v>
                </c:pt>
                <c:pt idx="1">
                  <c:v>2019财政拨款收入</c:v>
                </c:pt>
                <c:pt idx="2">
                  <c:v>2018财政拨款支出</c:v>
                </c:pt>
                <c:pt idx="3">
                  <c:v>2019财政拨款支出</c:v>
                </c:pt>
              </c:strCache>
            </c:strRef>
          </c:cat>
          <c:val>
            <c:numRef>
              <c:f>'[新建 XLS 工作表.xls]Sheet1'!$Q$5:$Q$8</c:f>
              <c:numCache>
                <c:formatCode>General</c:formatCode>
                <c:ptCount val="4"/>
                <c:pt idx="0">
                  <c:v>1803.34</c:v>
                </c:pt>
                <c:pt idx="1">
                  <c:v>1684.99</c:v>
                </c:pt>
                <c:pt idx="2">
                  <c:v>1803.34</c:v>
                </c:pt>
                <c:pt idx="3">
                  <c:v>1684.99</c:v>
                </c:pt>
              </c:numCache>
            </c:numRef>
          </c:val>
        </c:ser>
        <c:dLbls>
          <c:showLegendKey val="0"/>
          <c:showVal val="1"/>
          <c:showCatName val="0"/>
          <c:showSerName val="0"/>
          <c:showPercent val="0"/>
          <c:showBubbleSize val="0"/>
        </c:dLbls>
        <c:gapWidth val="219"/>
        <c:overlap val="-27"/>
        <c:axId val="612698727"/>
        <c:axId val="517695685"/>
      </c:barChart>
      <c:catAx>
        <c:axId val="6126987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695685"/>
        <c:crosses val="autoZero"/>
        <c:auto val="1"/>
        <c:lblAlgn val="ctr"/>
        <c:lblOffset val="100"/>
        <c:noMultiLvlLbl val="0"/>
      </c:catAx>
      <c:valAx>
        <c:axId val="517695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2698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工作表.xls]Sheet1'!$B$12:$B$13</c:f>
              <c:strCache>
                <c:ptCount val="2"/>
                <c:pt idx="0">
                  <c:v>2018一般公共预算财政拨款支出</c:v>
                </c:pt>
                <c:pt idx="1">
                  <c:v>2019一般公共预算财政拨款支出</c:v>
                </c:pt>
              </c:strCache>
            </c:strRef>
          </c:cat>
          <c:val>
            <c:numRef>
              <c:f>'[新建 XLS 工作表.xls]Sheet1'!$C$12:$C$13</c:f>
              <c:numCache>
                <c:formatCode>General</c:formatCode>
                <c:ptCount val="2"/>
                <c:pt idx="0">
                  <c:v>1803.34</c:v>
                </c:pt>
                <c:pt idx="1">
                  <c:v>1684.99</c:v>
                </c:pt>
              </c:numCache>
            </c:numRef>
          </c:val>
        </c:ser>
        <c:dLbls>
          <c:showLegendKey val="0"/>
          <c:showVal val="1"/>
          <c:showCatName val="0"/>
          <c:showSerName val="0"/>
          <c:showPercent val="0"/>
          <c:showBubbleSize val="0"/>
        </c:dLbls>
        <c:gapWidth val="219"/>
        <c:overlap val="-27"/>
        <c:axId val="253369290"/>
        <c:axId val="875148478"/>
      </c:barChart>
      <c:catAx>
        <c:axId val="2533692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148478"/>
        <c:crosses val="autoZero"/>
        <c:auto val="1"/>
        <c:lblAlgn val="ctr"/>
        <c:lblOffset val="100"/>
        <c:noMultiLvlLbl val="0"/>
      </c:catAx>
      <c:valAx>
        <c:axId val="8751484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3692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工作表.xls]Sheet1'!$B$24:$B$28</c:f>
              <c:strCache>
                <c:ptCount val="5"/>
                <c:pt idx="0">
                  <c:v>一般公共服务</c:v>
                </c:pt>
                <c:pt idx="1">
                  <c:v>教育支出</c:v>
                </c:pt>
                <c:pt idx="2">
                  <c:v>社会保障和就业</c:v>
                </c:pt>
                <c:pt idx="3">
                  <c:v>卫生健康支出</c:v>
                </c:pt>
                <c:pt idx="4">
                  <c:v>住房保障支出</c:v>
                </c:pt>
              </c:strCache>
            </c:strRef>
          </c:cat>
          <c:val>
            <c:numRef>
              <c:f>'[新建 XLS 工作表.xls]Sheet1'!$C$24:$C$28</c:f>
              <c:numCache>
                <c:formatCode>General</c:formatCode>
                <c:ptCount val="5"/>
                <c:pt idx="0">
                  <c:v>24.22</c:v>
                </c:pt>
                <c:pt idx="1">
                  <c:v>1244.13</c:v>
                </c:pt>
                <c:pt idx="2">
                  <c:v>177.38</c:v>
                </c:pt>
                <c:pt idx="3">
                  <c:v>64.73</c:v>
                </c:pt>
                <c:pt idx="4">
                  <c:v>174.53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5</TotalTime>
  <ScaleCrop>false</ScaleCrop>
  <LinksUpToDate>false</LinksUpToDate>
  <CharactersWithSpaces>8536</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2024-04-22T09:48:26Z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3E6628EDE79A4A73A22654820DE57A8A</vt:lpwstr>
  </property>
</Properties>
</file>