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77193"/>
      <w:bookmarkStart w:id="4" w:name="_Toc15396475"/>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78442"/>
      <w:bookmarkStart w:id="8" w:name="_Toc15377426"/>
      <w:bookmarkStart w:id="9" w:name="_Toc15377194"/>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攀枝花市西区</w:t>
      </w: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财政国库支付中心</w:t>
      </w: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公开时间：2020年</w:t>
      </w:r>
      <w:r>
        <w:rPr>
          <w:rFonts w:hint="eastAsia"/>
          <w:lang w:val="en-US" w:eastAsia="zh-CN"/>
        </w:rPr>
        <w:t>11</w:t>
      </w:r>
      <w:r>
        <w:rPr>
          <w:rFonts w:hint="eastAsia"/>
        </w:rPr>
        <w:t>月</w:t>
      </w:r>
      <w:r>
        <w:rPr>
          <w:rFonts w:hint="eastAsia"/>
          <w:lang w:val="en-US" w:eastAsia="zh-CN"/>
        </w:rPr>
        <w:t>20</w:t>
      </w:r>
      <w:r>
        <w:rPr>
          <w:rFonts w:hint="eastAsia"/>
        </w:rPr>
        <w:t>日</w:t>
      </w:r>
    </w:p>
    <w:p/>
    <w:p>
      <w:pPr>
        <w:pStyle w:val="11"/>
        <w:adjustRightInd w:val="0"/>
        <w:snapToGrid w:val="0"/>
        <w:spacing w:before="0" w:line="440" w:lineRule="exact"/>
        <w:jc w:val="left"/>
        <w:rPr>
          <w:rFonts w:hint="eastAsia" w:ascii="Times New Roman" w:hAnsi="Times New Roman" w:eastAsia="宋体" w:cs="Times New Roman"/>
          <w:kern w:val="2"/>
          <w:sz w:val="21"/>
          <w:szCs w:val="24"/>
          <w:lang w:val="en-US" w:eastAsia="zh-CN" w:bidi="ar-SA"/>
        </w:rPr>
      </w:pPr>
      <w:r>
        <w:rPr>
          <w:rFonts w:hint="eastAsia"/>
          <w:sz w:val="24"/>
        </w:rPr>
        <w:t>第一部分</w:t>
      </w:r>
      <w:r>
        <w:rPr>
          <w:sz w:val="24"/>
        </w:rPr>
        <w:t xml:space="preserve"> </w:t>
      </w:r>
      <w:r>
        <w:rPr>
          <w:rFonts w:hint="eastAsia"/>
          <w:sz w:val="24"/>
        </w:rPr>
        <w:t>部门概况</w:t>
      </w:r>
      <w:r>
        <w:tab/>
      </w:r>
      <w:r>
        <w:rPr>
          <w:rFonts w:hint="eastAsia" w:ascii="Times New Roman" w:hAnsi="Times New Roman" w:eastAsia="宋体" w:cs="Times New Roman"/>
          <w:kern w:val="2"/>
          <w:sz w:val="21"/>
          <w:szCs w:val="24"/>
          <w:lang w:val="en-US" w:eastAsia="zh-CN" w:bidi="ar-SA"/>
        </w:rPr>
        <w:t>4</w:t>
      </w:r>
    </w:p>
    <w:p>
      <w:pPr>
        <w:pStyle w:val="12"/>
        <w:adjustRightInd w:val="0"/>
        <w:snapToGrid w:val="0"/>
        <w:spacing w:line="440" w:lineRule="exact"/>
        <w:jc w:val="left"/>
        <w:rPr>
          <w:rFonts w:hint="eastAsia" w:ascii="仿宋" w:hAnsi="仿宋" w:eastAsia="宋体"/>
          <w:sz w:val="24"/>
          <w:lang w:val="en-US" w:eastAsia="zh-CN"/>
        </w:rPr>
      </w:pPr>
      <w:r>
        <w:rPr>
          <w:rFonts w:hint="eastAsia"/>
          <w:sz w:val="24"/>
        </w:rPr>
        <w:t>一、基本职能及主要工作</w:t>
      </w:r>
      <w:r>
        <w:tab/>
      </w:r>
      <w:r>
        <w:rPr>
          <w:rFonts w:hint="eastAsia"/>
          <w:lang w:val="en-US" w:eastAsia="zh-CN"/>
        </w:rPr>
        <w:t>4</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二、机构设置</w:t>
      </w:r>
      <w:r>
        <w:tab/>
      </w:r>
      <w:r>
        <w:rPr>
          <w:rFonts w:hint="eastAsia"/>
          <w:lang w:val="en-US" w:eastAsia="zh-CN"/>
        </w:rPr>
        <w:t>6</w:t>
      </w:r>
    </w:p>
    <w:p>
      <w:pPr>
        <w:pStyle w:val="11"/>
        <w:adjustRightInd w:val="0"/>
        <w:snapToGrid w:val="0"/>
        <w:spacing w:before="0" w:line="440" w:lineRule="exact"/>
        <w:jc w:val="left"/>
        <w:rPr>
          <w:rFonts w:hint="eastAsia" w:eastAsia="仿宋"/>
          <w:sz w:val="24"/>
          <w:szCs w:val="24"/>
          <w:lang w:val="en-US" w:eastAsia="zh-CN"/>
        </w:rPr>
      </w:pPr>
      <w:r>
        <w:rPr>
          <w:rFonts w:hint="eastAsia"/>
          <w:sz w:val="24"/>
        </w:rPr>
        <w:t>第二部分</w:t>
      </w:r>
      <w:r>
        <w:rPr>
          <w:rFonts w:hint="eastAsia"/>
          <w:sz w:val="24"/>
          <w:lang w:val="en-US" w:eastAsia="zh-CN"/>
        </w:rPr>
        <w:t xml:space="preserve"> 2019年</w:t>
      </w:r>
      <w:r>
        <w:rPr>
          <w:rFonts w:hint="eastAsia"/>
          <w:sz w:val="24"/>
        </w:rPr>
        <w:t>度部门决算情况说明</w:t>
      </w:r>
      <w:r>
        <w:tab/>
      </w:r>
      <w:r>
        <w:rPr>
          <w:rFonts w:hint="eastAsia" w:ascii="Times New Roman" w:hAnsi="Times New Roman" w:eastAsia="宋体" w:cs="Times New Roman"/>
          <w:kern w:val="2"/>
          <w:sz w:val="21"/>
          <w:szCs w:val="24"/>
          <w:lang w:val="en-US" w:eastAsia="zh-CN" w:bidi="ar-SA"/>
        </w:rPr>
        <w:t>6</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tab/>
      </w:r>
      <w:r>
        <w:rPr>
          <w:rFonts w:hint="eastAsia"/>
          <w:lang w:val="en-US" w:eastAsia="zh-CN"/>
        </w:rPr>
        <w:t>6</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tab/>
      </w:r>
      <w:r>
        <w:rPr>
          <w:rFonts w:hint="eastAsia"/>
          <w:lang w:val="en-US" w:eastAsia="zh-CN"/>
        </w:rPr>
        <w:t>7</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tab/>
      </w:r>
      <w:r>
        <w:rPr>
          <w:rFonts w:hint="eastAsia"/>
          <w:lang w:val="en-US" w:eastAsia="zh-CN"/>
        </w:rPr>
        <w:t>7</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tab/>
      </w:r>
      <w:r>
        <w:rPr>
          <w:rFonts w:hint="eastAsia"/>
          <w:lang w:val="en-US" w:eastAsia="zh-CN"/>
        </w:rPr>
        <w:t>8</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r>
        <w:tab/>
      </w:r>
      <w:r>
        <w:rPr>
          <w:rFonts w:hint="eastAsia"/>
          <w:lang w:val="en-US" w:eastAsia="zh-CN"/>
        </w:rPr>
        <w:t>8</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六、一般公共预算财政拨款基本支出决算情况说明</w:t>
      </w:r>
      <w:r>
        <w:tab/>
      </w:r>
      <w:r>
        <w:rPr>
          <w:rFonts w:hint="eastAsia"/>
          <w:lang w:val="en-US" w:eastAsia="zh-CN"/>
        </w:rPr>
        <w:t>10</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tab/>
      </w:r>
      <w:r>
        <w:rPr>
          <w:rFonts w:hint="eastAsia"/>
          <w:lang w:val="en-US" w:eastAsia="zh-CN"/>
        </w:rPr>
        <w:t>11</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八、政府性基金预算支出决算情况说明</w:t>
      </w:r>
      <w:r>
        <w:tab/>
      </w:r>
      <w:r>
        <w:rPr>
          <w:rFonts w:hint="eastAsia"/>
          <w:lang w:val="en-US" w:eastAsia="zh-CN"/>
        </w:rPr>
        <w:t>12</w:t>
      </w:r>
    </w:p>
    <w:p>
      <w:pPr>
        <w:pStyle w:val="12"/>
        <w:adjustRightInd w:val="0"/>
        <w:snapToGrid w:val="0"/>
        <w:spacing w:line="440" w:lineRule="exact"/>
        <w:ind w:leftChars="0"/>
        <w:jc w:val="left"/>
        <w:rPr>
          <w:rFonts w:hint="eastAsia"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tab/>
      </w:r>
      <w:r>
        <w:rPr>
          <w:rFonts w:hint="eastAsia"/>
          <w:lang w:val="en-US" w:eastAsia="zh-CN"/>
        </w:rPr>
        <w:t>12</w:t>
      </w:r>
    </w:p>
    <w:p>
      <w:pPr>
        <w:adjustRightInd w:val="0"/>
        <w:snapToGrid w:val="0"/>
        <w:spacing w:line="440" w:lineRule="exact"/>
        <w:ind w:firstLine="480" w:firstLineChars="200"/>
        <w:jc w:val="left"/>
        <w:rPr>
          <w:rFonts w:hint="eastAsia" w:ascii="Times New Roman" w:hAnsi="Times New Roman" w:eastAsia="宋体" w:cs="Times New Roman"/>
          <w:kern w:val="2"/>
          <w:sz w:val="21"/>
          <w:szCs w:val="24"/>
          <w:lang w:val="en-US" w:eastAsia="zh-CN" w:bidi="ar-SA"/>
        </w:rPr>
      </w:pPr>
      <w:r>
        <w:rPr>
          <w:rStyle w:val="16"/>
          <w:rFonts w:hint="eastAsia" w:ascii="仿宋" w:hAnsi="仿宋" w:eastAsia="仿宋"/>
          <w:color w:val="000000" w:themeColor="text1"/>
          <w:sz w:val="24"/>
          <w:u w:val="none"/>
        </w:rPr>
        <w:t>十、</w:t>
      </w:r>
      <w:r>
        <w:rPr>
          <w:rFonts w:hint="eastAsia"/>
          <w:sz w:val="24"/>
        </w:rPr>
        <w:t>其他重要事项的情况说</w:t>
      </w:r>
      <w:r>
        <w:rPr>
          <w:rFonts w:hint="eastAsia"/>
          <w:sz w:val="24"/>
          <w:lang w:eastAsia="zh-CN"/>
        </w:rPr>
        <w:t>明</w:t>
      </w:r>
      <w:r>
        <w:rPr>
          <w:rFonts w:hint="eastAsia"/>
          <w:sz w:val="24"/>
          <w:lang w:val="en-US" w:eastAsia="zh-CN"/>
        </w:rPr>
        <w:t>............................................................................</w:t>
      </w:r>
      <w:r>
        <w:rPr>
          <w:rFonts w:hint="eastAsia" w:ascii="Times New Roman" w:hAnsi="Times New Roman" w:eastAsia="宋体" w:cs="Times New Roman"/>
          <w:kern w:val="2"/>
          <w:sz w:val="21"/>
          <w:szCs w:val="24"/>
          <w:lang w:val="en-US" w:eastAsia="zh-CN" w:bidi="ar-SA"/>
        </w:rPr>
        <w:t>12</w:t>
      </w:r>
    </w:p>
    <w:p>
      <w:pPr>
        <w:pStyle w:val="11"/>
        <w:adjustRightInd w:val="0"/>
        <w:snapToGrid w:val="0"/>
        <w:spacing w:before="0" w:line="440" w:lineRule="exact"/>
        <w:jc w:val="left"/>
        <w:rPr>
          <w:rFonts w:hint="eastAsia" w:ascii="Times New Roman" w:hAnsi="Times New Roman" w:eastAsia="宋体" w:cs="Times New Roman"/>
          <w:kern w:val="2"/>
          <w:sz w:val="24"/>
          <w:szCs w:val="24"/>
          <w:lang w:val="en-US" w:eastAsia="zh-CN" w:bidi="ar-SA"/>
        </w:rPr>
      </w:pPr>
      <w:r>
        <w:rPr>
          <w:rFonts w:hint="eastAsia"/>
          <w:sz w:val="24"/>
          <w:lang w:val="en-US" w:eastAsia="zh-CN"/>
        </w:rPr>
        <w:t>第三部分 名词解释</w:t>
      </w:r>
      <w:r>
        <w:rPr>
          <w:rFonts w:hint="eastAsia"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1"/>
          <w:szCs w:val="21"/>
          <w:lang w:val="en-US" w:eastAsia="zh-CN" w:bidi="ar-SA"/>
        </w:rPr>
        <w:t>16</w:t>
      </w:r>
    </w:p>
    <w:p>
      <w:pPr>
        <w:pStyle w:val="11"/>
        <w:adjustRightInd w:val="0"/>
        <w:snapToGrid w:val="0"/>
        <w:spacing w:before="0" w:line="440" w:lineRule="exact"/>
        <w:jc w:val="left"/>
        <w:rPr>
          <w:rFonts w:cstheme="minorBidi"/>
          <w:sz w:val="24"/>
          <w:szCs w:val="24"/>
          <w:lang w:val="en-US"/>
        </w:rPr>
      </w:pPr>
      <w:r>
        <w:rPr>
          <w:rFonts w:hint="eastAsia"/>
          <w:sz w:val="24"/>
          <w:lang w:val="en-US" w:eastAsia="zh-CN"/>
        </w:rPr>
        <w:t>第四部分 附件</w:t>
      </w:r>
      <w:r>
        <w:rPr>
          <w:rFonts w:ascii="Times New Roman" w:hAnsi="Times New Roman" w:eastAsia="宋体" w:cs="Times New Roman"/>
          <w:kern w:val="2"/>
          <w:sz w:val="24"/>
          <w:szCs w:val="24"/>
          <w:lang w:val="en-US" w:eastAsia="zh-CN" w:bidi="ar-SA"/>
        </w:rPr>
        <w:tab/>
      </w:r>
      <w:r>
        <w:rPr>
          <w:rFonts w:hint="eastAsia" w:ascii="Times New Roman" w:hAnsi="Times New Roman" w:eastAsia="宋体" w:cs="Times New Roman"/>
          <w:kern w:val="2"/>
          <w:sz w:val="21"/>
          <w:szCs w:val="24"/>
          <w:lang w:val="en-US" w:eastAsia="zh-CN" w:bidi="ar-SA"/>
        </w:rPr>
        <w:t>19</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附件</w:t>
      </w:r>
      <w:r>
        <w:rPr>
          <w:sz w:val="24"/>
        </w:rPr>
        <w:t>1</w:t>
      </w:r>
      <w:r>
        <w:tab/>
      </w:r>
      <w:r>
        <w:rPr>
          <w:rFonts w:hint="eastAsia"/>
          <w:lang w:val="en-US" w:eastAsia="zh-CN"/>
        </w:rPr>
        <w:t>19</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sz w:val="24"/>
        </w:rPr>
        <w:t>附件</w:t>
      </w:r>
      <w:r>
        <w:rPr>
          <w:sz w:val="24"/>
        </w:rPr>
        <w:t>2</w:t>
      </w:r>
      <w:r>
        <w:tab/>
      </w:r>
      <w:r>
        <w:rPr>
          <w:rFonts w:hint="eastAsia"/>
          <w:lang w:val="en-US" w:eastAsia="zh-CN"/>
        </w:rPr>
        <w:t>22</w:t>
      </w:r>
    </w:p>
    <w:p>
      <w:pPr>
        <w:pStyle w:val="11"/>
        <w:adjustRightInd w:val="0"/>
        <w:snapToGrid w:val="0"/>
        <w:spacing w:before="0" w:line="440" w:lineRule="exact"/>
        <w:jc w:val="left"/>
        <w:rPr>
          <w:rFonts w:hint="eastAsia" w:eastAsia="仿宋" w:cstheme="minorBidi"/>
          <w:sz w:val="24"/>
          <w:szCs w:val="24"/>
          <w:lang w:val="en-US" w:eastAsia="zh-CN"/>
        </w:rPr>
      </w:pPr>
      <w:r>
        <w:rPr>
          <w:rFonts w:hint="eastAsia"/>
          <w:sz w:val="24"/>
        </w:rPr>
        <w:t>第五部分</w:t>
      </w:r>
      <w:r>
        <w:rPr>
          <w:sz w:val="24"/>
        </w:rPr>
        <w:t xml:space="preserve"> </w:t>
      </w:r>
      <w:r>
        <w:rPr>
          <w:rFonts w:hint="eastAsia"/>
          <w:sz w:val="24"/>
        </w:rPr>
        <w:t>附表</w:t>
      </w:r>
      <w:r>
        <w:tab/>
      </w:r>
      <w:r>
        <w:rPr>
          <w:rFonts w:hint="eastAsia" w:ascii="Times New Roman" w:hAnsi="Times New Roman" w:eastAsia="宋体" w:cs="Times New Roman"/>
          <w:kern w:val="2"/>
          <w:sz w:val="21"/>
          <w:szCs w:val="24"/>
          <w:lang w:val="en-US" w:eastAsia="zh-CN" w:bidi="ar-SA"/>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tab/>
      </w:r>
      <w:r>
        <w:rPr>
          <w:rFonts w:hint="eastAsia"/>
          <w:lang w:val="en-US" w:eastAsia="zh-CN"/>
        </w:rPr>
        <w:t>25</w:t>
      </w:r>
    </w:p>
    <w:p>
      <w:pPr>
        <w:pStyle w:val="12"/>
        <w:adjustRightInd w:val="0"/>
        <w:snapToGrid w:val="0"/>
        <w:spacing w:line="440" w:lineRule="exact"/>
        <w:jc w:val="left"/>
        <w:rPr>
          <w:rFonts w:hint="eastAsia" w:ascii="仿宋" w:hAnsi="仿宋" w:eastAsia="宋体"/>
          <w:sz w:val="24"/>
          <w:lang w:val="en-US" w:eastAsia="zh-CN"/>
        </w:rPr>
      </w:pPr>
      <w:r>
        <w:rPr>
          <w:rFonts w:hint="eastAsia" w:ascii="仿宋" w:hAnsi="仿宋" w:eastAsia="仿宋"/>
          <w:sz w:val="24"/>
        </w:rPr>
        <w:t>五、财政拨款支出决算明细表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tab/>
      </w:r>
      <w:r>
        <w:rPr>
          <w:rFonts w:hint="eastAsia"/>
          <w:lang w:val="en-US" w:eastAsia="zh-CN"/>
        </w:rPr>
        <w:t>25</w:t>
      </w:r>
    </w:p>
    <w:p>
      <w:pPr>
        <w:pStyle w:val="12"/>
        <w:adjustRightInd w:val="0"/>
        <w:snapToGrid w:val="0"/>
        <w:spacing w:line="440" w:lineRule="exact"/>
        <w:jc w:val="left"/>
        <w:rPr>
          <w:rFonts w:hint="eastAsia"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tab/>
      </w:r>
      <w:r>
        <w:rPr>
          <w:rFonts w:hint="eastAsia"/>
          <w:lang w:val="en-US" w:eastAsia="zh-CN"/>
        </w:rPr>
        <w:t>25</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ind w:firstLine="640" w:firstLineChars="200"/>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snapToGrid w:val="0"/>
        <w:spacing w:line="588" w:lineRule="exact"/>
        <w:ind w:firstLine="640" w:firstLineChars="200"/>
        <w:rPr>
          <w:rFonts w:hint="eastAsia" w:ascii="仿宋_GB2312" w:hAnsi="仿宋" w:eastAsia="仿宋_GB2312"/>
          <w:sz w:val="32"/>
          <w:szCs w:val="32"/>
        </w:rPr>
      </w:pPr>
      <w:bookmarkStart w:id="18" w:name="_Toc15378446"/>
      <w:bookmarkStart w:id="19" w:name="_Toc15377199"/>
      <w:r>
        <w:rPr>
          <w:rFonts w:hint="eastAsia" w:ascii="仿宋_GB2312" w:hAnsi="仿宋" w:eastAsia="仿宋_GB2312"/>
          <w:sz w:val="32"/>
          <w:szCs w:val="32"/>
          <w:lang w:val="en-US" w:eastAsia="zh-CN"/>
        </w:rPr>
        <w:t>1.</w:t>
      </w:r>
      <w:r>
        <w:rPr>
          <w:rFonts w:hint="eastAsia" w:ascii="仿宋_GB2312" w:hAnsi="仿宋" w:eastAsia="仿宋_GB2312"/>
          <w:sz w:val="32"/>
          <w:szCs w:val="32"/>
        </w:rPr>
        <w:t>根据区财政局批复的预算单位分月用款计划和授权支付额度，办理财政性资金支付业务;</w:t>
      </w:r>
    </w:p>
    <w:p>
      <w:pPr>
        <w:snapToGrid w:val="0"/>
        <w:spacing w:line="588"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对各预算单位会计核算业务工作进行指导；</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建立财政性资金汇总和财政性资金清算管理系统，处理预算单位的支出信息及其他经济信息；</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定期与区财政局、代理银行、预算单位核对账目，向区财政局提供财政性资金支付和清算信息，报告财政性资金支付情况；</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受理预算单位、商品或劳务供应商的账务查询事宜；</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做好会计档案的保管及移交工作；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参与单位预算编制及其他一些财务管理活动。</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ind w:firstLine="640" w:firstLineChars="200"/>
        <w:rPr>
          <w:rFonts w:ascii="仿宋_GB2312" w:hAnsi="仿宋" w:eastAsia="仿宋_GB2312"/>
          <w:sz w:val="32"/>
          <w:szCs w:val="32"/>
        </w:rPr>
      </w:pPr>
      <w:bookmarkStart w:id="20" w:name="_Toc15377200"/>
      <w:bookmarkStart w:id="21" w:name="_Toc15396601"/>
      <w:r>
        <w:rPr>
          <w:rFonts w:hint="eastAsia" w:ascii="仿宋_GB2312" w:hAnsi="仿宋" w:eastAsia="仿宋_GB2312"/>
          <w:sz w:val="32"/>
          <w:szCs w:val="32"/>
        </w:rPr>
        <w:t>2019年，在区委、区政府的正确领导和区财政局的正确指导下，区国库支付中心紧紧围绕重点工作，认真贯彻落实全区工作会议决策部署，严格财政资金管理，推进资金集中支付工作。一年来，较好地完成了各项工作任务，现将工作简要总结如下：</w:t>
      </w:r>
    </w:p>
    <w:p>
      <w:pPr>
        <w:ind w:firstLine="643" w:firstLineChars="200"/>
        <w:rPr>
          <w:rFonts w:ascii="仿宋_GB2312" w:hAnsi="仿宋" w:eastAsia="仿宋_GB2312"/>
          <w:sz w:val="32"/>
          <w:szCs w:val="32"/>
        </w:rPr>
      </w:pPr>
      <w:r>
        <w:rPr>
          <w:rFonts w:hint="eastAsia" w:ascii="仿宋_GB2312" w:hAnsi="仿宋" w:eastAsia="仿宋_GB2312"/>
          <w:b/>
          <w:sz w:val="32"/>
          <w:szCs w:val="32"/>
        </w:rPr>
        <w:t>1．全力推广金财网一体化应用平台，抓好利用效率。</w:t>
      </w:r>
      <w:r>
        <w:rPr>
          <w:rFonts w:hint="eastAsia" w:ascii="仿宋_GB2312" w:hAnsi="仿宋" w:eastAsia="仿宋_GB2312"/>
          <w:sz w:val="32"/>
          <w:szCs w:val="32"/>
        </w:rPr>
        <w:t>金财网一体化应用平台正式上线运行后，已使用的大平台系统主要包括集中支付系统、工资统发系统和预算动态监控系统。全区2019年，通过大平台共办理集中支付业务29357笔，较2018年同期增长2451笔；共支付资金96195.42万元，比2018年同期减少91907.38万元，（其中直接支付业务9899笔，支付资金67964.79万元；授权支付业务17875笔，支付资金27554.36万元；公务卡业务1583笔，支付资金676.27万元），同时今年直接支付金额占总支出70.65%。</w:t>
      </w:r>
    </w:p>
    <w:p>
      <w:pPr>
        <w:ind w:firstLine="643" w:firstLineChars="200"/>
        <w:rPr>
          <w:rFonts w:ascii="仿宋_GB2312" w:hAnsi="仿宋" w:eastAsia="仿宋_GB2312"/>
          <w:sz w:val="32"/>
          <w:szCs w:val="32"/>
        </w:rPr>
      </w:pPr>
      <w:r>
        <w:rPr>
          <w:rFonts w:hint="eastAsia" w:ascii="仿宋_GB2312" w:hAnsi="仿宋" w:eastAsia="仿宋_GB2312"/>
          <w:b/>
          <w:sz w:val="32"/>
          <w:szCs w:val="32"/>
        </w:rPr>
        <w:t>2．继续加强动态监控，规范支付行为。</w:t>
      </w:r>
      <w:r>
        <w:rPr>
          <w:rFonts w:hint="eastAsia" w:ascii="仿宋_GB2312" w:hAnsi="仿宋" w:eastAsia="仿宋_GB2312"/>
          <w:sz w:val="32"/>
          <w:szCs w:val="32"/>
        </w:rPr>
        <w:t>主要存在的问题包括未按规则用途使用项目资金、未按规则用途使用公用经费、同一单位内部划转资金、授权支付单笔提现过大。每个季度根据动态监控问题，形成报告报市财政局。向各预算单位下发预算执行动态监控管理操作规程，加强预算单位学习，同时加强对公务卡消费、授权支付等执行情况的跟踪监控，进一步规范了各预算单位支付行为。</w:t>
      </w:r>
    </w:p>
    <w:p>
      <w:pPr>
        <w:ind w:firstLine="643" w:firstLineChars="200"/>
        <w:rPr>
          <w:rFonts w:ascii="仿宋_GB2312" w:hAnsi="仿宋" w:eastAsia="仿宋_GB2312"/>
          <w:sz w:val="32"/>
          <w:szCs w:val="32"/>
        </w:rPr>
      </w:pPr>
      <w:r>
        <w:rPr>
          <w:rFonts w:hint="eastAsia" w:ascii="仿宋_GB2312" w:hAnsi="仿宋" w:eastAsia="仿宋_GB2312"/>
          <w:b/>
          <w:sz w:val="32"/>
          <w:szCs w:val="32"/>
        </w:rPr>
        <w:t>3．严格落实财务管理制度，加强会计核算和会计监督</w:t>
      </w:r>
      <w:r>
        <w:rPr>
          <w:rFonts w:hint="eastAsia" w:ascii="仿宋_GB2312" w:hAnsi="仿宋" w:eastAsia="仿宋_GB2312"/>
          <w:sz w:val="32"/>
          <w:szCs w:val="32"/>
        </w:rPr>
        <w:t>。严格贯彻落实中央</w:t>
      </w:r>
      <w:bookmarkStart w:id="73" w:name="_GoBack"/>
      <w:bookmarkEnd w:id="73"/>
      <w:r>
        <w:rPr>
          <w:rFonts w:hint="eastAsia" w:ascii="仿宋_GB2312" w:hAnsi="仿宋" w:eastAsia="仿宋_GB2312"/>
          <w:sz w:val="32"/>
          <w:szCs w:val="32"/>
        </w:rPr>
        <w:t>八项规定，进一步加大对会计制度的执行力度，严肃财经纪律，严控开支，将厉行节约作为长效机制；集中精力履行好会计核算和监督职能，加大对财政资金的监管力度，提高资金使用效益。</w:t>
      </w:r>
    </w:p>
    <w:p>
      <w:pPr>
        <w:ind w:firstLine="643" w:firstLineChars="200"/>
        <w:rPr>
          <w:rFonts w:ascii="仿宋_GB2312" w:hAnsi="仿宋" w:eastAsia="仿宋_GB2312"/>
          <w:sz w:val="32"/>
          <w:szCs w:val="32"/>
        </w:rPr>
      </w:pPr>
      <w:r>
        <w:rPr>
          <w:rFonts w:hint="eastAsia" w:ascii="仿宋_GB2312" w:hAnsi="仿宋" w:eastAsia="仿宋_GB2312"/>
          <w:b/>
          <w:sz w:val="32"/>
          <w:szCs w:val="32"/>
        </w:rPr>
        <w:t>4．完善了国库集中支付业务流程，提升国库集中支付运行效率。</w:t>
      </w:r>
      <w:r>
        <w:rPr>
          <w:rFonts w:hint="eastAsia" w:ascii="仿宋_GB2312" w:hAnsi="仿宋" w:eastAsia="仿宋_GB2312"/>
          <w:sz w:val="32"/>
          <w:szCs w:val="32"/>
        </w:rPr>
        <w:t>随着功能科目细化，直接支付业务增加，继续加强完善支付流程，收到完整的支付资料，核对无误后再支付。</w:t>
      </w:r>
    </w:p>
    <w:p>
      <w:pPr>
        <w:ind w:firstLine="643" w:firstLineChars="200"/>
        <w:rPr>
          <w:rFonts w:ascii="仿宋_GB2312" w:hAnsi="仿宋" w:eastAsia="仿宋_GB2312"/>
          <w:sz w:val="32"/>
          <w:szCs w:val="32"/>
        </w:rPr>
      </w:pPr>
      <w:r>
        <w:rPr>
          <w:rFonts w:hint="eastAsia" w:ascii="仿宋_GB2312" w:hAnsi="仿宋" w:eastAsia="仿宋_GB2312"/>
          <w:b/>
          <w:sz w:val="32"/>
          <w:szCs w:val="32"/>
        </w:rPr>
        <w:t>5．加强廉政作风建设，提升队伍执业水平。</w:t>
      </w:r>
      <w:r>
        <w:rPr>
          <w:rFonts w:hint="eastAsia" w:ascii="仿宋_GB2312" w:hAnsi="仿宋" w:eastAsia="仿宋_GB2312"/>
          <w:sz w:val="32"/>
          <w:szCs w:val="32"/>
        </w:rPr>
        <w:t>本单位今年多次召开全体职工大会，反复强调作风建设，规范日常管理，严格工作纪律、工作作风考核，使集中支付业务工作忙而不乱，有条不紊，很好地维护了窗口形象。加强单位廉政建设，要求单位职工认真执行廉政建设的有关规定，杜绝吃、拿、卡、要。做到警钟长鸣，让干部职工时刻保持高度的廉政意识，保持良好的机关作风和清正廉洁的支付队伍形象。</w:t>
      </w:r>
    </w:p>
    <w:p>
      <w:pPr>
        <w:pStyle w:val="3"/>
        <w:ind w:firstLine="640" w:firstLineChars="200"/>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800" w:firstLineChars="250"/>
        <w:rPr>
          <w:rFonts w:hint="eastAsia" w:ascii="仿宋" w:hAnsi="仿宋" w:eastAsia="仿宋"/>
          <w:sz w:val="32"/>
          <w:szCs w:val="32"/>
        </w:rPr>
      </w:pPr>
      <w:bookmarkStart w:id="22" w:name="_Toc15396602"/>
      <w:bookmarkStart w:id="23" w:name="_Toc15377204"/>
      <w:r>
        <w:rPr>
          <w:rFonts w:hint="eastAsia" w:ascii="仿宋" w:hAnsi="仿宋" w:eastAsia="仿宋"/>
          <w:sz w:val="32"/>
          <w:szCs w:val="32"/>
        </w:rPr>
        <w:t>攀枝花市西区财政国库支付中心隶属于攀枝花市西区财政局</w:t>
      </w:r>
      <w:r>
        <w:rPr>
          <w:rFonts w:hint="eastAsia" w:ascii="仿宋_GB2312" w:hAnsi="宋体" w:eastAsia="仿宋_GB2312" w:cs="宋体"/>
          <w:kern w:val="0"/>
          <w:sz w:val="32"/>
          <w:szCs w:val="32"/>
        </w:rPr>
        <w:t>，</w:t>
      </w:r>
      <w:r>
        <w:rPr>
          <w:rFonts w:hint="eastAsia" w:ascii="仿宋" w:hAnsi="仿宋" w:eastAsia="仿宋"/>
          <w:sz w:val="32"/>
          <w:szCs w:val="32"/>
        </w:rPr>
        <w:t>没有下属二级单位。</w:t>
      </w:r>
    </w:p>
    <w:p>
      <w:pPr>
        <w:pStyle w:val="2"/>
        <w:ind w:right="440"/>
        <w:jc w:val="right"/>
        <w:rPr>
          <w:rStyle w:val="25"/>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175.89</w:t>
      </w:r>
      <w:r>
        <w:rPr>
          <w:rFonts w:hint="eastAsia" w:ascii="仿宋" w:hAnsi="仿宋" w:eastAsia="仿宋"/>
          <w:color w:val="000000"/>
          <w:sz w:val="32"/>
          <w:szCs w:val="32"/>
        </w:rPr>
        <w:t>万元。与2018年相比，收、支总计各增加</w:t>
      </w:r>
      <w:r>
        <w:rPr>
          <w:rFonts w:hint="eastAsia" w:ascii="仿宋" w:hAnsi="仿宋" w:eastAsia="仿宋"/>
          <w:color w:val="000000"/>
          <w:sz w:val="32"/>
          <w:szCs w:val="32"/>
          <w:lang w:val="en-US" w:eastAsia="zh-CN"/>
        </w:rPr>
        <w:t>5.39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在职人员工资调标</w:t>
      </w:r>
      <w:r>
        <w:rPr>
          <w:rFonts w:hint="eastAsia" w:ascii="仿宋" w:hAnsi="仿宋" w:eastAsia="仿宋"/>
          <w:color w:val="000000"/>
          <w:sz w:val="32"/>
          <w:szCs w:val="32"/>
        </w:rPr>
        <w:t>经费</w:t>
      </w:r>
      <w:r>
        <w:rPr>
          <w:rFonts w:hint="eastAsia" w:ascii="仿宋" w:hAnsi="仿宋" w:eastAsia="仿宋"/>
          <w:color w:val="000000"/>
          <w:sz w:val="32"/>
          <w:szCs w:val="32"/>
          <w:lang w:eastAsia="zh-CN"/>
        </w:rPr>
        <w:t>相应</w:t>
      </w:r>
      <w:r>
        <w:rPr>
          <w:rFonts w:hint="eastAsia" w:ascii="仿宋" w:hAnsi="仿宋" w:eastAsia="仿宋"/>
          <w:color w:val="000000"/>
          <w:sz w:val="32"/>
          <w:szCs w:val="32"/>
        </w:rPr>
        <w:t>增加</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420" w:firstLineChars="200"/>
        <w:rPr>
          <w:rFonts w:hint="eastAsia" w:ascii="仿宋" w:hAnsi="仿宋" w:eastAsia="仿宋"/>
          <w:color w:val="000000" w:themeColor="text1"/>
          <w:sz w:val="32"/>
          <w:szCs w:val="32"/>
        </w:rPr>
      </w:pPr>
      <w:r>
        <w:drawing>
          <wp:anchor distT="0" distB="0" distL="114935" distR="114935" simplePos="0" relativeHeight="251659264" behindDoc="1" locked="0" layoutInCell="1" allowOverlap="1">
            <wp:simplePos x="0" y="0"/>
            <wp:positionH relativeFrom="column">
              <wp:posOffset>419100</wp:posOffset>
            </wp:positionH>
            <wp:positionV relativeFrom="paragraph">
              <wp:posOffset>83820</wp:posOffset>
            </wp:positionV>
            <wp:extent cx="4467225" cy="2219960"/>
            <wp:effectExtent l="0" t="0" r="13335" b="35560"/>
            <wp:wrapTight wrapText="bothSides">
              <wp:wrapPolygon>
                <wp:start x="0" y="0"/>
                <wp:lineTo x="0" y="21501"/>
                <wp:lineTo x="21517" y="21501"/>
                <wp:lineTo x="2151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467225" cy="2219960"/>
                    </a:xfrm>
                    <a:prstGeom prst="rect">
                      <a:avLst/>
                    </a:prstGeom>
                    <a:noFill/>
                    <a:ln w="9525">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155.64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130.56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16</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lang w:val="en-US" w:eastAsia="zh-CN"/>
        </w:rPr>
        <w:t>08</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w:t>
      </w:r>
    </w:p>
    <w:p>
      <w:pPr>
        <w:spacing w:line="600" w:lineRule="exact"/>
        <w:ind w:firstLine="420" w:firstLineChars="200"/>
        <w:rPr>
          <w:rFonts w:hint="eastAsia" w:ascii="仿宋_GB2312" w:eastAsia="仿宋_GB2312"/>
          <w:color w:val="FF0000"/>
          <w:sz w:val="32"/>
          <w:szCs w:val="32"/>
          <w:lang w:val="en-US" w:eastAsia="zh-CN"/>
        </w:rPr>
      </w:pPr>
      <w:r>
        <w:drawing>
          <wp:anchor distT="0" distB="0" distL="114935" distR="114935" simplePos="0" relativeHeight="251660288" behindDoc="1" locked="0" layoutInCell="1" allowOverlap="1">
            <wp:simplePos x="0" y="0"/>
            <wp:positionH relativeFrom="column">
              <wp:posOffset>425450</wp:posOffset>
            </wp:positionH>
            <wp:positionV relativeFrom="paragraph">
              <wp:posOffset>38100</wp:posOffset>
            </wp:positionV>
            <wp:extent cx="4452620" cy="2252980"/>
            <wp:effectExtent l="0" t="0" r="12700" b="2540"/>
            <wp:wrapTight wrapText="bothSides">
              <wp:wrapPolygon>
                <wp:start x="0" y="0"/>
                <wp:lineTo x="0" y="21478"/>
                <wp:lineTo x="21514" y="21478"/>
                <wp:lineTo x="2151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452620" cy="2252980"/>
                    </a:xfrm>
                    <a:prstGeom prst="rect">
                      <a:avLst/>
                    </a:prstGeom>
                    <a:noFill/>
                    <a:ln w="9525">
                      <a:noFill/>
                    </a:ln>
                  </pic:spPr>
                </pic:pic>
              </a:graphicData>
            </a:graphic>
          </wp:anchor>
        </w:drawing>
      </w:r>
      <w:r>
        <w:rPr>
          <w:rFonts w:hint="eastAsia" w:ascii="仿宋_GB2312" w:eastAsia="仿宋_GB2312"/>
          <w:color w:val="FF0000"/>
          <w:sz w:val="32"/>
          <w:szCs w:val="32"/>
          <w:lang w:val="en-US" w:eastAsia="zh-CN"/>
        </w:rPr>
        <w:t xml:space="preserve">    </w:t>
      </w: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spacing w:line="600" w:lineRule="exact"/>
        <w:ind w:firstLine="640" w:firstLineChars="200"/>
        <w:rPr>
          <w:rFonts w:hint="eastAsia" w:ascii="仿宋_GB2312" w:eastAsia="仿宋_GB2312"/>
          <w:color w:val="FF0000"/>
          <w:sz w:val="32"/>
          <w:szCs w:val="32"/>
          <w:lang w:val="en-US" w:eastAsia="zh-CN"/>
        </w:rPr>
      </w:pP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164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146.90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17.10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rPr>
          <w:rFonts w:hint="eastAsia" w:ascii="黑体" w:hAnsi="黑体" w:eastAsia="黑体"/>
          <w:color w:val="000000"/>
          <w:sz w:val="32"/>
          <w:szCs w:val="32"/>
        </w:rPr>
      </w:pPr>
      <w:bookmarkStart w:id="30" w:name="_Toc15396606"/>
      <w:bookmarkStart w:id="31" w:name="_Toc15377208"/>
      <w:r>
        <w:drawing>
          <wp:anchor distT="0" distB="0" distL="114935" distR="114935" simplePos="0" relativeHeight="251661312" behindDoc="1" locked="0" layoutInCell="1" allowOverlap="1">
            <wp:simplePos x="0" y="0"/>
            <wp:positionH relativeFrom="column">
              <wp:posOffset>365760</wp:posOffset>
            </wp:positionH>
            <wp:positionV relativeFrom="paragraph">
              <wp:posOffset>45720</wp:posOffset>
            </wp:positionV>
            <wp:extent cx="4497705" cy="2207895"/>
            <wp:effectExtent l="0" t="0" r="13335" b="1905"/>
            <wp:wrapTight wrapText="bothSides">
              <wp:wrapPolygon>
                <wp:start x="0" y="0"/>
                <wp:lineTo x="0" y="21470"/>
                <wp:lineTo x="21518" y="21470"/>
                <wp:lineTo x="21518"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497705" cy="2207895"/>
                    </a:xfrm>
                    <a:prstGeom prst="rect">
                      <a:avLst/>
                    </a:prstGeom>
                    <a:noFill/>
                    <a:ln w="9525">
                      <a:noFill/>
                    </a:ln>
                  </pic:spPr>
                </pic:pic>
              </a:graphicData>
            </a:graphic>
          </wp:anchor>
        </w:drawing>
      </w: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lang w:val="en-US" w:eastAsia="zh-CN"/>
        </w:rPr>
      </w:pPr>
    </w:p>
    <w:p>
      <w:pPr>
        <w:spacing w:line="600" w:lineRule="exact"/>
        <w:ind w:firstLine="640" w:firstLineChars="200"/>
        <w:outlineLvl w:val="1"/>
        <w:rPr>
          <w:rFonts w:hint="eastAsia" w:ascii="黑体" w:hAnsi="黑体" w:eastAsia="黑体"/>
          <w:color w:val="000000"/>
          <w:sz w:val="32"/>
          <w:szCs w:val="32"/>
          <w:lang w:val="en-US" w:eastAsia="zh-CN"/>
        </w:rPr>
      </w:pPr>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175.50</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w:t>
      </w:r>
      <w:r>
        <w:rPr>
          <w:rFonts w:hint="eastAsia" w:ascii="仿宋" w:hAnsi="仿宋" w:eastAsia="仿宋"/>
          <w:color w:val="000000"/>
          <w:sz w:val="32"/>
          <w:szCs w:val="32"/>
          <w:lang w:val="en-US" w:eastAsia="zh-CN"/>
        </w:rPr>
        <w:t>5.26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在职人员工资调标</w:t>
      </w:r>
      <w:r>
        <w:rPr>
          <w:rFonts w:hint="eastAsia" w:ascii="仿宋" w:hAnsi="仿宋" w:eastAsia="仿宋"/>
          <w:color w:val="000000"/>
          <w:sz w:val="32"/>
          <w:szCs w:val="32"/>
        </w:rPr>
        <w:t>经费</w:t>
      </w:r>
      <w:r>
        <w:rPr>
          <w:rFonts w:hint="eastAsia" w:ascii="仿宋" w:hAnsi="仿宋" w:eastAsia="仿宋"/>
          <w:color w:val="000000"/>
          <w:sz w:val="32"/>
          <w:szCs w:val="32"/>
          <w:lang w:eastAsia="zh-CN"/>
        </w:rPr>
        <w:t>相应</w:t>
      </w:r>
      <w:r>
        <w:rPr>
          <w:rFonts w:hint="eastAsia" w:ascii="仿宋" w:hAnsi="仿宋" w:eastAsia="仿宋"/>
          <w:color w:val="000000"/>
          <w:sz w:val="32"/>
          <w:szCs w:val="32"/>
        </w:rPr>
        <w:t>增加</w:t>
      </w:r>
      <w:r>
        <w:rPr>
          <w:rFonts w:hint="eastAsia" w:ascii="仿宋" w:hAnsi="仿宋" w:eastAsia="仿宋"/>
          <w:color w:val="000000"/>
          <w:sz w:val="32"/>
          <w:szCs w:val="32"/>
          <w:lang w:eastAsia="zh-CN"/>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w:t>
      </w:r>
    </w:p>
    <w:p>
      <w:pPr>
        <w:spacing w:line="600" w:lineRule="exact"/>
        <w:ind w:firstLine="640"/>
        <w:rPr>
          <w:rFonts w:ascii="仿宋" w:hAnsi="仿宋" w:eastAsia="仿宋"/>
          <w:b/>
          <w:color w:val="00B050"/>
          <w:sz w:val="32"/>
          <w:szCs w:val="32"/>
        </w:rPr>
      </w:pPr>
      <w:r>
        <w:drawing>
          <wp:anchor distT="0" distB="0" distL="114935" distR="114935" simplePos="0" relativeHeight="251662336" behindDoc="1" locked="0" layoutInCell="1" allowOverlap="1">
            <wp:simplePos x="0" y="0"/>
            <wp:positionH relativeFrom="column">
              <wp:posOffset>443865</wp:posOffset>
            </wp:positionH>
            <wp:positionV relativeFrom="paragraph">
              <wp:posOffset>45720</wp:posOffset>
            </wp:positionV>
            <wp:extent cx="4485005" cy="2234565"/>
            <wp:effectExtent l="0" t="0" r="41275" b="5715"/>
            <wp:wrapTight wrapText="bothSides">
              <wp:wrapPolygon>
                <wp:start x="0" y="0"/>
                <wp:lineTo x="0" y="21508"/>
                <wp:lineTo x="21505" y="21508"/>
                <wp:lineTo x="21505"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4485005" cy="2234565"/>
                    </a:xfrm>
                    <a:prstGeom prst="rect">
                      <a:avLst/>
                    </a:prstGeom>
                    <a:noFill/>
                    <a:ln w="9525">
                      <a:noFill/>
                    </a:ln>
                  </pic:spPr>
                </pic:pic>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150.50</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16.08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10</w:t>
      </w:r>
      <w:r>
        <w:rPr>
          <w:rFonts w:ascii="仿宋" w:hAnsi="仿宋" w:eastAsia="仿宋"/>
          <w:color w:val="000000"/>
          <w:sz w:val="32"/>
          <w:szCs w:val="32"/>
        </w:rPr>
        <w:t>%</w:t>
      </w:r>
      <w:r>
        <w:rPr>
          <w:rFonts w:hint="eastAsia" w:ascii="仿宋" w:hAnsi="仿宋" w:eastAsia="仿宋"/>
          <w:color w:val="000000"/>
          <w:sz w:val="32"/>
          <w:szCs w:val="32"/>
        </w:rPr>
        <w:t>。主要变动原因是</w:t>
      </w:r>
      <w:r>
        <w:rPr>
          <w:rStyle w:val="15"/>
          <w:rFonts w:hint="eastAsia" w:ascii="仿宋" w:hAnsi="仿宋" w:eastAsia="仿宋"/>
          <w:b w:val="0"/>
          <w:bCs/>
          <w:color w:val="000000"/>
          <w:sz w:val="32"/>
          <w:szCs w:val="32"/>
        </w:rPr>
        <w:t>今年</w:t>
      </w:r>
      <w:r>
        <w:rPr>
          <w:rFonts w:hint="eastAsia" w:ascii="仿宋" w:hAnsi="仿宋" w:eastAsia="仿宋"/>
          <w:color w:val="000000"/>
          <w:sz w:val="32"/>
          <w:szCs w:val="32"/>
        </w:rPr>
        <w:t>一般公共预算财政拨款</w:t>
      </w:r>
      <w:r>
        <w:rPr>
          <w:rFonts w:hint="eastAsia" w:ascii="仿宋" w:hAnsi="仿宋" w:eastAsia="仿宋"/>
          <w:color w:val="000000"/>
          <w:sz w:val="32"/>
          <w:szCs w:val="32"/>
          <w:lang w:val="en-US" w:eastAsia="zh-CN"/>
        </w:rPr>
        <w:t>-</w:t>
      </w:r>
      <w:r>
        <w:rPr>
          <w:rFonts w:hint="eastAsia" w:ascii="仿宋" w:hAnsi="仿宋" w:eastAsia="仿宋"/>
          <w:color w:val="000000"/>
          <w:sz w:val="32"/>
          <w:szCs w:val="32"/>
          <w:lang w:eastAsia="zh-CN"/>
        </w:rPr>
        <w:t>项目经费</w:t>
      </w:r>
      <w:r>
        <w:rPr>
          <w:rStyle w:val="15"/>
          <w:rFonts w:hint="eastAsia" w:ascii="仿宋" w:hAnsi="仿宋" w:eastAsia="仿宋"/>
          <w:b w:val="0"/>
          <w:bCs/>
          <w:color w:val="000000"/>
          <w:sz w:val="32"/>
          <w:szCs w:val="32"/>
          <w:lang w:eastAsia="zh-CN"/>
        </w:rPr>
        <w:t>调整为政府性基金预算财政拨款，支出随之减少</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（图5：一般公共预算财政拨款支出决算变动情况）</w:t>
      </w:r>
      <w:r>
        <w:rPr>
          <w:rFonts w:hint="eastAsia" w:ascii="仿宋" w:hAnsi="仿宋" w:eastAsia="仿宋"/>
          <w:color w:val="000000" w:themeColor="text1"/>
          <w:sz w:val="32"/>
          <w:szCs w:val="32"/>
          <w:lang w:val="en-US" w:eastAsia="zh-CN"/>
        </w:rPr>
        <w:t xml:space="preserve"> </w:t>
      </w:r>
    </w:p>
    <w:p>
      <w:pPr>
        <w:spacing w:line="600" w:lineRule="exact"/>
        <w:ind w:firstLine="420" w:firstLineChars="200"/>
        <w:rPr>
          <w:rFonts w:hint="eastAsia" w:ascii="仿宋" w:hAnsi="仿宋" w:eastAsia="仿宋"/>
          <w:color w:val="000000" w:themeColor="text1"/>
          <w:sz w:val="32"/>
          <w:szCs w:val="32"/>
          <w:lang w:val="en-US" w:eastAsia="zh-CN"/>
        </w:rPr>
      </w:pPr>
      <w:r>
        <w:drawing>
          <wp:anchor distT="0" distB="0" distL="114935" distR="114935" simplePos="0" relativeHeight="251663360" behindDoc="1" locked="0" layoutInCell="1" allowOverlap="1">
            <wp:simplePos x="0" y="0"/>
            <wp:positionH relativeFrom="column">
              <wp:posOffset>410845</wp:posOffset>
            </wp:positionH>
            <wp:positionV relativeFrom="paragraph">
              <wp:posOffset>83820</wp:posOffset>
            </wp:positionV>
            <wp:extent cx="4422775" cy="2293620"/>
            <wp:effectExtent l="0" t="0" r="12065" b="38100"/>
            <wp:wrapTight wrapText="bothSides">
              <wp:wrapPolygon>
                <wp:start x="0" y="0"/>
                <wp:lineTo x="0" y="21528"/>
                <wp:lineTo x="21510" y="21528"/>
                <wp:lineTo x="21510"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4422775" cy="2293620"/>
                    </a:xfrm>
                    <a:prstGeom prst="rect">
                      <a:avLst/>
                    </a:prstGeom>
                    <a:noFill/>
                    <a:ln w="9525">
                      <a:noFill/>
                    </a:ln>
                  </pic:spPr>
                </pic:pic>
              </a:graphicData>
            </a:graphic>
          </wp:anchor>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firstLineChars="200"/>
        <w:rPr>
          <w:rFonts w:hint="eastAsia"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150.50</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118.62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11.79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lang w:val="en-US" w:eastAsia="zh-CN"/>
        </w:rPr>
        <w:t>7.81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lang w:val="en-US" w:eastAsia="zh-CN"/>
        </w:rPr>
        <w:t>12.28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420" w:firstLineChars="200"/>
        <w:rPr>
          <w:rFonts w:hint="eastAsia" w:ascii="仿宋" w:hAnsi="仿宋" w:eastAsia="仿宋"/>
          <w:color w:val="000000"/>
          <w:sz w:val="32"/>
          <w:szCs w:val="32"/>
          <w:lang w:val="en-US" w:eastAsia="zh-CN"/>
        </w:rPr>
      </w:pPr>
      <w:r>
        <w:drawing>
          <wp:anchor distT="0" distB="0" distL="114935" distR="114935" simplePos="0" relativeHeight="251664384" behindDoc="1" locked="0" layoutInCell="1" allowOverlap="1">
            <wp:simplePos x="0" y="0"/>
            <wp:positionH relativeFrom="column">
              <wp:posOffset>419100</wp:posOffset>
            </wp:positionH>
            <wp:positionV relativeFrom="paragraph">
              <wp:posOffset>69215</wp:posOffset>
            </wp:positionV>
            <wp:extent cx="4429760" cy="2223135"/>
            <wp:effectExtent l="0" t="0" r="5080" b="1905"/>
            <wp:wrapTight wrapText="bothSides">
              <wp:wrapPolygon>
                <wp:start x="0" y="0"/>
                <wp:lineTo x="0" y="21470"/>
                <wp:lineTo x="21550" y="21470"/>
                <wp:lineTo x="21550"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4429760" cy="2223135"/>
                    </a:xfrm>
                    <a:prstGeom prst="rect">
                      <a:avLst/>
                    </a:prstGeom>
                    <a:noFill/>
                    <a:ln w="9525">
                      <a:noFill/>
                    </a:ln>
                  </pic:spPr>
                </pic:pic>
              </a:graphicData>
            </a:graphic>
          </wp:anchor>
        </w:drawing>
      </w:r>
      <w:r>
        <w:rPr>
          <w:rFonts w:hint="eastAsia" w:ascii="仿宋" w:hAnsi="仿宋" w:eastAsia="仿宋"/>
          <w:color w:val="000000"/>
          <w:sz w:val="32"/>
          <w:szCs w:val="32"/>
          <w:lang w:val="en-US" w:eastAsia="zh-CN"/>
        </w:rPr>
        <w:t xml:space="preserve">  </w:t>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2019年</w:t>
      </w:r>
      <w:r>
        <w:rPr>
          <w:rFonts w:hint="eastAsia" w:ascii="仿宋" w:hAnsi="仿宋" w:eastAsia="仿宋"/>
          <w:b/>
          <w:color w:val="000000"/>
          <w:sz w:val="32"/>
          <w:szCs w:val="32"/>
        </w:rPr>
        <w:t>一</w:t>
      </w:r>
      <w:r>
        <w:rPr>
          <w:rFonts w:hint="eastAsia" w:ascii="仿宋" w:hAnsi="仿宋" w:eastAsia="仿宋"/>
          <w:b/>
          <w:color w:val="000000" w:themeColor="text1"/>
          <w:sz w:val="32"/>
          <w:szCs w:val="32"/>
        </w:rPr>
        <w:t>般公共预算支出决算数为</w:t>
      </w:r>
      <w:r>
        <w:rPr>
          <w:rFonts w:hint="eastAsia" w:ascii="仿宋" w:hAnsi="仿宋" w:eastAsia="仿宋"/>
          <w:color w:val="000000" w:themeColor="text1"/>
          <w:sz w:val="32"/>
          <w:szCs w:val="32"/>
          <w:lang w:val="en-US" w:eastAsia="zh-CN"/>
        </w:rPr>
        <w:t>150.50</w:t>
      </w:r>
      <w:r>
        <w:rPr>
          <w:rFonts w:hint="eastAsia" w:ascii="仿宋" w:hAnsi="仿宋" w:eastAsia="仿宋"/>
          <w:color w:val="000000" w:themeColor="text1"/>
          <w:sz w:val="32"/>
          <w:szCs w:val="32"/>
        </w:rPr>
        <w:t>万元，</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115</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hint="eastAsia" w:ascii="仿宋" w:hAnsi="仿宋" w:eastAsia="仿宋"/>
          <w:b/>
          <w:color w:val="000000"/>
          <w:sz w:val="32"/>
          <w:szCs w:val="32"/>
          <w:lang w:eastAsia="zh-CN"/>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一般公共服务（类）财政事务（款）行政运行（项）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114.96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117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，决算数大于预算数的主要原因是今年</w:t>
      </w:r>
      <w:r>
        <w:rPr>
          <w:rStyle w:val="15"/>
          <w:rFonts w:hint="eastAsia" w:ascii="仿宋" w:hAnsi="仿宋" w:eastAsia="仿宋"/>
          <w:b w:val="0"/>
          <w:bCs/>
          <w:color w:val="000000"/>
          <w:sz w:val="32"/>
          <w:szCs w:val="32"/>
          <w:lang w:eastAsia="zh-CN"/>
        </w:rPr>
        <w:t>部分预算收入调整为存量资金安排的上年结转资金</w:t>
      </w:r>
      <w:r>
        <w:rPr>
          <w:rStyle w:val="15"/>
          <w:rFonts w:hint="eastAsia" w:ascii="仿宋" w:hAnsi="仿宋" w:eastAsia="仿宋"/>
          <w:b w:val="0"/>
          <w:bCs/>
          <w:color w:val="000000"/>
          <w:sz w:val="32"/>
          <w:szCs w:val="32"/>
        </w:rPr>
        <w:t>形成的。</w:t>
      </w:r>
      <w:r>
        <w:rPr>
          <w:rStyle w:val="15"/>
          <w:rFonts w:hint="eastAsia" w:ascii="仿宋" w:hAnsi="仿宋" w:eastAsia="仿宋"/>
          <w:b/>
          <w:bCs w:val="0"/>
          <w:color w:val="000000"/>
          <w:sz w:val="32"/>
          <w:szCs w:val="32"/>
        </w:rPr>
        <w:t>一般行政管理事务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3.66</w:t>
      </w:r>
      <w:r>
        <w:rPr>
          <w:rStyle w:val="15"/>
          <w:rFonts w:hint="eastAsia" w:ascii="仿宋" w:hAnsi="仿宋" w:eastAsia="仿宋"/>
          <w:b w:val="0"/>
          <w:bCs/>
          <w:color w:val="000000"/>
          <w:sz w:val="32"/>
          <w:szCs w:val="32"/>
        </w:rPr>
        <w:t>万元，</w:t>
      </w:r>
      <w:r>
        <w:rPr>
          <w:rStyle w:val="15"/>
          <w:rFonts w:hint="eastAsia" w:ascii="仿宋" w:hAnsi="仿宋" w:eastAsia="仿宋"/>
          <w:b w:val="0"/>
          <w:bCs/>
          <w:color w:val="000000"/>
          <w:sz w:val="32"/>
          <w:szCs w:val="32"/>
          <w:lang w:eastAsia="zh-CN"/>
        </w:rPr>
        <w:t>全部为使用上年结转资金</w:t>
      </w:r>
      <w:r>
        <w:rPr>
          <w:rStyle w:val="15"/>
          <w:rFonts w:hint="eastAsia" w:ascii="仿宋" w:hAnsi="仿宋" w:eastAsia="仿宋"/>
          <w:b w:val="0"/>
          <w:bCs/>
          <w:color w:val="000000"/>
          <w:sz w:val="32"/>
          <w:szCs w:val="32"/>
        </w:rPr>
        <w:t>形成的</w:t>
      </w:r>
      <w:r>
        <w:rPr>
          <w:rStyle w:val="15"/>
          <w:rFonts w:hint="eastAsia" w:ascii="仿宋" w:hAnsi="仿宋" w:eastAsia="仿宋"/>
          <w:b w:val="0"/>
          <w:bCs/>
          <w:color w:val="000000"/>
          <w:sz w:val="32"/>
          <w:szCs w:val="32"/>
          <w:lang w:eastAsia="zh-CN"/>
        </w:rPr>
        <w:t>支出。</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社会保障和就业（类）行政事业单位离退休（款）未归口管理的行政单位离退休（项）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机关事业单位基本养老保险缴费支出（项）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10.19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5"/>
          <w:rFonts w:hint="eastAsia" w:ascii="仿宋" w:hAnsi="仿宋" w:eastAsia="仿宋"/>
          <w:bCs/>
          <w:color w:val="000000"/>
          <w:sz w:val="32"/>
          <w:szCs w:val="32"/>
        </w:rPr>
        <w:t>（类）行政事业单位医疗（款）行政单位医疗（项）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6.93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bCs w:val="0"/>
          <w:color w:val="000000"/>
          <w:sz w:val="32"/>
          <w:szCs w:val="32"/>
        </w:rPr>
        <w:t>公务员医疗补助</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0.88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住房保障支出（类）住房改革支出（款）住房公积金（项）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12.28</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146.84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123.27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23.57</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0.85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0.85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r>
        <w:rPr>
          <w:rFonts w:hint="eastAsia" w:ascii="仿宋" w:hAnsi="仿宋" w:eastAsia="仿宋"/>
          <w:color w:val="000000"/>
          <w:sz w:val="32"/>
          <w:szCs w:val="32"/>
        </w:rPr>
        <w:t>因公出国（境）支出决算与201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年一样为0万元。</w:t>
      </w:r>
    </w:p>
    <w:p>
      <w:pPr>
        <w:spacing w:line="600" w:lineRule="exact"/>
        <w:ind w:firstLine="640"/>
        <w:rPr>
          <w:rFonts w:hint="eastAsia"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w:t>
      </w:r>
      <w:r>
        <w:rPr>
          <w:rFonts w:hint="eastAsia" w:ascii="仿宋" w:hAnsi="仿宋" w:eastAsia="仿宋"/>
          <w:color w:val="000000"/>
          <w:sz w:val="32"/>
          <w:szCs w:val="32"/>
        </w:rPr>
        <w:t>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年一样为0万元</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0.85</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0.15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严格控制接待范围、接待人次、接待标准</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0.85</w:t>
      </w:r>
      <w:r>
        <w:rPr>
          <w:rFonts w:hint="eastAsia" w:ascii="仿宋_GB2312" w:eastAsia="仿宋_GB2312"/>
          <w:color w:val="000000"/>
          <w:sz w:val="32"/>
          <w:szCs w:val="32"/>
        </w:rPr>
        <w:t>万元，主要用于</w:t>
      </w:r>
      <w:r>
        <w:rPr>
          <w:rFonts w:hint="eastAsia" w:ascii="仿宋" w:hAnsi="仿宋" w:eastAsia="仿宋"/>
          <w:color w:val="000000"/>
          <w:sz w:val="32"/>
          <w:szCs w:val="32"/>
        </w:rPr>
        <w:t>执行公务、开展业务活动开支的用餐费。</w:t>
      </w:r>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70</w:t>
      </w:r>
      <w:r>
        <w:rPr>
          <w:rFonts w:hint="eastAsia" w:ascii="仿宋_GB2312" w:eastAsia="仿宋_GB2312"/>
          <w:color w:val="000000"/>
          <w:sz w:val="32"/>
          <w:szCs w:val="32"/>
        </w:rPr>
        <w:t>人次，共计支出</w:t>
      </w:r>
      <w:r>
        <w:rPr>
          <w:rFonts w:hint="eastAsia" w:ascii="仿宋_GB2312" w:eastAsia="仿宋_GB2312"/>
          <w:color w:val="000000"/>
          <w:sz w:val="32"/>
          <w:szCs w:val="32"/>
          <w:lang w:val="en-US" w:eastAsia="zh-CN"/>
        </w:rPr>
        <w:t>0.85</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财政资金支付流程及动态监控工作支出</w:t>
      </w:r>
      <w:r>
        <w:rPr>
          <w:rFonts w:hint="eastAsia" w:ascii="仿宋_GB2312" w:eastAsia="仿宋_GB2312"/>
          <w:color w:val="000000"/>
          <w:sz w:val="32"/>
          <w:szCs w:val="32"/>
          <w:lang w:val="en-US" w:eastAsia="zh-CN"/>
        </w:rPr>
        <w:t>0.19万元，新政府会计制度及财务软件工作支出0.46万元，部门预算编制工作支出0.20万元</w:t>
      </w:r>
      <w:r>
        <w:rPr>
          <w:rFonts w:hint="eastAsia" w:ascii="仿宋_GB2312" w:eastAsia="仿宋_GB2312"/>
          <w:color w:val="000000"/>
          <w:sz w:val="32"/>
          <w:szCs w:val="32"/>
        </w:rPr>
        <w:t>。</w:t>
      </w:r>
    </w:p>
    <w:p>
      <w:pPr>
        <w:spacing w:line="600" w:lineRule="exact"/>
        <w:ind w:firstLine="640"/>
        <w:outlineLvl w:val="1"/>
        <w:rPr>
          <w:rFonts w:hint="eastAsia"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w:t>
      </w:r>
      <w:bookmarkStart w:id="46" w:name="_Toc15377218"/>
      <w:bookmarkStart w:id="47" w:name="_Toc15396610"/>
      <w:r>
        <w:rPr>
          <w:rFonts w:hint="eastAsia" w:ascii="仿宋_GB2312" w:eastAsia="仿宋_GB2312"/>
          <w:color w:val="000000"/>
          <w:sz w:val="32"/>
          <w:szCs w:val="32"/>
        </w:rPr>
        <w:t>。</w:t>
      </w:r>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13.44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全部为项目支出。</w:t>
      </w: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本单位</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23.57</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12.73</w:t>
      </w:r>
      <w:r>
        <w:rPr>
          <w:rFonts w:hint="eastAsia" w:ascii="仿宋_GB2312" w:eastAsia="仿宋_GB2312"/>
          <w:color w:val="000000"/>
          <w:sz w:val="32"/>
          <w:szCs w:val="32"/>
        </w:rPr>
        <w:t>万元。</w:t>
      </w:r>
      <w:r>
        <w:rPr>
          <w:rFonts w:hint="eastAsia" w:ascii="仿宋_GB2312" w:eastAsia="仿宋_GB2312"/>
          <w:color w:val="000000" w:themeColor="text1"/>
          <w:sz w:val="32"/>
          <w:szCs w:val="32"/>
        </w:rPr>
        <w:t>主要原因是电费、邮电费、差旅费</w:t>
      </w:r>
      <w:r>
        <w:rPr>
          <w:rFonts w:hint="eastAsia" w:ascii="仿宋_GB2312" w:eastAsia="仿宋_GB2312"/>
          <w:color w:val="000000" w:themeColor="text1"/>
          <w:sz w:val="32"/>
          <w:szCs w:val="32"/>
          <w:lang w:eastAsia="zh-CN"/>
        </w:rPr>
        <w:t>、其他交通费用</w:t>
      </w:r>
      <w:r>
        <w:rPr>
          <w:rFonts w:hint="eastAsia" w:ascii="仿宋_GB2312" w:eastAsia="仿宋_GB2312"/>
          <w:color w:val="000000" w:themeColor="text1"/>
          <w:sz w:val="32"/>
          <w:szCs w:val="32"/>
        </w:rPr>
        <w:t>等增加</w:t>
      </w:r>
      <w:r>
        <w:rPr>
          <w:rFonts w:hint="eastAsia" w:ascii="仿宋_GB2312" w:eastAsia="仿宋_GB2312"/>
          <w:color w:val="000000" w:themeColor="text1"/>
          <w:sz w:val="32"/>
          <w:szCs w:val="32"/>
          <w:lang w:eastAsia="zh-CN"/>
        </w:rPr>
        <w:t>的支出。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本单位</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0.38</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0.38</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 w:hAnsi="仿宋" w:eastAsia="仿宋"/>
          <w:color w:val="000000"/>
          <w:sz w:val="32"/>
          <w:szCs w:val="32"/>
        </w:rPr>
        <w:t>办公设备更新、补充</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0.38</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0.38</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本单位没有公务</w:t>
      </w:r>
      <w:r>
        <w:rPr>
          <w:rFonts w:hint="eastAsia" w:ascii="仿宋_GB2312" w:eastAsia="仿宋_GB2312"/>
          <w:color w:val="000000"/>
          <w:sz w:val="32"/>
          <w:szCs w:val="32"/>
        </w:rPr>
        <w:t>车辆</w:t>
      </w:r>
      <w:r>
        <w:rPr>
          <w:rFonts w:hint="eastAsia" w:ascii="仿宋_GB2312" w:eastAsia="仿宋_GB2312"/>
          <w:color w:val="000000"/>
          <w:sz w:val="32"/>
          <w:szCs w:val="32"/>
          <w:lang w:eastAsia="zh-CN"/>
        </w:rPr>
        <w:t>，也没有</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eastAsia="zh-CN"/>
        </w:rPr>
        <w:t>和</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根据预算绩效管理要求，本单位在年初预算编制阶段，组织对国库支付管理业务</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项目编制了绩效目标，预算执行过程中，</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项目开展</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绩效监控，年终执行完毕后，对项目开展了绩效目标完成情况自评。</w:t>
      </w:r>
    </w:p>
    <w:p>
      <w:pPr>
        <w:keepNext w:val="0"/>
        <w:keepLines w:val="0"/>
        <w:pageBreakBefore w:val="0"/>
        <w:widowControl w:val="0"/>
        <w:numPr>
          <w:ilvl w:val="0"/>
          <w:numId w:val="0"/>
        </w:numPr>
        <w:kinsoku/>
        <w:wordWrap/>
        <w:overflowPunct/>
        <w:topLinePunct w:val="0"/>
        <w:autoSpaceDE/>
        <w:autoSpaceDN/>
        <w:bidi w:val="0"/>
        <w:adjustRightInd/>
        <w:snapToGrid w:val="0"/>
        <w:spacing w:line="58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按要求对2019年部门整体支出开展绩效自评，从评价情况来看</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rPr>
        <w:t>全年通过</w:t>
      </w:r>
      <w:r>
        <w:rPr>
          <w:rFonts w:ascii="仿宋_GB2312" w:hAnsi="仿宋" w:eastAsia="仿宋_GB2312"/>
          <w:sz w:val="32"/>
          <w:szCs w:val="32"/>
        </w:rPr>
        <w:t>加强预算收支管理，健全内部管理制度，严格内部管理流程，部门整体支出</w:t>
      </w:r>
      <w:r>
        <w:rPr>
          <w:rFonts w:hint="eastAsia" w:ascii="仿宋_GB2312" w:hAnsi="仿宋" w:eastAsia="仿宋_GB2312"/>
          <w:sz w:val="32"/>
          <w:szCs w:val="32"/>
        </w:rPr>
        <w:t>控制在预算范围内，财务收支平衡，有效保障了单位各项工作有序开展。</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还自行组织了国库支付管理业务项目支出绩效评价，从评价情况来看</w:t>
      </w:r>
      <w:r>
        <w:rPr>
          <w:rFonts w:hint="eastAsia" w:ascii="仿宋_GB2312" w:hAnsi="仿宋_GB2312" w:eastAsia="仿宋_GB2312" w:cs="仿宋_GB2312"/>
          <w:sz w:val="32"/>
          <w:szCs w:val="32"/>
          <w:lang w:val="en-US" w:eastAsia="zh-CN"/>
        </w:rPr>
        <w:t>,</w:t>
      </w:r>
      <w:r>
        <w:rPr>
          <w:rFonts w:hint="eastAsia" w:ascii="仿宋_GB2312" w:hAnsi="仿宋" w:eastAsia="仿宋_GB2312"/>
          <w:sz w:val="32"/>
          <w:szCs w:val="32"/>
        </w:rPr>
        <w:t>全年各项目按照工作计划顺利推进，数量、质量、时效、社会效益和服务对象满意度指标均达标。随着功能科目细化，直接支付业务增加，继续加强完善支付流程，</w:t>
      </w:r>
      <w:r>
        <w:rPr>
          <w:rFonts w:hint="eastAsia" w:ascii="仿宋_GB2312" w:hAnsi="仿宋" w:eastAsia="仿宋_GB2312"/>
          <w:sz w:val="32"/>
          <w:szCs w:val="32"/>
          <w:lang w:eastAsia="zh-CN"/>
        </w:rPr>
        <w:t>保障全区预算单位财政资金正常、规范、有序支付。</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“国库支付管理业务</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国库支付管理业务项目绩效目标完成情况综述。项目全年预算数</w:t>
      </w:r>
      <w:r>
        <w:rPr>
          <w:rFonts w:hint="eastAsia" w:ascii="仿宋_GB2312" w:hAnsi="仿宋_GB2312" w:eastAsia="仿宋_GB2312" w:cs="仿宋_GB2312"/>
          <w:sz w:val="32"/>
          <w:szCs w:val="32"/>
          <w:lang w:val="en-US" w:eastAsia="zh-CN"/>
        </w:rPr>
        <w:t>28.66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59.67</w:t>
      </w:r>
      <w:r>
        <w:rPr>
          <w:rFonts w:hint="eastAsia" w:ascii="仿宋_GB2312" w:hAnsi="仿宋_GB2312" w:eastAsia="仿宋_GB2312" w:cs="仿宋_GB2312"/>
          <w:sz w:val="32"/>
          <w:szCs w:val="32"/>
        </w:rPr>
        <w:t>%。通过项目实施，</w:t>
      </w:r>
      <w:r>
        <w:rPr>
          <w:rFonts w:hint="eastAsia" w:ascii="Times New Roman" w:hAnsi="Times New Roman" w:eastAsia="仿宋_GB2312"/>
          <w:sz w:val="32"/>
          <w:szCs w:val="32"/>
          <w:lang w:val="en-US" w:eastAsia="zh-CN"/>
        </w:rPr>
        <w:t>保障集中支付业务顺利开展，完善集中支付业务流程，保障全区各预算单位财政资金正常、规范、有序支付。</w:t>
      </w:r>
    </w:p>
    <w:tbl>
      <w:tblPr>
        <w:tblStyle w:val="13"/>
        <w:tblpPr w:leftFromText="180" w:rightFromText="180" w:vertAnchor="text" w:horzAnchor="page" w:tblpXSpec="center" w:tblpY="423"/>
        <w:tblOverlap w:val="never"/>
        <w:tblW w:w="7974" w:type="dxa"/>
        <w:jc w:val="center"/>
        <w:tblLayout w:type="fixed"/>
        <w:tblCellMar>
          <w:top w:w="0" w:type="dxa"/>
          <w:left w:w="0" w:type="dxa"/>
          <w:bottom w:w="0" w:type="dxa"/>
          <w:right w:w="0" w:type="dxa"/>
        </w:tblCellMar>
      </w:tblPr>
      <w:tblGrid>
        <w:gridCol w:w="478"/>
        <w:gridCol w:w="1070"/>
        <w:gridCol w:w="803"/>
        <w:gridCol w:w="2"/>
        <w:gridCol w:w="1875"/>
        <w:gridCol w:w="1874"/>
        <w:gridCol w:w="1"/>
        <w:gridCol w:w="1871"/>
      </w:tblGrid>
      <w:tr>
        <w:tblPrEx>
          <w:tblCellMar>
            <w:top w:w="0" w:type="dxa"/>
            <w:left w:w="0" w:type="dxa"/>
            <w:bottom w:w="0" w:type="dxa"/>
            <w:right w:w="0" w:type="dxa"/>
          </w:tblCellMar>
        </w:tblPrEx>
        <w:trPr>
          <w:trHeight w:val="1284" w:hRule="atLeast"/>
          <w:jc w:val="center"/>
        </w:trPr>
        <w:tc>
          <w:tcPr>
            <w:tcW w:w="7974"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363" w:hRule="atLeast"/>
          <w:jc w:val="center"/>
        </w:trPr>
        <w:tc>
          <w:tcPr>
            <w:tcW w:w="23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6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国库支付管理业务</w:t>
            </w:r>
          </w:p>
        </w:tc>
      </w:tr>
      <w:tr>
        <w:tblPrEx>
          <w:tblCellMar>
            <w:top w:w="0" w:type="dxa"/>
            <w:left w:w="0" w:type="dxa"/>
            <w:bottom w:w="0" w:type="dxa"/>
            <w:right w:w="0" w:type="dxa"/>
          </w:tblCellMar>
        </w:tblPrEx>
        <w:trPr>
          <w:trHeight w:val="363" w:hRule="atLeast"/>
          <w:jc w:val="center"/>
        </w:trPr>
        <w:tc>
          <w:tcPr>
            <w:tcW w:w="235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6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攀枝花市西区财政国库支付中心</w:t>
            </w:r>
          </w:p>
        </w:tc>
      </w:tr>
      <w:tr>
        <w:tblPrEx>
          <w:tblCellMar>
            <w:top w:w="0" w:type="dxa"/>
            <w:left w:w="0" w:type="dxa"/>
            <w:bottom w:w="0" w:type="dxa"/>
            <w:right w:w="0" w:type="dxa"/>
          </w:tblCellMar>
        </w:tblPrEx>
        <w:trPr>
          <w:trHeight w:val="363" w:hRule="atLeast"/>
          <w:jc w:val="center"/>
        </w:trPr>
        <w:tc>
          <w:tcPr>
            <w:tcW w:w="4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8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28.66</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17.1</w:t>
            </w:r>
          </w:p>
        </w:tc>
      </w:tr>
      <w:tr>
        <w:tblPrEx>
          <w:tblCellMar>
            <w:top w:w="0" w:type="dxa"/>
            <w:left w:w="0" w:type="dxa"/>
            <w:bottom w:w="0" w:type="dxa"/>
            <w:right w:w="0" w:type="dxa"/>
          </w:tblCellMar>
        </w:tblPrEx>
        <w:trPr>
          <w:trHeight w:val="676" w:hRule="atLeast"/>
          <w:jc w:val="center"/>
        </w:trPr>
        <w:tc>
          <w:tcPr>
            <w:tcW w:w="4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28.66</w:t>
            </w: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17.1</w:t>
            </w:r>
          </w:p>
        </w:tc>
      </w:tr>
      <w:tr>
        <w:tblPrEx>
          <w:tblCellMar>
            <w:top w:w="0" w:type="dxa"/>
            <w:left w:w="0" w:type="dxa"/>
            <w:bottom w:w="0" w:type="dxa"/>
            <w:right w:w="0" w:type="dxa"/>
          </w:tblCellMar>
        </w:tblPrEx>
        <w:trPr>
          <w:trHeight w:val="2196" w:hRule="atLeast"/>
          <w:jc w:val="center"/>
        </w:trPr>
        <w:tc>
          <w:tcPr>
            <w:tcW w:w="4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63" w:hRule="atLeast"/>
          <w:jc w:val="center"/>
        </w:trPr>
        <w:tc>
          <w:tcPr>
            <w:tcW w:w="4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37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374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2221" w:hRule="atLeast"/>
          <w:jc w:val="center"/>
        </w:trPr>
        <w:tc>
          <w:tcPr>
            <w:tcW w:w="4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全面开展国库集中支付，保障全区各预算单位财政资金支付业务程序化、规范化；完善国库集中支付业务流程，提升集中支付效率</w:t>
            </w:r>
          </w:p>
        </w:tc>
        <w:tc>
          <w:tcPr>
            <w:tcW w:w="374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w:t>
            </w:r>
          </w:p>
        </w:tc>
      </w:tr>
      <w:tr>
        <w:tblPrEx>
          <w:tblCellMar>
            <w:top w:w="0" w:type="dxa"/>
            <w:left w:w="0" w:type="dxa"/>
            <w:bottom w:w="0" w:type="dxa"/>
            <w:right w:w="0" w:type="dxa"/>
          </w:tblCellMar>
        </w:tblPrEx>
        <w:trPr>
          <w:trHeight w:val="1098" w:hRule="atLeast"/>
          <w:jc w:val="center"/>
        </w:trPr>
        <w:tc>
          <w:tcPr>
            <w:tcW w:w="4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8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18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1304" w:hRule="atLeast"/>
          <w:jc w:val="center"/>
        </w:trPr>
        <w:tc>
          <w:tcPr>
            <w:tcW w:w="4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18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国库集中支付管理工作经费</w:t>
            </w:r>
          </w:p>
        </w:tc>
        <w:tc>
          <w:tcPr>
            <w:tcW w:w="18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根据业务类型，合同约定，支付业务经费28.66万元</w:t>
            </w: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根据业务类型，合同约定，支付业务经费17.1万元</w:t>
            </w:r>
          </w:p>
        </w:tc>
      </w:tr>
      <w:tr>
        <w:tblPrEx>
          <w:tblCellMar>
            <w:top w:w="0" w:type="dxa"/>
            <w:left w:w="0" w:type="dxa"/>
            <w:bottom w:w="0" w:type="dxa"/>
            <w:right w:w="0" w:type="dxa"/>
          </w:tblCellMar>
        </w:tblPrEx>
        <w:trPr>
          <w:trHeight w:val="1353" w:hRule="atLeast"/>
          <w:jc w:val="center"/>
        </w:trPr>
        <w:tc>
          <w:tcPr>
            <w:tcW w:w="4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18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提升集中支付效率</w:t>
            </w:r>
          </w:p>
        </w:tc>
        <w:tc>
          <w:tcPr>
            <w:tcW w:w="18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通过业务提升，规范集中支付业务，提升效率</w:t>
            </w: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098" w:hRule="atLeast"/>
          <w:jc w:val="center"/>
        </w:trPr>
        <w:tc>
          <w:tcPr>
            <w:tcW w:w="4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18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按工作计划</w:t>
            </w:r>
          </w:p>
        </w:tc>
        <w:tc>
          <w:tcPr>
            <w:tcW w:w="18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2019年度</w:t>
            </w: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304" w:hRule="atLeast"/>
          <w:jc w:val="center"/>
        </w:trPr>
        <w:tc>
          <w:tcPr>
            <w:tcW w:w="4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18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工作经费</w:t>
            </w:r>
          </w:p>
        </w:tc>
        <w:tc>
          <w:tcPr>
            <w:tcW w:w="18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按照合同约定，支付工作经费共计28.66万元。</w:t>
            </w: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按照合同约定，支付工作经费共计17.1万元。</w:t>
            </w:r>
          </w:p>
        </w:tc>
      </w:tr>
      <w:tr>
        <w:tblPrEx>
          <w:tblCellMar>
            <w:top w:w="0" w:type="dxa"/>
            <w:left w:w="0" w:type="dxa"/>
            <w:bottom w:w="0" w:type="dxa"/>
            <w:right w:w="0" w:type="dxa"/>
          </w:tblCellMar>
        </w:tblPrEx>
        <w:trPr>
          <w:trHeight w:val="2246" w:hRule="atLeast"/>
          <w:jc w:val="center"/>
        </w:trPr>
        <w:tc>
          <w:tcPr>
            <w:tcW w:w="4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全面提高全区集中支付业务</w:t>
            </w:r>
          </w:p>
        </w:tc>
        <w:tc>
          <w:tcPr>
            <w:tcW w:w="18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顺利开展集中支付业务，完善集中支付业务流程，保障全区各预算单位财政资金正常、规范、有序支付</w:t>
            </w:r>
            <w:r>
              <w:rPr>
                <w:rFonts w:hint="eastAsia" w:ascii="宋体" w:hAnsi="宋体" w:cs="宋体"/>
                <w:color w:val="000000"/>
                <w:sz w:val="24"/>
                <w:lang w:eastAsia="zh-CN"/>
              </w:rPr>
              <w:t>。</w:t>
            </w: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p>
        </w:tc>
      </w:tr>
      <w:tr>
        <w:tblPrEx>
          <w:tblCellMar>
            <w:top w:w="0" w:type="dxa"/>
            <w:left w:w="0" w:type="dxa"/>
            <w:bottom w:w="0" w:type="dxa"/>
            <w:right w:w="0" w:type="dxa"/>
          </w:tblCellMar>
        </w:tblPrEx>
        <w:trPr>
          <w:trHeight w:val="1126" w:hRule="atLeast"/>
          <w:jc w:val="center"/>
        </w:trPr>
        <w:tc>
          <w:tcPr>
            <w:tcW w:w="4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18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预算单位经办人员满意度</w:t>
            </w:r>
          </w:p>
        </w:tc>
        <w:tc>
          <w:tcPr>
            <w:tcW w:w="18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达到基本满意及以上</w:t>
            </w:r>
          </w:p>
        </w:tc>
        <w:tc>
          <w:tcPr>
            <w:tcW w:w="1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r>
    </w:tbl>
    <w:p>
      <w:pPr>
        <w:tabs>
          <w:tab w:val="left" w:pos="523"/>
        </w:tabs>
        <w:spacing w:line="580" w:lineRule="exact"/>
        <w:rPr>
          <w:rFonts w:hint="eastAsia" w:ascii="仿宋_GB2312" w:hAnsi="仿宋_GB2312" w:eastAsia="仿宋_GB2312" w:cs="仿宋_GB2312"/>
          <w:sz w:val="32"/>
          <w:szCs w:val="32"/>
          <w:lang w:eastAsia="zh-CN"/>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按要求对2019年部门整体支出绩效评价情况开展自评，《</w:t>
      </w:r>
      <w:r>
        <w:rPr>
          <w:rFonts w:hint="eastAsia" w:ascii="仿宋_GB2312" w:hAnsi="仿宋_GB2312" w:eastAsia="仿宋_GB2312" w:cs="仿宋_GB2312"/>
          <w:sz w:val="32"/>
          <w:szCs w:val="32"/>
          <w:lang w:eastAsia="zh-CN"/>
        </w:rPr>
        <w:t>攀枝花市西区财政国库支付中心</w:t>
      </w:r>
      <w:r>
        <w:rPr>
          <w:rFonts w:hint="eastAsia" w:ascii="仿宋_GB2312" w:hAnsi="仿宋_GB2312" w:eastAsia="仿宋_GB2312" w:cs="仿宋_GB2312"/>
          <w:sz w:val="32"/>
          <w:szCs w:val="32"/>
        </w:rPr>
        <w:t>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自行组织对国库支付管理业务项目开展了绩效评价，《国库支付管理业务项目2019年绩效评价报告》见附件（附件2）。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其他收入：指单位取得的除上述收入以外的各项收入。主要是利息收入。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Fonts w:hint="eastAsia" w:ascii="仿宋" w:hAnsi="仿宋" w:eastAsia="仿宋_GB2312"/>
          <w:color w:val="000000"/>
          <w:sz w:val="32"/>
          <w:szCs w:val="32"/>
          <w:lang w:eastAsia="zh-CN"/>
        </w:rPr>
      </w:pPr>
      <w:r>
        <w:rPr>
          <w:rFonts w:ascii="仿宋_GB2312" w:eastAsia="仿宋_GB2312"/>
          <w:color w:val="000000"/>
          <w:sz w:val="32"/>
          <w:szCs w:val="32"/>
        </w:rPr>
        <w:t>9.</w:t>
      </w:r>
      <w:r>
        <w:rPr>
          <w:rFonts w:hint="eastAsia" w:ascii="仿宋_GB2312" w:eastAsia="仿宋_GB2312"/>
          <w:color w:val="000000"/>
          <w:sz w:val="32"/>
          <w:szCs w:val="32"/>
        </w:rPr>
        <w:t xml:space="preserve"> 一般公共服务（类）财政事务（款）行政运行（项）：反映行政单位（包括实行公务员管理的事业单位）的基本支出；一般行政管理事务（项）：反映行政单位（包括实行公务员管理的事业单位）未单独设置项级科目的其他项目支出</w:t>
      </w:r>
      <w:r>
        <w:rPr>
          <w:rFonts w:hint="eastAsia" w:ascii="仿宋_GB2312" w:eastAsia="仿宋_GB2312"/>
          <w:color w:val="000000"/>
          <w:sz w:val="32"/>
          <w:szCs w:val="32"/>
          <w:lang w:eastAsia="zh-CN"/>
        </w:rPr>
        <w:t>。</w:t>
      </w:r>
    </w:p>
    <w:p>
      <w:pPr>
        <w:spacing w:line="600" w:lineRule="exact"/>
        <w:ind w:firstLine="640" w:firstLineChars="200"/>
        <w:rPr>
          <w:rFonts w:hint="eastAsia" w:ascii="仿宋" w:hAnsi="仿宋" w:eastAsia="仿宋"/>
          <w:color w:val="000000"/>
          <w:sz w:val="32"/>
          <w:szCs w:val="32"/>
        </w:rPr>
      </w:pPr>
      <w:r>
        <w:rPr>
          <w:rFonts w:hint="eastAsia" w:ascii="仿宋_GB2312" w:eastAsia="仿宋_GB2312"/>
          <w:color w:val="000000"/>
          <w:sz w:val="32"/>
          <w:szCs w:val="32"/>
        </w:rPr>
        <w:t>10.社会保障和就业（类）行政事业单位离退休（款）</w:t>
      </w:r>
      <w:r>
        <w:rPr>
          <w:rFonts w:hint="eastAsia" w:ascii="仿宋" w:hAnsi="仿宋" w:eastAsia="仿宋"/>
          <w:color w:val="000000"/>
          <w:sz w:val="32"/>
          <w:szCs w:val="32"/>
        </w:rPr>
        <w:t>未归口管理的行政单位离退休（项）：反映未实行归口管理的行政单位（包括实行公务员管理的事业单位）开支的离退休支出；</w:t>
      </w:r>
      <w:r>
        <w:rPr>
          <w:rFonts w:hint="eastAsia" w:ascii="仿宋_GB2312" w:eastAsia="仿宋_GB2312"/>
          <w:color w:val="000000"/>
          <w:sz w:val="32"/>
          <w:szCs w:val="32"/>
        </w:rPr>
        <w:t>机关事业单位基本养老保险缴费支出（项）：反映单位为职工缴纳的基本养老保险费</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 医疗卫生与计划生育支出（类）行政事业单位医疗（款）行政单位医疗（项）：反映财政部门集中安排的行政单位基本医疗保险缴费经费，未参加医疗保险的行政单位的公费医疗保险经费，按国家规定享受离休人员和红军老战士待遇人员的医疗经费；公务员医疗补助（项）：反映财政部门集中安排的公务员医疗补助经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 城乡社区支出（类）国有土地使用权出让收入及对应专项债务收入安排的支出（款）土地开发支出（项）：反映</w:t>
      </w:r>
      <w:r>
        <w:rPr>
          <w:rFonts w:hint="eastAsia" w:ascii="仿宋" w:hAnsi="仿宋" w:eastAsia="仿宋"/>
          <w:color w:val="000000"/>
          <w:sz w:val="32"/>
          <w:szCs w:val="32"/>
          <w:lang w:eastAsia="zh-CN"/>
        </w:rPr>
        <w:t>新疆生产建设兵团和地方政府用于前期土地开发性支出以及与前期土地开发相关的费用等支出。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攀枝花市西区财政国库支付中心</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_GB2312"/>
          <w:sz w:val="32"/>
          <w:szCs w:val="32"/>
        </w:rPr>
        <w:t>西区财政国库支付中心内设支付部和核算部。</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根据区财政局批复的预算单位分月用款计划和授权支付额度，办理财政性资金支付业务;</w:t>
      </w:r>
    </w:p>
    <w:p>
      <w:pPr>
        <w:snapToGrid w:val="0"/>
        <w:spacing w:line="588"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对各预算单位会计核算业务工作进行指导；</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建立财政性资金汇总和财政性资金清算管理系统，处理预算单位的支出信息及其他经济信息；</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定期与区财政局、代理银行、预算单位核对账目，向区财政局提供财政性资金支付和清算信息，报告财政性资金支付情况；</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受理预算单位、商品或劳务供应商的账务查询事宜；</w:t>
      </w:r>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做好会计档案的保管及移交工作；</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参与单位预算编制及其他一些财务管理活动。</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 w:eastAsia="仿宋_GB2312"/>
          <w:sz w:val="32"/>
          <w:szCs w:val="32"/>
        </w:rPr>
        <w:t>三定方案有参照公务员法管理事业人员编制11人，聘用人员编制1人。年末实有参照公务员法管理事业人员8人，聘用人员1人，与去年同期相比减少2人。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2019年</w:t>
      </w:r>
      <w:r>
        <w:rPr>
          <w:rFonts w:hint="eastAsia" w:ascii="仿宋_GB2312" w:hAnsi="宋体" w:eastAsia="仿宋_GB2312" w:cs="宋体"/>
          <w:color w:val="000000"/>
          <w:kern w:val="0"/>
          <w:sz w:val="32"/>
          <w:szCs w:val="32"/>
          <w:shd w:val="clear" w:color="auto" w:fill="FFFFFF"/>
          <w:lang w:val="zh-CN"/>
        </w:rPr>
        <w:t>财政拨款收入</w:t>
      </w:r>
      <w:r>
        <w:rPr>
          <w:rFonts w:hint="eastAsia" w:ascii="仿宋_GB2312" w:hAnsi="宋体" w:eastAsia="仿宋_GB2312" w:cs="宋体"/>
          <w:color w:val="000000"/>
          <w:kern w:val="0"/>
          <w:sz w:val="32"/>
          <w:szCs w:val="32"/>
          <w:shd w:val="clear" w:color="auto" w:fill="FFFFFF"/>
          <w:lang w:val="en-US" w:eastAsia="zh-CN"/>
        </w:rPr>
        <w:t>155.56万元，其中：一般公共预算财政拨款收入130.56万元，政府性基金预算财政拨款收入25万元。</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2019年</w:t>
      </w:r>
      <w:r>
        <w:rPr>
          <w:rFonts w:hint="eastAsia" w:ascii="仿宋_GB2312" w:hAnsi="宋体" w:eastAsia="仿宋_GB2312" w:cs="宋体"/>
          <w:color w:val="000000"/>
          <w:kern w:val="0"/>
          <w:sz w:val="32"/>
          <w:szCs w:val="32"/>
          <w:shd w:val="clear" w:color="auto" w:fill="FFFFFF"/>
          <w:lang w:val="zh-CN"/>
        </w:rPr>
        <w:t>财政拨款支出</w:t>
      </w:r>
      <w:r>
        <w:rPr>
          <w:rFonts w:hint="eastAsia" w:ascii="仿宋_GB2312" w:hAnsi="宋体" w:eastAsia="仿宋_GB2312" w:cs="宋体"/>
          <w:color w:val="000000"/>
          <w:kern w:val="0"/>
          <w:sz w:val="32"/>
          <w:szCs w:val="32"/>
          <w:shd w:val="clear" w:color="auto" w:fill="FFFFFF"/>
          <w:lang w:val="en-US" w:eastAsia="zh-CN"/>
        </w:rPr>
        <w:t>163.94万元，其中：一般公共预算财政拨款支出150.50万元，政府性基金预算财政拨款支出13.44万元。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 w:eastAsia="仿宋_GB2312"/>
          <w:sz w:val="32"/>
          <w:szCs w:val="32"/>
        </w:rPr>
      </w:pPr>
      <w:r>
        <w:rPr>
          <w:rFonts w:hint="eastAsia" w:ascii="仿宋_GB2312" w:eastAsia="仿宋_GB2312" w:cs="Times New Roman"/>
          <w:sz w:val="32"/>
          <w:szCs w:val="32"/>
          <w:lang w:val="en-US" w:eastAsia="zh-CN"/>
        </w:rPr>
        <w:t>2019年</w:t>
      </w:r>
      <w:r>
        <w:rPr>
          <w:rFonts w:hint="eastAsia" w:ascii="仿宋_GB2312" w:hAnsi="Calibri" w:eastAsia="仿宋_GB2312" w:cs="Times New Roman"/>
          <w:sz w:val="32"/>
          <w:szCs w:val="32"/>
          <w:lang w:val="en-US" w:eastAsia="zh-CN"/>
        </w:rPr>
        <w:t>全年部门预算执行</w:t>
      </w:r>
      <w:r>
        <w:rPr>
          <w:rFonts w:hint="eastAsia" w:ascii="仿宋_GB2312" w:eastAsia="仿宋_GB2312" w:cs="Times New Roman"/>
          <w:sz w:val="32"/>
          <w:szCs w:val="32"/>
          <w:lang w:val="en-US" w:eastAsia="zh-CN"/>
        </w:rPr>
        <w:t>情况较好，</w:t>
      </w:r>
      <w:r>
        <w:rPr>
          <w:rFonts w:ascii="仿宋_GB2312" w:hAnsi="仿宋" w:eastAsia="仿宋_GB2312"/>
          <w:sz w:val="32"/>
          <w:szCs w:val="32"/>
        </w:rPr>
        <w:t>部门整体支出</w:t>
      </w:r>
      <w:r>
        <w:rPr>
          <w:rFonts w:hint="eastAsia" w:ascii="仿宋_GB2312" w:hAnsi="仿宋" w:eastAsia="仿宋_GB2312"/>
          <w:sz w:val="32"/>
          <w:szCs w:val="32"/>
          <w:lang w:eastAsia="zh-CN"/>
        </w:rPr>
        <w:t>将</w:t>
      </w:r>
      <w:r>
        <w:rPr>
          <w:rFonts w:hint="eastAsia" w:ascii="仿宋_GB2312" w:hAnsi="仿宋" w:eastAsia="仿宋_GB2312"/>
          <w:sz w:val="32"/>
          <w:szCs w:val="32"/>
        </w:rPr>
        <w:t>控制在预算范围内，</w:t>
      </w:r>
      <w:r>
        <w:rPr>
          <w:rFonts w:hint="eastAsia" w:ascii="仿宋_GB2312" w:hAnsi="仿宋" w:eastAsia="仿宋_GB2312"/>
          <w:sz w:val="32"/>
          <w:szCs w:val="32"/>
          <w:lang w:eastAsia="zh-CN"/>
        </w:rPr>
        <w:t>保证</w:t>
      </w:r>
      <w:r>
        <w:rPr>
          <w:rFonts w:hint="eastAsia" w:ascii="仿宋_GB2312" w:hAnsi="仿宋" w:eastAsia="仿宋_GB2312"/>
          <w:sz w:val="32"/>
          <w:szCs w:val="32"/>
        </w:rPr>
        <w:t>财务收支平衡，有效保障单位各项工作有序开展。</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auto"/>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rPr>
        <w:t>国库支付管理业务项目</w:t>
      </w:r>
      <w:r>
        <w:rPr>
          <w:rFonts w:hint="eastAsia" w:ascii="仿宋_GB2312" w:eastAsia="仿宋_GB2312" w:cs="Times New Roman"/>
          <w:sz w:val="32"/>
          <w:szCs w:val="32"/>
          <w:lang w:val="en-US" w:eastAsia="zh-CN"/>
        </w:rPr>
        <w:t>全年绩效目标完成情况较好，各项指标均达标，全面提高了并顺利开展了2019年集中支付业务，保障全区各预算单位财政资金正常、规范、有序支付。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本单位按相关要求顺利完成</w:t>
      </w:r>
      <w:r>
        <w:rPr>
          <w:rFonts w:hint="eastAsia" w:ascii="仿宋_GB2312" w:hAnsi="宋体" w:eastAsia="仿宋_GB2312" w:cs="宋体"/>
          <w:color w:val="000000"/>
          <w:kern w:val="0"/>
          <w:sz w:val="32"/>
          <w:szCs w:val="32"/>
          <w:shd w:val="clear" w:color="auto" w:fill="FFFFFF"/>
          <w:lang w:val="en-US" w:eastAsia="zh-CN"/>
        </w:rPr>
        <w:t>2019年绩效评价公开工作，并将成熟经验运用于2020年绩效管理中。</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.本单位整体支出绩效目标实现情况。</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全年通过</w:t>
      </w:r>
      <w:r>
        <w:rPr>
          <w:rFonts w:ascii="仿宋_GB2312" w:hAnsi="仿宋" w:eastAsia="仿宋_GB2312"/>
          <w:sz w:val="32"/>
          <w:szCs w:val="32"/>
        </w:rPr>
        <w:t>加强预算收支管理，健全内部管理制度，严格内部管理流程，部门整体支出</w:t>
      </w:r>
      <w:r>
        <w:rPr>
          <w:rFonts w:hint="eastAsia" w:ascii="仿宋_GB2312" w:hAnsi="仿宋" w:eastAsia="仿宋_GB2312"/>
          <w:sz w:val="32"/>
          <w:szCs w:val="32"/>
        </w:rPr>
        <w:t>控制在预算范围内，财务收支平衡，有效保障了单位各项工作有序开展。</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.项目绩效目标完成情况。</w:t>
      </w:r>
    </w:p>
    <w:p>
      <w:pPr>
        <w:keepNext w:val="0"/>
        <w:keepLines w:val="0"/>
        <w:pageBreakBefore w:val="0"/>
        <w:widowControl w:val="0"/>
        <w:numPr>
          <w:ilvl w:val="0"/>
          <w:numId w:val="0"/>
        </w:numPr>
        <w:kinsoku/>
        <w:wordWrap/>
        <w:overflowPunct/>
        <w:topLinePunct w:val="0"/>
        <w:autoSpaceDE/>
        <w:autoSpaceDN/>
        <w:bidi w:val="0"/>
        <w:adjustRightInd/>
        <w:snapToGrid w:val="0"/>
        <w:spacing w:line="588" w:lineRule="exact"/>
        <w:ind w:firstLine="640" w:firstLineChars="200"/>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仿宋" w:eastAsia="仿宋_GB2312"/>
          <w:sz w:val="32"/>
          <w:szCs w:val="32"/>
        </w:rPr>
        <w:t>全年各项目按照工作计划顺利推进，数量、质量、时效、社会效益和服务对象满意度指标均达标。随着功能科目细化，直接支付业务增加，继续加强完善支付流程，</w:t>
      </w:r>
      <w:r>
        <w:rPr>
          <w:rFonts w:hint="eastAsia" w:ascii="仿宋_GB2312" w:hAnsi="仿宋" w:eastAsia="仿宋_GB2312"/>
          <w:sz w:val="32"/>
          <w:szCs w:val="32"/>
          <w:lang w:eastAsia="zh-CN"/>
        </w:rPr>
        <w:t>保障全区预算单位财政资金正常、规范、有序支付。</w:t>
      </w:r>
    </w:p>
    <w:p>
      <w:pPr>
        <w:widowControl/>
        <w:numPr>
          <w:ilvl w:val="0"/>
          <w:numId w:val="4"/>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 w:eastAsia="仿宋_GB2312"/>
          <w:sz w:val="32"/>
          <w:szCs w:val="32"/>
          <w:lang w:val="en-US" w:eastAsia="zh-CN"/>
        </w:rPr>
        <w:t>本单位绩效目标无调整、无偏差，且按照工作计划推进，不存在问题。</w:t>
      </w:r>
    </w:p>
    <w:p>
      <w:pPr>
        <w:widowControl/>
        <w:numPr>
          <w:ilvl w:val="0"/>
          <w:numId w:val="4"/>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改进建议。</w:t>
      </w:r>
    </w:p>
    <w:p>
      <w:pPr>
        <w:numPr>
          <w:ilvl w:val="0"/>
          <w:numId w:val="0"/>
        </w:numPr>
        <w:spacing w:line="353" w:lineRule="auto"/>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本单位绩效目标无调整、无偏差，且按照工作计划推进，故无改进建议。</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国库支付管理业务项目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仿宋_GB2312" w:eastAsia="仿宋_GB2312" w:cs="仿宋_GB2312"/>
          <w:sz w:val="32"/>
          <w:szCs w:val="32"/>
          <w:lang w:eastAsia="zh-CN"/>
        </w:rPr>
      </w:pPr>
      <w:r>
        <w:rPr>
          <w:rFonts w:hint="eastAsia" w:ascii="Times New Roman" w:hAnsi="Times New Roman" w:eastAsia="仿宋_GB2312"/>
          <w:sz w:val="32"/>
          <w:szCs w:val="32"/>
        </w:rPr>
        <w:t>国库支付管理业务</w:t>
      </w:r>
      <w:r>
        <w:rPr>
          <w:rFonts w:hint="eastAsia" w:ascii="Times New Roman" w:hAnsi="Times New Roman" w:eastAsia="仿宋_GB2312"/>
          <w:sz w:val="32"/>
          <w:szCs w:val="32"/>
          <w:lang w:eastAsia="zh-CN"/>
        </w:rPr>
        <w:t>专项经费年初预算安排</w:t>
      </w:r>
      <w:r>
        <w:rPr>
          <w:rFonts w:hint="eastAsia" w:ascii="Times New Roman" w:hAnsi="Times New Roman" w:eastAsia="仿宋_GB2312"/>
          <w:sz w:val="32"/>
          <w:szCs w:val="32"/>
          <w:lang w:val="en-US" w:eastAsia="zh-CN"/>
        </w:rPr>
        <w:t>25万元</w:t>
      </w:r>
      <w:r>
        <w:rPr>
          <w:rFonts w:hint="eastAsia" w:eastAsia="仿宋_GB2312"/>
          <w:sz w:val="32"/>
          <w:szCs w:val="32"/>
          <w:lang w:val="en-US" w:eastAsia="zh-CN"/>
        </w:rPr>
        <w:t>；</w:t>
      </w:r>
      <w:r>
        <w:rPr>
          <w:rFonts w:hint="eastAsia" w:ascii="Times New Roman" w:hAnsi="Times New Roman" w:eastAsia="仿宋_GB2312"/>
          <w:sz w:val="32"/>
          <w:szCs w:val="32"/>
          <w:lang w:eastAsia="zh-CN"/>
        </w:rPr>
        <w:t>结转安排</w:t>
      </w:r>
      <w:r>
        <w:rPr>
          <w:rFonts w:hint="eastAsia" w:ascii="Times New Roman" w:hAnsi="Times New Roman" w:eastAsia="仿宋_GB2312"/>
          <w:sz w:val="32"/>
          <w:szCs w:val="32"/>
          <w:lang w:val="en-US" w:eastAsia="zh-CN"/>
        </w:rPr>
        <w:t>3.66万元</w:t>
      </w:r>
      <w:r>
        <w:rPr>
          <w:rFonts w:hint="eastAsia" w:eastAsia="仿宋_GB2312"/>
          <w:sz w:val="32"/>
          <w:szCs w:val="32"/>
          <w:lang w:val="en-US" w:eastAsia="zh-CN"/>
        </w:rPr>
        <w:t>，</w:t>
      </w:r>
      <w:r>
        <w:rPr>
          <w:rFonts w:hint="eastAsia" w:ascii="Times New Roman" w:hAnsi="Times New Roman" w:eastAsia="仿宋_GB2312"/>
          <w:sz w:val="32"/>
          <w:szCs w:val="32"/>
          <w:lang w:val="en-US" w:eastAsia="zh-CN"/>
        </w:rPr>
        <w:t>主要用于</w:t>
      </w:r>
      <w:r>
        <w:rPr>
          <w:rFonts w:hint="eastAsia" w:ascii="仿宋_GB2312" w:hAnsi="仿宋_GB2312" w:eastAsia="仿宋_GB2312" w:cs="仿宋_GB2312"/>
          <w:sz w:val="32"/>
          <w:szCs w:val="32"/>
        </w:rPr>
        <w:t>保障财政支付系统正常运行，提高终端技术保障，有效推进财政支付业务</w:t>
      </w:r>
      <w:r>
        <w:rPr>
          <w:rFonts w:hint="eastAsia" w:ascii="仿宋_GB2312" w:hAnsi="仿宋_GB2312" w:eastAsia="仿宋_GB2312" w:cs="仿宋_GB2312"/>
          <w:sz w:val="32"/>
          <w:szCs w:val="32"/>
          <w:lang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全面开展国库集中支付，保障全区各预算单位财政资金支付业务程序化、规范化；完善国库集中支付业务流程，提升集中支付效率。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7"/>
        <w:keepNext w:val="0"/>
        <w:keepLines w:val="0"/>
        <w:pageBreakBefore w:val="0"/>
        <w:widowControl w:val="0"/>
        <w:kinsoku/>
        <w:wordWrap/>
        <w:overflowPunct/>
        <w:topLinePunct w:val="0"/>
        <w:autoSpaceDE/>
        <w:autoSpaceDN/>
        <w:bidi w:val="0"/>
        <w:adjustRightInd/>
        <w:spacing w:line="588"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按照</w:t>
      </w:r>
      <w:r>
        <w:rPr>
          <w:rFonts w:ascii="Times New Roman" w:hAnsi="Times New Roman" w:eastAsia="仿宋_GB2312"/>
          <w:sz w:val="32"/>
          <w:szCs w:val="32"/>
        </w:rPr>
        <w:t>产出指标</w:t>
      </w:r>
      <w:r>
        <w:rPr>
          <w:rFonts w:hint="eastAsia" w:eastAsia="仿宋_GB2312"/>
          <w:sz w:val="32"/>
          <w:szCs w:val="32"/>
          <w:lang w:eastAsia="zh-CN"/>
        </w:rPr>
        <w:t>（</w:t>
      </w:r>
      <w:r>
        <w:rPr>
          <w:rFonts w:ascii="Times New Roman" w:hAnsi="Times New Roman" w:eastAsia="仿宋_GB2312"/>
          <w:sz w:val="32"/>
          <w:szCs w:val="32"/>
        </w:rPr>
        <w:t>数量指标、质量指标、时效指标和成本指标</w:t>
      </w:r>
      <w:r>
        <w:rPr>
          <w:rFonts w:hint="eastAsia" w:eastAsia="仿宋_GB2312"/>
          <w:sz w:val="32"/>
          <w:szCs w:val="32"/>
          <w:lang w:eastAsia="zh-CN"/>
        </w:rPr>
        <w:t>）、效益指标、满意度指标的完成情况，通过事前、事中、事后的方式评价项目资金的执行情况。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按照工作计划及合同要求，发生相关经费后，经单位规范财务审批流程后支付。</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Times New Roman" w:hAnsi="Times New Roman" w:eastAsia="仿宋_GB2312"/>
          <w:sz w:val="32"/>
          <w:szCs w:val="32"/>
        </w:rPr>
        <w:t>国库支付管理业务</w:t>
      </w:r>
      <w:r>
        <w:rPr>
          <w:rFonts w:hint="eastAsia" w:ascii="Times New Roman" w:hAnsi="Times New Roman" w:eastAsia="仿宋_GB2312"/>
          <w:sz w:val="32"/>
          <w:szCs w:val="32"/>
          <w:lang w:eastAsia="zh-CN"/>
        </w:rPr>
        <w:t>专项经费年初预算安排</w:t>
      </w:r>
      <w:r>
        <w:rPr>
          <w:rFonts w:hint="eastAsia" w:ascii="Times New Roman" w:hAnsi="Times New Roman" w:eastAsia="仿宋_GB2312"/>
          <w:sz w:val="32"/>
          <w:szCs w:val="32"/>
          <w:lang w:val="en-US" w:eastAsia="zh-CN"/>
        </w:rPr>
        <w:t>25万元</w:t>
      </w:r>
      <w:r>
        <w:rPr>
          <w:rFonts w:hint="eastAsia" w:eastAsia="仿宋_GB2312"/>
          <w:sz w:val="32"/>
          <w:szCs w:val="32"/>
          <w:lang w:val="en-US" w:eastAsia="zh-CN"/>
        </w:rPr>
        <w:t>；</w:t>
      </w:r>
      <w:r>
        <w:rPr>
          <w:rFonts w:hint="eastAsia" w:ascii="Times New Roman" w:hAnsi="Times New Roman" w:eastAsia="仿宋_GB2312"/>
          <w:sz w:val="32"/>
          <w:szCs w:val="32"/>
          <w:lang w:eastAsia="zh-CN"/>
        </w:rPr>
        <w:t>结转安排</w:t>
      </w:r>
      <w:r>
        <w:rPr>
          <w:rFonts w:hint="eastAsia" w:ascii="Times New Roman" w:hAnsi="Times New Roman" w:eastAsia="仿宋_GB2312"/>
          <w:sz w:val="32"/>
          <w:szCs w:val="32"/>
          <w:lang w:val="en-US" w:eastAsia="zh-CN"/>
        </w:rPr>
        <w:t>3.66万元</w:t>
      </w:r>
      <w:r>
        <w:rPr>
          <w:rFonts w:hint="eastAsia" w:eastAsia="仿宋_GB2312"/>
          <w:sz w:val="32"/>
          <w:szCs w:val="32"/>
          <w:lang w:val="en-US" w:eastAsia="zh-CN"/>
        </w:rPr>
        <w:t>，全部为区级财政拨款资金。</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截止评价时点该项目资金</w:t>
      </w:r>
      <w:r>
        <w:rPr>
          <w:rFonts w:hint="eastAsia" w:ascii="仿宋_GB2312" w:hAnsi="宋体" w:eastAsia="仿宋_GB2312"/>
          <w:sz w:val="32"/>
          <w:szCs w:val="32"/>
          <w:lang w:val="en-US" w:eastAsia="zh-CN"/>
        </w:rPr>
        <w:t>28.66万元</w:t>
      </w:r>
      <w:r>
        <w:rPr>
          <w:rFonts w:hint="eastAsia" w:ascii="仿宋_GB2312" w:hAnsi="宋体" w:eastAsia="仿宋_GB2312"/>
          <w:sz w:val="32"/>
          <w:szCs w:val="32"/>
          <w:lang w:val="zh-CN"/>
        </w:rPr>
        <w:t>全部到位。</w:t>
      </w:r>
    </w:p>
    <w:p>
      <w:pPr>
        <w:pStyle w:val="7"/>
        <w:keepNext w:val="0"/>
        <w:keepLines w:val="0"/>
        <w:pageBreakBefore w:val="0"/>
        <w:widowControl w:val="0"/>
        <w:kinsoku/>
        <w:wordWrap/>
        <w:overflowPunct/>
        <w:topLinePunct w:val="0"/>
        <w:autoSpaceDE/>
        <w:autoSpaceDN/>
        <w:bidi w:val="0"/>
        <w:adjustRightInd/>
        <w:spacing w:line="588" w:lineRule="exact"/>
        <w:ind w:firstLine="640" w:firstLineChars="200"/>
        <w:textAlignment w:val="auto"/>
        <w:rPr>
          <w:rFonts w:hint="eastAsia" w:ascii="Times New Roman" w:hAnsi="Times New Roman" w:eastAsia="仿宋_GB2312"/>
          <w:sz w:val="32"/>
          <w:szCs w:val="32"/>
          <w:lang w:val="en-US" w:eastAsia="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截止评价时点该项目</w:t>
      </w:r>
      <w:r>
        <w:rPr>
          <w:rFonts w:hint="eastAsia" w:ascii="Times New Roman" w:hAnsi="Times New Roman" w:eastAsia="仿宋_GB2312"/>
          <w:sz w:val="32"/>
          <w:szCs w:val="32"/>
          <w:lang w:eastAsia="zh-CN"/>
        </w:rPr>
        <w:t>按照合同约定，支付工作经费共计</w:t>
      </w:r>
      <w:r>
        <w:rPr>
          <w:rFonts w:hint="eastAsia" w:ascii="Times New Roman" w:hAnsi="Times New Roman" w:eastAsia="仿宋_GB2312"/>
          <w:sz w:val="32"/>
          <w:szCs w:val="32"/>
          <w:lang w:val="en-US" w:eastAsia="zh-CN"/>
        </w:rPr>
        <w:t>17.1万元，完成进度59.67%。</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本单位财务管理制度健全，严格执行财务管理制度，账务处理及时，会计核算规范。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numPr>
          <w:ilvl w:val="0"/>
          <w:numId w:val="5"/>
        </w:num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项目组织架构及实施流程。</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按照工作计划及合同要求，推进国库支付管理业务。</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Times New Roman" w:hAnsi="Times New Roman" w:eastAsia="仿宋_GB2312"/>
          <w:sz w:val="32"/>
          <w:szCs w:val="32"/>
          <w:lang w:eastAsia="zh-CN"/>
        </w:rPr>
        <w:t>国库支付管理业务专项资金</w:t>
      </w:r>
      <w:r>
        <w:rPr>
          <w:rFonts w:hint="eastAsia" w:eastAsia="仿宋_GB2312"/>
          <w:sz w:val="32"/>
          <w:szCs w:val="32"/>
          <w:lang w:eastAsia="zh-CN"/>
        </w:rPr>
        <w:t>的管理严格按照《预算法》，</w:t>
      </w:r>
      <w:r>
        <w:rPr>
          <w:rFonts w:hint="eastAsia" w:ascii="仿宋_GB2312" w:hAnsi="宋体" w:eastAsia="仿宋_GB2312"/>
          <w:sz w:val="32"/>
          <w:szCs w:val="32"/>
          <w:lang w:val="zh-CN"/>
        </w:rPr>
        <w:t>相关法律法规及项目管理制度的相关规定执行。</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本单位为加强项目管理所采取了事前、事中、事后的绩效评价监管工作方式方法，做到了及时监督项目开展情况，实现了项目按照工作计划顺利开展。</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7"/>
        <w:keepNext w:val="0"/>
        <w:keepLines w:val="0"/>
        <w:pageBreakBefore w:val="0"/>
        <w:widowControl w:val="0"/>
        <w:kinsoku/>
        <w:wordWrap/>
        <w:overflowPunct/>
        <w:topLinePunct w:val="0"/>
        <w:autoSpaceDE/>
        <w:autoSpaceDN/>
        <w:bidi w:val="0"/>
        <w:adjustRightInd/>
        <w:spacing w:line="588"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按照工作计划的顺利推进，国库支付管理业务专项资金的数量、质量、时效、成本指标均达标。提升了集中支付业务效率，并按照合同约定，支付工作经费共计</w:t>
      </w:r>
      <w:r>
        <w:rPr>
          <w:rFonts w:hint="eastAsia" w:ascii="Times New Roman" w:hAnsi="Times New Roman" w:eastAsia="仿宋_GB2312"/>
          <w:sz w:val="32"/>
          <w:szCs w:val="32"/>
          <w:lang w:val="en-US" w:eastAsia="zh-CN"/>
        </w:rPr>
        <w:t>17.1万元，完成进度59.67%。</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7"/>
        <w:keepNext w:val="0"/>
        <w:keepLines w:val="0"/>
        <w:pageBreakBefore w:val="0"/>
        <w:widowControl w:val="0"/>
        <w:kinsoku/>
        <w:wordWrap/>
        <w:overflowPunct/>
        <w:topLinePunct w:val="0"/>
        <w:autoSpaceDE/>
        <w:autoSpaceDN/>
        <w:bidi w:val="0"/>
        <w:adjustRightInd/>
        <w:spacing w:line="588" w:lineRule="exact"/>
        <w:ind w:firstLine="640" w:firstLineChars="200"/>
        <w:textAlignment w:val="auto"/>
        <w:rPr>
          <w:rFonts w:ascii="仿宋_GB2312" w:hAnsi="宋体" w:eastAsia="仿宋_GB2312"/>
          <w:sz w:val="32"/>
          <w:szCs w:val="32"/>
          <w:lang w:val="zh-CN"/>
        </w:rPr>
      </w:pPr>
      <w:r>
        <w:rPr>
          <w:rFonts w:hint="eastAsia" w:ascii="Times New Roman" w:hAnsi="Times New Roman" w:eastAsia="仿宋_GB2312"/>
          <w:sz w:val="32"/>
          <w:szCs w:val="32"/>
          <w:lang w:eastAsia="zh-CN"/>
        </w:rPr>
        <w:t>通过项目实施，全面提高并顺利开展了集中支付业务；完善了集中支付业务流程；保障全区各预算单位财政资金正常、规范、有序支付，保证了项目社会效益的实现。</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keepNext w:val="0"/>
        <w:keepLines w:val="0"/>
        <w:pageBreakBefore w:val="0"/>
        <w:widowControl w:val="0"/>
        <w:numPr>
          <w:ilvl w:val="0"/>
          <w:numId w:val="0"/>
        </w:numPr>
        <w:kinsoku/>
        <w:wordWrap/>
        <w:overflowPunct/>
        <w:topLinePunct w:val="0"/>
        <w:autoSpaceDE/>
        <w:autoSpaceDN/>
        <w:bidi w:val="0"/>
        <w:adjustRightInd/>
        <w:snapToGrid w:val="0"/>
        <w:spacing w:line="588" w:lineRule="exact"/>
        <w:ind w:firstLine="640" w:firstLineChars="200"/>
        <w:textAlignment w:val="auto"/>
        <w:rPr>
          <w:rFonts w:ascii="仿宋_GB2312" w:hAnsi="宋体" w:eastAsia="仿宋_GB2312"/>
          <w:sz w:val="32"/>
          <w:szCs w:val="32"/>
          <w:bdr w:val="single" w:color="auto" w:sz="4" w:space="0"/>
          <w:lang w:val="zh-CN"/>
        </w:rPr>
      </w:pPr>
      <w:r>
        <w:rPr>
          <w:rFonts w:hint="eastAsia" w:ascii="仿宋_GB2312" w:hAnsi="仿宋" w:eastAsia="仿宋_GB2312"/>
          <w:sz w:val="32"/>
          <w:szCs w:val="32"/>
        </w:rPr>
        <w:t>全年各项目按照工作计划顺利推进，数量、质量、时效、社会效益和服务对象满意度指标均达标。随着功能科目细化，直接支付业务增加，继续加强完善支付流程，</w:t>
      </w:r>
      <w:r>
        <w:rPr>
          <w:rFonts w:hint="eastAsia" w:ascii="仿宋_GB2312" w:hAnsi="仿宋" w:eastAsia="仿宋_GB2312"/>
          <w:sz w:val="32"/>
          <w:szCs w:val="32"/>
          <w:lang w:eastAsia="zh-CN"/>
        </w:rPr>
        <w:t>保障全区预算单位财政资金正常、规范、有序支付。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pStyle w:val="7"/>
        <w:keepNext w:val="0"/>
        <w:keepLines w:val="0"/>
        <w:pageBreakBefore w:val="0"/>
        <w:widowControl w:val="0"/>
        <w:kinsoku/>
        <w:wordWrap/>
        <w:overflowPunct/>
        <w:topLinePunct w:val="0"/>
        <w:autoSpaceDE/>
        <w:autoSpaceDN/>
        <w:bidi w:val="0"/>
        <w:adjustRightInd/>
        <w:spacing w:line="588" w:lineRule="exact"/>
        <w:ind w:firstLine="640" w:firstLineChars="200"/>
        <w:textAlignment w:val="auto"/>
        <w:rPr>
          <w:rFonts w:ascii="仿宋_GB2312" w:hAnsi="宋体" w:eastAsia="仿宋_GB2312"/>
          <w:sz w:val="32"/>
          <w:szCs w:val="32"/>
          <w:lang w:val="zh-CN"/>
        </w:rPr>
      </w:pPr>
      <w:r>
        <w:rPr>
          <w:rFonts w:hint="eastAsia" w:ascii="仿宋_GB2312" w:hAnsi="仿宋_GB2312" w:eastAsia="仿宋_GB2312" w:cs="仿宋_GB2312"/>
          <w:sz w:val="32"/>
          <w:szCs w:val="32"/>
          <w:lang w:eastAsia="zh-CN"/>
        </w:rPr>
        <w:t>本单位在</w:t>
      </w:r>
      <w:r>
        <w:rPr>
          <w:rFonts w:hint="eastAsia" w:ascii="仿宋_GB2312" w:hAnsi="宋体" w:eastAsia="仿宋_GB2312"/>
          <w:sz w:val="32"/>
          <w:szCs w:val="32"/>
          <w:lang w:val="zh-CN"/>
        </w:rPr>
        <w:t>项目自评中未发现问题，且</w:t>
      </w:r>
      <w:r>
        <w:rPr>
          <w:rFonts w:hint="eastAsia" w:ascii="仿宋_GB2312" w:hAnsi="仿宋_GB2312" w:eastAsia="仿宋_GB2312" w:cs="仿宋_GB2312"/>
          <w:sz w:val="32"/>
          <w:szCs w:val="32"/>
          <w:lang w:eastAsia="zh-CN"/>
        </w:rPr>
        <w:t>无偏离绩效目标的情况。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keepNext w:val="0"/>
        <w:keepLines w:val="0"/>
        <w:pageBreakBefore w:val="0"/>
        <w:widowControl w:val="0"/>
        <w:kinsoku/>
        <w:wordWrap/>
        <w:overflowPunct/>
        <w:topLinePunct w:val="0"/>
        <w:autoSpaceDE/>
        <w:autoSpaceDN/>
        <w:bidi w:val="0"/>
        <w:adjustRightInd/>
        <w:snapToGrid w:val="0"/>
        <w:spacing w:line="588" w:lineRule="exact"/>
        <w:ind w:firstLine="640" w:firstLineChars="200"/>
        <w:textAlignment w:val="auto"/>
        <w:rPr>
          <w:rFonts w:ascii="仿宋_GB2312" w:hAnsi="仿宋_GB2312" w:eastAsia="仿宋_GB2312" w:cs="仿宋_GB2312"/>
          <w:sz w:val="32"/>
          <w:szCs w:val="32"/>
        </w:rPr>
      </w:pPr>
      <w:r>
        <w:rPr>
          <w:rFonts w:ascii="仿宋_GB2312" w:hAnsi="仿宋" w:eastAsia="仿宋_GB2312"/>
          <w:sz w:val="32"/>
          <w:szCs w:val="32"/>
        </w:rPr>
        <w:t>加强预算收支管理，健全内部管理制度，</w:t>
      </w:r>
      <w:r>
        <w:rPr>
          <w:rFonts w:hint="eastAsia" w:ascii="仿宋_GB2312" w:hAnsi="仿宋" w:eastAsia="仿宋_GB2312"/>
          <w:sz w:val="32"/>
          <w:szCs w:val="32"/>
          <w:lang w:eastAsia="zh-CN"/>
        </w:rPr>
        <w:t>严格按照工作计划推进项目，保障全区预算单位财政资金正常、规范、有序支付。</w:t>
      </w: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3"/>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24</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62A60A8"/>
    <w:multiLevelType w:val="singleLevel"/>
    <w:tmpl w:val="662A60A8"/>
    <w:lvl w:ilvl="0" w:tentative="0">
      <w:start w:val="1"/>
      <w:numFmt w:val="chineseCounting"/>
      <w:suff w:val="nothing"/>
      <w:lvlText w:val="（%1）"/>
      <w:lvlJc w:val="left"/>
      <w:rPr>
        <w:rFonts w:hint="eastAsia"/>
      </w:rPr>
    </w:lvl>
  </w:abstractNum>
  <w:abstractNum w:abstractNumId="4">
    <w:nsid w:val="76CA9D09"/>
    <w:multiLevelType w:val="singleLevel"/>
    <w:tmpl w:val="76CA9D0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JiYmQwZWRkM2Y5NDNiNDY1ZTFiYWQxMWYzNjkyYTc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06E7A"/>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F6C5A"/>
    <w:rsid w:val="02294BF3"/>
    <w:rsid w:val="02CA7548"/>
    <w:rsid w:val="03EA5D05"/>
    <w:rsid w:val="05FD1A11"/>
    <w:rsid w:val="07F9545D"/>
    <w:rsid w:val="086A03CD"/>
    <w:rsid w:val="09AA7ADD"/>
    <w:rsid w:val="0A1935A7"/>
    <w:rsid w:val="0BA46293"/>
    <w:rsid w:val="0CBF7B95"/>
    <w:rsid w:val="0D65780A"/>
    <w:rsid w:val="0E3D775A"/>
    <w:rsid w:val="0F150F9A"/>
    <w:rsid w:val="10C055FF"/>
    <w:rsid w:val="115634AF"/>
    <w:rsid w:val="118B03CF"/>
    <w:rsid w:val="120A15EF"/>
    <w:rsid w:val="1278261A"/>
    <w:rsid w:val="148D46FB"/>
    <w:rsid w:val="14F041BF"/>
    <w:rsid w:val="14F50104"/>
    <w:rsid w:val="14FC103B"/>
    <w:rsid w:val="156C281B"/>
    <w:rsid w:val="164403F3"/>
    <w:rsid w:val="16BB723D"/>
    <w:rsid w:val="17022AB5"/>
    <w:rsid w:val="18117C45"/>
    <w:rsid w:val="1914220F"/>
    <w:rsid w:val="1A024E2C"/>
    <w:rsid w:val="1A6E158F"/>
    <w:rsid w:val="1AE51368"/>
    <w:rsid w:val="1DFC103E"/>
    <w:rsid w:val="1E743F80"/>
    <w:rsid w:val="21F95F82"/>
    <w:rsid w:val="240371BF"/>
    <w:rsid w:val="242533D0"/>
    <w:rsid w:val="24474BFC"/>
    <w:rsid w:val="276026C0"/>
    <w:rsid w:val="27712991"/>
    <w:rsid w:val="27A30768"/>
    <w:rsid w:val="27DA3337"/>
    <w:rsid w:val="29CC0443"/>
    <w:rsid w:val="29FD04D3"/>
    <w:rsid w:val="2A573FB6"/>
    <w:rsid w:val="2E9F1320"/>
    <w:rsid w:val="2F29257C"/>
    <w:rsid w:val="30731FB2"/>
    <w:rsid w:val="30FF7006"/>
    <w:rsid w:val="319F7F4E"/>
    <w:rsid w:val="324F19EB"/>
    <w:rsid w:val="32E42161"/>
    <w:rsid w:val="3302457D"/>
    <w:rsid w:val="33C7505F"/>
    <w:rsid w:val="342950B9"/>
    <w:rsid w:val="348A0060"/>
    <w:rsid w:val="34E85CBC"/>
    <w:rsid w:val="354F7785"/>
    <w:rsid w:val="3637527C"/>
    <w:rsid w:val="36B30CD3"/>
    <w:rsid w:val="38AC17B9"/>
    <w:rsid w:val="38D451ED"/>
    <w:rsid w:val="38E778EC"/>
    <w:rsid w:val="39BE670F"/>
    <w:rsid w:val="3A603FB0"/>
    <w:rsid w:val="3BD1045E"/>
    <w:rsid w:val="3C0F5B62"/>
    <w:rsid w:val="3C9C3D2A"/>
    <w:rsid w:val="3E482F8E"/>
    <w:rsid w:val="3E5F5052"/>
    <w:rsid w:val="3F600631"/>
    <w:rsid w:val="3FBC174F"/>
    <w:rsid w:val="404D24DE"/>
    <w:rsid w:val="40BD7470"/>
    <w:rsid w:val="40D839A8"/>
    <w:rsid w:val="41D41CA1"/>
    <w:rsid w:val="42534D15"/>
    <w:rsid w:val="42DD7E0C"/>
    <w:rsid w:val="43844FFB"/>
    <w:rsid w:val="442F0329"/>
    <w:rsid w:val="464B791A"/>
    <w:rsid w:val="46B96352"/>
    <w:rsid w:val="47143998"/>
    <w:rsid w:val="4A0A7C28"/>
    <w:rsid w:val="4A657075"/>
    <w:rsid w:val="4C7E7646"/>
    <w:rsid w:val="4ECE2238"/>
    <w:rsid w:val="4FE03516"/>
    <w:rsid w:val="5000604C"/>
    <w:rsid w:val="52C35905"/>
    <w:rsid w:val="5361485B"/>
    <w:rsid w:val="53863D08"/>
    <w:rsid w:val="55054EB9"/>
    <w:rsid w:val="558F70C0"/>
    <w:rsid w:val="563F764D"/>
    <w:rsid w:val="56BF504E"/>
    <w:rsid w:val="5A036F17"/>
    <w:rsid w:val="5E011C42"/>
    <w:rsid w:val="5E065EE8"/>
    <w:rsid w:val="5E453356"/>
    <w:rsid w:val="5F18700D"/>
    <w:rsid w:val="5FE51FC9"/>
    <w:rsid w:val="60221A55"/>
    <w:rsid w:val="62746DBC"/>
    <w:rsid w:val="62D75EF8"/>
    <w:rsid w:val="62F04E6D"/>
    <w:rsid w:val="6347509A"/>
    <w:rsid w:val="64AA5CA8"/>
    <w:rsid w:val="65FF415D"/>
    <w:rsid w:val="664F7F17"/>
    <w:rsid w:val="67656E3E"/>
    <w:rsid w:val="677E510E"/>
    <w:rsid w:val="680F3D80"/>
    <w:rsid w:val="68284BD6"/>
    <w:rsid w:val="68A5336C"/>
    <w:rsid w:val="6972465D"/>
    <w:rsid w:val="6A274D7A"/>
    <w:rsid w:val="6CAC0A58"/>
    <w:rsid w:val="6CCA4FB6"/>
    <w:rsid w:val="6E0343EF"/>
    <w:rsid w:val="6EE7059E"/>
    <w:rsid w:val="70617BB6"/>
    <w:rsid w:val="711C669F"/>
    <w:rsid w:val="71CD7573"/>
    <w:rsid w:val="72734D90"/>
    <w:rsid w:val="736B5609"/>
    <w:rsid w:val="75192D3A"/>
    <w:rsid w:val="757F34AF"/>
    <w:rsid w:val="774410E6"/>
    <w:rsid w:val="774C2157"/>
    <w:rsid w:val="77730EAD"/>
    <w:rsid w:val="780B2E38"/>
    <w:rsid w:val="78863FB1"/>
    <w:rsid w:val="79C7161B"/>
    <w:rsid w:val="7B2F1FD0"/>
    <w:rsid w:val="7BB4346E"/>
    <w:rsid w:val="7C18487C"/>
    <w:rsid w:val="7CC73700"/>
    <w:rsid w:val="7DB37B53"/>
    <w:rsid w:val="7EA2346C"/>
    <w:rsid w:val="7FBE51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宋体" w:hAnsi="Courier New"/>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7622</Words>
  <Characters>931</Characters>
  <Lines>1</Lines>
  <Paragraphs>1</Paragraphs>
  <TotalTime>3</TotalTime>
  <ScaleCrop>false</ScaleCrop>
  <LinksUpToDate>false</LinksUpToDate>
  <CharactersWithSpaces>8536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cp:lastModifiedBy>
  <cp:lastPrinted>2020-07-23T02:58:00Z</cp:lastPrinted>
  <dcterms:modified xsi:type="dcterms:W3CDTF">2024-01-29T03:27:05Z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6B7468491DD34A65A64FAF1735A18CE9_12</vt:lpwstr>
  </property>
</Properties>
</file>