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96597"/>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Theme="majorEastAsia" w:hAnsiTheme="majorEastAsia" w:eastAsiaTheme="majorEastAsia"/>
          <w:sz w:val="72"/>
          <w:szCs w:val="72"/>
        </w:rPr>
      </w:pPr>
    </w:p>
    <w:p>
      <w:pPr>
        <w:adjustRightInd w:val="0"/>
        <w:snapToGrid w:val="0"/>
        <w:spacing w:line="360" w:lineRule="auto"/>
        <w:jc w:val="center"/>
        <w:outlineLvl w:val="0"/>
        <w:rPr>
          <w:rFonts w:cs="方正小标宋简体" w:asciiTheme="majorEastAsia" w:hAnsiTheme="majorEastAsia" w:eastAsiaTheme="majorEastAsia"/>
          <w:sz w:val="72"/>
          <w:szCs w:val="72"/>
        </w:rPr>
      </w:pPr>
      <w:r>
        <w:rPr>
          <w:rFonts w:hint="eastAsia" w:cs="方正小标宋简体" w:asciiTheme="majorEastAsia" w:hAnsiTheme="majorEastAsia" w:eastAsiaTheme="majorEastAsia"/>
          <w:sz w:val="72"/>
          <w:szCs w:val="72"/>
        </w:rPr>
        <w:t>2021年度</w:t>
      </w:r>
      <w:bookmarkEnd w:id="0"/>
      <w:bookmarkEnd w:id="1"/>
      <w:bookmarkEnd w:id="2"/>
      <w:bookmarkEnd w:id="3"/>
      <w:bookmarkEnd w:id="4"/>
    </w:p>
    <w:p>
      <w:pPr>
        <w:adjustRightInd w:val="0"/>
        <w:snapToGrid w:val="0"/>
        <w:spacing w:line="360" w:lineRule="auto"/>
        <w:jc w:val="center"/>
        <w:outlineLvl w:val="0"/>
        <w:rPr>
          <w:rFonts w:cs="方正小标宋简体" w:asciiTheme="majorEastAsia" w:hAnsiTheme="majorEastAsia" w:eastAsiaTheme="majorEastAsia"/>
          <w:sz w:val="72"/>
          <w:szCs w:val="72"/>
        </w:rPr>
      </w:pPr>
      <w:bookmarkStart w:id="6" w:name="_Toc15396476"/>
      <w:bookmarkStart w:id="7" w:name="_Toc15377426"/>
      <w:bookmarkStart w:id="8" w:name="_Toc15396598"/>
      <w:bookmarkStart w:id="9" w:name="_Toc15378442"/>
      <w:bookmarkStart w:id="10" w:name="_Toc15377194"/>
      <w:r>
        <w:rPr>
          <w:rFonts w:hint="eastAsia" w:cs="方正小标宋简体" w:asciiTheme="majorEastAsia" w:hAnsiTheme="majorEastAsia" w:eastAsiaTheme="majorEastAsia"/>
          <w:sz w:val="72"/>
          <w:szCs w:val="72"/>
        </w:rPr>
        <w:t>四川省</w:t>
      </w:r>
      <w:bookmarkEnd w:id="5"/>
      <w:bookmarkStart w:id="11" w:name="_Toc15306268"/>
      <w:r>
        <w:rPr>
          <w:rFonts w:hint="eastAsia" w:cs="方正小标宋简体" w:asciiTheme="majorEastAsia" w:hAnsiTheme="majorEastAsia" w:eastAsiaTheme="majorEastAsia"/>
          <w:sz w:val="72"/>
          <w:szCs w:val="72"/>
        </w:rPr>
        <w:t>攀枝花市西区残疾人联合会决算</w:t>
      </w:r>
      <w:bookmarkEnd w:id="6"/>
      <w:bookmarkEnd w:id="7"/>
      <w:bookmarkEnd w:id="8"/>
      <w:bookmarkEnd w:id="9"/>
      <w:bookmarkEnd w:id="10"/>
      <w:bookmarkEnd w:id="11"/>
    </w:p>
    <w:p>
      <w:pPr>
        <w:widowControl/>
        <w:jc w:val="center"/>
        <w:rPr>
          <w:rFonts w:ascii="黑体" w:hAnsi="黑体" w:eastAsia="黑体"/>
          <w:sz w:val="48"/>
          <w:szCs w:val="48"/>
        </w:rPr>
      </w:pPr>
      <w:r>
        <w:rPr>
          <w:rFonts w:asciiTheme="majorEastAsia" w:hAnsiTheme="majorEastAsia" w:eastAsiaTheme="majorEastAsia"/>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w:t>
      </w:r>
      <w:r>
        <w:rPr>
          <w:rFonts w:hint="eastAsia"/>
          <w:lang w:val="en-US" w:eastAsia="zh-CN"/>
        </w:rPr>
        <w:t>9</w:t>
      </w:r>
      <w:r>
        <w:rPr>
          <w:rFonts w:hint="eastAsia"/>
        </w:rPr>
        <w:t>月29日</w:t>
      </w:r>
    </w:p>
    <w:p/>
    <w:p>
      <w:pPr>
        <w:pStyle w:val="12"/>
        <w:adjustRightInd w:val="0"/>
        <w:snapToGrid w:val="0"/>
        <w:spacing w:before="0" w:line="440" w:lineRule="exact"/>
        <w:jc w:val="left"/>
        <w:rPr>
          <w:rFonts w:ascii="Times New Roman" w:hAnsi="Times New Roman"/>
          <w:sz w:val="24"/>
          <w:szCs w:val="24"/>
        </w:rPr>
      </w:pPr>
      <w:r>
        <w:rPr>
          <w:rFonts w:ascii="Times New Roman" w:hAnsi="Times New Roman"/>
          <w:sz w:val="24"/>
        </w:rPr>
        <w:t>第一部分部门概况</w:t>
      </w:r>
    </w:p>
    <w:p>
      <w:pPr>
        <w:pStyle w:val="13"/>
        <w:numPr>
          <w:ilvl w:val="0"/>
          <w:numId w:val="1"/>
        </w:numPr>
        <w:adjustRightInd w:val="0"/>
        <w:snapToGrid w:val="0"/>
        <w:spacing w:line="440" w:lineRule="exact"/>
        <w:jc w:val="left"/>
      </w:pPr>
      <w:r>
        <w:rPr>
          <w:rFonts w:hint="eastAsia"/>
          <w:sz w:val="24"/>
          <w:lang w:eastAsia="zh-CN"/>
        </w:rPr>
        <w:t>职能简介</w:t>
      </w:r>
      <w:r>
        <w:rPr>
          <w:sz w:val="24"/>
        </w:rPr>
        <w:t>…………………………………………………….….4</w:t>
      </w:r>
    </w:p>
    <w:p>
      <w:pPr>
        <w:pStyle w:val="13"/>
        <w:adjustRightInd w:val="0"/>
        <w:snapToGrid w:val="0"/>
        <w:spacing w:line="440" w:lineRule="exact"/>
        <w:jc w:val="left"/>
      </w:pPr>
      <w:r>
        <w:rPr>
          <w:rFonts w:hint="eastAsia"/>
          <w:lang w:val="en-US" w:eastAsia="zh-CN"/>
        </w:rPr>
        <w:t>二、 2021年重点工作完成情况</w:t>
      </w:r>
      <w:r>
        <w:rPr>
          <w:sz w:val="24"/>
        </w:rPr>
        <w:t>……………………………….……</w:t>
      </w:r>
      <w:r>
        <w:rPr>
          <w:rFonts w:hint="eastAsia"/>
          <w:sz w:val="24"/>
          <w:lang w:val="en-US" w:eastAsia="zh-CN"/>
        </w:rPr>
        <w:t>....</w:t>
      </w:r>
      <w:r>
        <w:rPr>
          <w:sz w:val="24"/>
        </w:rPr>
        <w:t>5</w:t>
      </w:r>
    </w:p>
    <w:p>
      <w:pPr>
        <w:pStyle w:val="13"/>
        <w:adjustRightInd w:val="0"/>
        <w:snapToGrid w:val="0"/>
        <w:spacing w:line="440" w:lineRule="exact"/>
        <w:jc w:val="left"/>
        <w:rPr>
          <w:rFonts w:eastAsia="仿宋"/>
          <w:sz w:val="24"/>
        </w:rPr>
      </w:pPr>
      <w:r>
        <w:rPr>
          <w:rFonts w:hint="eastAsia"/>
          <w:sz w:val="24"/>
          <w:lang w:eastAsia="zh-CN"/>
        </w:rPr>
        <w:t>三</w:t>
      </w:r>
      <w:r>
        <w:rPr>
          <w:sz w:val="24"/>
        </w:rPr>
        <w:t>、机构设置……………………………………………………….5</w:t>
      </w:r>
    </w:p>
    <w:p>
      <w:pPr>
        <w:pStyle w:val="12"/>
        <w:adjustRightInd w:val="0"/>
        <w:snapToGrid w:val="0"/>
        <w:spacing w:before="0" w:line="440" w:lineRule="exact"/>
        <w:jc w:val="left"/>
        <w:rPr>
          <w:rFonts w:ascii="Times New Roman" w:hAnsi="Times New Roman"/>
          <w:sz w:val="24"/>
          <w:szCs w:val="24"/>
        </w:rPr>
      </w:pPr>
      <w:r>
        <w:rPr>
          <w:rFonts w:ascii="Times New Roman" w:hAnsi="Times New Roman"/>
          <w:sz w:val="24"/>
        </w:rPr>
        <w:t>第二部分 2021年度部门决算情况说明</w:t>
      </w:r>
      <w:r>
        <w:rPr>
          <w:rFonts w:ascii="Times New Roman" w:hAnsi="Times New Roman" w:eastAsia="宋体"/>
          <w:sz w:val="24"/>
          <w:szCs w:val="24"/>
        </w:rPr>
        <w:t xml:space="preserve">……………………….………6  </w:t>
      </w:r>
      <w:r>
        <w:rPr>
          <w:rFonts w:ascii="Times New Roman" w:hAnsi="Times New Roman"/>
          <w:sz w:val="24"/>
        </w:rPr>
        <w:t xml:space="preserve">                       </w:t>
      </w:r>
    </w:p>
    <w:p>
      <w:pPr>
        <w:pStyle w:val="13"/>
        <w:adjustRightInd w:val="0"/>
        <w:snapToGrid w:val="0"/>
        <w:spacing w:line="440" w:lineRule="exact"/>
        <w:jc w:val="left"/>
        <w:rPr>
          <w:rFonts w:eastAsia="仿宋"/>
          <w:sz w:val="24"/>
        </w:rPr>
      </w:pPr>
      <w:r>
        <w:rPr>
          <w:sz w:val="24"/>
        </w:rPr>
        <w:t>一、收入支出决算总体情况说明………………………….………6</w:t>
      </w:r>
    </w:p>
    <w:p>
      <w:pPr>
        <w:pStyle w:val="13"/>
        <w:adjustRightInd w:val="0"/>
        <w:snapToGrid w:val="0"/>
        <w:spacing w:line="440" w:lineRule="exact"/>
        <w:jc w:val="left"/>
        <w:rPr>
          <w:rFonts w:eastAsia="仿宋"/>
          <w:sz w:val="24"/>
        </w:rPr>
      </w:pPr>
      <w:r>
        <w:rPr>
          <w:sz w:val="24"/>
        </w:rPr>
        <w:t>二、收入决算情况说明…………………………………….………6</w:t>
      </w:r>
    </w:p>
    <w:p>
      <w:pPr>
        <w:pStyle w:val="13"/>
        <w:adjustRightInd w:val="0"/>
        <w:snapToGrid w:val="0"/>
        <w:spacing w:line="440" w:lineRule="exact"/>
        <w:jc w:val="left"/>
        <w:rPr>
          <w:rFonts w:eastAsia="仿宋"/>
          <w:sz w:val="24"/>
        </w:rPr>
      </w:pPr>
      <w:r>
        <w:rPr>
          <w:sz w:val="24"/>
        </w:rPr>
        <w:t>三、支出决算情况说明……………………………………….……7</w:t>
      </w:r>
    </w:p>
    <w:p>
      <w:pPr>
        <w:pStyle w:val="13"/>
        <w:adjustRightInd w:val="0"/>
        <w:snapToGrid w:val="0"/>
        <w:spacing w:line="440" w:lineRule="exact"/>
        <w:jc w:val="left"/>
        <w:rPr>
          <w:rFonts w:hint="eastAsia"/>
          <w:sz w:val="24"/>
          <w:lang w:val="en-US" w:eastAsia="zh-CN"/>
        </w:rPr>
      </w:pPr>
      <w:r>
        <w:rPr>
          <w:sz w:val="24"/>
        </w:rPr>
        <w:t>四、财政拨款收入支出决算总体情况说明……………………….</w:t>
      </w:r>
      <w:r>
        <w:rPr>
          <w:rFonts w:hint="eastAsia"/>
          <w:sz w:val="24"/>
          <w:lang w:val="en-US" w:eastAsia="zh-CN"/>
        </w:rPr>
        <w:t>7</w:t>
      </w:r>
    </w:p>
    <w:p>
      <w:pPr>
        <w:pStyle w:val="13"/>
        <w:adjustRightInd w:val="0"/>
        <w:snapToGrid w:val="0"/>
        <w:spacing w:line="440" w:lineRule="exact"/>
        <w:jc w:val="left"/>
        <w:rPr>
          <w:rFonts w:eastAsia="仿宋"/>
          <w:sz w:val="24"/>
        </w:rPr>
      </w:pPr>
      <w:r>
        <w:rPr>
          <w:sz w:val="24"/>
        </w:rPr>
        <w:t>五、一般公共预算财政拨款支出决算情况说明………………….8</w:t>
      </w:r>
    </w:p>
    <w:p>
      <w:pPr>
        <w:pStyle w:val="13"/>
        <w:adjustRightInd w:val="0"/>
        <w:snapToGrid w:val="0"/>
        <w:spacing w:line="440" w:lineRule="exact"/>
        <w:jc w:val="left"/>
        <w:rPr>
          <w:rFonts w:hint="eastAsia"/>
          <w:sz w:val="24"/>
          <w:lang w:val="en-US" w:eastAsia="zh-CN"/>
        </w:rPr>
      </w:pPr>
      <w:r>
        <w:rPr>
          <w:sz w:val="24"/>
        </w:rPr>
        <w:t>六、一般公共预算财政拨款基本支出决算情况说明…</w:t>
      </w:r>
      <w:r>
        <w:rPr>
          <w:rFonts w:hint="eastAsia"/>
          <w:sz w:val="24"/>
          <w:lang w:val="en-US" w:eastAsia="zh-CN"/>
        </w:rPr>
        <w:t>..</w:t>
      </w:r>
      <w:r>
        <w:rPr>
          <w:sz w:val="24"/>
        </w:rPr>
        <w:t>…</w:t>
      </w:r>
      <w:r>
        <w:rPr>
          <w:rFonts w:hint="eastAsia"/>
          <w:sz w:val="24"/>
          <w:lang w:val="en-US" w:eastAsia="zh-CN"/>
        </w:rPr>
        <w:t>.</w:t>
      </w:r>
      <w:r>
        <w:rPr>
          <w:sz w:val="24"/>
        </w:rPr>
        <w:t>…….1</w:t>
      </w:r>
      <w:r>
        <w:rPr>
          <w:rFonts w:hint="eastAsia"/>
          <w:sz w:val="24"/>
          <w:lang w:val="en-US" w:eastAsia="zh-CN"/>
        </w:rPr>
        <w:t>0</w:t>
      </w:r>
    </w:p>
    <w:p>
      <w:pPr>
        <w:pStyle w:val="13"/>
        <w:adjustRightInd w:val="0"/>
        <w:snapToGrid w:val="0"/>
        <w:spacing w:line="440" w:lineRule="exact"/>
        <w:jc w:val="left"/>
        <w:rPr>
          <w:rFonts w:eastAsia="仿宋"/>
          <w:sz w:val="24"/>
        </w:rPr>
      </w:pPr>
      <w:r>
        <w:rPr>
          <w:sz w:val="24"/>
        </w:rPr>
        <w:t>七、“三公”经费财政拨款支出决算情况说明…………</w:t>
      </w:r>
      <w:r>
        <w:rPr>
          <w:rFonts w:hint="eastAsia"/>
          <w:sz w:val="24"/>
          <w:lang w:val="en-US" w:eastAsia="zh-CN"/>
        </w:rPr>
        <w:t>..</w:t>
      </w:r>
      <w:r>
        <w:rPr>
          <w:sz w:val="24"/>
        </w:rPr>
        <w:t>……..…11</w:t>
      </w:r>
    </w:p>
    <w:p>
      <w:pPr>
        <w:pStyle w:val="13"/>
        <w:adjustRightInd w:val="0"/>
        <w:snapToGrid w:val="0"/>
        <w:spacing w:line="440" w:lineRule="exact"/>
        <w:jc w:val="left"/>
        <w:rPr>
          <w:rFonts w:eastAsia="仿宋"/>
          <w:sz w:val="24"/>
        </w:rPr>
      </w:pPr>
      <w:r>
        <w:rPr>
          <w:sz w:val="24"/>
        </w:rPr>
        <w:t>八、政府性基金预算支出决算情况说明...................</w:t>
      </w:r>
      <w:r>
        <w:rPr>
          <w:rFonts w:hint="eastAsia"/>
          <w:sz w:val="24"/>
          <w:lang w:val="en-US" w:eastAsia="zh-CN"/>
        </w:rPr>
        <w:t>.</w:t>
      </w:r>
      <w:r>
        <w:rPr>
          <w:sz w:val="24"/>
        </w:rPr>
        <w:t>.</w:t>
      </w:r>
      <w:r>
        <w:rPr>
          <w:rFonts w:hint="eastAsia"/>
          <w:sz w:val="24"/>
          <w:lang w:val="en-US" w:eastAsia="zh-CN"/>
        </w:rPr>
        <w:t>.</w:t>
      </w:r>
      <w:r>
        <w:rPr>
          <w:sz w:val="24"/>
        </w:rPr>
        <w:t>..................13</w:t>
      </w:r>
    </w:p>
    <w:p>
      <w:pPr>
        <w:pStyle w:val="13"/>
        <w:adjustRightInd w:val="0"/>
        <w:snapToGrid w:val="0"/>
        <w:spacing w:line="440" w:lineRule="exact"/>
        <w:ind w:leftChars="0"/>
        <w:jc w:val="left"/>
        <w:rPr>
          <w:rFonts w:eastAsiaTheme="minorEastAsia"/>
          <w:sz w:val="24"/>
        </w:rPr>
      </w:pPr>
      <w:r>
        <w:rPr>
          <w:rFonts w:eastAsiaTheme="minorEastAsia"/>
          <w:sz w:val="24"/>
        </w:rPr>
        <w:t>九、国有资本经营预算支出决算情况说明....................................13</w:t>
      </w:r>
    </w:p>
    <w:p>
      <w:pPr>
        <w:adjustRightInd w:val="0"/>
        <w:snapToGrid w:val="0"/>
        <w:spacing w:line="440" w:lineRule="exact"/>
        <w:ind w:firstLine="420" w:firstLineChars="175"/>
        <w:jc w:val="left"/>
        <w:rPr>
          <w:rFonts w:hint="eastAsia" w:eastAsiaTheme="minorEastAsia"/>
          <w:sz w:val="24"/>
          <w:lang w:eastAsia="zh-CN"/>
        </w:rPr>
      </w:pPr>
      <w:r>
        <w:rPr>
          <w:rStyle w:val="17"/>
          <w:rFonts w:eastAsiaTheme="minorEastAsia"/>
          <w:color w:val="auto"/>
          <w:sz w:val="24"/>
          <w:u w:val="none"/>
        </w:rPr>
        <w:t>十、</w:t>
      </w:r>
      <w:r>
        <w:rPr>
          <w:rFonts w:eastAsiaTheme="minorEastAsia"/>
          <w:sz w:val="24"/>
        </w:rPr>
        <w:t>其他重要事项的情况说明...........................................</w:t>
      </w:r>
      <w:r>
        <w:rPr>
          <w:rFonts w:hint="eastAsia" w:eastAsiaTheme="minorEastAsia"/>
          <w:sz w:val="24"/>
          <w:lang w:val="en-US" w:eastAsia="zh-CN"/>
        </w:rPr>
        <w:t>.</w:t>
      </w:r>
      <w:r>
        <w:rPr>
          <w:rFonts w:eastAsiaTheme="minorEastAsia"/>
          <w:sz w:val="24"/>
        </w:rPr>
        <w:t>.</w:t>
      </w:r>
      <w:r>
        <w:rPr>
          <w:rFonts w:hint="eastAsia" w:eastAsiaTheme="minorEastAsia"/>
          <w:sz w:val="24"/>
          <w:lang w:val="en-US" w:eastAsia="zh-CN"/>
        </w:rPr>
        <w:t>.</w:t>
      </w:r>
      <w:r>
        <w:rPr>
          <w:rFonts w:eastAsiaTheme="minorEastAsia"/>
          <w:sz w:val="24"/>
        </w:rPr>
        <w:t>..........1</w:t>
      </w:r>
      <w:r>
        <w:rPr>
          <w:rFonts w:hint="eastAsia" w:eastAsiaTheme="minorEastAsia"/>
          <w:sz w:val="24"/>
          <w:lang w:val="en-US" w:eastAsia="zh-CN"/>
        </w:rPr>
        <w:t>3</w:t>
      </w:r>
    </w:p>
    <w:p>
      <w:pPr>
        <w:pStyle w:val="12"/>
        <w:adjustRightInd w:val="0"/>
        <w:snapToGrid w:val="0"/>
        <w:spacing w:before="0" w:line="440" w:lineRule="exact"/>
        <w:ind w:firstLine="120" w:firstLineChars="50"/>
        <w:jc w:val="left"/>
        <w:rPr>
          <w:rFonts w:ascii="Times New Roman" w:hAnsi="Times New Roman"/>
          <w:sz w:val="24"/>
          <w:szCs w:val="24"/>
        </w:rPr>
      </w:pPr>
      <w:r>
        <w:rPr>
          <w:rFonts w:ascii="Times New Roman" w:hAnsi="Times New Roman"/>
          <w:sz w:val="24"/>
        </w:rPr>
        <w:t>第三部分名词解释.................................................................................1</w:t>
      </w:r>
      <w:r>
        <w:rPr>
          <w:rFonts w:hint="eastAsia" w:ascii="Times New Roman" w:hAnsi="Times New Roman"/>
          <w:sz w:val="24"/>
          <w:lang w:val="en-US" w:eastAsia="zh-CN"/>
        </w:rPr>
        <w:t>5</w:t>
      </w:r>
      <w:r>
        <w:rPr>
          <w:rFonts w:ascii="Times New Roman" w:hAnsi="Times New Roman"/>
          <w:sz w:val="24"/>
        </w:rPr>
        <w:t xml:space="preserve"> </w:t>
      </w:r>
    </w:p>
    <w:p>
      <w:pPr>
        <w:pStyle w:val="12"/>
        <w:adjustRightInd w:val="0"/>
        <w:snapToGrid w:val="0"/>
        <w:spacing w:before="0" w:line="440" w:lineRule="exact"/>
        <w:ind w:firstLine="120" w:firstLineChars="50"/>
        <w:jc w:val="left"/>
        <w:rPr>
          <w:rFonts w:hint="eastAsia" w:ascii="Times New Roman" w:hAnsi="Times New Roman" w:eastAsia="仿宋"/>
          <w:sz w:val="24"/>
          <w:szCs w:val="24"/>
          <w:lang w:eastAsia="zh-CN"/>
        </w:rPr>
      </w:pPr>
      <w:r>
        <w:rPr>
          <w:rFonts w:ascii="Times New Roman" w:hAnsi="Times New Roman"/>
          <w:sz w:val="24"/>
        </w:rPr>
        <w:t>第四部分附件………………………………………………………….</w:t>
      </w:r>
      <w:r>
        <w:rPr>
          <w:rFonts w:hint="eastAsia" w:ascii="Times New Roman" w:hAnsi="Times New Roman"/>
          <w:sz w:val="24"/>
          <w:lang w:val="en-US" w:eastAsia="zh-CN"/>
        </w:rPr>
        <w:t>19</w:t>
      </w:r>
    </w:p>
    <w:p>
      <w:pPr>
        <w:pStyle w:val="12"/>
        <w:adjustRightInd w:val="0"/>
        <w:snapToGrid w:val="0"/>
        <w:spacing w:before="0" w:line="440" w:lineRule="exact"/>
        <w:ind w:firstLine="120" w:firstLineChars="50"/>
        <w:jc w:val="left"/>
        <w:rPr>
          <w:rFonts w:ascii="Times New Roman" w:hAnsi="Times New Roman"/>
          <w:sz w:val="24"/>
          <w:szCs w:val="24"/>
        </w:rPr>
      </w:pPr>
      <w:r>
        <w:rPr>
          <w:rFonts w:ascii="Times New Roman" w:hAnsi="Times New Roman"/>
          <w:sz w:val="24"/>
        </w:rPr>
        <w:t>第五部分附表………………………………………………</w:t>
      </w:r>
      <w:r>
        <w:rPr>
          <w:rFonts w:hint="eastAsia" w:ascii="Times New Roman" w:hAnsi="Times New Roman"/>
          <w:sz w:val="24"/>
          <w:lang w:val="en-US" w:eastAsia="zh-CN"/>
        </w:rPr>
        <w:t>..</w:t>
      </w:r>
      <w:r>
        <w:rPr>
          <w:rFonts w:ascii="Times New Roman" w:hAnsi="Times New Roman"/>
          <w:sz w:val="24"/>
        </w:rPr>
        <w:t>…</w:t>
      </w:r>
      <w:r>
        <w:rPr>
          <w:rFonts w:hint="eastAsia" w:ascii="Times New Roman" w:hAnsi="Times New Roman"/>
          <w:sz w:val="24"/>
          <w:lang w:val="en-US" w:eastAsia="zh-CN"/>
        </w:rPr>
        <w:t>.</w:t>
      </w:r>
      <w:r>
        <w:rPr>
          <w:rFonts w:ascii="Times New Roman" w:hAnsi="Times New Roman"/>
          <w:sz w:val="24"/>
        </w:rPr>
        <w:t>……..33</w:t>
      </w:r>
    </w:p>
    <w:p>
      <w:pPr>
        <w:pStyle w:val="13"/>
        <w:adjustRightInd w:val="0"/>
        <w:snapToGrid w:val="0"/>
        <w:spacing w:line="440" w:lineRule="exact"/>
        <w:jc w:val="left"/>
        <w:rPr>
          <w:rFonts w:eastAsia="仿宋"/>
          <w:sz w:val="24"/>
        </w:rPr>
      </w:pPr>
      <w:r>
        <w:rPr>
          <w:rFonts w:eastAsia="仿宋"/>
          <w:sz w:val="24"/>
        </w:rPr>
        <w:t>一、</w:t>
      </w:r>
      <w:r>
        <w:rPr>
          <w:sz w:val="24"/>
        </w:rPr>
        <w:t>收入支出决算总表…………………………………</w:t>
      </w:r>
      <w:r>
        <w:rPr>
          <w:rFonts w:hint="eastAsia"/>
          <w:sz w:val="24"/>
          <w:lang w:val="en-US" w:eastAsia="zh-CN"/>
        </w:rPr>
        <w:t>...</w:t>
      </w:r>
      <w:r>
        <w:rPr>
          <w:sz w:val="24"/>
        </w:rPr>
        <w:t>……….33</w:t>
      </w:r>
    </w:p>
    <w:p>
      <w:pPr>
        <w:pStyle w:val="13"/>
        <w:adjustRightInd w:val="0"/>
        <w:snapToGrid w:val="0"/>
        <w:spacing w:line="440" w:lineRule="exact"/>
        <w:jc w:val="left"/>
        <w:rPr>
          <w:rFonts w:eastAsiaTheme="minorEastAsia"/>
          <w:sz w:val="24"/>
        </w:rPr>
      </w:pPr>
      <w:r>
        <w:rPr>
          <w:rFonts w:eastAsiaTheme="minorEastAsia"/>
          <w:sz w:val="24"/>
        </w:rPr>
        <w:t>二、收入决算表………………………………………</w:t>
      </w:r>
      <w:r>
        <w:rPr>
          <w:rFonts w:hint="eastAsia" w:eastAsiaTheme="minorEastAsia"/>
          <w:sz w:val="24"/>
          <w:lang w:val="en-US" w:eastAsia="zh-CN"/>
        </w:rPr>
        <w:t>...</w:t>
      </w:r>
      <w:r>
        <w:rPr>
          <w:rFonts w:eastAsiaTheme="minorEastAsia"/>
          <w:sz w:val="24"/>
        </w:rPr>
        <w:t>………….33</w:t>
      </w:r>
    </w:p>
    <w:p>
      <w:pPr>
        <w:pStyle w:val="13"/>
        <w:adjustRightInd w:val="0"/>
        <w:snapToGrid w:val="0"/>
        <w:spacing w:line="440" w:lineRule="exact"/>
        <w:jc w:val="left"/>
        <w:rPr>
          <w:rFonts w:eastAsiaTheme="minorEastAsia"/>
          <w:sz w:val="24"/>
        </w:rPr>
      </w:pPr>
      <w:r>
        <w:rPr>
          <w:rFonts w:eastAsiaTheme="minorEastAsia"/>
          <w:sz w:val="24"/>
        </w:rPr>
        <w:t>三、支出决算表……………………………………………………33</w:t>
      </w:r>
    </w:p>
    <w:p>
      <w:pPr>
        <w:pStyle w:val="13"/>
        <w:adjustRightInd w:val="0"/>
        <w:snapToGrid w:val="0"/>
        <w:spacing w:line="440" w:lineRule="exact"/>
        <w:jc w:val="left"/>
        <w:rPr>
          <w:rFonts w:eastAsiaTheme="minorEastAsia"/>
          <w:sz w:val="24"/>
        </w:rPr>
      </w:pPr>
      <w:r>
        <w:rPr>
          <w:rFonts w:eastAsiaTheme="minorEastAsia"/>
          <w:sz w:val="24"/>
        </w:rPr>
        <w:t>四、财政拨款收入支出决算总表…………………………………33</w:t>
      </w:r>
    </w:p>
    <w:p>
      <w:pPr>
        <w:pStyle w:val="13"/>
        <w:adjustRightInd w:val="0"/>
        <w:snapToGrid w:val="0"/>
        <w:spacing w:line="440" w:lineRule="exact"/>
        <w:jc w:val="left"/>
        <w:rPr>
          <w:rFonts w:eastAsiaTheme="minorEastAsia"/>
          <w:sz w:val="24"/>
        </w:rPr>
      </w:pPr>
      <w:r>
        <w:rPr>
          <w:rFonts w:eastAsiaTheme="minorEastAsia"/>
          <w:sz w:val="24"/>
        </w:rPr>
        <w:t>五、财政拨款支出决算明细表……………………………………33</w:t>
      </w:r>
    </w:p>
    <w:p>
      <w:pPr>
        <w:pStyle w:val="13"/>
        <w:adjustRightInd w:val="0"/>
        <w:snapToGrid w:val="0"/>
        <w:spacing w:line="440" w:lineRule="exact"/>
        <w:jc w:val="left"/>
        <w:rPr>
          <w:rFonts w:eastAsiaTheme="minorEastAsia"/>
          <w:sz w:val="24"/>
        </w:rPr>
      </w:pPr>
      <w:r>
        <w:rPr>
          <w:rFonts w:eastAsiaTheme="minorEastAsia"/>
          <w:sz w:val="24"/>
        </w:rPr>
        <w:t>六、一般公共预算财政拨款支出决算表…………………………33</w:t>
      </w:r>
    </w:p>
    <w:p>
      <w:pPr>
        <w:pStyle w:val="13"/>
        <w:adjustRightInd w:val="0"/>
        <w:snapToGrid w:val="0"/>
        <w:spacing w:line="440" w:lineRule="exact"/>
        <w:jc w:val="left"/>
        <w:rPr>
          <w:rFonts w:eastAsiaTheme="minorEastAsia"/>
          <w:sz w:val="24"/>
        </w:rPr>
      </w:pPr>
      <w:r>
        <w:rPr>
          <w:rFonts w:eastAsiaTheme="minorEastAsia"/>
          <w:sz w:val="24"/>
        </w:rPr>
        <w:t>七、一般公共预算财政拨款支出决算明细表……………………33</w:t>
      </w:r>
    </w:p>
    <w:p>
      <w:pPr>
        <w:pStyle w:val="13"/>
        <w:adjustRightInd w:val="0"/>
        <w:snapToGrid w:val="0"/>
        <w:spacing w:line="440" w:lineRule="exact"/>
        <w:jc w:val="left"/>
        <w:rPr>
          <w:rFonts w:eastAsiaTheme="minorEastAsia"/>
          <w:sz w:val="24"/>
        </w:rPr>
      </w:pPr>
      <w:r>
        <w:rPr>
          <w:rFonts w:eastAsiaTheme="minorEastAsia"/>
          <w:sz w:val="24"/>
        </w:rPr>
        <w:t>八、一般公共预算财政拨款基本支出决算表……………………33</w:t>
      </w:r>
    </w:p>
    <w:p>
      <w:pPr>
        <w:pStyle w:val="13"/>
        <w:adjustRightInd w:val="0"/>
        <w:snapToGrid w:val="0"/>
        <w:spacing w:line="440" w:lineRule="exact"/>
        <w:jc w:val="left"/>
        <w:rPr>
          <w:rFonts w:eastAsiaTheme="minorEastAsia"/>
          <w:sz w:val="24"/>
        </w:rPr>
      </w:pPr>
      <w:r>
        <w:rPr>
          <w:rFonts w:eastAsiaTheme="minorEastAsia"/>
          <w:sz w:val="24"/>
        </w:rPr>
        <w:t>九、一般公共预算财政拨款项目支出决算表……………………33</w:t>
      </w:r>
    </w:p>
    <w:p>
      <w:pPr>
        <w:pStyle w:val="13"/>
        <w:adjustRightInd w:val="0"/>
        <w:snapToGrid w:val="0"/>
        <w:spacing w:line="440" w:lineRule="exact"/>
        <w:jc w:val="left"/>
        <w:rPr>
          <w:rFonts w:eastAsiaTheme="minorEastAsia"/>
          <w:sz w:val="24"/>
        </w:rPr>
      </w:pPr>
      <w:r>
        <w:rPr>
          <w:rFonts w:eastAsiaTheme="minorEastAsia"/>
          <w:sz w:val="24"/>
        </w:rPr>
        <w:t>十、一般公共预算财政拨款“三公”经费支出决算表…</w:t>
      </w:r>
      <w:r>
        <w:rPr>
          <w:rFonts w:hint="eastAsia" w:eastAsiaTheme="minorEastAsia"/>
          <w:sz w:val="24"/>
          <w:lang w:val="en-US" w:eastAsia="zh-CN"/>
        </w:rPr>
        <w:t>..</w:t>
      </w:r>
      <w:r>
        <w:rPr>
          <w:rFonts w:eastAsiaTheme="minorEastAsia"/>
          <w:sz w:val="24"/>
        </w:rPr>
        <w:t>………33</w:t>
      </w:r>
    </w:p>
    <w:p>
      <w:pPr>
        <w:pStyle w:val="13"/>
        <w:adjustRightInd w:val="0"/>
        <w:snapToGrid w:val="0"/>
        <w:spacing w:line="440" w:lineRule="exact"/>
        <w:jc w:val="left"/>
        <w:rPr>
          <w:rFonts w:eastAsiaTheme="minorEastAsia"/>
          <w:sz w:val="24"/>
        </w:rPr>
      </w:pPr>
      <w:r>
        <w:rPr>
          <w:rFonts w:eastAsiaTheme="minorEastAsia"/>
          <w:sz w:val="24"/>
        </w:rPr>
        <w:t>十一、政府性基金预算财政拨款收入支出决算表……</w:t>
      </w:r>
      <w:r>
        <w:rPr>
          <w:rFonts w:hint="eastAsia" w:eastAsiaTheme="minorEastAsia"/>
          <w:sz w:val="24"/>
          <w:lang w:val="en-US" w:eastAsia="zh-CN"/>
        </w:rPr>
        <w:t>.</w:t>
      </w:r>
      <w:r>
        <w:rPr>
          <w:rFonts w:eastAsiaTheme="minorEastAsia"/>
          <w:sz w:val="24"/>
        </w:rPr>
        <w:t>………33</w:t>
      </w:r>
    </w:p>
    <w:p>
      <w:pPr>
        <w:pStyle w:val="13"/>
        <w:adjustRightInd w:val="0"/>
        <w:snapToGrid w:val="0"/>
        <w:spacing w:line="440" w:lineRule="exact"/>
        <w:jc w:val="left"/>
        <w:rPr>
          <w:rFonts w:eastAsiaTheme="minorEastAsia"/>
          <w:sz w:val="24"/>
        </w:rPr>
      </w:pPr>
      <w:r>
        <w:rPr>
          <w:rFonts w:eastAsiaTheme="minorEastAsia"/>
          <w:sz w:val="24"/>
        </w:rPr>
        <w:t>十二、政府性基金预算财政拨款“三公”经费支出决算表…</w:t>
      </w:r>
      <w:r>
        <w:rPr>
          <w:rFonts w:hint="eastAsia" w:eastAsiaTheme="minorEastAsia"/>
          <w:sz w:val="24"/>
          <w:lang w:val="en-US" w:eastAsia="zh-CN"/>
        </w:rPr>
        <w:t>.</w:t>
      </w:r>
      <w:r>
        <w:rPr>
          <w:rFonts w:eastAsiaTheme="minorEastAsia"/>
          <w:sz w:val="24"/>
        </w:rPr>
        <w:t>….33</w:t>
      </w:r>
    </w:p>
    <w:p>
      <w:pPr>
        <w:pStyle w:val="13"/>
        <w:adjustRightInd w:val="0"/>
        <w:snapToGrid w:val="0"/>
        <w:spacing w:line="440" w:lineRule="exact"/>
        <w:jc w:val="left"/>
        <w:rPr>
          <w:rFonts w:eastAsiaTheme="minorEastAsia"/>
          <w:sz w:val="24"/>
        </w:rPr>
      </w:pPr>
      <w:r>
        <w:rPr>
          <w:rFonts w:eastAsiaTheme="minorEastAsia"/>
          <w:sz w:val="24"/>
        </w:rPr>
        <w:t>十三、国有资本经营预算财政拨款收入支出决算表………….33</w:t>
      </w:r>
    </w:p>
    <w:p>
      <w:pPr>
        <w:pStyle w:val="13"/>
        <w:adjustRightInd w:val="0"/>
        <w:snapToGrid w:val="0"/>
        <w:spacing w:line="440" w:lineRule="exact"/>
        <w:jc w:val="left"/>
        <w:rPr>
          <w:rFonts w:eastAsiaTheme="minorEastAsia"/>
          <w:sz w:val="24"/>
        </w:rPr>
      </w:pPr>
      <w:r>
        <w:rPr>
          <w:rFonts w:eastAsiaTheme="minorEastAsia"/>
          <w:sz w:val="24"/>
        </w:rPr>
        <w:t>十四、国有资本经营预算财政拨款支出决算表…………</w:t>
      </w:r>
      <w:r>
        <w:rPr>
          <w:rFonts w:hint="eastAsia" w:eastAsiaTheme="minorEastAsia"/>
          <w:sz w:val="24"/>
          <w:lang w:val="en-US" w:eastAsia="zh-CN"/>
        </w:rPr>
        <w:t>.</w:t>
      </w:r>
      <w:r>
        <w:rPr>
          <w:rFonts w:eastAsiaTheme="minorEastAsia"/>
          <w:sz w:val="24"/>
        </w:rPr>
        <w:t>……33</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7"/>
          <w:rFonts w:hint="eastAsia" w:ascii="仿宋" w:hAnsi="仿宋" w:eastAsia="黑体"/>
          <w:b w:val="0"/>
          <w:bCs w:val="0"/>
          <w:lang w:eastAsia="zh-CN"/>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lang w:eastAsia="zh-CN"/>
        </w:rPr>
        <w:t>职能简介</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sz w:val="32"/>
          <w:szCs w:val="32"/>
        </w:rPr>
        <w:t>（1）听取残疾人意见，反映残疾人要求，维护残疾人的合法权益，为残疾人服务</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）教育残疾人遵纪守法，履行应尽的义务，发扬乐观进取的精神，自尊、自信、自强、自立，为社会主义贡献力量</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)弘扬人道主义，宣传残疾人事业，沟通政府、社会与残疾人之间的联系，动员全社会理解、尊重、关心、帮助残疾人</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)开展残疾人康复、扶贫、劳动就业、职业培训、文化体育、福利、服务、无障碍设施和残疾预防工作，创造良好的社会环境和条件，扶助残疾人平等参与社会生活</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)协助政府研究、制定和实施残疾人政策、规划和计划；调查、掌握残疾人状况，向政府提出决策建议，并组织实施</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)负责培训街办（镇）及企、事业单位残联组织负责人</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)承担区政府残疾人工作协调委员会的日常工作，履行综合、组织、协调和服务的职责</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全面组织实施按比例安置残疾人就业，负责收取、管理和使用残疾人就业保障金工作，会同有关部门制定并监督实施残疾人社会福利生产的扶持保护政策</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)统筹开展为残疾人事业的捐赠活动</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)开展残疾人对外交流与合作事业</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11</w:t>
      </w:r>
      <w:r>
        <w:rPr>
          <w:rFonts w:hint="eastAsia" w:ascii="仿宋" w:hAnsi="仿宋" w:eastAsia="仿宋"/>
          <w:sz w:val="32"/>
          <w:szCs w:val="32"/>
        </w:rPr>
        <w:t>)指导和管理各类残疾人社团组织</w:t>
      </w:r>
      <w:r>
        <w:rPr>
          <w:rFonts w:hint="eastAsia" w:ascii="仿宋" w:hAnsi="仿宋" w:eastAsia="仿宋"/>
          <w:sz w:val="32"/>
          <w:szCs w:val="32"/>
          <w:lang w:val="en-US" w:eastAsia="zh-CN"/>
        </w:rPr>
        <w:t>;</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)核发辖区残疾人的《残疾人证》。</w:t>
      </w:r>
    </w:p>
    <w:p>
      <w:pPr>
        <w:pStyle w:val="4"/>
        <w:rPr>
          <w:rFonts w:hint="eastAsia" w:ascii="黑体" w:hAnsi="黑体" w:eastAsia="黑体"/>
          <w:b w:val="0"/>
        </w:rPr>
      </w:pPr>
      <w:bookmarkStart w:id="16" w:name="_Toc15378446"/>
      <w:bookmarkStart w:id="17" w:name="_Toc15377199"/>
      <w:r>
        <w:rPr>
          <w:rFonts w:hint="eastAsia" w:ascii="黑体" w:hAnsi="黑体" w:eastAsia="黑体"/>
          <w:b w:val="0"/>
          <w:lang w:eastAsia="zh-CN"/>
        </w:rPr>
        <w:t>二、</w:t>
      </w:r>
      <w:r>
        <w:rPr>
          <w:rFonts w:hint="eastAsia" w:ascii="黑体" w:hAnsi="黑体" w:eastAsia="黑体"/>
          <w:b w:val="0"/>
        </w:rPr>
        <w:t>2021年重点工作完成情况</w:t>
      </w:r>
      <w:bookmarkEnd w:id="16"/>
      <w:bookmarkEnd w:id="17"/>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对辖区残疾人开展量体裁衣式服务3418人；贫困残疾人家庭无障碍改造73 户，发放辅具653人，验配助听器21   台；贫困精神病救助201人，发放义务教育阶段残疾学生上学补助47人，残疾人职业技能和农村实用技术培训100人；开展温暖万家行走访慰问400人；扶持农村贫困残疾人发展生产和居家灵活就业120人；发放残疾人机动车燃油补贴21人；开展残疾人居家托养服务100人等，完成了年度既定目标，提升了本辖区的残疾人事业。</w:t>
      </w:r>
    </w:p>
    <w:p>
      <w:pPr>
        <w:pStyle w:val="4"/>
        <w:rPr>
          <w:rStyle w:val="27"/>
          <w:b w:val="0"/>
          <w:bCs w:val="0"/>
        </w:rPr>
      </w:pPr>
      <w:bookmarkStart w:id="18" w:name="_Toc15377200"/>
      <w:bookmarkStart w:id="19" w:name="_Toc15396601"/>
      <w:r>
        <w:rPr>
          <w:rFonts w:hint="eastAsia" w:ascii="黑体" w:eastAsia="黑体"/>
          <w:b w:val="0"/>
          <w:lang w:eastAsia="zh-CN"/>
        </w:rPr>
        <w:t>三</w:t>
      </w:r>
      <w:r>
        <w:rPr>
          <w:rFonts w:hint="eastAsia" w:ascii="黑体" w:eastAsia="黑体"/>
          <w:b w:val="0"/>
        </w:rPr>
        <w:t>、</w:t>
      </w:r>
      <w:r>
        <w:rPr>
          <w:rFonts w:hint="eastAsia" w:ascii="黑体" w:hAnsi="黑体" w:eastAsia="黑体"/>
          <w:b w:val="0"/>
        </w:rPr>
        <w:t>机</w:t>
      </w:r>
      <w:r>
        <w:rPr>
          <w:rStyle w:val="27"/>
          <w:rFonts w:hint="eastAsia" w:ascii="黑体" w:hAnsi="黑体" w:eastAsia="黑体"/>
          <w:b w:val="0"/>
          <w:bCs w:val="0"/>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西区残联下属二级单位0个，其中行政单位0个，参照公务员法管理的事业单位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纳入西区残联2021年度部门决算编制范围的二级预算单位无。</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20" w:name="_Toc15377204"/>
      <w:bookmarkStart w:id="21" w:name="_Toc15396602"/>
      <w:r>
        <w:rPr>
          <w:rFonts w:hint="eastAsia" w:ascii="黑体" w:hAnsi="黑体" w:eastAsia="黑体"/>
          <w:b w:val="0"/>
        </w:rPr>
        <w:t>第二部分 2021年度</w:t>
      </w:r>
      <w:r>
        <w:rPr>
          <w:rStyle w:val="26"/>
          <w:rFonts w:hint="eastAsia" w:ascii="黑体" w:hAnsi="黑体" w:eastAsia="黑体"/>
          <w:b w:val="0"/>
          <w:bCs/>
        </w:rPr>
        <w:t>部门决算情况说明</w:t>
      </w:r>
      <w:bookmarkEnd w:id="20"/>
      <w:bookmarkEnd w:id="21"/>
    </w:p>
    <w:p/>
    <w:p>
      <w:pPr>
        <w:pStyle w:val="25"/>
        <w:numPr>
          <w:ilvl w:val="0"/>
          <w:numId w:val="2"/>
        </w:numPr>
        <w:spacing w:line="600" w:lineRule="exact"/>
        <w:ind w:firstLineChars="0"/>
        <w:outlineLvl w:val="1"/>
        <w:rPr>
          <w:rStyle w:val="27"/>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2021年度收、支总计249.47万元。与2020年相比，收入减少133.52万元，下降34.86%；支出减少57.19万元，下降18.65</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2021</w:t>
      </w:r>
      <w:r>
        <w:rPr>
          <w:rFonts w:hint="eastAsia" w:ascii="仿宋" w:hAnsi="仿宋" w:eastAsia="仿宋"/>
          <w:sz w:val="32"/>
          <w:szCs w:val="32"/>
        </w:rPr>
        <w:t>年度部分项目没有结算，资金没有支付，到下一年度支付。</w:t>
      </w:r>
    </w:p>
    <w:p>
      <w:pPr>
        <w:pStyle w:val="2"/>
        <w:spacing w:before="93"/>
        <w:ind w:firstLine="640" w:firstLineChars="200"/>
        <w:jc w:val="center"/>
      </w:pPr>
      <w:r>
        <w:rPr>
          <w:sz w:val="32"/>
          <w:szCs w:val="32"/>
        </w:rPr>
        <w:drawing>
          <wp:inline distT="0" distB="0" distL="0" distR="0">
            <wp:extent cx="3805555" cy="1828800"/>
            <wp:effectExtent l="19050" t="0" r="22919"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5"/>
        <w:numPr>
          <w:ilvl w:val="0"/>
          <w:numId w:val="2"/>
        </w:numPr>
        <w:spacing w:line="600" w:lineRule="exact"/>
        <w:ind w:firstLineChars="0"/>
        <w:outlineLvl w:val="1"/>
        <w:rPr>
          <w:rStyle w:val="27"/>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21年本年收入合计207.05万元，其中：一般公共预算财政拨款收入207.05万元，占100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rPr>
          <w:rFonts w:hint="eastAsia" w:ascii="仿宋" w:hAnsi="仿宋" w:eastAsia="仿宋"/>
          <w:sz w:val="32"/>
          <w:szCs w:val="32"/>
        </w:rPr>
        <w:drawing>
          <wp:inline distT="0" distB="0" distL="0" distR="0">
            <wp:extent cx="3893185" cy="1998345"/>
            <wp:effectExtent l="19050" t="0" r="11519" b="1329"/>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pPr>
        <w:pStyle w:val="25"/>
        <w:numPr>
          <w:ilvl w:val="0"/>
          <w:numId w:val="2"/>
        </w:numPr>
        <w:spacing w:line="600" w:lineRule="exact"/>
        <w:ind w:firstLineChars="0"/>
        <w:outlineLvl w:val="1"/>
        <w:rPr>
          <w:rStyle w:val="27"/>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7"/>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21年本年支出合计249.47万元，其中：基本支出58.52万元，占23.46</w:t>
      </w:r>
      <w:r>
        <w:rPr>
          <w:rFonts w:ascii="仿宋" w:hAnsi="仿宋" w:eastAsia="仿宋"/>
          <w:sz w:val="32"/>
          <w:szCs w:val="32"/>
        </w:rPr>
        <w:t>%</w:t>
      </w:r>
      <w:r>
        <w:rPr>
          <w:rFonts w:hint="eastAsia" w:ascii="仿宋" w:hAnsi="仿宋" w:eastAsia="仿宋"/>
          <w:sz w:val="32"/>
          <w:szCs w:val="32"/>
        </w:rPr>
        <w:t>；项目支出190.96万元，占76.54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159250" cy="2179320"/>
            <wp:effectExtent l="19050" t="0" r="12404"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7"/>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21年财政拨款收、支总计249.47万元。与</w:t>
      </w:r>
      <w:r>
        <w:rPr>
          <w:rFonts w:ascii="仿宋" w:hAnsi="仿宋" w:eastAsia="仿宋"/>
          <w:sz w:val="32"/>
          <w:szCs w:val="32"/>
        </w:rPr>
        <w:t>20</w:t>
      </w:r>
      <w:r>
        <w:rPr>
          <w:rFonts w:hint="eastAsia" w:ascii="仿宋" w:hAnsi="仿宋" w:eastAsia="仿宋"/>
          <w:sz w:val="32"/>
          <w:szCs w:val="32"/>
        </w:rPr>
        <w:t>20年相比，收入减少133.52万元，下降34.86%；支出减少57.19万元，下降18.65</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2021</w:t>
      </w:r>
      <w:r>
        <w:rPr>
          <w:rFonts w:hint="eastAsia" w:ascii="仿宋" w:hAnsi="仿宋" w:eastAsia="仿宋"/>
          <w:sz w:val="32"/>
          <w:szCs w:val="32"/>
        </w:rPr>
        <w:t>年度部分项目没有结算，资金没有支付，到下一年度支付。</w:t>
      </w:r>
    </w:p>
    <w:p>
      <w:pPr>
        <w:pStyle w:val="2"/>
        <w:spacing w:before="93"/>
        <w:ind w:firstLine="450" w:firstLineChars="150"/>
        <w:jc w:val="center"/>
      </w:pPr>
      <w:r>
        <w:rPr>
          <w:rFonts w:hint="eastAsia"/>
        </w:rPr>
        <w:drawing>
          <wp:inline distT="0" distB="0" distL="0" distR="0">
            <wp:extent cx="4318635" cy="2125980"/>
            <wp:effectExtent l="19050" t="0" r="24366" b="7089"/>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7"/>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21年一般公共预算财政拨款支出233.67万元，占本年支出合计的93.67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20年相比，一般公共预算财政拨款支出减少71.64万元，下降23.46</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2021</w:t>
      </w:r>
      <w:r>
        <w:rPr>
          <w:rFonts w:hint="eastAsia" w:ascii="仿宋" w:hAnsi="仿宋" w:eastAsia="仿宋"/>
          <w:sz w:val="32"/>
          <w:szCs w:val="32"/>
        </w:rPr>
        <w:t>年度部分项目没有结算，资金没有支付，到下一年度支付。</w:t>
      </w:r>
    </w:p>
    <w:p>
      <w:pPr>
        <w:spacing w:line="600" w:lineRule="exact"/>
        <w:ind w:firstLine="640" w:firstLineChars="200"/>
        <w:rPr>
          <w:rFonts w:ascii="仿宋" w:hAnsi="仿宋" w:eastAsia="仿宋"/>
          <w:sz w:val="32"/>
          <w:szCs w:val="32"/>
        </w:rPr>
      </w:pPr>
    </w:p>
    <w:p>
      <w:pPr>
        <w:pStyle w:val="2"/>
        <w:spacing w:before="93"/>
        <w:jc w:val="center"/>
      </w:pPr>
      <w:r>
        <w:drawing>
          <wp:inline distT="0" distB="0" distL="0" distR="0">
            <wp:extent cx="4504055" cy="2519680"/>
            <wp:effectExtent l="19050" t="0" r="10618"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21年一般公共预算财政拨款支出233.67万元，主要用于以下方面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支出225.28万元，占96.41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3.46万元，占1.48</w:t>
      </w:r>
      <w:r>
        <w:rPr>
          <w:rFonts w:ascii="仿宋" w:hAnsi="仿宋" w:eastAsia="仿宋"/>
          <w:sz w:val="32"/>
          <w:szCs w:val="32"/>
        </w:rPr>
        <w:t>%</w:t>
      </w:r>
      <w:r>
        <w:rPr>
          <w:rFonts w:hint="eastAsia" w:ascii="仿宋" w:hAnsi="仿宋" w:eastAsia="仿宋"/>
          <w:sz w:val="32"/>
          <w:szCs w:val="32"/>
        </w:rPr>
        <w:t>；住房保障支出4.92万元，占2.11</w:t>
      </w:r>
      <w:r>
        <w:rPr>
          <w:rFonts w:ascii="仿宋" w:hAnsi="仿宋" w:eastAsia="仿宋"/>
          <w:sz w:val="32"/>
          <w:szCs w:val="32"/>
        </w:rPr>
        <w:t>%</w:t>
      </w:r>
      <w:r>
        <w:rPr>
          <w:rFonts w:hint="eastAsia" w:ascii="仿宋" w:hAnsi="仿宋" w:eastAsia="仿宋"/>
          <w:sz w:val="32"/>
          <w:szCs w:val="32"/>
        </w:rPr>
        <w:t>。</w:t>
      </w:r>
    </w:p>
    <w:p>
      <w:pPr>
        <w:pStyle w:val="2"/>
        <w:spacing w:before="93"/>
        <w:ind w:firstLine="1050" w:firstLineChars="350"/>
        <w:jc w:val="center"/>
        <w:rPr>
          <w:rFonts w:ascii="仿宋" w:hAnsi="仿宋" w:eastAsia="仿宋"/>
          <w:sz w:val="32"/>
          <w:szCs w:val="32"/>
        </w:rPr>
      </w:pPr>
      <w:r>
        <w:drawing>
          <wp:inline distT="0" distB="0" distL="0" distR="0">
            <wp:extent cx="3773170" cy="1818005"/>
            <wp:effectExtent l="19050" t="0" r="17514"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Style w:val="16"/>
          <w:rFonts w:ascii="仿宋" w:hAnsi="仿宋" w:eastAsia="仿宋"/>
          <w:bCs/>
          <w:sz w:val="32"/>
          <w:szCs w:val="32"/>
        </w:rPr>
      </w:pPr>
      <w:bookmarkStart w:id="35" w:name="_Toc15377444"/>
      <w:bookmarkStart w:id="36" w:name="_Toc15378460"/>
      <w:bookmarkStart w:id="37" w:name="_Toc15377213"/>
      <w:r>
        <w:rPr>
          <w:rFonts w:hint="eastAsia" w:ascii="仿宋" w:hAnsi="仿宋" w:eastAsia="仿宋"/>
          <w:b/>
          <w:sz w:val="32"/>
          <w:szCs w:val="32"/>
        </w:rPr>
        <w:t>2021年一般公共预算支出决算数为233.67万元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社会保障和就业208（类）05（款）01（项）行政单位离退休</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支出决算为0.92万元，完成预算100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2080505  机关事业单位基本养老保险缴费</w:t>
      </w:r>
      <w:r>
        <w:rPr>
          <w:rStyle w:val="16"/>
          <w:rFonts w:hint="eastAsia" w:ascii="仿宋" w:hAnsi="仿宋" w:eastAsia="仿宋"/>
          <w:b w:val="0"/>
          <w:bCs/>
          <w:color w:val="000000"/>
          <w:sz w:val="32"/>
          <w:szCs w:val="32"/>
        </w:rPr>
        <w:t>支出决算数3.9万元，完成预算100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2081101行政运行</w:t>
      </w:r>
      <w:r>
        <w:rPr>
          <w:rStyle w:val="16"/>
          <w:rFonts w:hint="eastAsia" w:ascii="仿宋" w:hAnsi="仿宋" w:eastAsia="仿宋"/>
          <w:b w:val="0"/>
          <w:bCs/>
          <w:color w:val="000000"/>
          <w:sz w:val="32"/>
          <w:szCs w:val="32"/>
        </w:rPr>
        <w:t>支出决算数35.2万元，完成预算100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2081104残疾人康复</w:t>
      </w:r>
      <w:r>
        <w:rPr>
          <w:rStyle w:val="16"/>
          <w:rFonts w:hint="eastAsia" w:ascii="仿宋" w:hAnsi="仿宋" w:eastAsia="仿宋"/>
          <w:b w:val="0"/>
          <w:bCs/>
          <w:color w:val="000000"/>
          <w:sz w:val="32"/>
          <w:szCs w:val="32"/>
        </w:rPr>
        <w:t>支出决算数53.1万元，完成预算100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2081105残疾人就业和扶贫</w:t>
      </w:r>
      <w:r>
        <w:rPr>
          <w:rStyle w:val="16"/>
          <w:rFonts w:hint="eastAsia" w:ascii="仿宋" w:hAnsi="仿宋" w:eastAsia="仿宋"/>
          <w:b w:val="0"/>
          <w:bCs/>
          <w:color w:val="000000"/>
          <w:sz w:val="32"/>
          <w:szCs w:val="32"/>
        </w:rPr>
        <w:t>支出决算数77.26万元，完成预算100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；2081199其他残疾人事业支出决算数54.91万元，完成预算100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卫生健康210</w:t>
      </w:r>
      <w:r>
        <w:rPr>
          <w:rStyle w:val="16"/>
          <w:rFonts w:hint="eastAsia" w:ascii="仿宋" w:hAnsi="仿宋" w:eastAsia="仿宋"/>
          <w:bCs/>
          <w:color w:val="000000"/>
          <w:sz w:val="32"/>
          <w:szCs w:val="32"/>
        </w:rPr>
        <w:t>（类）11（款）01（项）行政单位医疗</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支出决算为3.46万元，完成预算100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2101102事业单位医疗</w:t>
      </w:r>
      <w:r>
        <w:rPr>
          <w:rStyle w:val="16"/>
          <w:rFonts w:hint="eastAsia" w:ascii="仿宋" w:hAnsi="仿宋" w:eastAsia="仿宋"/>
          <w:b w:val="0"/>
          <w:bCs/>
          <w:color w:val="000000"/>
          <w:sz w:val="32"/>
          <w:szCs w:val="32"/>
        </w:rPr>
        <w:t>支出决算为0.82万元，完成预算100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color w:val="000000"/>
          <w:sz w:val="32"/>
          <w:szCs w:val="32"/>
        </w:rPr>
        <w:t>2101103公务员医疗补助</w:t>
      </w:r>
      <w:r>
        <w:rPr>
          <w:rStyle w:val="16"/>
          <w:rFonts w:hint="eastAsia" w:ascii="仿宋" w:hAnsi="仿宋" w:eastAsia="仿宋"/>
          <w:b w:val="0"/>
          <w:bCs/>
          <w:color w:val="000000"/>
          <w:sz w:val="32"/>
          <w:szCs w:val="32"/>
        </w:rPr>
        <w:t>支出决算为0.32万元，完成预算100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Style w:val="16"/>
          <w:rFonts w:hint="eastAsia" w:ascii="仿宋" w:hAnsi="仿宋" w:eastAsia="仿宋"/>
          <w:bCs/>
          <w:color w:val="000000"/>
          <w:sz w:val="32"/>
          <w:szCs w:val="32"/>
        </w:rPr>
        <w:t>3.住房保障221（类）02（款）01（项）住房公积金</w:t>
      </w:r>
      <w:r>
        <w:rPr>
          <w:rStyle w:val="16"/>
          <w:rFonts w:hint="eastAsia" w:ascii="仿宋" w:hAnsi="仿宋" w:eastAsia="仿宋"/>
          <w:b w:val="0"/>
          <w:bCs/>
          <w:color w:val="000000"/>
          <w:sz w:val="32"/>
          <w:szCs w:val="32"/>
        </w:rPr>
        <w:t>支出决算为4.92万元，完成预算100</w:t>
      </w:r>
      <w:r>
        <w:rPr>
          <w:rStyle w:val="16"/>
          <w:rFonts w:ascii="仿宋" w:hAnsi="仿宋" w:eastAsia="仿宋"/>
          <w:b w:val="0"/>
          <w:bCs/>
          <w:color w:val="000000"/>
          <w:sz w:val="32"/>
          <w:szCs w:val="32"/>
        </w:rPr>
        <w:t>%</w:t>
      </w:r>
    </w:p>
    <w:p>
      <w:pPr>
        <w:pStyle w:val="2"/>
        <w:spacing w:before="93"/>
      </w:pP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7"/>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21年一般公共预算财政拨款基本支出58.52万元，其中：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53.77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4.75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7"/>
          <w:rFonts w:ascii="黑体" w:hAnsi="黑体" w:eastAsia="黑体"/>
          <w:b w:val="0"/>
        </w:rPr>
      </w:pPr>
      <w:bookmarkStart w:id="40" w:name="_Toc15396609"/>
      <w:bookmarkStart w:id="41"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21年“三公”经费财政拨款支出决算为0.18万元，完成预算100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；公务用车购置及运行维护费支出决算0.15万元，占83.33</w:t>
      </w:r>
      <w:r>
        <w:rPr>
          <w:rFonts w:ascii="仿宋" w:hAnsi="仿宋" w:eastAsia="仿宋"/>
          <w:sz w:val="32"/>
          <w:szCs w:val="32"/>
        </w:rPr>
        <w:t>%</w:t>
      </w:r>
      <w:r>
        <w:rPr>
          <w:rFonts w:hint="eastAsia" w:ascii="仿宋" w:hAnsi="仿宋" w:eastAsia="仿宋"/>
          <w:sz w:val="32"/>
          <w:szCs w:val="32"/>
        </w:rPr>
        <w:t>；公务接待费支出决算0.03万元，占16.67</w:t>
      </w:r>
      <w:r>
        <w:rPr>
          <w:rFonts w:ascii="仿宋" w:hAnsi="仿宋" w:eastAsia="仿宋"/>
          <w:sz w:val="32"/>
          <w:szCs w:val="32"/>
        </w:rPr>
        <w:t>%</w:t>
      </w:r>
      <w:r>
        <w:rPr>
          <w:rFonts w:hint="eastAsia" w:ascii="仿宋" w:hAnsi="仿宋" w:eastAsia="仿宋"/>
          <w:sz w:val="32"/>
          <w:szCs w:val="32"/>
        </w:rPr>
        <w:t>。具体情况如下：</w:t>
      </w:r>
    </w:p>
    <w:p>
      <w:pPr>
        <w:pStyle w:val="2"/>
        <w:spacing w:before="93"/>
        <w:jc w:val="center"/>
      </w:pPr>
      <w:r>
        <w:drawing>
          <wp:inline distT="0" distB="0" distL="0" distR="0">
            <wp:extent cx="3404235" cy="2253615"/>
            <wp:effectExtent l="19050" t="0" r="24366"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0.15万元,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20年减少0.27万元，下降64.29</w:t>
      </w:r>
      <w:r>
        <w:rPr>
          <w:rFonts w:ascii="仿宋_GB2312" w:eastAsia="仿宋_GB2312"/>
          <w:sz w:val="32"/>
          <w:szCs w:val="32"/>
        </w:rPr>
        <w:t>%</w:t>
      </w:r>
      <w:r>
        <w:rPr>
          <w:rFonts w:hint="eastAsia" w:ascii="仿宋_GB2312" w:eastAsia="仿宋_GB2312"/>
          <w:sz w:val="32"/>
          <w:szCs w:val="32"/>
        </w:rPr>
        <w:t>。主要原因是公务用车于本年七月调拨给机关事务服务中心。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0.15万元。主要用于残疾人服务等所需的公务用车燃料费、维修费、过路过桥费、保险费等支出。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0.03万元，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0.03</w:t>
      </w:r>
      <w:r>
        <w:rPr>
          <w:rFonts w:hint="eastAsia" w:ascii="仿宋_GB2312" w:eastAsia="仿宋_GB2312"/>
          <w:sz w:val="32"/>
          <w:szCs w:val="32"/>
        </w:rPr>
        <w:t>万元，主要用于</w:t>
      </w:r>
      <w:r>
        <w:rPr>
          <w:rFonts w:hint="eastAsia" w:ascii="仿宋_GB2312" w:eastAsia="仿宋_GB2312"/>
          <w:color w:val="000000"/>
          <w:sz w:val="32"/>
          <w:szCs w:val="32"/>
        </w:rPr>
        <w:t>上级残联到西区调研残疾人民生项目的用餐费</w:t>
      </w:r>
      <w:r>
        <w:rPr>
          <w:rFonts w:hint="eastAsia" w:ascii="仿宋_GB2312" w:eastAsia="仿宋_GB2312"/>
          <w:sz w:val="32"/>
          <w:szCs w:val="32"/>
        </w:rPr>
        <w:t>(执行公务、开展业务活动开支的交通费、住宿费、用餐费等)。国内公务接待1批次，7人次（不包括陪同人员），共计支出0.03万元，具体内容包括：</w:t>
      </w:r>
      <w:r>
        <w:rPr>
          <w:rFonts w:hint="eastAsia" w:ascii="仿宋_GB2312" w:eastAsia="仿宋_GB2312"/>
          <w:color w:val="000000"/>
          <w:sz w:val="32"/>
          <w:szCs w:val="32"/>
        </w:rPr>
        <w:t>市残副理事长一行7人到西区调研工作，接待费用总计345元</w:t>
      </w:r>
      <w:r>
        <w:rPr>
          <w:rFonts w:hint="eastAsia" w:ascii="仿宋_GB2312" w:eastAsia="仿宋_GB2312"/>
          <w:sz w:val="32"/>
          <w:szCs w:val="32"/>
        </w:rPr>
        <w:t>（接待具体项目、金额）。</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r>
        <w:rPr>
          <w:rFonts w:hint="eastAsia" w:ascii="仿宋_GB2312" w:eastAsia="仿宋_GB2312"/>
          <w:sz w:val="32"/>
          <w:szCs w:val="32"/>
          <w:lang w:eastAsia="zh-CN"/>
        </w:rPr>
        <w:t>本地单位没有外事接待。</w:t>
      </w:r>
    </w:p>
    <w:p>
      <w:pPr>
        <w:spacing w:line="600" w:lineRule="exact"/>
        <w:ind w:firstLine="640"/>
        <w:outlineLvl w:val="1"/>
        <w:rPr>
          <w:rFonts w:ascii="黑体" w:eastAsia="黑体"/>
          <w:sz w:val="32"/>
          <w:szCs w:val="32"/>
        </w:rPr>
      </w:pPr>
      <w:bookmarkStart w:id="44" w:name="_Toc15396610"/>
      <w:bookmarkStart w:id="45" w:name="_Toc15377218"/>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21年政府性基金预算财政拨款支出15.8万元。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7"/>
          <w:rFonts w:ascii="黑体" w:hAnsi="黑体" w:eastAsia="黑体"/>
          <w:b w:val="0"/>
        </w:rPr>
      </w:pPr>
      <w:bookmarkStart w:id="46" w:name="_Toc15377219"/>
      <w:bookmarkStart w:id="47" w:name="_Toc15396611"/>
      <w:r>
        <w:rPr>
          <w:rStyle w:val="27"/>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7"/>
          <w:rFonts w:ascii="黑体" w:hAnsi="黑体" w:eastAsia="黑体"/>
          <w:b w:val="0"/>
        </w:rPr>
      </w:pPr>
      <w:bookmarkStart w:id="48" w:name="_Toc15396612"/>
      <w:bookmarkStart w:id="49" w:name="_Toc15377221"/>
      <w:r>
        <w:rPr>
          <w:rStyle w:val="27"/>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西区残联</w:t>
      </w:r>
      <w:r>
        <w:rPr>
          <w:rFonts w:hint="eastAsia" w:ascii="仿宋_GB2312" w:eastAsia="仿宋_GB2312"/>
          <w:sz w:val="32"/>
          <w:szCs w:val="32"/>
        </w:rPr>
        <w:t>机关运行经费支出4.75万元，比</w:t>
      </w:r>
      <w:r>
        <w:rPr>
          <w:rFonts w:ascii="仿宋_GB2312" w:eastAsia="仿宋_GB2312"/>
          <w:sz w:val="32"/>
          <w:szCs w:val="32"/>
        </w:rPr>
        <w:t>20</w:t>
      </w:r>
      <w:r>
        <w:rPr>
          <w:rFonts w:hint="eastAsia" w:ascii="仿宋_GB2312" w:eastAsia="仿宋_GB2312"/>
          <w:sz w:val="32"/>
          <w:szCs w:val="32"/>
        </w:rPr>
        <w:t>20年增加1.63万元，增长52.24</w:t>
      </w:r>
      <w:r>
        <w:rPr>
          <w:rFonts w:ascii="仿宋_GB2312" w:eastAsia="仿宋_GB2312"/>
          <w:sz w:val="32"/>
          <w:szCs w:val="32"/>
        </w:rPr>
        <w:t>%</w:t>
      </w:r>
      <w:r>
        <w:rPr>
          <w:rFonts w:hint="eastAsia" w:ascii="仿宋_GB2312" w:eastAsia="仿宋_GB2312"/>
          <w:sz w:val="32"/>
          <w:szCs w:val="32"/>
        </w:rPr>
        <w:t>。主要原因是办公费与其他交通费用增加。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21年，西区残联政府采购支出总额0万元，其中：政府采购货物支出0万元、政府采购工程支出0万元、政府采购服务支出0万元。授予中小企业合同金额0万元，占政府采购支出总额的0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日，西区残联共有车辆0辆，其中：主要领导干部用车0辆、机要通信用车0辆、应急保障用车0辆、其他用车0辆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根据预算绩效管理要求，本部门在2021年度预算编制阶段，组织对残疾人康复项目等3个项目开展了预算事前绩效评估，对3个项目编制了绩效目标，预算执行过程中，选取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个项目开展了绩效自评。同时，本部门对2021年部门整体开展绩效自评，《2021年西区残联整体绩效评价报告》见附件（第四部分）。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26"/>
          <w:rFonts w:hint="eastAsia" w:ascii="黑体" w:hAnsi="黑体" w:eastAsia="黑体"/>
          <w:b w:val="0"/>
        </w:rPr>
        <w:t>词解释</w:t>
      </w:r>
      <w:bookmarkEnd w:id="53"/>
      <w:bookmarkEnd w:id="54"/>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社会保障和就业（类）2080501行政单位离退休2080505：指退休人员退休费。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.社会保障和就业（类）2080505：指单位实施养老保险制度由单位缴纳的基本养老保险支出。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.社会保障和就业（类）残疾人事业（款）行政运行（项）2081101：指行政单位（包括参公管理的事业单位）人员的基本支出。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.社会保障和就业（类）残疾人事业（款）残疾人康复（项）2081104：指用于残疾人康复服务支出。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.社会保障和就业（类）残疾人事业（款）残疾人就业和扶贫（项）2081105：指用于残疾人就业和扶贫的支出。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.社会保障和就业（类）残疾人事业（款）其他残疾人事业支出（项）2081199：事业单位人员基本支出和用于其他残疾人事业方面的支出。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.医疗卫生与计划生育（类）行政事业单位医疗（款）行政单位医疗（项）2101101：指财政部门安排的行政单位（包括参公管理的事业单位，下同）基本医疗保险经费。未参加医疗保险行政单位的公费医疗经费。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.医疗卫生与计划生育（类）行政事业单位医疗（款）事业单位医疗（项）2101102：指财政部门安排的事业单位基本医疗保险经费。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.医疗卫生与计划生育（类）行政事业单位医疗（款）公务员医疗补助（项）2101103：指财政部门安排的公务员医疗补助经费。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住房保障（类）住房改革支出（款）住房公积金（项）2210201：指反映行政事业单位按人力资源和社会保障部、财政部规定的基本工资和津贴补贴以及规定比例为职工缴纳的住房公积金。</w:t>
      </w:r>
    </w:p>
    <w:p>
      <w:pPr>
        <w:ind w:firstLine="640" w:firstLineChars="200"/>
        <w:rPr>
          <w:rFonts w:ascii="仿宋_GB2312" w:eastAsia="仿宋_GB2312" w:cs="黑体"/>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s="黑体"/>
          <w:sz w:val="32"/>
          <w:szCs w:val="32"/>
        </w:rPr>
        <w:t>其他支出（类）彩票公益金安排的支出（款）用于社会福利的彩票公益金支出（项）2296002用于儿童康复救助。</w:t>
      </w:r>
    </w:p>
    <w:p>
      <w:pPr>
        <w:ind w:firstLine="640" w:firstLineChars="200"/>
        <w:rPr>
          <w:rFonts w:ascii="仿宋_GB2312" w:eastAsia="仿宋_GB2312" w:cs="黑体"/>
          <w:sz w:val="32"/>
          <w:szCs w:val="32"/>
        </w:rPr>
      </w:pPr>
      <w:r>
        <w:rPr>
          <w:rFonts w:hint="eastAsia" w:ascii="仿宋_GB2312" w:eastAsia="仿宋_GB2312" w:cs="黑体"/>
          <w:sz w:val="32"/>
          <w:szCs w:val="32"/>
          <w:lang w:val="en-US" w:eastAsia="zh-CN"/>
        </w:rPr>
        <w:t>19</w:t>
      </w:r>
      <w:r>
        <w:rPr>
          <w:rFonts w:hint="eastAsia" w:ascii="仿宋_GB2312" w:eastAsia="仿宋_GB2312" w:cs="黑体"/>
          <w:sz w:val="32"/>
          <w:szCs w:val="32"/>
        </w:rPr>
        <w:t>.其他支出（类）彩票公益金安排的支出（款）用于残疾人事业的彩票公益金支出（项）2296006用于残疾人康复救助。</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6"/>
          <w:rFonts w:hint="eastAsia" w:ascii="黑体" w:hAnsi="黑体" w:eastAsia="黑体"/>
          <w:b w:val="0"/>
        </w:rPr>
        <w:t>四部分 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Theme="majorEastAsia" w:hAnsiTheme="majorEastAsia" w:eastAsiaTheme="majorEastAsia"/>
          <w:kern w:val="0"/>
          <w:sz w:val="40"/>
          <w:szCs w:val="44"/>
          <w:lang w:val="zh-CN"/>
        </w:rPr>
      </w:pPr>
      <w:r>
        <w:rPr>
          <w:rFonts w:hint="eastAsia" w:asciiTheme="majorEastAsia" w:hAnsiTheme="majorEastAsia" w:eastAsiaTheme="majorEastAsia"/>
          <w:kern w:val="0"/>
          <w:sz w:val="40"/>
          <w:szCs w:val="44"/>
        </w:rPr>
        <w:t>2021年西区残联部门整体绩效评价报告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pacing w:line="580" w:lineRule="exact"/>
        <w:ind w:firstLine="640" w:firstLineChars="200"/>
        <w:rPr>
          <w:rFonts w:ascii="仿宋" w:hAnsi="仿宋" w:eastAsia="仿宋"/>
          <w:lang w:val="zh-CN"/>
        </w:rPr>
      </w:pPr>
      <w:r>
        <w:rPr>
          <w:rFonts w:hint="eastAsia" w:ascii="仿宋" w:hAnsi="仿宋" w:eastAsia="仿宋"/>
          <w:sz w:val="32"/>
          <w:szCs w:val="32"/>
        </w:rPr>
        <w:t>西区残联为参公管理事业单位，无内设机构，无下属单位。</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2"/>
        <w:spacing w:before="93"/>
        <w:ind w:firstLine="320" w:firstLineChars="100"/>
        <w:rPr>
          <w:rFonts w:ascii="仿宋" w:hAnsi="仿宋" w:eastAsia="仿宋"/>
          <w:lang w:val="zh-CN"/>
        </w:rPr>
      </w:pPr>
      <w:r>
        <w:rPr>
          <w:rFonts w:hint="eastAsia" w:ascii="仿宋" w:hAnsi="仿宋" w:eastAsia="仿宋"/>
          <w:sz w:val="32"/>
          <w:szCs w:val="32"/>
        </w:rPr>
        <w:t>（1）听取残疾人意见，反映残疾人要求，维护残疾人的合法权益，为残疾人服务。（</w:t>
      </w:r>
      <w:r>
        <w:rPr>
          <w:rFonts w:ascii="仿宋" w:hAnsi="仿宋" w:eastAsia="仿宋"/>
          <w:sz w:val="32"/>
          <w:szCs w:val="32"/>
        </w:rPr>
        <w:t>2</w:t>
      </w:r>
      <w:r>
        <w:rPr>
          <w:rFonts w:hint="eastAsia" w:ascii="仿宋" w:hAnsi="仿宋" w:eastAsia="仿宋"/>
          <w:sz w:val="32"/>
          <w:szCs w:val="32"/>
        </w:rPr>
        <w:t>）教育残疾人遵纪守法，履行应尽的义务，发扬乐观进取的精神，自尊、自信、自强、自立，为社会主义贡献力量。(</w:t>
      </w:r>
      <w:r>
        <w:rPr>
          <w:rFonts w:ascii="仿宋" w:hAnsi="仿宋" w:eastAsia="仿宋"/>
          <w:sz w:val="32"/>
          <w:szCs w:val="32"/>
        </w:rPr>
        <w:t>3</w:t>
      </w:r>
      <w:r>
        <w:rPr>
          <w:rFonts w:hint="eastAsia" w:ascii="仿宋" w:hAnsi="仿宋" w:eastAsia="仿宋"/>
          <w:sz w:val="32"/>
          <w:szCs w:val="32"/>
        </w:rPr>
        <w:t>)弘扬人道主义，宣传残疾人事业，沟通政府、社会与残疾人之间的联系，动员全社会理解、尊重、关心、帮助残疾人。(</w:t>
      </w:r>
      <w:r>
        <w:rPr>
          <w:rFonts w:ascii="仿宋" w:hAnsi="仿宋" w:eastAsia="仿宋"/>
          <w:sz w:val="32"/>
          <w:szCs w:val="32"/>
        </w:rPr>
        <w:t>4</w:t>
      </w:r>
      <w:r>
        <w:rPr>
          <w:rFonts w:hint="eastAsia" w:ascii="仿宋" w:hAnsi="仿宋" w:eastAsia="仿宋"/>
          <w:sz w:val="32"/>
          <w:szCs w:val="32"/>
        </w:rPr>
        <w:t>)开展残疾人康复、扶贫、劳动就业、职业培训、文化体育、福利、服务、无障碍设施和残疾预防工作，创造良好的社会环境和条件，扶助残疾人平等参与社会生活。(</w:t>
      </w:r>
      <w:r>
        <w:rPr>
          <w:rFonts w:ascii="仿宋" w:hAnsi="仿宋" w:eastAsia="仿宋"/>
          <w:sz w:val="32"/>
          <w:szCs w:val="32"/>
        </w:rPr>
        <w:t>5</w:t>
      </w:r>
      <w:r>
        <w:rPr>
          <w:rFonts w:hint="eastAsia" w:ascii="仿宋" w:hAnsi="仿宋" w:eastAsia="仿宋"/>
          <w:sz w:val="32"/>
          <w:szCs w:val="32"/>
        </w:rPr>
        <w:t>)协助政府研究、制定和实施残疾人政策、规划和计划；调查、掌握残疾人状况，向政府提出决策建议，并组织实施。(</w:t>
      </w:r>
      <w:r>
        <w:rPr>
          <w:rFonts w:ascii="仿宋" w:hAnsi="仿宋" w:eastAsia="仿宋"/>
          <w:sz w:val="32"/>
          <w:szCs w:val="32"/>
        </w:rPr>
        <w:t>6</w:t>
      </w:r>
      <w:r>
        <w:rPr>
          <w:rFonts w:hint="eastAsia" w:ascii="仿宋" w:hAnsi="仿宋" w:eastAsia="仿宋"/>
          <w:sz w:val="32"/>
          <w:szCs w:val="32"/>
        </w:rPr>
        <w:t>)负责培训街办（镇）及企、事业单位残联组织负责人。(</w:t>
      </w:r>
      <w:r>
        <w:rPr>
          <w:rFonts w:ascii="仿宋" w:hAnsi="仿宋" w:eastAsia="仿宋"/>
          <w:sz w:val="32"/>
          <w:szCs w:val="32"/>
        </w:rPr>
        <w:t>7</w:t>
      </w:r>
      <w:r>
        <w:rPr>
          <w:rFonts w:hint="eastAsia" w:ascii="仿宋" w:hAnsi="仿宋" w:eastAsia="仿宋"/>
          <w:sz w:val="32"/>
          <w:szCs w:val="32"/>
        </w:rPr>
        <w:t>)承担区政府残疾人工作协调委员会的日常工作，履行综合、组织、协调和服务的职责。(</w:t>
      </w:r>
      <w:r>
        <w:rPr>
          <w:rFonts w:ascii="仿宋" w:hAnsi="仿宋" w:eastAsia="仿宋"/>
          <w:sz w:val="32"/>
          <w:szCs w:val="32"/>
        </w:rPr>
        <w:t>8</w:t>
      </w:r>
      <w:r>
        <w:rPr>
          <w:rFonts w:hint="eastAsia" w:ascii="仿宋" w:hAnsi="仿宋" w:eastAsia="仿宋"/>
          <w:sz w:val="32"/>
          <w:szCs w:val="32"/>
        </w:rPr>
        <w:t>)全面组织实施按比例安置残疾人就业，负责收取、管理和使用残疾人就业保障金工作，会同有关部门制定并监督实施残疾人社会福利生产的扶持保护政策。(</w:t>
      </w:r>
      <w:r>
        <w:rPr>
          <w:rFonts w:ascii="仿宋" w:hAnsi="仿宋" w:eastAsia="仿宋"/>
          <w:sz w:val="32"/>
          <w:szCs w:val="32"/>
        </w:rPr>
        <w:t>9</w:t>
      </w:r>
      <w:r>
        <w:rPr>
          <w:rFonts w:hint="eastAsia" w:ascii="仿宋" w:hAnsi="仿宋" w:eastAsia="仿宋"/>
          <w:sz w:val="32"/>
          <w:szCs w:val="32"/>
        </w:rPr>
        <w:t>)统筹开展为残疾人事业的捐赠活动。(</w:t>
      </w:r>
      <w:r>
        <w:rPr>
          <w:rFonts w:ascii="仿宋" w:hAnsi="仿宋" w:eastAsia="仿宋"/>
          <w:sz w:val="32"/>
          <w:szCs w:val="32"/>
        </w:rPr>
        <w:t>10</w:t>
      </w:r>
      <w:r>
        <w:rPr>
          <w:rFonts w:hint="eastAsia" w:ascii="仿宋" w:hAnsi="仿宋" w:eastAsia="仿宋"/>
          <w:sz w:val="32"/>
          <w:szCs w:val="32"/>
        </w:rPr>
        <w:t>)开展残疾人对外交流与合作事业。(</w:t>
      </w:r>
      <w:r>
        <w:rPr>
          <w:rFonts w:ascii="仿宋" w:hAnsi="仿宋" w:eastAsia="仿宋"/>
          <w:sz w:val="32"/>
          <w:szCs w:val="32"/>
        </w:rPr>
        <w:t>11</w:t>
      </w:r>
      <w:r>
        <w:rPr>
          <w:rFonts w:hint="eastAsia" w:ascii="仿宋" w:hAnsi="仿宋" w:eastAsia="仿宋"/>
          <w:sz w:val="32"/>
          <w:szCs w:val="32"/>
        </w:rPr>
        <w:t>)指导和管理各类残疾人社团组织。(</w:t>
      </w:r>
      <w:r>
        <w:rPr>
          <w:rFonts w:ascii="仿宋" w:hAnsi="仿宋" w:eastAsia="仿宋"/>
          <w:sz w:val="32"/>
          <w:szCs w:val="32"/>
        </w:rPr>
        <w:t>12</w:t>
      </w:r>
      <w:r>
        <w:rPr>
          <w:rFonts w:hint="eastAsia" w:ascii="仿宋" w:hAnsi="仿宋" w:eastAsia="仿宋"/>
          <w:sz w:val="32"/>
          <w:szCs w:val="32"/>
        </w:rPr>
        <w:t>)核发辖区残疾人的《残疾人证》。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line="580" w:lineRule="exact"/>
        <w:ind w:firstLine="640" w:firstLineChars="200"/>
        <w:rPr>
          <w:lang w:val="zh-CN"/>
        </w:rPr>
      </w:pPr>
      <w:r>
        <w:rPr>
          <w:rFonts w:hint="eastAsia" w:ascii="仿宋" w:hAnsi="仿宋" w:eastAsia="仿宋"/>
          <w:sz w:val="32"/>
          <w:szCs w:val="32"/>
        </w:rPr>
        <w:t>参公管理人员编制 2 人，实有 2 人。使用区人才交流中心事业编制1人，实有1人。退休人员 1  人。编内聘用人员编制 1  人，实有 1 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580" w:lineRule="exact"/>
        <w:ind w:firstLine="640" w:firstLineChars="200"/>
        <w:rPr>
          <w:lang w:val="zh-CN"/>
        </w:rPr>
      </w:pPr>
      <w:r>
        <w:rPr>
          <w:rFonts w:hint="eastAsia" w:ascii="仿宋" w:hAnsi="仿宋" w:eastAsia="仿宋" w:cs="仿宋_GB2312"/>
          <w:sz w:val="32"/>
          <w:szCs w:val="32"/>
        </w:rPr>
        <w:t>2021年一般公共预算财政拨款收入207.05万元，上年结转42.42万元。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lang w:val="zh-CN"/>
        </w:rPr>
      </w:pPr>
      <w:r>
        <w:rPr>
          <w:rFonts w:hint="eastAsia" w:ascii="仿宋" w:hAnsi="仿宋" w:eastAsia="仿宋" w:cs="仿宋_GB2312"/>
          <w:sz w:val="32"/>
          <w:szCs w:val="32"/>
        </w:rPr>
        <w:t>2021年支出249.47万元，其中基本支出58.52万元，项目支出190.96万元。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bookmarkStart w:id="71" w:name="_GoBack"/>
      <w:bookmarkEnd w:id="71"/>
    </w:p>
    <w:p>
      <w:pPr>
        <w:autoSpaceDE w:val="0"/>
        <w:autoSpaceDN w:val="0"/>
        <w:adjustRightInd w:val="0"/>
        <w:ind w:firstLine="640" w:firstLineChars="200"/>
        <w:rPr>
          <w:lang w:val="zh-CN"/>
        </w:rPr>
      </w:pPr>
      <w:r>
        <w:rPr>
          <w:rFonts w:hint="eastAsia" w:ascii="仿宋" w:hAnsi="仿宋" w:eastAsia="仿宋"/>
          <w:sz w:val="32"/>
          <w:szCs w:val="32"/>
        </w:rPr>
        <w:t>西区残联严格以习近平新时代中国特色社会主义思想为指导，全面贯彻落实区委、区政府各项决策部署，根据《预算法》及《关于编制2021年区级部门预算的通知》、《2021年区级部门预算编制方法和口径》的有关规定，结合本部门实际财务收支状况编制预算。遵循依法理财、真实可靠、完整统一、收支平衡的原则，严格执行增收节支、理性节约的各项规定，坚持量力而行、统筹兼顾，严格控制一般性支出。按照项目完成情况支付项目经费，随时对支出控制，预算动态调整，执行进度，预算完成情况进行监督和报告给领导，无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lang w:val="zh-CN"/>
        </w:rPr>
      </w:pPr>
      <w:r>
        <w:rPr>
          <w:rFonts w:hint="eastAsia" w:ascii="仿宋" w:hAnsi="仿宋" w:eastAsia="仿宋" w:cs="宋体"/>
          <w:color w:val="000000"/>
          <w:kern w:val="0"/>
          <w:sz w:val="32"/>
          <w:szCs w:val="32"/>
          <w:shd w:val="clear" w:color="auto" w:fill="FFFFFF"/>
          <w:lang w:val="zh-CN"/>
        </w:rPr>
        <w:t>西区残联进行了质量自评、绩效目标公开和自评公开、评价结果满意，继续在以后年度执行。</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2"/>
        <w:spacing w:before="93"/>
        <w:rPr>
          <w:rFonts w:ascii="仿宋" w:hAnsi="仿宋" w:eastAsia="仿宋"/>
          <w:sz w:val="32"/>
          <w:szCs w:val="32"/>
          <w:lang w:val="zh-CN"/>
        </w:rPr>
      </w:pPr>
      <w:r>
        <w:rPr>
          <w:rFonts w:hint="eastAsia"/>
          <w:lang w:val="zh-CN"/>
        </w:rPr>
        <w:t xml:space="preserve">    </w:t>
      </w:r>
      <w:r>
        <w:rPr>
          <w:rFonts w:hint="eastAsia" w:ascii="仿宋" w:hAnsi="仿宋" w:eastAsia="仿宋"/>
          <w:sz w:val="32"/>
          <w:szCs w:val="32"/>
          <w:lang w:val="zh-CN"/>
        </w:rPr>
        <w:t>西区残联完成了2021年所有残疾人工作，为残疾人提供了康复服务，为人人享有康复服务的目标迈进，通过救助等服务提升了残疾人的生活质量，改善了残疾人的生活状况。</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包括评价部门整体支出自评准确情况。</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spacing w:before="93"/>
        <w:ind w:firstLine="480" w:firstLineChars="150"/>
        <w:rPr>
          <w:lang w:val="zh-CN"/>
        </w:rPr>
      </w:pPr>
      <w:r>
        <w:rPr>
          <w:rFonts w:hint="eastAsia" w:ascii="仿宋" w:hAnsi="仿宋" w:eastAsia="仿宋" w:cs="仿宋_GB2312"/>
          <w:sz w:val="32"/>
          <w:szCs w:val="32"/>
        </w:rPr>
        <w:t>西区残联整体运行良好，保证了本辖区残疾人事业的顺利开展，完成了本年度的各项目标任务。</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spacing w:line="580" w:lineRule="exact"/>
        <w:ind w:firstLine="640" w:firstLineChars="200"/>
        <w:rPr>
          <w:lang w:val="zh-CN"/>
        </w:rPr>
      </w:pPr>
      <w:r>
        <w:rPr>
          <w:rFonts w:hint="eastAsia" w:ascii="仿宋" w:hAnsi="仿宋" w:eastAsia="仿宋" w:cs="宋体"/>
          <w:color w:val="000000"/>
          <w:kern w:val="0"/>
          <w:sz w:val="32"/>
          <w:szCs w:val="32"/>
          <w:shd w:val="clear" w:color="auto" w:fill="FFFFFF"/>
          <w:lang w:val="zh-CN"/>
        </w:rPr>
        <w:t>一是</w:t>
      </w:r>
      <w:r>
        <w:rPr>
          <w:rFonts w:hint="eastAsia" w:ascii="仿宋" w:hAnsi="仿宋" w:eastAsia="仿宋" w:cs="仿宋_GB2312"/>
          <w:sz w:val="32"/>
          <w:szCs w:val="32"/>
        </w:rPr>
        <w:t>年初项目的不确定性，使预算与实际项目的需求有一定的偏差；二是上级资金到位较晚，部分项目到年底的时候还没有完成验收，致使资金支付延后跨年度。</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仿宋_GB2312"/>
          <w:sz w:val="32"/>
          <w:szCs w:val="32"/>
        </w:rPr>
        <w:t>多与上级沟通，准确预判项目，使预算更合理准确。</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cs="方正小标宋简体" w:asciiTheme="majorEastAsia" w:hAnsiTheme="majorEastAsia" w:eastAsiaTheme="majorEastAsia"/>
          <w:sz w:val="40"/>
          <w:szCs w:val="40"/>
          <w:lang w:val="zh-CN"/>
        </w:rPr>
      </w:pPr>
      <w:r>
        <w:rPr>
          <w:rFonts w:hint="eastAsia" w:cs="方正小标宋简体" w:asciiTheme="majorEastAsia" w:hAnsiTheme="majorEastAsia" w:eastAsiaTheme="majorEastAsia"/>
          <w:sz w:val="40"/>
          <w:szCs w:val="40"/>
        </w:rPr>
        <w:t>2021年</w:t>
      </w:r>
      <w:r>
        <w:rPr>
          <w:rFonts w:hint="eastAsia" w:cs="方正小标宋简体" w:asciiTheme="majorEastAsia" w:hAnsiTheme="majorEastAsia" w:eastAsiaTheme="majorEastAsia"/>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spacing w:line="353" w:lineRule="auto"/>
        <w:ind w:firstLine="640" w:firstLineChars="200"/>
        <w:rPr>
          <w:lang w:val="zh-CN"/>
        </w:rPr>
      </w:pPr>
      <w:r>
        <w:rPr>
          <w:rFonts w:ascii="仿宋" w:hAnsi="仿宋" w:eastAsia="仿宋"/>
          <w:sz w:val="32"/>
          <w:szCs w:val="32"/>
        </w:rPr>
        <w:t>西区残联职能职责：听取残疾人意见，反映残疾人要求，维护残疾人的合法权益，为残疾人服务，开展残疾人康复、扶贫、劳动就业、职业培训、文化体育、服务、无障碍设施和残疾预防工作，创造良好的社会环境和条件，扶助残疾人平等参与社会生活。承担区政府残疾人工作协调委员会的日常工作，履行综合、组织、协调和服务的职责;核发辖区残疾人的《残疾人证》;承办区委、区政府和市残联交办的其他事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spacing w:before="93"/>
        <w:ind w:firstLine="640" w:firstLineChars="200"/>
        <w:rPr>
          <w:rFonts w:ascii="仿宋" w:hAnsi="仿宋" w:eastAsia="仿宋"/>
          <w:sz w:val="32"/>
          <w:szCs w:val="32"/>
          <w:lang w:val="zh-CN"/>
        </w:rPr>
      </w:pPr>
      <w:r>
        <w:rPr>
          <w:rFonts w:hint="eastAsia" w:ascii="仿宋" w:hAnsi="仿宋" w:eastAsia="仿宋"/>
          <w:sz w:val="32"/>
          <w:szCs w:val="32"/>
          <w:lang w:val="zh-CN"/>
        </w:rPr>
        <w:t>根据市残联上一年度的工作安排，延续下一年度的工作。</w:t>
      </w:r>
    </w:p>
    <w:p>
      <w:pPr>
        <w:pStyle w:val="2"/>
        <w:spacing w:before="93"/>
        <w:ind w:firstLine="640" w:firstLineChars="200"/>
        <w:rPr>
          <w:rFonts w:hint="eastAsia" w:ascii="仿宋" w:hAnsi="仿宋" w:eastAsia="仿宋"/>
          <w:sz w:val="32"/>
          <w:szCs w:val="32"/>
          <w:lang w:val="zh-CN"/>
        </w:rPr>
      </w:pPr>
      <w:r>
        <w:rPr>
          <w:rFonts w:hint="eastAsia" w:ascii="仿宋" w:hAnsi="仿宋" w:eastAsia="仿宋"/>
          <w:sz w:val="32"/>
          <w:szCs w:val="32"/>
          <w:lang w:val="zh-CN"/>
        </w:rPr>
        <w:t>关于印发《2020年全市残疾人重点工作目标任务》的通知（攀残联〔2020〕12 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pStyle w:val="2"/>
        <w:spacing w:before="93"/>
        <w:rPr>
          <w:rFonts w:ascii="仿宋" w:hAnsi="仿宋" w:eastAsia="仿宋"/>
          <w:lang w:val="zh-CN"/>
        </w:rPr>
      </w:pPr>
      <w:r>
        <w:rPr>
          <w:rFonts w:hint="eastAsia"/>
          <w:lang w:val="zh-CN"/>
        </w:rPr>
        <w:t xml:space="preserve">   </w:t>
      </w:r>
      <w:r>
        <w:rPr>
          <w:rFonts w:hint="eastAsia" w:ascii="仿宋" w:hAnsi="仿宋" w:eastAsia="仿宋"/>
          <w:lang w:val="zh-CN"/>
        </w:rPr>
        <w:t xml:space="preserve">  制定了西区残联资金管理办法，根据上级残联对每个项目的实施标准范围来确定实施。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spacing w:before="93"/>
        <w:rPr>
          <w:rFonts w:ascii="仿宋" w:hAnsi="仿宋" w:eastAsia="仿宋"/>
          <w:lang w:val="zh-CN"/>
        </w:rPr>
      </w:pPr>
      <w:r>
        <w:rPr>
          <w:rFonts w:hint="eastAsia"/>
          <w:lang w:val="zh-CN"/>
        </w:rPr>
        <w:t xml:space="preserve">    </w:t>
      </w:r>
      <w:r>
        <w:rPr>
          <w:rFonts w:hint="eastAsia" w:ascii="仿宋" w:hAnsi="仿宋" w:eastAsia="仿宋"/>
          <w:lang w:val="zh-CN"/>
        </w:rPr>
        <w:t>执行上级残联制定的资金分配原则。</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pStyle w:val="2"/>
        <w:spacing w:before="93"/>
        <w:rPr>
          <w:rFonts w:ascii="仿宋" w:hAnsi="仿宋" w:eastAsia="仿宋"/>
          <w:lang w:val="zh-CN"/>
        </w:rPr>
      </w:pPr>
      <w:r>
        <w:rPr>
          <w:rFonts w:hint="eastAsia"/>
          <w:lang w:val="zh-CN"/>
        </w:rPr>
        <w:t xml:space="preserve">    </w:t>
      </w:r>
      <w:r>
        <w:rPr>
          <w:rFonts w:hint="eastAsia" w:ascii="仿宋" w:hAnsi="仿宋" w:eastAsia="仿宋"/>
          <w:lang w:val="zh-CN"/>
        </w:rPr>
        <w:t>对辖区残疾人进行量体裁衣式帮扶服务，主要对残疾人提供康复服务，残疾人救助服务等。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pStyle w:val="2"/>
        <w:spacing w:before="93"/>
        <w:ind w:firstLine="640" w:firstLineChars="200"/>
        <w:rPr>
          <w:rFonts w:ascii="仿宋" w:hAnsi="仿宋" w:eastAsia="仿宋"/>
          <w:sz w:val="32"/>
          <w:szCs w:val="32"/>
          <w:lang w:val="zh-CN"/>
        </w:rPr>
      </w:pPr>
      <w:r>
        <w:rPr>
          <w:rFonts w:hint="eastAsia" w:ascii="仿宋" w:hAnsi="仿宋" w:eastAsia="仿宋" w:cs="宋体"/>
          <w:sz w:val="32"/>
          <w:szCs w:val="32"/>
        </w:rPr>
        <w:t>对辖区持证残疾人开展量体裁衣式服务工作，为残疾人提供康复、救助等服务。主要包括：通过购买服务的方式为13名儿童进行免费康复服务；为残疾人适配基本辅具280人，；为50户贫困残疾人家庭实施无障碍改造；为100名残疾人实施实用技术培训；扶持农村残疾人发展生产及居家灵活就业补贴120人；为100人贫困精神、智力及重度残疾人实施居家托养服务；为残疾人购买居民医保实施补贴</w:t>
      </w:r>
      <w:r>
        <w:rPr>
          <w:rFonts w:ascii="仿宋" w:hAnsi="仿宋" w:eastAsia="仿宋" w:cs="宋体"/>
          <w:sz w:val="32"/>
          <w:szCs w:val="32"/>
        </w:rPr>
        <w:t>1188</w:t>
      </w:r>
      <w:r>
        <w:rPr>
          <w:rFonts w:hint="eastAsia" w:ascii="仿宋" w:hAnsi="仿宋" w:eastAsia="仿宋" w:cs="宋体"/>
          <w:sz w:val="32"/>
          <w:szCs w:val="32"/>
        </w:rPr>
        <w:t>人；开展温暖万家行走访慰问400人等。每个项目实施前都开展了分析研究，入户调研形成实施方案，按照计划分阶段实施。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pStyle w:val="2"/>
        <w:spacing w:before="93"/>
        <w:rPr>
          <w:rFonts w:ascii="仿宋" w:hAnsi="仿宋" w:eastAsia="仿宋"/>
          <w:sz w:val="32"/>
          <w:szCs w:val="32"/>
          <w:lang w:val="zh-CN"/>
        </w:rPr>
      </w:pPr>
      <w:r>
        <w:rPr>
          <w:rFonts w:hint="eastAsia"/>
          <w:lang w:val="zh-CN"/>
        </w:rPr>
        <w:t xml:space="preserve">   </w:t>
      </w:r>
      <w:r>
        <w:rPr>
          <w:rFonts w:hint="eastAsia" w:ascii="仿宋" w:hAnsi="仿宋" w:eastAsia="仿宋"/>
          <w:sz w:val="32"/>
          <w:szCs w:val="32"/>
          <w:lang w:val="zh-CN"/>
        </w:rPr>
        <w:t xml:space="preserve"> 申报内容与实际相符，申报目标合理可行，帮助残疾人解决了实际困难。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960" w:firstLineChars="300"/>
        <w:rPr>
          <w:rFonts w:ascii="仿宋" w:hAnsi="仿宋" w:eastAsia="仿宋"/>
          <w:sz w:val="32"/>
          <w:szCs w:val="32"/>
          <w:lang w:val="zh-CN"/>
        </w:rPr>
      </w:pPr>
      <w:r>
        <w:rPr>
          <w:rFonts w:hint="eastAsia" w:ascii="仿宋" w:hAnsi="仿宋" w:eastAsia="仿宋"/>
          <w:sz w:val="32"/>
          <w:szCs w:val="32"/>
          <w:lang w:val="zh-CN"/>
        </w:rPr>
        <w:t>1</w:t>
      </w:r>
      <w:r>
        <w:rPr>
          <w:rFonts w:ascii="仿宋" w:hAnsi="仿宋" w:eastAsia="仿宋"/>
          <w:sz w:val="32"/>
          <w:szCs w:val="32"/>
          <w:lang w:val="zh-CN"/>
        </w:rPr>
        <w:t>.</w:t>
      </w:r>
      <w:r>
        <w:rPr>
          <w:rFonts w:hint="eastAsia" w:ascii="仿宋" w:hAnsi="仿宋" w:eastAsia="仿宋"/>
          <w:sz w:val="32"/>
          <w:szCs w:val="32"/>
          <w:lang w:val="zh-CN"/>
        </w:rPr>
        <w:t>由项目具体负责人阐述项目实施的完成情况；</w:t>
      </w:r>
    </w:p>
    <w:p>
      <w:pPr>
        <w:pStyle w:val="2"/>
        <w:spacing w:before="93"/>
        <w:rPr>
          <w:rFonts w:ascii="仿宋" w:hAnsi="仿宋" w:eastAsia="仿宋"/>
          <w:sz w:val="32"/>
          <w:szCs w:val="32"/>
          <w:lang w:val="zh-CN"/>
        </w:rPr>
      </w:pPr>
      <w:r>
        <w:rPr>
          <w:rFonts w:hint="eastAsia" w:ascii="仿宋" w:hAnsi="仿宋" w:eastAsia="仿宋"/>
          <w:sz w:val="32"/>
          <w:szCs w:val="32"/>
          <w:lang w:val="zh-CN"/>
        </w:rPr>
        <w:t xml:space="preserve"> </w:t>
      </w:r>
      <w:r>
        <w:rPr>
          <w:rFonts w:ascii="仿宋" w:hAnsi="仿宋" w:eastAsia="仿宋"/>
          <w:sz w:val="32"/>
          <w:szCs w:val="32"/>
          <w:lang w:val="zh-CN"/>
        </w:rPr>
        <w:t xml:space="preserve">     2.</w:t>
      </w:r>
      <w:r>
        <w:rPr>
          <w:rFonts w:hint="eastAsia" w:ascii="仿宋" w:hAnsi="仿宋" w:eastAsia="仿宋"/>
          <w:sz w:val="32"/>
          <w:szCs w:val="32"/>
          <w:lang w:val="zh-CN"/>
        </w:rPr>
        <w:t>由项目具体负责人组织验收评估；</w:t>
      </w:r>
    </w:p>
    <w:p>
      <w:pPr>
        <w:pStyle w:val="2"/>
        <w:spacing w:before="93"/>
        <w:rPr>
          <w:rFonts w:ascii="仿宋" w:hAnsi="仿宋" w:eastAsia="仿宋"/>
          <w:sz w:val="32"/>
          <w:szCs w:val="32"/>
          <w:lang w:val="zh-CN"/>
        </w:rPr>
      </w:pPr>
      <w:r>
        <w:rPr>
          <w:rFonts w:hint="eastAsia" w:ascii="仿宋" w:hAnsi="仿宋" w:eastAsia="仿宋"/>
          <w:sz w:val="32"/>
          <w:szCs w:val="32"/>
          <w:lang w:val="zh-CN"/>
        </w:rPr>
        <w:t xml:space="preserve"> </w:t>
      </w:r>
      <w:r>
        <w:rPr>
          <w:rFonts w:ascii="仿宋" w:hAnsi="仿宋" w:eastAsia="仿宋"/>
          <w:sz w:val="32"/>
          <w:szCs w:val="32"/>
          <w:lang w:val="zh-CN"/>
        </w:rPr>
        <w:t xml:space="preserve">     3.</w:t>
      </w:r>
      <w:r>
        <w:rPr>
          <w:rFonts w:hint="eastAsia" w:ascii="仿宋" w:hAnsi="仿宋" w:eastAsia="仿宋"/>
          <w:sz w:val="32"/>
          <w:szCs w:val="32"/>
          <w:lang w:val="zh-CN"/>
        </w:rPr>
        <w:t>由项目具体负责人分析项目实施的目标绩效完成情况；</w:t>
      </w:r>
    </w:p>
    <w:p>
      <w:pPr>
        <w:pStyle w:val="2"/>
        <w:spacing w:before="93"/>
        <w:rPr>
          <w:rFonts w:ascii="仿宋" w:hAnsi="仿宋" w:eastAsia="仿宋"/>
          <w:sz w:val="32"/>
          <w:szCs w:val="32"/>
          <w:lang w:val="zh-CN"/>
        </w:rPr>
      </w:pPr>
      <w:r>
        <w:rPr>
          <w:rFonts w:hint="eastAsia" w:ascii="仿宋" w:hAnsi="仿宋" w:eastAsia="仿宋"/>
          <w:sz w:val="32"/>
          <w:szCs w:val="32"/>
          <w:lang w:val="zh-CN"/>
        </w:rPr>
        <w:t xml:space="preserve"> </w:t>
      </w:r>
      <w:r>
        <w:rPr>
          <w:rFonts w:ascii="仿宋" w:hAnsi="仿宋" w:eastAsia="仿宋"/>
          <w:sz w:val="32"/>
          <w:szCs w:val="32"/>
          <w:lang w:val="zh-CN"/>
        </w:rPr>
        <w:t xml:space="preserve">     4.</w:t>
      </w:r>
      <w:r>
        <w:rPr>
          <w:rFonts w:hint="eastAsia" w:ascii="仿宋" w:hAnsi="仿宋" w:eastAsia="仿宋"/>
          <w:sz w:val="32"/>
          <w:szCs w:val="32"/>
          <w:lang w:val="zh-CN"/>
        </w:rPr>
        <w:t>集体讨论，提出意见建议；</w:t>
      </w:r>
    </w:p>
    <w:p>
      <w:pPr>
        <w:pStyle w:val="2"/>
        <w:spacing w:before="93"/>
        <w:rPr>
          <w:rFonts w:hAnsi="宋体"/>
          <w:sz w:val="32"/>
          <w:szCs w:val="32"/>
          <w:lang w:val="zh-CN"/>
        </w:rPr>
      </w:pPr>
      <w:r>
        <w:rPr>
          <w:rFonts w:hint="eastAsia" w:ascii="仿宋" w:hAnsi="仿宋" w:eastAsia="仿宋"/>
          <w:sz w:val="32"/>
          <w:szCs w:val="32"/>
          <w:lang w:val="zh-CN"/>
        </w:rPr>
        <w:t xml:space="preserve"> </w:t>
      </w:r>
      <w:r>
        <w:rPr>
          <w:rFonts w:ascii="仿宋" w:hAnsi="仿宋" w:eastAsia="仿宋"/>
          <w:sz w:val="32"/>
          <w:szCs w:val="32"/>
          <w:lang w:val="zh-CN"/>
        </w:rPr>
        <w:t xml:space="preserve">     5.</w:t>
      </w:r>
      <w:r>
        <w:rPr>
          <w:rFonts w:hint="eastAsia" w:ascii="仿宋" w:hAnsi="仿宋" w:eastAsia="仿宋"/>
          <w:sz w:val="32"/>
          <w:szCs w:val="32"/>
          <w:lang w:val="zh-CN"/>
        </w:rPr>
        <w:t>由单位负责人总结得出绩效评价结果。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在做年度预算的时候根据上一年度的项目开展情况申报下一年度项目及资金，并提供相关依据，开展事前绩效评估，报财政审核并批复。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pStyle w:val="2"/>
        <w:spacing w:before="93"/>
        <w:rPr>
          <w:rFonts w:ascii="仿宋" w:hAnsi="仿宋" w:eastAsia="仿宋"/>
          <w:sz w:val="32"/>
          <w:szCs w:val="32"/>
          <w:lang w:val="zh-CN"/>
        </w:rPr>
      </w:pPr>
      <w:r>
        <w:rPr>
          <w:rFonts w:hint="eastAsia"/>
          <w:lang w:val="zh-CN"/>
        </w:rPr>
        <w:t xml:space="preserve">   </w:t>
      </w:r>
      <w:r>
        <w:rPr>
          <w:rFonts w:hint="eastAsia" w:ascii="仿宋" w:hAnsi="仿宋" w:eastAsia="仿宋"/>
          <w:sz w:val="32"/>
          <w:szCs w:val="32"/>
          <w:lang w:val="zh-CN"/>
        </w:rPr>
        <w:t xml:space="preserve"> 根据项目实施的内容、标准制定资金计划。</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pStyle w:val="2"/>
        <w:spacing w:before="93"/>
        <w:rPr>
          <w:rFonts w:ascii="仿宋" w:hAnsi="仿宋" w:eastAsia="仿宋"/>
          <w:lang w:val="zh-CN"/>
        </w:rPr>
      </w:pPr>
      <w:r>
        <w:rPr>
          <w:rFonts w:hint="eastAsia"/>
          <w:lang w:val="zh-CN"/>
        </w:rPr>
        <w:t xml:space="preserve">    </w:t>
      </w:r>
      <w:r>
        <w:rPr>
          <w:rFonts w:hint="eastAsia" w:ascii="仿宋" w:hAnsi="仿宋" w:eastAsia="仿宋"/>
          <w:sz w:val="32"/>
          <w:szCs w:val="32"/>
          <w:lang w:val="zh-CN"/>
        </w:rPr>
        <w:t>资金到位情况与资金计划相符，到位及时。</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pStyle w:val="2"/>
        <w:spacing w:before="93"/>
        <w:rPr>
          <w:rFonts w:ascii="仿宋" w:hAnsi="仿宋" w:eastAsia="仿宋"/>
          <w:sz w:val="32"/>
          <w:szCs w:val="32"/>
          <w:lang w:val="zh-CN"/>
        </w:rPr>
      </w:pPr>
      <w:r>
        <w:rPr>
          <w:rFonts w:hint="eastAsia"/>
          <w:lang w:val="zh-CN"/>
        </w:rPr>
        <w:t xml:space="preserve">  </w:t>
      </w:r>
      <w:r>
        <w:rPr>
          <w:rFonts w:hint="eastAsia" w:ascii="仿宋" w:hAnsi="仿宋" w:eastAsia="仿宋"/>
          <w:sz w:val="32"/>
          <w:szCs w:val="32"/>
          <w:lang w:val="zh-CN"/>
        </w:rPr>
        <w:t xml:space="preserve"> 资金支付规范，支付标准、支付进度、支付依据均合规合法，与预算相符。</w:t>
      </w:r>
    </w:p>
    <w:p>
      <w:pPr>
        <w:pStyle w:val="2"/>
        <w:spacing w:before="93"/>
        <w:ind w:firstLine="1200" w:firstLineChars="400"/>
        <w:rPr>
          <w:lang w:val="zh-CN"/>
        </w:rPr>
      </w:pPr>
      <w:r>
        <w:rPr>
          <w:rFonts w:hint="eastAsia"/>
          <w:lang w:val="zh-CN"/>
        </w:rPr>
        <w:t>2021年项目资金来源、到位、支出表</w:t>
      </w:r>
    </w:p>
    <w:tbl>
      <w:tblPr>
        <w:tblStyle w:val="14"/>
        <w:tblW w:w="9129" w:type="dxa"/>
        <w:tblInd w:w="-176" w:type="dxa"/>
        <w:tblLayout w:type="fixed"/>
        <w:tblCellMar>
          <w:top w:w="0" w:type="dxa"/>
          <w:left w:w="108" w:type="dxa"/>
          <w:bottom w:w="0" w:type="dxa"/>
          <w:right w:w="108" w:type="dxa"/>
        </w:tblCellMar>
      </w:tblPr>
      <w:tblGrid>
        <w:gridCol w:w="436"/>
        <w:gridCol w:w="872"/>
        <w:gridCol w:w="536"/>
        <w:gridCol w:w="567"/>
        <w:gridCol w:w="656"/>
        <w:gridCol w:w="656"/>
        <w:gridCol w:w="656"/>
        <w:gridCol w:w="766"/>
        <w:gridCol w:w="656"/>
        <w:gridCol w:w="436"/>
        <w:gridCol w:w="704"/>
        <w:gridCol w:w="766"/>
        <w:gridCol w:w="656"/>
        <w:gridCol w:w="766"/>
      </w:tblGrid>
      <w:tr>
        <w:tblPrEx>
          <w:tblCellMar>
            <w:top w:w="0" w:type="dxa"/>
            <w:left w:w="108" w:type="dxa"/>
            <w:bottom w:w="0" w:type="dxa"/>
            <w:right w:w="108" w:type="dxa"/>
          </w:tblCellMar>
        </w:tblPrEx>
        <w:trPr>
          <w:trHeight w:val="540"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307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收入（万元）</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收入合计</w:t>
            </w:r>
          </w:p>
        </w:tc>
        <w:tc>
          <w:tcPr>
            <w:tcW w:w="321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支出（万元）</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支出合计</w:t>
            </w:r>
          </w:p>
        </w:tc>
      </w:tr>
      <w:tr>
        <w:tblPrEx>
          <w:tblCellMar>
            <w:top w:w="0" w:type="dxa"/>
            <w:left w:w="108" w:type="dxa"/>
            <w:bottom w:w="0" w:type="dxa"/>
            <w:right w:w="108" w:type="dxa"/>
          </w:tblCellMar>
        </w:tblPrEx>
        <w:trPr>
          <w:trHeight w:val="540"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中央</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省</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中央</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省</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上年结转</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儿童康复</w:t>
            </w:r>
          </w:p>
        </w:tc>
        <w:tc>
          <w:tcPr>
            <w:tcW w:w="5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21.5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25.5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21.5</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25.5 </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基本康复及辅具</w:t>
            </w:r>
          </w:p>
        </w:tc>
        <w:tc>
          <w:tcPr>
            <w:tcW w:w="5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21.2</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14.7</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3.34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44.2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21.2</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14.7</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3.34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44.2 </w:t>
            </w:r>
          </w:p>
        </w:tc>
      </w:tr>
      <w:tr>
        <w:tblPrEx>
          <w:tblCellMar>
            <w:top w:w="0" w:type="dxa"/>
            <w:left w:w="108" w:type="dxa"/>
            <w:bottom w:w="0" w:type="dxa"/>
            <w:right w:w="108" w:type="dxa"/>
          </w:tblCellMar>
        </w:tblPrEx>
        <w:trPr>
          <w:trHeight w:val="27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无障碍改造</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3.32</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9.81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28.13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7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3.317</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9.81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28.13 </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农村实用技术培训</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10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扶持农村残疾人发展生产及居家灵活就业补贴</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10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贫困精神智力及重度残疾人居家托养补贴</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温暖万家行走访慰问</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7.06</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7.06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7.06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7.06 </w:t>
            </w:r>
          </w:p>
        </w:tc>
      </w:tr>
      <w:tr>
        <w:tblPrEx>
          <w:tblCellMar>
            <w:top w:w="0" w:type="dxa"/>
            <w:left w:w="108" w:type="dxa"/>
            <w:bottom w:w="0" w:type="dxa"/>
            <w:right w:w="108" w:type="dxa"/>
          </w:tblCellMar>
        </w:tblPrEx>
        <w:trPr>
          <w:trHeight w:val="81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8</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残疾人购买居民医保补贴</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41.54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41.54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41.54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41.54 </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机动车燃油补贴</w:t>
            </w:r>
          </w:p>
        </w:tc>
        <w:tc>
          <w:tcPr>
            <w:tcW w:w="5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0.70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0.26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0.96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0.70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0.06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0.77 </w:t>
            </w:r>
          </w:p>
        </w:tc>
      </w:tr>
      <w:tr>
        <w:tblPrEx>
          <w:tblCellMar>
            <w:top w:w="0" w:type="dxa"/>
            <w:left w:w="108" w:type="dxa"/>
            <w:bottom w:w="0" w:type="dxa"/>
            <w:right w:w="108" w:type="dxa"/>
          </w:tblCellMar>
        </w:tblPrEx>
        <w:trPr>
          <w:trHeight w:val="27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残疾人文化</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0.22</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0.22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0.22 </w:t>
            </w:r>
          </w:p>
        </w:tc>
        <w:tc>
          <w:tcPr>
            <w:tcW w:w="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0.22 </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11</w:t>
            </w:r>
          </w:p>
        </w:tc>
        <w:tc>
          <w:tcPr>
            <w:tcW w:w="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残疾人智慧量服</w:t>
            </w:r>
          </w:p>
        </w:tc>
        <w:tc>
          <w:tcPr>
            <w:tcW w:w="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2.45</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14.6</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4.70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21.72 </w:t>
            </w:r>
          </w:p>
        </w:tc>
        <w:tc>
          <w:tcPr>
            <w:tcW w:w="6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2.45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14.56 </w:t>
            </w:r>
          </w:p>
        </w:tc>
        <w:tc>
          <w:tcPr>
            <w:tcW w:w="6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4.70 </w:t>
            </w:r>
          </w:p>
        </w:tc>
        <w:tc>
          <w:tcPr>
            <w:tcW w:w="7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21.72 </w:t>
            </w: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西区残联项目实施单位财务管理制度健全，严格执行财务管理制度，账务处理及时，会计核算规范，无违规违纪事件。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pStyle w:val="25"/>
        <w:numPr>
          <w:ilvl w:val="0"/>
          <w:numId w:val="6"/>
        </w:numPr>
        <w:adjustRightInd w:val="0"/>
        <w:snapToGrid w:val="0"/>
        <w:spacing w:line="600"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spacing w:before="93"/>
        <w:rPr>
          <w:rFonts w:hint="eastAsia"/>
          <w:lang w:val="zh-CN"/>
        </w:rPr>
      </w:pPr>
      <w:r>
        <w:rPr>
          <w:rFonts w:hint="eastAsia"/>
          <w:lang w:val="zh-CN"/>
        </w:rPr>
        <w:t xml:space="preserve"> </w:t>
      </w:r>
      <w:r>
        <w:rPr>
          <w:lang w:val="zh-CN"/>
        </w:rPr>
        <w:t xml:space="preserve">   </w:t>
      </w:r>
      <w:r>
        <w:rPr>
          <w:rFonts w:hint="eastAsia" w:ascii="仿宋" w:hAnsi="仿宋" w:eastAsia="仿宋"/>
          <w:lang w:val="zh-CN"/>
        </w:rPr>
        <w:t>残疾人服务项目由西区残联组织实施，</w:t>
      </w:r>
      <w:r>
        <w:rPr>
          <w:rFonts w:hint="eastAsia" w:ascii="仿宋" w:hAnsi="仿宋" w:eastAsia="仿宋"/>
          <w:sz w:val="32"/>
          <w:szCs w:val="32"/>
          <w:lang w:val="zh-CN"/>
        </w:rPr>
        <w:t>根据上级残联下发的当年目标任务确定本级项目，本级残联将项目分配给具体的工作人员负责组织实施。项目实施步骤为：项目调研-制定方案-个人申请-审批-实施方式</w:t>
      </w:r>
      <w:r>
        <w:rPr>
          <w:rFonts w:ascii="仿宋" w:hAnsi="仿宋" w:eastAsia="仿宋"/>
          <w:sz w:val="32"/>
          <w:szCs w:val="32"/>
          <w:lang w:val="zh-CN"/>
        </w:rPr>
        <w:t>—</w:t>
      </w:r>
      <w:r>
        <w:rPr>
          <w:rFonts w:hint="eastAsia" w:ascii="仿宋" w:hAnsi="仿宋" w:eastAsia="仿宋"/>
          <w:sz w:val="32"/>
          <w:szCs w:val="32"/>
          <w:lang w:val="zh-CN"/>
        </w:rPr>
        <w:t>签订协议-预付款项-组织实施-验收评估-资金结算。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pStyle w:val="2"/>
        <w:spacing w:before="93"/>
        <w:rPr>
          <w:rFonts w:ascii="仿宋" w:hAnsi="仿宋" w:eastAsia="仿宋"/>
          <w:sz w:val="32"/>
          <w:szCs w:val="32"/>
          <w:lang w:val="zh-CN"/>
        </w:rPr>
      </w:pPr>
      <w:r>
        <w:rPr>
          <w:rFonts w:hint="eastAsia"/>
          <w:lang w:val="zh-CN"/>
        </w:rPr>
        <w:t xml:space="preserve"> </w:t>
      </w:r>
      <w:r>
        <w:rPr>
          <w:lang w:val="zh-CN"/>
        </w:rPr>
        <w:t xml:space="preserve">  </w:t>
      </w:r>
      <w:r>
        <w:rPr>
          <w:rFonts w:hint="eastAsia" w:ascii="仿宋" w:hAnsi="仿宋" w:eastAsia="仿宋"/>
          <w:sz w:val="32"/>
          <w:szCs w:val="32"/>
          <w:lang w:val="zh-CN"/>
        </w:rPr>
        <w:t>残疾人康复项目的残疾人基本辅具适配，助听器验配项目通过政府采购比选的方式进行，残疾人基本康复及残疾儿童康复通过政府购买服务的方式进行；残疾人救助项目的无障碍改造项目也是通过政府采购比选的方式进行。</w:t>
      </w:r>
    </w:p>
    <w:p>
      <w:pPr>
        <w:pStyle w:val="2"/>
        <w:spacing w:before="93"/>
        <w:rPr>
          <w:rFonts w:hint="eastAsia"/>
          <w:lang w:val="zh-CN"/>
        </w:rPr>
      </w:pPr>
      <w:r>
        <w:rPr>
          <w:rFonts w:hint="eastAsia" w:ascii="仿宋" w:hAnsi="仿宋" w:eastAsia="仿宋"/>
          <w:sz w:val="32"/>
          <w:szCs w:val="32"/>
          <w:lang w:val="zh-CN"/>
        </w:rPr>
        <w:t xml:space="preserve"> </w:t>
      </w:r>
      <w:r>
        <w:rPr>
          <w:rFonts w:ascii="Times New Roman" w:eastAsia="宋体"/>
          <w:sz w:val="21"/>
          <w:lang w:val="zh-CN"/>
        </w:rPr>
        <w:t xml:space="preserve">  </w:t>
      </w:r>
      <w:r>
        <w:rPr>
          <w:rFonts w:ascii="仿宋" w:hAnsi="仿宋" w:eastAsia="仿宋"/>
          <w:sz w:val="32"/>
          <w:szCs w:val="32"/>
          <w:lang w:val="zh-CN"/>
        </w:rPr>
        <w:t xml:space="preserve"> </w:t>
      </w:r>
      <w:r>
        <w:rPr>
          <w:rFonts w:hint="eastAsia" w:ascii="仿宋" w:hAnsi="仿宋" w:eastAsia="仿宋"/>
          <w:sz w:val="32"/>
          <w:szCs w:val="32"/>
          <w:lang w:val="zh-CN"/>
        </w:rPr>
        <w:t>残疾人服务的所有项目都公开公示。</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8"/>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2021年西区残联</w:t>
      </w:r>
      <w:r>
        <w:rPr>
          <w:rFonts w:ascii="仿宋" w:hAnsi="仿宋" w:eastAsia="仿宋"/>
          <w:sz w:val="32"/>
          <w:szCs w:val="32"/>
        </w:rPr>
        <w:t>对辖区残疾人开展量体裁衣式服务3418人；</w:t>
      </w:r>
      <w:r>
        <w:rPr>
          <w:rFonts w:hint="eastAsia" w:ascii="仿宋" w:hAnsi="仿宋" w:eastAsia="仿宋"/>
          <w:sz w:val="32"/>
          <w:szCs w:val="32"/>
        </w:rPr>
        <w:t>完成了年度目标任务，项目支出1909554.26元。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通过持续开展残疾人康复、帮扶救助工作，</w:t>
      </w:r>
      <w:r>
        <w:rPr>
          <w:rFonts w:ascii="仿宋" w:hAnsi="仿宋" w:eastAsia="仿宋"/>
          <w:sz w:val="32"/>
          <w:szCs w:val="32"/>
        </w:rPr>
        <w:t>为残疾人实施</w:t>
      </w:r>
      <w:r>
        <w:rPr>
          <w:rFonts w:hint="eastAsia" w:ascii="仿宋" w:hAnsi="仿宋" w:eastAsia="仿宋"/>
          <w:sz w:val="32"/>
          <w:szCs w:val="32"/>
        </w:rPr>
        <w:t>“</w:t>
      </w:r>
      <w:r>
        <w:rPr>
          <w:rFonts w:ascii="仿宋" w:hAnsi="仿宋" w:eastAsia="仿宋"/>
          <w:sz w:val="32"/>
          <w:szCs w:val="32"/>
        </w:rPr>
        <w:t>智慧量服</w:t>
      </w:r>
      <w:r>
        <w:rPr>
          <w:rFonts w:hint="eastAsia" w:ascii="仿宋" w:hAnsi="仿宋" w:eastAsia="仿宋"/>
          <w:sz w:val="32"/>
          <w:szCs w:val="32"/>
        </w:rPr>
        <w:t>”</w:t>
      </w:r>
      <w:r>
        <w:rPr>
          <w:rFonts w:ascii="仿宋" w:hAnsi="仿宋" w:eastAsia="仿宋"/>
          <w:sz w:val="32"/>
          <w:szCs w:val="32"/>
        </w:rPr>
        <w:t>服务，</w:t>
      </w:r>
      <w:r>
        <w:rPr>
          <w:rFonts w:hint="eastAsia" w:ascii="仿宋" w:hAnsi="仿宋" w:eastAsia="仿宋"/>
          <w:sz w:val="32"/>
          <w:szCs w:val="32"/>
        </w:rPr>
        <w:t>让残疾人</w:t>
      </w:r>
      <w:r>
        <w:rPr>
          <w:rFonts w:ascii="仿宋" w:hAnsi="仿宋" w:eastAsia="仿宋"/>
          <w:sz w:val="32"/>
          <w:szCs w:val="32"/>
        </w:rPr>
        <w:t>最大化享受政策帮扶，改善生活状况</w:t>
      </w:r>
      <w:r>
        <w:rPr>
          <w:rFonts w:hint="eastAsia" w:ascii="仿宋" w:hAnsi="仿宋" w:eastAsia="仿宋"/>
          <w:sz w:val="32"/>
          <w:szCs w:val="32"/>
        </w:rPr>
        <w:t>，残疾人服务满意度测评结果为满意。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8"/>
        <w:spacing w:before="93"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2021年西区残联较好地完成了残疾人各项工作，对残疾人实施了康复救助服务，为残疾人适配了基本的生活辅具，验配了助听器，对残疾人家庭实施了无障碍改造，让残疾人的生活出行更加便捷，能积极地参与社会生活。对贫困残疾人进行了技能及实用技术培训，发放了居家灵活就业及扶持农村残疾人发展生产补贴，通过自己的努力改善生产生活条件，提高生活质量。为义务教育阶段残疾学生发放了生活补贴，为残疾人购买居民医保实施补贴等，缓解了残疾人困难，完成了全年的绩效目标。通过走访、电话抽查被帮扶的残疾人满意度达基本满意及以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8"/>
        <w:spacing w:before="93" w:line="353" w:lineRule="auto"/>
        <w:ind w:firstLine="640" w:firstLineChars="200"/>
        <w:jc w:val="left"/>
        <w:rPr>
          <w:rFonts w:ascii="仿宋_GB2312" w:hAnsi="宋体" w:eastAsia="仿宋_GB2312"/>
          <w:sz w:val="32"/>
          <w:szCs w:val="32"/>
          <w:lang w:val="zh-CN"/>
        </w:rPr>
      </w:pPr>
      <w:r>
        <w:rPr>
          <w:rFonts w:hint="eastAsia" w:ascii="仿宋" w:hAnsi="仿宋" w:eastAsia="仿宋" w:cs="仿宋_GB2312"/>
          <w:sz w:val="32"/>
          <w:szCs w:val="32"/>
        </w:rPr>
        <w:t>有个别项目完成后资金未支付，原因是项目开展结束时间在12月，还有项目如儿童康复跨年度实施，因此资金在年终轧账前没及时支付。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640" w:firstLineChars="200"/>
        <w:rPr>
          <w:rFonts w:ascii="仿宋" w:hAnsi="仿宋" w:eastAsia="仿宋" w:cs="仿宋_GB2312"/>
          <w:sz w:val="32"/>
          <w:szCs w:val="32"/>
        </w:rPr>
      </w:pPr>
      <w:r>
        <w:rPr>
          <w:rFonts w:hint="eastAsia" w:ascii="仿宋" w:hAnsi="仿宋" w:eastAsia="仿宋" w:cs="仿宋_GB2312"/>
          <w:sz w:val="32"/>
          <w:szCs w:val="32"/>
        </w:rPr>
        <w:t>下一步措施：尽量提前谋划开展项目实施，尽量在12月前完成项目结账支付。</w:t>
      </w:r>
    </w:p>
    <w:p>
      <w:pPr>
        <w:pStyle w:val="2"/>
        <w:spacing w:before="93"/>
        <w:ind w:firstLine="640" w:firstLineChars="200"/>
        <w:rPr>
          <w:rFonts w:ascii="仿宋" w:hAnsi="仿宋" w:eastAsia="仿宋"/>
          <w:lang w:val="zh-CN"/>
        </w:rPr>
      </w:pPr>
      <w:r>
        <w:rPr>
          <w:rFonts w:hint="eastAsia" w:ascii="仿宋" w:hAnsi="仿宋" w:eastAsia="仿宋" w:cs="仿宋_GB2312"/>
          <w:sz w:val="32"/>
          <w:szCs w:val="32"/>
        </w:rPr>
        <w:t>建议：市级匹配资金能尽早到位，有利于项目的开展，确保项目的进度能如期完成。</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rFonts w:hint="eastAsia"/>
          <w:lang w:val="zh-CN"/>
        </w:rPr>
      </w:pPr>
    </w:p>
    <w:p>
      <w:pPr>
        <w:pStyle w:val="2"/>
        <w:spacing w:before="93"/>
        <w:rPr>
          <w:lang w:val="zh-CN"/>
        </w:rPr>
      </w:pPr>
    </w:p>
    <w:p>
      <w:pPr>
        <w:pStyle w:val="2"/>
        <w:spacing w:before="93"/>
        <w:rPr>
          <w:lang w:val="zh-CN"/>
        </w:rPr>
      </w:pPr>
      <w:r>
        <w:rPr>
          <w:rFonts w:hint="eastAsia"/>
          <w:lang w:val="zh-CN"/>
        </w:rPr>
        <w:t>附表</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26"/>
        <w:gridCol w:w="1134"/>
        <w:gridCol w:w="2127"/>
        <w:gridCol w:w="1670"/>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攀枝花市西区残疾人联合会</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攀枝花市西区残疾人联合会</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190.96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960"/>
              <w:jc w:val="center"/>
              <w:textAlignment w:val="center"/>
              <w:rPr>
                <w:rFonts w:ascii="宋体" w:hAnsi="宋体" w:cs="宋体"/>
                <w:sz w:val="24"/>
              </w:rPr>
            </w:pPr>
            <w:r>
              <w:rPr>
                <w:rFonts w:ascii="宋体" w:hAnsi="宋体" w:cs="宋体"/>
                <w:sz w:val="24"/>
              </w:rPr>
              <w:t>190.96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190.96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textAlignment w:val="center"/>
              <w:rPr>
                <w:rFonts w:ascii="宋体" w:hAnsi="宋体" w:cs="宋体"/>
                <w:sz w:val="24"/>
              </w:rPr>
            </w:pPr>
            <w:r>
              <w:rPr>
                <w:rFonts w:ascii="宋体" w:hAnsi="宋体" w:cs="宋体"/>
                <w:sz w:val="24"/>
              </w:rPr>
              <w:t>190.96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887"/>
              </w:tabs>
              <w:spacing w:line="320" w:lineRule="exact"/>
              <w:textAlignment w:val="top"/>
              <w:rPr>
                <w:rFonts w:ascii="仿宋" w:hAnsi="仿宋" w:eastAsia="仿宋" w:cs="宋体"/>
                <w:szCs w:val="21"/>
              </w:rPr>
            </w:pPr>
            <w:r>
              <w:rPr>
                <w:rFonts w:hint="eastAsia" w:ascii="宋体" w:hAnsi="宋体" w:cs="宋体"/>
                <w:sz w:val="24"/>
              </w:rPr>
              <w:t>为残疾人实施“智慧量服”服务，适配康复辅具，完成贫困精神病患者救助；对贫困残疾人集体实施无障碍改造；对残疾人进行实用技术培训；为农村残疾人发展生产及居家灵活就业人员发放补贴；为义务教育阶段残疾儿童发放生活补贴；为贫困精神智力及重度残疾开展居家托养服务；走访慰问残疾人；为残疾人购买居民医保实施补贴；为驾驶机动轮椅车的发放燃油补贴等。</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 w:hAnsi="仿宋" w:eastAsia="仿宋" w:cs="宋体"/>
                <w:szCs w:val="21"/>
              </w:rPr>
            </w:pPr>
            <w:r>
              <w:rPr>
                <w:rFonts w:hint="eastAsia" w:ascii="宋体" w:hAnsi="宋体" w:cs="宋体"/>
                <w:sz w:val="18"/>
                <w:szCs w:val="18"/>
              </w:rPr>
              <w:t>为辖区持证残疾人3418人实施了智慧量服服务，儿童康复救助13人，适配基本生活辅具653件；验配助听器21台，完成贫困精神病患者救助201人；对贫困残疾人集体实施无障碍改造73户；对残疾人进行实用技术培训100人；为农村残疾人发展生产及居家灵活就业人员发放补贴120人；为义务教育阶段残疾儿童发放生活补贴47人；为贫困精神智力及重度残疾开展居家托养服务100人；走访慰问残疾人356人；为残疾人购买居民医保实施补贴等1188人；为驾驶机动轮椅车的发放燃油补贴21人。</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_GB2312"/>
                <w:sz w:val="28"/>
                <w:szCs w:val="28"/>
              </w:rPr>
            </w:pPr>
            <w:r>
              <w:rPr>
                <w:rFonts w:hint="eastAsia" w:ascii="仿宋" w:hAnsi="仿宋" w:eastAsia="仿宋"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_GB2312"/>
                <w:kern w:val="0"/>
                <w:sz w:val="28"/>
                <w:szCs w:val="28"/>
              </w:rPr>
            </w:pPr>
            <w:r>
              <w:rPr>
                <w:rFonts w:hint="eastAsia" w:ascii="仿宋" w:hAnsi="仿宋" w:eastAsia="仿宋" w:cs="仿宋_GB2312"/>
                <w:kern w:val="0"/>
                <w:sz w:val="28"/>
                <w:szCs w:val="28"/>
              </w:rPr>
              <w:t>完成</w:t>
            </w:r>
          </w:p>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数量指标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残疾人智慧量服服务</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≧3418人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ascii="仿宋_GB2312" w:hAnsi="仿宋_GB2312" w:eastAsia="仿宋_GB2312" w:cs="仿宋_GB2312"/>
                <w:sz w:val="18"/>
                <w:szCs w:val="18"/>
              </w:rPr>
              <w:t>418</w:t>
            </w:r>
            <w:r>
              <w:rPr>
                <w:rFonts w:hint="eastAsia" w:ascii="仿宋_GB2312" w:hAnsi="仿宋_GB2312" w:eastAsia="仿宋_GB2312" w:cs="仿宋_GB2312"/>
                <w:sz w:val="18"/>
                <w:szCs w:val="18"/>
              </w:rPr>
              <w:t>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_GB2312"/>
                <w:kern w:val="0"/>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_GB2312"/>
                <w:kern w:val="0"/>
                <w:sz w:val="28"/>
                <w:szCs w:val="28"/>
              </w:rPr>
            </w:pPr>
            <w:r>
              <w:rPr>
                <w:rFonts w:hint="eastAsia" w:ascii="仿宋" w:hAnsi="仿宋" w:eastAsia="仿宋" w:cs="仿宋_GB2312"/>
                <w:kern w:val="0"/>
                <w:sz w:val="28"/>
                <w:szCs w:val="28"/>
              </w:rPr>
              <w:t>数量指标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残疾人康复服务</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ascii="仿宋_GB2312" w:hAnsi="仿宋_GB2312" w:eastAsia="仿宋_GB2312" w:cs="仿宋_GB2312"/>
                <w:sz w:val="18"/>
                <w:szCs w:val="18"/>
              </w:rPr>
              <w:t>00</w:t>
            </w:r>
            <w:r>
              <w:rPr>
                <w:rFonts w:hint="eastAsia" w:ascii="仿宋_GB2312" w:hAnsi="仿宋_GB2312" w:eastAsia="仿宋_GB2312" w:cs="仿宋_GB2312"/>
                <w:sz w:val="18"/>
                <w:szCs w:val="18"/>
              </w:rPr>
              <w:t>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_GB2312"/>
                <w:kern w:val="0"/>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_GB2312"/>
                <w:kern w:val="0"/>
                <w:sz w:val="28"/>
                <w:szCs w:val="28"/>
              </w:rPr>
            </w:pPr>
            <w:r>
              <w:rPr>
                <w:rFonts w:hint="eastAsia" w:ascii="仿宋" w:hAnsi="仿宋" w:eastAsia="仿宋" w:cs="仿宋_GB2312"/>
                <w:kern w:val="0"/>
                <w:sz w:val="28"/>
                <w:szCs w:val="28"/>
              </w:rPr>
              <w:t>数量指标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残疾人救助</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w:t>
            </w:r>
            <w:r>
              <w:rPr>
                <w:rFonts w:ascii="仿宋_GB2312" w:hAnsi="仿宋_GB2312" w:eastAsia="仿宋_GB2312" w:cs="仿宋_GB2312"/>
                <w:sz w:val="18"/>
                <w:szCs w:val="18"/>
              </w:rPr>
              <w:t>2206</w:t>
            </w:r>
            <w:r>
              <w:rPr>
                <w:rFonts w:hint="eastAsia" w:ascii="仿宋_GB2312" w:hAnsi="仿宋_GB2312" w:eastAsia="仿宋_GB2312" w:cs="仿宋_GB2312"/>
                <w:sz w:val="18"/>
                <w:szCs w:val="18"/>
              </w:rPr>
              <w:t>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ascii="仿宋_GB2312" w:hAnsi="仿宋_GB2312" w:eastAsia="仿宋_GB2312" w:cs="仿宋_GB2312"/>
                <w:sz w:val="18"/>
                <w:szCs w:val="18"/>
              </w:rPr>
              <w:t>206</w:t>
            </w:r>
            <w:r>
              <w:rPr>
                <w:rFonts w:hint="eastAsia" w:ascii="仿宋_GB2312" w:hAnsi="仿宋_GB2312" w:eastAsia="仿宋_GB2312" w:cs="仿宋_GB2312"/>
                <w:sz w:val="18"/>
                <w:szCs w:val="18"/>
              </w:rPr>
              <w:t>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质量指标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残疾人服务工作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通过为残疾人提供个性化的服务，解决残疾人生活中的困难，提高残疾人参与社会生活的能力，改善生活状况。</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有所改善和提高。</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时效指标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szCs w:val="21"/>
              </w:rPr>
              <w:t>残疾人服务工作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2021年1-12月</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成本指标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szCs w:val="21"/>
              </w:rPr>
              <w:t>残疾人服务工作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 w:hAnsi="仿宋" w:eastAsia="仿宋" w:cs="仿宋_GB2312"/>
                <w:szCs w:val="21"/>
              </w:rPr>
              <w:t>≥</w:t>
            </w:r>
            <w:r>
              <w:rPr>
                <w:rFonts w:hint="eastAsia" w:ascii="仿宋" w:hAnsi="仿宋" w:eastAsia="仿宋" w:cs="仿宋_GB2312"/>
                <w:szCs w:val="21"/>
              </w:rPr>
              <w:t>249.47万元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已支付249.47万元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效益</w:t>
            </w:r>
            <w:r>
              <w:rPr>
                <w:rFonts w:hint="eastAsia" w:ascii="仿宋" w:hAnsi="仿宋" w:eastAsia="仿宋" w:cs="仿宋_GB2312"/>
                <w:kern w:val="0"/>
                <w:sz w:val="28"/>
                <w:szCs w:val="28"/>
              </w:rPr>
              <w:br w:type="textWrapping"/>
            </w:r>
            <w:r>
              <w:rPr>
                <w:rFonts w:hint="eastAsia" w:ascii="仿宋" w:hAnsi="仿宋" w:eastAsia="仿宋" w:cs="仿宋_GB2312"/>
                <w:kern w:val="0"/>
                <w:sz w:val="28"/>
                <w:szCs w:val="28"/>
              </w:rPr>
              <w:t>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经济效益  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社会效益  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szCs w:val="21"/>
              </w:rPr>
              <w:t>残疾人服务工作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改善残疾人生活状况，提高生活质量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 w:hAnsi="仿宋" w:eastAsia="仿宋" w:cs="仿宋_GB2312"/>
                <w:sz w:val="28"/>
                <w:szCs w:val="28"/>
              </w:rPr>
            </w:pPr>
            <w:r>
              <w:rPr>
                <w:rFonts w:hint="eastAsia" w:ascii="仿宋" w:hAnsi="仿宋" w:eastAsia="仿宋" w:cs="仿宋_GB2312"/>
                <w:kern w:val="0"/>
                <w:sz w:val="28"/>
                <w:szCs w:val="28"/>
              </w:rPr>
              <w:t>生态效益  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s="仿宋_GB2312"/>
                <w:sz w:val="28"/>
                <w:szCs w:val="2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可持续影响 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szCs w:val="21"/>
              </w:rPr>
              <w:t>残疾人服务工作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持续开展</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满意</w:t>
            </w:r>
            <w:r>
              <w:rPr>
                <w:rFonts w:hint="eastAsia" w:ascii="仿宋" w:hAnsi="仿宋" w:eastAsia="仿宋" w:cs="仿宋_GB2312"/>
                <w:kern w:val="0"/>
                <w:sz w:val="28"/>
                <w:szCs w:val="28"/>
              </w:rPr>
              <w:br w:type="textWrapping"/>
            </w:r>
            <w:r>
              <w:rPr>
                <w:rFonts w:hint="eastAsia" w:ascii="仿宋" w:hAnsi="仿宋" w:eastAsia="仿宋" w:cs="仿宋_GB2312"/>
                <w:kern w:val="0"/>
                <w:sz w:val="28"/>
                <w:szCs w:val="28"/>
              </w:rPr>
              <w:t>度指标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kern w:val="0"/>
                <w:sz w:val="28"/>
                <w:szCs w:val="28"/>
              </w:rPr>
            </w:pPr>
            <w:r>
              <w:rPr>
                <w:rFonts w:hint="eastAsia" w:ascii="仿宋" w:hAnsi="仿宋" w:eastAsia="仿宋" w:cs="仿宋_GB2312"/>
                <w:kern w:val="0"/>
                <w:sz w:val="28"/>
                <w:szCs w:val="28"/>
              </w:rPr>
              <w:t>满意度</w:t>
            </w:r>
          </w:p>
          <w:p>
            <w:pPr>
              <w:widowControl/>
              <w:spacing w:line="320" w:lineRule="exact"/>
              <w:jc w:val="center"/>
              <w:textAlignment w:val="bottom"/>
              <w:rPr>
                <w:rFonts w:ascii="仿宋" w:hAnsi="仿宋" w:eastAsia="仿宋" w:cs="仿宋_GB2312"/>
                <w:sz w:val="28"/>
                <w:szCs w:val="28"/>
              </w:rPr>
            </w:pPr>
            <w:r>
              <w:rPr>
                <w:rFonts w:hint="eastAsia" w:ascii="仿宋" w:hAnsi="仿宋" w:eastAsia="仿宋" w:cs="仿宋_GB2312"/>
                <w:kern w:val="0"/>
                <w:sz w:val="28"/>
                <w:szCs w:val="28"/>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服务对象满意度测评</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_GB2312"/>
                <w:szCs w:val="21"/>
              </w:rPr>
            </w:pPr>
            <w:r>
              <w:rPr>
                <w:rFonts w:hint="eastAsia" w:ascii="仿宋" w:hAnsi="仿宋" w:eastAsia="仿宋" w:cs="仿宋_GB2312"/>
                <w:szCs w:val="21"/>
              </w:rPr>
              <w:t>≧90%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2"/>
        <w:spacing w:before="93"/>
        <w:rPr>
          <w:lang w:val="zh-CN"/>
        </w:rPr>
      </w:pPr>
    </w:p>
    <w:p>
      <w:pPr>
        <w:pStyle w:val="2"/>
        <w:spacing w:before="93"/>
        <w:rPr>
          <w:rFonts w:hint="eastAsia"/>
          <w:lang w:val="zh-CN"/>
        </w:rPr>
      </w:pPr>
    </w:p>
    <w:p>
      <w:pPr>
        <w:pStyle w:val="2"/>
        <w:spacing w:before="93"/>
        <w:rPr>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26"/>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27"/>
          <w:rFonts w:hint="eastAsia" w:ascii="仿宋" w:hAnsi="仿宋" w:eastAsia="仿宋"/>
          <w:b w:val="0"/>
          <w:bCs w:val="0"/>
        </w:rPr>
        <w:t>入决算表</w:t>
      </w:r>
      <w:bookmarkEnd w:id="59"/>
    </w:p>
    <w:p>
      <w:pPr>
        <w:pStyle w:val="4"/>
        <w:rPr>
          <w:rFonts w:ascii="仿宋" w:hAnsi="仿宋" w:eastAsia="仿宋"/>
        </w:rPr>
      </w:pPr>
      <w:bookmarkStart w:id="60"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61"/>
    </w:p>
    <w:p>
      <w:pPr>
        <w:pStyle w:val="4"/>
        <w:rPr>
          <w:rStyle w:val="27"/>
          <w:rFonts w:ascii="仿宋" w:hAnsi="仿宋" w:eastAsia="仿宋"/>
          <w:b w:val="0"/>
          <w:bCs w:val="0"/>
        </w:rPr>
      </w:pPr>
      <w:bookmarkStart w:id="62"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9"/>
    </w:p>
    <w:p>
      <w:pPr>
        <w:pStyle w:val="4"/>
        <w:rPr>
          <w:rStyle w:val="27"/>
          <w:rFonts w:ascii="仿宋" w:hAnsi="仿宋" w:eastAsia="仿宋"/>
          <w:b w:val="0"/>
          <w:bCs w:val="0"/>
        </w:rPr>
      </w:pPr>
      <w:bookmarkStart w:id="70"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70"/>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3757"/>
    </w:sdtPr>
    <w:sdtContent>
      <w:p>
        <w:pPr>
          <w:pStyle w:val="1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6E323A06"/>
    <w:multiLevelType w:val="multilevel"/>
    <w:tmpl w:val="6E323A06"/>
    <w:lvl w:ilvl="0" w:tentative="0">
      <w:start w:val="1"/>
      <w:numFmt w:val="japaneseCounting"/>
      <w:lvlText w:val="（%1）"/>
      <w:lvlJc w:val="left"/>
      <w:pPr>
        <w:ind w:left="1710" w:hanging="99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6FFE0822"/>
    <w:multiLevelType w:val="singleLevel"/>
    <w:tmpl w:val="6FFE0822"/>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U4ZWMyNzRjNWRkODQwMDZiZGE1MWU4ZTU3OWEifQ=="/>
  </w:docVars>
  <w:rsids>
    <w:rsidRoot w:val="00F1361C"/>
    <w:rsid w:val="000167E5"/>
    <w:rsid w:val="000222C6"/>
    <w:rsid w:val="0002549F"/>
    <w:rsid w:val="000455D7"/>
    <w:rsid w:val="000468DB"/>
    <w:rsid w:val="0006487A"/>
    <w:rsid w:val="00065F8F"/>
    <w:rsid w:val="00070A43"/>
    <w:rsid w:val="000768F2"/>
    <w:rsid w:val="0009184B"/>
    <w:rsid w:val="00093598"/>
    <w:rsid w:val="00094236"/>
    <w:rsid w:val="0009593C"/>
    <w:rsid w:val="00096DE9"/>
    <w:rsid w:val="00097322"/>
    <w:rsid w:val="000A6A92"/>
    <w:rsid w:val="000B047F"/>
    <w:rsid w:val="000B22F2"/>
    <w:rsid w:val="000B5923"/>
    <w:rsid w:val="000B5A48"/>
    <w:rsid w:val="000B68C2"/>
    <w:rsid w:val="000B6FF3"/>
    <w:rsid w:val="000C3467"/>
    <w:rsid w:val="000C3CA6"/>
    <w:rsid w:val="000D1267"/>
    <w:rsid w:val="000D1D50"/>
    <w:rsid w:val="000D48B0"/>
    <w:rsid w:val="000D5782"/>
    <w:rsid w:val="000E0ABC"/>
    <w:rsid w:val="000E329A"/>
    <w:rsid w:val="000E6613"/>
    <w:rsid w:val="000E7119"/>
    <w:rsid w:val="000F7039"/>
    <w:rsid w:val="001004BB"/>
    <w:rsid w:val="00105313"/>
    <w:rsid w:val="00114DF6"/>
    <w:rsid w:val="00114E9B"/>
    <w:rsid w:val="00120CC4"/>
    <w:rsid w:val="00140410"/>
    <w:rsid w:val="00142216"/>
    <w:rsid w:val="00144D6A"/>
    <w:rsid w:val="00145BEF"/>
    <w:rsid w:val="001466DE"/>
    <w:rsid w:val="0014729F"/>
    <w:rsid w:val="00157BAB"/>
    <w:rsid w:val="001654D1"/>
    <w:rsid w:val="00174518"/>
    <w:rsid w:val="0018106D"/>
    <w:rsid w:val="001830AF"/>
    <w:rsid w:val="001877A7"/>
    <w:rsid w:val="00191536"/>
    <w:rsid w:val="00191978"/>
    <w:rsid w:val="00196687"/>
    <w:rsid w:val="001A2402"/>
    <w:rsid w:val="001A79B9"/>
    <w:rsid w:val="001C0962"/>
    <w:rsid w:val="001C4D7E"/>
    <w:rsid w:val="001D06C1"/>
    <w:rsid w:val="001D6087"/>
    <w:rsid w:val="001D7531"/>
    <w:rsid w:val="001E737D"/>
    <w:rsid w:val="001F0592"/>
    <w:rsid w:val="001F7506"/>
    <w:rsid w:val="002006CD"/>
    <w:rsid w:val="00202B36"/>
    <w:rsid w:val="00204B7A"/>
    <w:rsid w:val="00204CDE"/>
    <w:rsid w:val="00207FF7"/>
    <w:rsid w:val="0021101A"/>
    <w:rsid w:val="00216C3A"/>
    <w:rsid w:val="00220536"/>
    <w:rsid w:val="0023123B"/>
    <w:rsid w:val="00235629"/>
    <w:rsid w:val="0024283E"/>
    <w:rsid w:val="00260C38"/>
    <w:rsid w:val="002616C0"/>
    <w:rsid w:val="00265372"/>
    <w:rsid w:val="002662AA"/>
    <w:rsid w:val="00280496"/>
    <w:rsid w:val="002818D7"/>
    <w:rsid w:val="00294DC9"/>
    <w:rsid w:val="00295495"/>
    <w:rsid w:val="002A31DE"/>
    <w:rsid w:val="002B2613"/>
    <w:rsid w:val="002C79AE"/>
    <w:rsid w:val="002D5FA5"/>
    <w:rsid w:val="002D6A22"/>
    <w:rsid w:val="002D6D05"/>
    <w:rsid w:val="002E3079"/>
    <w:rsid w:val="002F1818"/>
    <w:rsid w:val="002F567B"/>
    <w:rsid w:val="003216A9"/>
    <w:rsid w:val="00332189"/>
    <w:rsid w:val="00335A74"/>
    <w:rsid w:val="00337A44"/>
    <w:rsid w:val="003403CD"/>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55BC"/>
    <w:rsid w:val="003E6F55"/>
    <w:rsid w:val="003F341C"/>
    <w:rsid w:val="00406254"/>
    <w:rsid w:val="0041173B"/>
    <w:rsid w:val="004223DE"/>
    <w:rsid w:val="00434489"/>
    <w:rsid w:val="00437085"/>
    <w:rsid w:val="00443880"/>
    <w:rsid w:val="004464F4"/>
    <w:rsid w:val="00455382"/>
    <w:rsid w:val="004670FC"/>
    <w:rsid w:val="00471401"/>
    <w:rsid w:val="00473F31"/>
    <w:rsid w:val="0048263A"/>
    <w:rsid w:val="00487E5D"/>
    <w:rsid w:val="00493589"/>
    <w:rsid w:val="00493879"/>
    <w:rsid w:val="004A6EF7"/>
    <w:rsid w:val="004A711F"/>
    <w:rsid w:val="004A7C13"/>
    <w:rsid w:val="004B199D"/>
    <w:rsid w:val="004B4690"/>
    <w:rsid w:val="004B7E6B"/>
    <w:rsid w:val="004C3DEF"/>
    <w:rsid w:val="004D4C80"/>
    <w:rsid w:val="004E0A2D"/>
    <w:rsid w:val="004E206B"/>
    <w:rsid w:val="004E6DF7"/>
    <w:rsid w:val="004F0FBD"/>
    <w:rsid w:val="004F4417"/>
    <w:rsid w:val="00503C1D"/>
    <w:rsid w:val="00505A47"/>
    <w:rsid w:val="00512936"/>
    <w:rsid w:val="00512FDA"/>
    <w:rsid w:val="00520DA0"/>
    <w:rsid w:val="0052119C"/>
    <w:rsid w:val="00537B7F"/>
    <w:rsid w:val="005416B4"/>
    <w:rsid w:val="0056058D"/>
    <w:rsid w:val="005664BB"/>
    <w:rsid w:val="00566FFA"/>
    <w:rsid w:val="00570BF9"/>
    <w:rsid w:val="0057481D"/>
    <w:rsid w:val="0058486E"/>
    <w:rsid w:val="00585B33"/>
    <w:rsid w:val="0059014D"/>
    <w:rsid w:val="005B3569"/>
    <w:rsid w:val="005B3CF0"/>
    <w:rsid w:val="005B5C64"/>
    <w:rsid w:val="005B6FCB"/>
    <w:rsid w:val="005B7DB1"/>
    <w:rsid w:val="005C5337"/>
    <w:rsid w:val="005C6BD0"/>
    <w:rsid w:val="005D1C8B"/>
    <w:rsid w:val="005D468D"/>
    <w:rsid w:val="005D5CED"/>
    <w:rsid w:val="005E4158"/>
    <w:rsid w:val="005F1A4C"/>
    <w:rsid w:val="005F3EF9"/>
    <w:rsid w:val="005F48A1"/>
    <w:rsid w:val="00605688"/>
    <w:rsid w:val="006070AF"/>
    <w:rsid w:val="00607E6C"/>
    <w:rsid w:val="006101B1"/>
    <w:rsid w:val="00614E44"/>
    <w:rsid w:val="0062270A"/>
    <w:rsid w:val="00622830"/>
    <w:rsid w:val="00623DA0"/>
    <w:rsid w:val="006276FD"/>
    <w:rsid w:val="00630AEF"/>
    <w:rsid w:val="006322C0"/>
    <w:rsid w:val="006325F8"/>
    <w:rsid w:val="00633463"/>
    <w:rsid w:val="00634C9A"/>
    <w:rsid w:val="00635AC3"/>
    <w:rsid w:val="006440E4"/>
    <w:rsid w:val="00644653"/>
    <w:rsid w:val="006506BC"/>
    <w:rsid w:val="006514C6"/>
    <w:rsid w:val="0066343B"/>
    <w:rsid w:val="00664777"/>
    <w:rsid w:val="006748A4"/>
    <w:rsid w:val="00681A31"/>
    <w:rsid w:val="00683E73"/>
    <w:rsid w:val="00690939"/>
    <w:rsid w:val="00693E84"/>
    <w:rsid w:val="006A3141"/>
    <w:rsid w:val="006A5E34"/>
    <w:rsid w:val="006B2422"/>
    <w:rsid w:val="006B2B9A"/>
    <w:rsid w:val="006B7745"/>
    <w:rsid w:val="006C1937"/>
    <w:rsid w:val="006C4A7C"/>
    <w:rsid w:val="006C795C"/>
    <w:rsid w:val="006D4DEA"/>
    <w:rsid w:val="006F020C"/>
    <w:rsid w:val="007127B7"/>
    <w:rsid w:val="0071798E"/>
    <w:rsid w:val="007416B6"/>
    <w:rsid w:val="00746F48"/>
    <w:rsid w:val="00747056"/>
    <w:rsid w:val="00751617"/>
    <w:rsid w:val="0075404D"/>
    <w:rsid w:val="0076182A"/>
    <w:rsid w:val="00763554"/>
    <w:rsid w:val="007653CF"/>
    <w:rsid w:val="00767B7E"/>
    <w:rsid w:val="00775BC9"/>
    <w:rsid w:val="007770C3"/>
    <w:rsid w:val="00784D24"/>
    <w:rsid w:val="00785FBA"/>
    <w:rsid w:val="00786E4A"/>
    <w:rsid w:val="007875EB"/>
    <w:rsid w:val="0079426B"/>
    <w:rsid w:val="007B509D"/>
    <w:rsid w:val="007C66D8"/>
    <w:rsid w:val="007D1682"/>
    <w:rsid w:val="007D312A"/>
    <w:rsid w:val="007D3F19"/>
    <w:rsid w:val="007D67C0"/>
    <w:rsid w:val="007E23B0"/>
    <w:rsid w:val="007E23E5"/>
    <w:rsid w:val="007F0DF4"/>
    <w:rsid w:val="007F1991"/>
    <w:rsid w:val="007F2C2F"/>
    <w:rsid w:val="007F55FC"/>
    <w:rsid w:val="007F5665"/>
    <w:rsid w:val="00800112"/>
    <w:rsid w:val="00813348"/>
    <w:rsid w:val="00824F40"/>
    <w:rsid w:val="008253BB"/>
    <w:rsid w:val="00825D16"/>
    <w:rsid w:val="0083706E"/>
    <w:rsid w:val="008408F6"/>
    <w:rsid w:val="008423A5"/>
    <w:rsid w:val="00850625"/>
    <w:rsid w:val="00853718"/>
    <w:rsid w:val="00853BFA"/>
    <w:rsid w:val="00855221"/>
    <w:rsid w:val="00860645"/>
    <w:rsid w:val="008652C5"/>
    <w:rsid w:val="00871F71"/>
    <w:rsid w:val="00872FD8"/>
    <w:rsid w:val="00885AF4"/>
    <w:rsid w:val="008939CD"/>
    <w:rsid w:val="008B768C"/>
    <w:rsid w:val="008C4DB1"/>
    <w:rsid w:val="008C4EAF"/>
    <w:rsid w:val="008C5176"/>
    <w:rsid w:val="008C7FD0"/>
    <w:rsid w:val="008D4B4E"/>
    <w:rsid w:val="008E1DE7"/>
    <w:rsid w:val="008E707C"/>
    <w:rsid w:val="00900B08"/>
    <w:rsid w:val="00902155"/>
    <w:rsid w:val="00902FA3"/>
    <w:rsid w:val="0092152C"/>
    <w:rsid w:val="00923564"/>
    <w:rsid w:val="0092392E"/>
    <w:rsid w:val="009315F9"/>
    <w:rsid w:val="00933499"/>
    <w:rsid w:val="00935C98"/>
    <w:rsid w:val="00941CF5"/>
    <w:rsid w:val="00946945"/>
    <w:rsid w:val="00951248"/>
    <w:rsid w:val="0095152F"/>
    <w:rsid w:val="0095169E"/>
    <w:rsid w:val="0095192C"/>
    <w:rsid w:val="00954C49"/>
    <w:rsid w:val="00955E37"/>
    <w:rsid w:val="0097099F"/>
    <w:rsid w:val="00971997"/>
    <w:rsid w:val="00971FFC"/>
    <w:rsid w:val="00974C40"/>
    <w:rsid w:val="0098660A"/>
    <w:rsid w:val="009922B5"/>
    <w:rsid w:val="009926D2"/>
    <w:rsid w:val="009931C3"/>
    <w:rsid w:val="009B2C43"/>
    <w:rsid w:val="009B4EAE"/>
    <w:rsid w:val="009B7573"/>
    <w:rsid w:val="009C22F4"/>
    <w:rsid w:val="009C2A4B"/>
    <w:rsid w:val="009C2E98"/>
    <w:rsid w:val="009D3447"/>
    <w:rsid w:val="009D4711"/>
    <w:rsid w:val="009E2A81"/>
    <w:rsid w:val="009F1185"/>
    <w:rsid w:val="009F18CD"/>
    <w:rsid w:val="009F2A13"/>
    <w:rsid w:val="009F7527"/>
    <w:rsid w:val="00A04EB0"/>
    <w:rsid w:val="00A13CC1"/>
    <w:rsid w:val="00A16847"/>
    <w:rsid w:val="00A174A2"/>
    <w:rsid w:val="00A237D8"/>
    <w:rsid w:val="00A25723"/>
    <w:rsid w:val="00A268C4"/>
    <w:rsid w:val="00A307CD"/>
    <w:rsid w:val="00A331C8"/>
    <w:rsid w:val="00A40A00"/>
    <w:rsid w:val="00A4142F"/>
    <w:rsid w:val="00A422EB"/>
    <w:rsid w:val="00A45BB7"/>
    <w:rsid w:val="00A56DF2"/>
    <w:rsid w:val="00A56E6E"/>
    <w:rsid w:val="00A67AB5"/>
    <w:rsid w:val="00A7018C"/>
    <w:rsid w:val="00A733B2"/>
    <w:rsid w:val="00A741C2"/>
    <w:rsid w:val="00A91760"/>
    <w:rsid w:val="00A93B00"/>
    <w:rsid w:val="00A93C21"/>
    <w:rsid w:val="00AA2893"/>
    <w:rsid w:val="00AB15F0"/>
    <w:rsid w:val="00AB54C2"/>
    <w:rsid w:val="00AB64C9"/>
    <w:rsid w:val="00AC2132"/>
    <w:rsid w:val="00AC3C6A"/>
    <w:rsid w:val="00AC6A06"/>
    <w:rsid w:val="00AD5620"/>
    <w:rsid w:val="00AD656B"/>
    <w:rsid w:val="00AD7C1B"/>
    <w:rsid w:val="00AE16BA"/>
    <w:rsid w:val="00AE1EBE"/>
    <w:rsid w:val="00B0303E"/>
    <w:rsid w:val="00B03C9D"/>
    <w:rsid w:val="00B05D3C"/>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86F6B"/>
    <w:rsid w:val="00B944D6"/>
    <w:rsid w:val="00B9730B"/>
    <w:rsid w:val="00BA60E4"/>
    <w:rsid w:val="00BB4DF0"/>
    <w:rsid w:val="00BC289F"/>
    <w:rsid w:val="00BC2D50"/>
    <w:rsid w:val="00BC5361"/>
    <w:rsid w:val="00BC5460"/>
    <w:rsid w:val="00BC6B50"/>
    <w:rsid w:val="00BD0E25"/>
    <w:rsid w:val="00BE69DE"/>
    <w:rsid w:val="00BF5BD6"/>
    <w:rsid w:val="00C0279C"/>
    <w:rsid w:val="00C03E31"/>
    <w:rsid w:val="00C27145"/>
    <w:rsid w:val="00C33E72"/>
    <w:rsid w:val="00C354B2"/>
    <w:rsid w:val="00C35554"/>
    <w:rsid w:val="00C42709"/>
    <w:rsid w:val="00C52B33"/>
    <w:rsid w:val="00C533CC"/>
    <w:rsid w:val="00C5751C"/>
    <w:rsid w:val="00C61BFC"/>
    <w:rsid w:val="00C62B85"/>
    <w:rsid w:val="00C65438"/>
    <w:rsid w:val="00C71193"/>
    <w:rsid w:val="00C87FD8"/>
    <w:rsid w:val="00C91381"/>
    <w:rsid w:val="00C91CBB"/>
    <w:rsid w:val="00C926D8"/>
    <w:rsid w:val="00C94932"/>
    <w:rsid w:val="00CB0B16"/>
    <w:rsid w:val="00CB4E70"/>
    <w:rsid w:val="00CC09B6"/>
    <w:rsid w:val="00CC1006"/>
    <w:rsid w:val="00CC5D9B"/>
    <w:rsid w:val="00CC666F"/>
    <w:rsid w:val="00CD1E3F"/>
    <w:rsid w:val="00CE44F6"/>
    <w:rsid w:val="00CE49DA"/>
    <w:rsid w:val="00CE7B61"/>
    <w:rsid w:val="00CF469C"/>
    <w:rsid w:val="00D00095"/>
    <w:rsid w:val="00D114F0"/>
    <w:rsid w:val="00D20620"/>
    <w:rsid w:val="00D254F7"/>
    <w:rsid w:val="00D26091"/>
    <w:rsid w:val="00D2685C"/>
    <w:rsid w:val="00D34E7C"/>
    <w:rsid w:val="00D35489"/>
    <w:rsid w:val="00D36AFE"/>
    <w:rsid w:val="00D41047"/>
    <w:rsid w:val="00D51276"/>
    <w:rsid w:val="00D64777"/>
    <w:rsid w:val="00D671C2"/>
    <w:rsid w:val="00D7035F"/>
    <w:rsid w:val="00DA634F"/>
    <w:rsid w:val="00DA65AC"/>
    <w:rsid w:val="00DB1913"/>
    <w:rsid w:val="00DB4A65"/>
    <w:rsid w:val="00DC410D"/>
    <w:rsid w:val="00DC5A81"/>
    <w:rsid w:val="00DC68CA"/>
    <w:rsid w:val="00DC7CBA"/>
    <w:rsid w:val="00DD73B7"/>
    <w:rsid w:val="00DE5131"/>
    <w:rsid w:val="00DE644B"/>
    <w:rsid w:val="00DF28BC"/>
    <w:rsid w:val="00DF34B9"/>
    <w:rsid w:val="00E01053"/>
    <w:rsid w:val="00E07ACF"/>
    <w:rsid w:val="00E331A1"/>
    <w:rsid w:val="00E33202"/>
    <w:rsid w:val="00E33520"/>
    <w:rsid w:val="00E336A9"/>
    <w:rsid w:val="00E472B1"/>
    <w:rsid w:val="00E50624"/>
    <w:rsid w:val="00E568DF"/>
    <w:rsid w:val="00E64269"/>
    <w:rsid w:val="00E7716C"/>
    <w:rsid w:val="00E82267"/>
    <w:rsid w:val="00E853CE"/>
    <w:rsid w:val="00E867B6"/>
    <w:rsid w:val="00EA010F"/>
    <w:rsid w:val="00EA2658"/>
    <w:rsid w:val="00ED1B63"/>
    <w:rsid w:val="00ED333D"/>
    <w:rsid w:val="00ED3C1F"/>
    <w:rsid w:val="00ED4085"/>
    <w:rsid w:val="00ED420E"/>
    <w:rsid w:val="00ED6FBE"/>
    <w:rsid w:val="00EE2F57"/>
    <w:rsid w:val="00EF4C34"/>
    <w:rsid w:val="00EF5E6D"/>
    <w:rsid w:val="00EF77C6"/>
    <w:rsid w:val="00F05438"/>
    <w:rsid w:val="00F06B8E"/>
    <w:rsid w:val="00F07F09"/>
    <w:rsid w:val="00F1361C"/>
    <w:rsid w:val="00F156F0"/>
    <w:rsid w:val="00F160C7"/>
    <w:rsid w:val="00F2408F"/>
    <w:rsid w:val="00F240E9"/>
    <w:rsid w:val="00F36D8F"/>
    <w:rsid w:val="00F417B1"/>
    <w:rsid w:val="00F45853"/>
    <w:rsid w:val="00F602DF"/>
    <w:rsid w:val="00F754A1"/>
    <w:rsid w:val="00F81FD9"/>
    <w:rsid w:val="00F83AC3"/>
    <w:rsid w:val="00F841AA"/>
    <w:rsid w:val="00F84A94"/>
    <w:rsid w:val="00F87E96"/>
    <w:rsid w:val="00FA23E8"/>
    <w:rsid w:val="00FD3CC1"/>
    <w:rsid w:val="00FF1E02"/>
    <w:rsid w:val="00FF30B4"/>
    <w:rsid w:val="01FD0324"/>
    <w:rsid w:val="057523D0"/>
    <w:rsid w:val="066E0107"/>
    <w:rsid w:val="067C6FD8"/>
    <w:rsid w:val="07996F6E"/>
    <w:rsid w:val="0A2032A3"/>
    <w:rsid w:val="0BA537FC"/>
    <w:rsid w:val="101860EC"/>
    <w:rsid w:val="10C055FF"/>
    <w:rsid w:val="118107EC"/>
    <w:rsid w:val="13D50BC4"/>
    <w:rsid w:val="15960C04"/>
    <w:rsid w:val="16BB723D"/>
    <w:rsid w:val="1BE8440E"/>
    <w:rsid w:val="1C727C78"/>
    <w:rsid w:val="1D155CEE"/>
    <w:rsid w:val="225D5D9F"/>
    <w:rsid w:val="23860B96"/>
    <w:rsid w:val="240371BF"/>
    <w:rsid w:val="29FD04D3"/>
    <w:rsid w:val="2C8A61B5"/>
    <w:rsid w:val="2DF04E50"/>
    <w:rsid w:val="319F7F4E"/>
    <w:rsid w:val="35EC7DCC"/>
    <w:rsid w:val="36AA5135"/>
    <w:rsid w:val="37E16F03"/>
    <w:rsid w:val="38467BAB"/>
    <w:rsid w:val="3D98207C"/>
    <w:rsid w:val="44E268DA"/>
    <w:rsid w:val="4A627F82"/>
    <w:rsid w:val="4B4F25DA"/>
    <w:rsid w:val="4BE068DB"/>
    <w:rsid w:val="4D577224"/>
    <w:rsid w:val="4DD16682"/>
    <w:rsid w:val="4EAB630A"/>
    <w:rsid w:val="4ECE2238"/>
    <w:rsid w:val="58496378"/>
    <w:rsid w:val="5A012C79"/>
    <w:rsid w:val="5A7E72A5"/>
    <w:rsid w:val="5AF92295"/>
    <w:rsid w:val="5CD71FC4"/>
    <w:rsid w:val="61AC61B1"/>
    <w:rsid w:val="65774781"/>
    <w:rsid w:val="6C4A05C8"/>
    <w:rsid w:val="6E7E3605"/>
    <w:rsid w:val="6FF5CC65"/>
    <w:rsid w:val="715C0E4B"/>
    <w:rsid w:val="72734D90"/>
    <w:rsid w:val="7377019B"/>
    <w:rsid w:val="73AD73D5"/>
    <w:rsid w:val="73B6EB34"/>
    <w:rsid w:val="762D69E8"/>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beforeLines="30"/>
    </w:pPr>
    <w:rPr>
      <w:rFonts w:ascii="仿宋_GB2312" w:eastAsia="仿宋_GB2312"/>
      <w:kern w:val="0"/>
      <w:sz w:val="30"/>
    </w:rPr>
  </w:style>
  <w:style w:type="paragraph" w:styleId="6">
    <w:name w:val="caption"/>
    <w:basedOn w:val="1"/>
    <w:next w:val="1"/>
    <w:autoRedefine/>
    <w:unhideWhenUsed/>
    <w:qFormat/>
    <w:uiPriority w:val="35"/>
    <w:rPr>
      <w:rFonts w:eastAsia="黑体" w:asciiTheme="majorHAnsi" w:hAnsiTheme="majorHAnsi" w:cstheme="majorBidi"/>
      <w:sz w:val="20"/>
      <w:szCs w:val="20"/>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Plain Text"/>
    <w:basedOn w:val="1"/>
    <w:link w:val="32"/>
    <w:autoRedefine/>
    <w:qFormat/>
    <w:uiPriority w:val="0"/>
    <w:rPr>
      <w:rFonts w:ascii="宋体" w:hAnsi="Courier New"/>
      <w:szCs w:val="22"/>
    </w:rPr>
  </w:style>
  <w:style w:type="paragraph" w:styleId="9">
    <w:name w:val="Balloon Text"/>
    <w:basedOn w:val="1"/>
    <w:link w:val="29"/>
    <w:autoRedefine/>
    <w:semiHidden/>
    <w:unhideWhenUsed/>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autoRedefine/>
    <w:unhideWhenUsed/>
    <w:qFormat/>
    <w:uiPriority w:val="39"/>
    <w:pPr>
      <w:tabs>
        <w:tab w:val="right" w:leader="dot" w:pos="8296"/>
      </w:tabs>
      <w:ind w:left="420" w:leftChars="200"/>
    </w:pPr>
  </w:style>
  <w:style w:type="character" w:styleId="16">
    <w:name w:val="Strong"/>
    <w:basedOn w:val="15"/>
    <w:autoRedefine/>
    <w:qFormat/>
    <w:uiPriority w:val="99"/>
    <w:rPr>
      <w:b/>
    </w:rPr>
  </w:style>
  <w:style w:type="character" w:styleId="17">
    <w:name w:val="Hyperlink"/>
    <w:basedOn w:val="15"/>
    <w:autoRedefine/>
    <w:unhideWhenUsed/>
    <w:qFormat/>
    <w:uiPriority w:val="99"/>
    <w:rPr>
      <w:color w:val="0000FF" w:themeColor="hyperlink"/>
      <w:u w:val="single"/>
    </w:rPr>
  </w:style>
  <w:style w:type="character" w:customStyle="1" w:styleId="18">
    <w:name w:val="Header Char"/>
    <w:basedOn w:val="15"/>
    <w:autoRedefine/>
    <w:semiHidden/>
    <w:qFormat/>
    <w:uiPriority w:val="99"/>
    <w:rPr>
      <w:rFonts w:ascii="Times New Roman" w:hAnsi="Times New Roman"/>
      <w:sz w:val="18"/>
      <w:szCs w:val="18"/>
    </w:rPr>
  </w:style>
  <w:style w:type="character" w:customStyle="1" w:styleId="19">
    <w:name w:val="页眉 字符"/>
    <w:link w:val="11"/>
    <w:autoRedefine/>
    <w:semiHidden/>
    <w:qFormat/>
    <w:locked/>
    <w:uiPriority w:val="99"/>
    <w:rPr>
      <w:sz w:val="18"/>
    </w:rPr>
  </w:style>
  <w:style w:type="character" w:customStyle="1" w:styleId="20">
    <w:name w:val="Footer Char"/>
    <w:basedOn w:val="15"/>
    <w:autoRedefine/>
    <w:semiHidden/>
    <w:qFormat/>
    <w:uiPriority w:val="99"/>
    <w:rPr>
      <w:rFonts w:ascii="Times New Roman" w:hAnsi="Times New Roman"/>
      <w:sz w:val="18"/>
      <w:szCs w:val="18"/>
    </w:rPr>
  </w:style>
  <w:style w:type="character" w:customStyle="1" w:styleId="21">
    <w:name w:val="页脚 字符"/>
    <w:link w:val="10"/>
    <w:autoRedefine/>
    <w:qFormat/>
    <w:locked/>
    <w:uiPriority w:val="99"/>
    <w:rPr>
      <w:sz w:val="18"/>
    </w:rPr>
  </w:style>
  <w:style w:type="character" w:customStyle="1" w:styleId="22">
    <w:name w:val="Body Text Char"/>
    <w:basedOn w:val="15"/>
    <w:autoRedefine/>
    <w:semiHidden/>
    <w:qFormat/>
    <w:uiPriority w:val="99"/>
    <w:rPr>
      <w:rFonts w:ascii="Times New Roman" w:hAnsi="Times New Roman"/>
      <w:szCs w:val="24"/>
    </w:rPr>
  </w:style>
  <w:style w:type="character" w:customStyle="1" w:styleId="23">
    <w:name w:val="正文文本 字符"/>
    <w:link w:val="2"/>
    <w:autoRedefine/>
    <w:qFormat/>
    <w:locked/>
    <w:uiPriority w:val="99"/>
    <w:rPr>
      <w:rFonts w:ascii="仿宋_GB2312" w:hAnsi="Times New Roman" w:eastAsia="仿宋_GB2312"/>
      <w:sz w:val="24"/>
    </w:rPr>
  </w:style>
  <w:style w:type="paragraph" w:customStyle="1" w:styleId="24">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autoRedefine/>
    <w:qFormat/>
    <w:uiPriority w:val="34"/>
    <w:pPr>
      <w:ind w:firstLine="420" w:firstLineChars="200"/>
    </w:pPr>
  </w:style>
  <w:style w:type="character" w:customStyle="1" w:styleId="26">
    <w:name w:val="标题 1 字符"/>
    <w:basedOn w:val="15"/>
    <w:link w:val="3"/>
    <w:autoRedefine/>
    <w:qFormat/>
    <w:uiPriority w:val="9"/>
    <w:rPr>
      <w:rFonts w:ascii="Times New Roman" w:hAnsi="Times New Roman"/>
      <w:b/>
      <w:bCs/>
      <w:kern w:val="44"/>
      <w:sz w:val="44"/>
      <w:szCs w:val="44"/>
    </w:rPr>
  </w:style>
  <w:style w:type="character" w:customStyle="1" w:styleId="27">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字符"/>
    <w:basedOn w:val="15"/>
    <w:link w:val="9"/>
    <w:autoRedefine/>
    <w:semiHidden/>
    <w:qFormat/>
    <w:uiPriority w:val="99"/>
    <w:rPr>
      <w:rFonts w:ascii="Times New Roman" w:hAnsi="Times New Roman"/>
      <w:kern w:val="2"/>
      <w:sz w:val="18"/>
      <w:szCs w:val="18"/>
    </w:rPr>
  </w:style>
  <w:style w:type="character" w:customStyle="1" w:styleId="30">
    <w:name w:val="标题 3 字符"/>
    <w:basedOn w:val="15"/>
    <w:link w:val="5"/>
    <w:autoRedefine/>
    <w:qFormat/>
    <w:uiPriority w:val="9"/>
    <w:rPr>
      <w:rFonts w:ascii="Times New Roman" w:hAnsi="Times New Roman"/>
      <w:b/>
      <w:bCs/>
      <w:kern w:val="2"/>
      <w:sz w:val="32"/>
      <w:szCs w:val="32"/>
    </w:rPr>
  </w:style>
  <w:style w:type="paragraph" w:customStyle="1" w:styleId="31">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字符"/>
    <w:basedOn w:val="15"/>
    <w:link w:val="8"/>
    <w:autoRedefine/>
    <w:qFormat/>
    <w:uiPriority w:val="0"/>
    <w:rPr>
      <w:rFonts w:ascii="宋体" w:hAnsi="Courier New"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收入（万元）</c:v>
                </c:pt>
                <c:pt idx="1">
                  <c:v>支出（万元）</c:v>
                </c:pt>
              </c:strCache>
            </c:strRef>
          </c:cat>
          <c:val>
            <c:numRef>
              <c:f>Sheet1!$B$2:$B$5</c:f>
              <c:numCache>
                <c:formatCode>General</c:formatCode>
                <c:ptCount val="4"/>
                <c:pt idx="0">
                  <c:v>382.99</c:v>
                </c:pt>
                <c:pt idx="1">
                  <c:v>306.66</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收入（万元）</c:v>
                </c:pt>
                <c:pt idx="1">
                  <c:v>支出（万元）</c:v>
                </c:pt>
              </c:strCache>
            </c:strRef>
          </c:cat>
          <c:val>
            <c:numRef>
              <c:f>Sheet1!$C$2:$C$5</c:f>
              <c:numCache>
                <c:formatCode>General</c:formatCode>
                <c:ptCount val="4"/>
                <c:pt idx="0">
                  <c:v>249.47</c:v>
                </c:pt>
                <c:pt idx="1">
                  <c:v>249.47</c:v>
                </c:pt>
              </c:numCache>
            </c:numRef>
          </c:val>
        </c:ser>
        <c:dLbls>
          <c:showLegendKey val="0"/>
          <c:showVal val="0"/>
          <c:showCatName val="0"/>
          <c:showSerName val="0"/>
          <c:showPercent val="0"/>
          <c:showBubbleSize val="0"/>
        </c:dLbls>
        <c:gapWidth val="150"/>
        <c:axId val="132722048"/>
        <c:axId val="132969984"/>
      </c:barChart>
      <c:catAx>
        <c:axId val="1327220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969984"/>
        <c:crosses val="autoZero"/>
        <c:auto val="1"/>
        <c:lblAlgn val="ctr"/>
        <c:lblOffset val="100"/>
        <c:noMultiLvlLbl val="0"/>
      </c:catAx>
      <c:valAx>
        <c:axId val="132969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7220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c:v>
                </c:pt>
                <c:pt idx="1">
                  <c:v>政府性基金</c:v>
                </c:pt>
                <c:pt idx="2">
                  <c:v>国有资本</c:v>
                </c:pt>
                <c:pt idx="3">
                  <c:v>上级补助</c:v>
                </c:pt>
              </c:strCache>
            </c:strRef>
          </c:cat>
          <c:val>
            <c:numRef>
              <c:f>Sheet1!$B$2:$B$5</c:f>
              <c:numCache>
                <c:formatCode>0%</c:formatCode>
                <c:ptCount val="4"/>
                <c:pt idx="0">
                  <c:v>1</c:v>
                </c:pt>
                <c:pt idx="1" c:formatCode="General">
                  <c:v>0</c:v>
                </c:pt>
                <c:pt idx="2" c:formatCode="General">
                  <c:v>0</c:v>
                </c:pt>
                <c:pt idx="3"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plotArea>
      <c:layout/>
      <c:pieChart>
        <c:varyColors val="1"/>
        <c:ser>
          <c:idx val="0"/>
          <c:order val="0"/>
          <c:tx>
            <c:strRef>
              <c:f>Sheet1!$B$1</c:f>
              <c:strCache>
                <c:ptCount val="1"/>
                <c:pt idx="0">
                  <c:v>支出结构图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0.00%</c:formatCode>
                <c:ptCount val="4"/>
                <c:pt idx="0">
                  <c:v>0.2346</c:v>
                </c:pt>
                <c:pt idx="1">
                  <c:v>0.7654</c:v>
                </c:pt>
                <c:pt idx="2" c:formatCode="0%">
                  <c:v>0</c:v>
                </c:pt>
                <c:pt idx="3"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Sheet1!$A$3:$A$7</c:f>
              <c:strCache>
                <c:ptCount val="3"/>
                <c:pt idx="1">
                  <c:v>财政拨款收入（万元）</c:v>
                </c:pt>
                <c:pt idx="2">
                  <c:v>财政拨款支出（万元）</c:v>
                </c:pt>
              </c:strCache>
            </c:strRef>
          </c:cat>
          <c:val>
            <c:numRef>
              <c:f>Sheet1!$B$3:$B$7</c:f>
              <c:numCache>
                <c:formatCode>General</c:formatCode>
                <c:ptCount val="5"/>
                <c:pt idx="1">
                  <c:v>382.99</c:v>
                </c:pt>
                <c:pt idx="2">
                  <c:v>306.66</c:v>
                </c:pt>
              </c:numCache>
            </c:numRef>
          </c:val>
        </c:ser>
        <c:ser>
          <c:idx val="1"/>
          <c:order val="1"/>
          <c:tx>
            <c:strRef>
              <c:f>Sheet1!$C$2</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Sheet1!$A$3:$A$7</c:f>
              <c:strCache>
                <c:ptCount val="3"/>
                <c:pt idx="1">
                  <c:v>财政拨款收入（万元）</c:v>
                </c:pt>
                <c:pt idx="2">
                  <c:v>财政拨款支出（万元）</c:v>
                </c:pt>
              </c:strCache>
            </c:strRef>
          </c:cat>
          <c:val>
            <c:numRef>
              <c:f>Sheet1!$C$3:$C$7</c:f>
              <c:numCache>
                <c:formatCode>General</c:formatCode>
                <c:ptCount val="5"/>
                <c:pt idx="1">
                  <c:v>249.47</c:v>
                </c:pt>
                <c:pt idx="2">
                  <c:v>249.47</c:v>
                </c:pt>
              </c:numCache>
            </c:numRef>
          </c:val>
        </c:ser>
        <c:dLbls>
          <c:showLegendKey val="0"/>
          <c:showVal val="0"/>
          <c:showCatName val="0"/>
          <c:showSerName val="0"/>
          <c:showPercent val="0"/>
          <c:showBubbleSize val="0"/>
        </c:dLbls>
        <c:gapWidth val="150"/>
        <c:axId val="92267264"/>
        <c:axId val="106566016"/>
      </c:barChart>
      <c:catAx>
        <c:axId val="922672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566016"/>
        <c:crosses val="autoZero"/>
        <c:auto val="1"/>
        <c:lblAlgn val="ctr"/>
        <c:lblOffset val="100"/>
        <c:noMultiLvlLbl val="0"/>
      </c:catAx>
      <c:valAx>
        <c:axId val="106566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2672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财政拨款支出（万元）</c:v>
                </c:pt>
              </c:strCache>
            </c:strRef>
          </c:cat>
          <c:val>
            <c:numRef>
              <c:f>Sheet1!$B$2</c:f>
              <c:numCache>
                <c:formatCode>General</c:formatCode>
                <c:ptCount val="1"/>
                <c:pt idx="0">
                  <c:v>306.66</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财政拨款支出（万元）</c:v>
                </c:pt>
              </c:strCache>
            </c:strRef>
          </c:cat>
          <c:val>
            <c:numRef>
              <c:f>Sheet1!$C$2</c:f>
              <c:numCache>
                <c:formatCode>General</c:formatCode>
                <c:ptCount val="1"/>
                <c:pt idx="0">
                  <c:v>233.67</c:v>
                </c:pt>
              </c:numCache>
            </c:numRef>
          </c:val>
        </c:ser>
        <c:dLbls>
          <c:showLegendKey val="0"/>
          <c:showVal val="0"/>
          <c:showCatName val="0"/>
          <c:showSerName val="0"/>
          <c:showPercent val="0"/>
          <c:showBubbleSize val="0"/>
        </c:dLbls>
        <c:gapWidth val="150"/>
        <c:axId val="106614784"/>
        <c:axId val="106618240"/>
      </c:barChart>
      <c:catAx>
        <c:axId val="1066147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18240"/>
        <c:crosses val="autoZero"/>
        <c:auto val="1"/>
        <c:lblAlgn val="ctr"/>
        <c:lblOffset val="100"/>
        <c:noMultiLvlLbl val="0"/>
      </c:catAx>
      <c:valAx>
        <c:axId val="106618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147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一般公共预算支出（万元）</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225.28</c:v>
                </c:pt>
                <c:pt idx="1">
                  <c:v>3.46</c:v>
                </c:pt>
                <c:pt idx="2">
                  <c:v>4.92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三公经费（万元）</c:v>
                </c:pt>
              </c:strCache>
            </c:strRef>
          </c:tx>
          <c:explosion val="0"/>
          <c:dPt>
            <c:idx val="0"/>
            <c:bubble3D val="0"/>
          </c:dPt>
          <c:dPt>
            <c:idx val="1"/>
            <c:bubble3D val="0"/>
          </c:dPt>
          <c:dPt>
            <c:idx val="2"/>
            <c:bubble3D val="0"/>
          </c:dPt>
          <c:dLbls>
            <c:delete val="1"/>
          </c:dLbls>
          <c:cat>
            <c:strRef>
              <c:f>Sheet1!$A$2:$A$4</c:f>
              <c:strCache>
                <c:ptCount val="3"/>
                <c:pt idx="0">
                  <c:v>公务用车维护费</c:v>
                </c:pt>
                <c:pt idx="1">
                  <c:v>公务接待费</c:v>
                </c:pt>
                <c:pt idx="2">
                  <c:v>因公出国（境）</c:v>
                </c:pt>
              </c:strCache>
            </c:strRef>
          </c:cat>
          <c:val>
            <c:numRef>
              <c:f>Sheet1!$B$2:$B$4</c:f>
              <c:numCache>
                <c:formatCode>General</c:formatCode>
                <c:ptCount val="3"/>
                <c:pt idx="0">
                  <c:v>0.15</c:v>
                </c:pt>
                <c:pt idx="1">
                  <c:v>0.03</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85CA7A-D00F-41D2-A66C-23B929C6549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10520</Words>
  <Characters>12067</Characters>
  <Lines>20</Lines>
  <Paragraphs>27</Paragraphs>
  <TotalTime>8</TotalTime>
  <ScaleCrop>false</ScaleCrop>
  <LinksUpToDate>false</LinksUpToDate>
  <CharactersWithSpaces>12301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李付兵</cp:lastModifiedBy>
  <cp:lastPrinted>2022-08-08T09:11:00Z</cp:lastPrinted>
  <dcterms:modified xsi:type="dcterms:W3CDTF">2023-12-20T08:18:31Z</dcterms:modified>
  <dc:title>四川省***</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4E7D7BB643864D41AFE6DF6AD5EF7F79</vt:lpwstr>
  </property>
</Properties>
</file>