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ind w:firstLine="1440" w:firstLineChars="200"/>
        <w:jc w:val="center"/>
        <w:textAlignment w:val="auto"/>
        <w:outlineLvl w:val="9"/>
        <w:rPr>
          <w:rFonts w:ascii="方正小标宋简体" w:hAnsi="宋体" w:eastAsia="方正小标宋简体"/>
          <w:sz w:val="72"/>
          <w:szCs w:val="72"/>
        </w:rPr>
      </w:pPr>
      <w:bookmarkStart w:id="0" w:name="_Toc15396475"/>
      <w:bookmarkStart w:id="1" w:name="_Toc15377193"/>
      <w:bookmarkStart w:id="2" w:name="_Toc15377425"/>
      <w:bookmarkStart w:id="3" w:name="_Toc15378441"/>
      <w:bookmarkStart w:id="4" w:name="_Toc15396597"/>
      <w:bookmarkStart w:id="5" w:name="_Toc15306267"/>
    </w:p>
    <w:p>
      <w:pPr>
        <w:pageBreakBefore w:val="0"/>
        <w:kinsoku/>
        <w:wordWrap/>
        <w:overflowPunct/>
        <w:topLinePunct w:val="0"/>
        <w:bidi w:val="0"/>
        <w:spacing w:line="600" w:lineRule="exact"/>
        <w:ind w:firstLine="1440" w:firstLineChars="200"/>
        <w:jc w:val="center"/>
        <w:textAlignment w:val="auto"/>
        <w:outlineLvl w:val="9"/>
        <w:rPr>
          <w:rFonts w:ascii="方正小标宋简体" w:hAnsi="宋体" w:eastAsia="方正小标宋简体"/>
          <w:sz w:val="72"/>
          <w:szCs w:val="72"/>
        </w:rPr>
      </w:pPr>
    </w:p>
    <w:p>
      <w:pPr>
        <w:pageBreakBefore w:val="0"/>
        <w:kinsoku/>
        <w:wordWrap/>
        <w:overflowPunct/>
        <w:topLinePunct w:val="0"/>
        <w:bidi w:val="0"/>
        <w:spacing w:line="600" w:lineRule="exact"/>
        <w:ind w:firstLine="1440" w:firstLineChars="200"/>
        <w:jc w:val="center"/>
        <w:textAlignment w:val="auto"/>
        <w:outlineLvl w:val="9"/>
        <w:rPr>
          <w:rFonts w:ascii="方正小标宋简体" w:hAnsi="宋体" w:eastAsia="方正小标宋简体"/>
          <w:sz w:val="72"/>
          <w:szCs w:val="72"/>
        </w:rPr>
      </w:pPr>
    </w:p>
    <w:p>
      <w:pPr>
        <w:pageBreakBefore w:val="0"/>
        <w:kinsoku/>
        <w:wordWrap/>
        <w:overflowPunct/>
        <w:topLinePunct w:val="0"/>
        <w:bidi w:val="0"/>
        <w:adjustRightInd w:val="0"/>
        <w:snapToGrid w:val="0"/>
        <w:spacing w:line="360" w:lineRule="auto"/>
        <w:jc w:val="center"/>
        <w:textAlignment w:val="auto"/>
        <w:outlineLvl w:val="0"/>
        <w:rPr>
          <w:rFonts w:ascii="方正小标宋简体" w:hAnsi="方正小标宋简体" w:eastAsia="方正小标宋简体" w:cs="方正小标宋简体"/>
          <w:sz w:val="72"/>
          <w:szCs w:val="72"/>
        </w:rPr>
      </w:pPr>
      <w:bookmarkStart w:id="115" w:name="_GoBack"/>
      <w:bookmarkStart w:id="6" w:name="_Toc10098"/>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p>
    <w:p>
      <w:pPr>
        <w:pageBreakBefore w:val="0"/>
        <w:kinsoku/>
        <w:wordWrap/>
        <w:overflowPunct/>
        <w:topLinePunct w:val="0"/>
        <w:bidi w:val="0"/>
        <w:adjustRightInd w:val="0"/>
        <w:snapToGrid w:val="0"/>
        <w:spacing w:line="360" w:lineRule="auto"/>
        <w:jc w:val="center"/>
        <w:textAlignment w:val="auto"/>
        <w:outlineLvl w:val="0"/>
        <w:rPr>
          <w:rFonts w:ascii="方正小标宋简体" w:hAnsi="方正小标宋简体" w:eastAsia="方正小标宋简体" w:cs="方正小标宋简体"/>
          <w:sz w:val="72"/>
          <w:szCs w:val="72"/>
        </w:rPr>
      </w:pPr>
      <w:bookmarkStart w:id="7" w:name="_Toc15396476"/>
      <w:bookmarkStart w:id="8" w:name="_Toc15396598"/>
      <w:bookmarkStart w:id="9" w:name="_Toc8080"/>
      <w:bookmarkStart w:id="10" w:name="_Toc15378442"/>
      <w:bookmarkStart w:id="11" w:name="_Toc15377426"/>
      <w:bookmarkStart w:id="12" w:name="_Toc15377194"/>
      <w:r>
        <w:rPr>
          <w:rFonts w:hint="eastAsia" w:ascii="方正小标宋简体" w:hAnsi="方正小标宋简体" w:eastAsia="方正小标宋简体" w:cs="方正小标宋简体"/>
          <w:sz w:val="72"/>
          <w:szCs w:val="72"/>
        </w:rPr>
        <w:t>攀枝花市西区</w:t>
      </w:r>
      <w:bookmarkEnd w:id="5"/>
      <w:bookmarkStart w:id="13" w:name="_Toc15306268"/>
      <w:r>
        <w:rPr>
          <w:rFonts w:hint="eastAsia" w:ascii="方正小标宋简体" w:hAnsi="方正小标宋简体" w:eastAsia="方正小标宋简体" w:cs="方正小标宋简体"/>
          <w:sz w:val="72"/>
          <w:szCs w:val="72"/>
        </w:rPr>
        <w:t>农业农村和交通运输局部门决算</w:t>
      </w:r>
      <w:bookmarkEnd w:id="7"/>
      <w:bookmarkEnd w:id="8"/>
      <w:bookmarkEnd w:id="9"/>
      <w:bookmarkEnd w:id="10"/>
      <w:bookmarkEnd w:id="11"/>
      <w:bookmarkEnd w:id="12"/>
      <w:bookmarkEnd w:id="13"/>
    </w:p>
    <w:bookmarkEnd w:id="115"/>
    <w:p>
      <w:pPr>
        <w:pageBreakBefore w:val="0"/>
        <w:widowControl/>
        <w:kinsoku/>
        <w:wordWrap/>
        <w:overflowPunct/>
        <w:topLinePunct w:val="0"/>
        <w:bidi w:val="0"/>
        <w:ind w:firstLine="720" w:firstLineChars="200"/>
        <w:jc w:val="center"/>
        <w:textAlignment w:val="auto"/>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ageBreakBefore w:val="0"/>
        <w:widowControl/>
        <w:kinsoku/>
        <w:wordWrap/>
        <w:overflowPunct/>
        <w:topLinePunct w:val="0"/>
        <w:bidi w:val="0"/>
        <w:ind w:firstLine="560" w:firstLineChars="200"/>
        <w:jc w:val="center"/>
        <w:textAlignment w:val="auto"/>
        <w:rPr>
          <w:rFonts w:ascii="黑体" w:hAnsi="黑体" w:eastAsia="黑体" w:cstheme="minorBidi"/>
          <w:sz w:val="28"/>
          <w:szCs w:val="28"/>
        </w:rPr>
      </w:pPr>
    </w:p>
    <w:p>
      <w:pPr>
        <w:pStyle w:val="13"/>
        <w:pageBreakBefore w:val="0"/>
        <w:kinsoku/>
        <w:wordWrap/>
        <w:overflowPunct/>
        <w:topLinePunct w:val="0"/>
        <w:bidi w:val="0"/>
        <w:ind w:firstLine="560" w:firstLineChars="200"/>
        <w:textAlignment w:val="auto"/>
      </w:pPr>
      <w:r>
        <w:rPr>
          <w:rFonts w:hint="eastAsia"/>
        </w:rPr>
        <w:t>公开时间：2023年</w:t>
      </w:r>
      <w:r>
        <w:rPr>
          <w:rFonts w:hint="eastAsia"/>
          <w:lang w:val="en-US" w:eastAsia="zh-CN"/>
        </w:rPr>
        <w:t>10</w:t>
      </w:r>
      <w:r>
        <w:rPr>
          <w:rFonts w:hint="eastAsia"/>
        </w:rPr>
        <w:t>月</w:t>
      </w:r>
      <w:r>
        <w:rPr>
          <w:rFonts w:hint="eastAsia"/>
          <w:lang w:val="en-US" w:eastAsia="zh-CN"/>
        </w:rPr>
        <w:t>30</w:t>
      </w:r>
      <w:r>
        <w:rPr>
          <w:rFonts w:hint="eastAsia"/>
        </w:rPr>
        <w:t>日</w:t>
      </w:r>
    </w:p>
    <w:sdt>
      <w:sdtPr>
        <w:rPr>
          <w:rFonts w:ascii="宋体" w:hAnsi="宋体" w:eastAsia="宋体" w:cs="Times New Roman"/>
          <w:kern w:val="2"/>
          <w:sz w:val="21"/>
          <w:szCs w:val="24"/>
          <w:lang w:val="en-US" w:eastAsia="zh-CN" w:bidi="ar-SA"/>
        </w:rPr>
        <w:id w:val="147467754"/>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4"/>
            <w:tabs>
              <w:tab w:val="right" w:leader="dot" w:pos="8306"/>
            </w:tabs>
            <w:rPr>
              <w:b/>
            </w:rPr>
          </w:pPr>
          <w:r>
            <w:fldChar w:fldCharType="begin"/>
          </w:r>
          <w:r>
            <w:instrText xml:space="preserve">TOC \o "1-2" \h \u </w:instrText>
          </w:r>
          <w:r>
            <w:fldChar w:fldCharType="separate"/>
          </w:r>
        </w:p>
        <w:p>
          <w:pPr>
            <w:pStyle w:val="54"/>
            <w:tabs>
              <w:tab w:val="right" w:leader="dot" w:pos="8306"/>
            </w:tabs>
            <w:rPr>
              <w:b/>
            </w:rPr>
          </w:pPr>
          <w:r>
            <w:rPr>
              <w:b/>
            </w:rPr>
            <w:fldChar w:fldCharType="begin"/>
          </w:r>
          <w:r>
            <w:rPr>
              <w:b/>
            </w:rPr>
            <w:instrText xml:space="preserve"> HYPERLINK \l _Toc29082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部门概况</w:t>
          </w:r>
          <w:r>
            <w:rPr>
              <w:b/>
            </w:rPr>
            <w:tab/>
          </w:r>
          <w:r>
            <w:rPr>
              <w:b/>
            </w:rPr>
            <w:fldChar w:fldCharType="begin"/>
          </w:r>
          <w:r>
            <w:rPr>
              <w:b/>
            </w:rPr>
            <w:instrText xml:space="preserve"> PAGEREF _Toc29082 \h </w:instrText>
          </w:r>
          <w:r>
            <w:rPr>
              <w:b/>
            </w:rPr>
            <w:fldChar w:fldCharType="separate"/>
          </w:r>
          <w:r>
            <w:rPr>
              <w:b/>
            </w:rPr>
            <w:t>1</w:t>
          </w:r>
          <w:r>
            <w:rPr>
              <w:b/>
            </w:rPr>
            <w:fldChar w:fldCharType="end"/>
          </w:r>
          <w:r>
            <w:rPr>
              <w:b/>
            </w:rPr>
            <w:fldChar w:fldCharType="end"/>
          </w:r>
        </w:p>
        <w:p>
          <w:pPr>
            <w:pStyle w:val="55"/>
            <w:tabs>
              <w:tab w:val="right" w:leader="dot" w:pos="8306"/>
            </w:tabs>
          </w:pPr>
          <w:r>
            <w:fldChar w:fldCharType="begin"/>
          </w:r>
          <w:r>
            <w:instrText xml:space="preserve"> HYPERLINK \l _Toc10941 </w:instrText>
          </w:r>
          <w:r>
            <w:fldChar w:fldCharType="separate"/>
          </w:r>
          <w:r>
            <w:rPr>
              <w:rFonts w:hint="default" w:ascii="黑体" w:hAnsi="黑体" w:eastAsia="黑体"/>
              <w:lang w:val="en-US"/>
            </w:rPr>
            <w:t xml:space="preserve">一、 </w:t>
          </w:r>
          <w:r>
            <w:rPr>
              <w:rFonts w:hint="eastAsia" w:ascii="黑体" w:hAnsi="黑体" w:eastAsia="黑体"/>
            </w:rPr>
            <w:t>部门职责</w:t>
          </w:r>
          <w:r>
            <w:tab/>
          </w:r>
          <w:r>
            <w:fldChar w:fldCharType="begin"/>
          </w:r>
          <w:r>
            <w:instrText xml:space="preserve"> PAGEREF _Toc10941 \h </w:instrText>
          </w:r>
          <w:r>
            <w:fldChar w:fldCharType="separate"/>
          </w:r>
          <w:r>
            <w:t>1</w:t>
          </w:r>
          <w:r>
            <w:fldChar w:fldCharType="end"/>
          </w:r>
          <w:r>
            <w:fldChar w:fldCharType="end"/>
          </w:r>
        </w:p>
        <w:p>
          <w:pPr>
            <w:pStyle w:val="55"/>
            <w:tabs>
              <w:tab w:val="right" w:leader="dot" w:pos="8306"/>
            </w:tabs>
          </w:pPr>
          <w:r>
            <w:fldChar w:fldCharType="begin"/>
          </w:r>
          <w:r>
            <w:instrText xml:space="preserve"> HYPERLINK \l _Toc5696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_Toc5696 \h </w:instrText>
          </w:r>
          <w:r>
            <w:fldChar w:fldCharType="separate"/>
          </w:r>
          <w:r>
            <w:t>4</w:t>
          </w:r>
          <w:r>
            <w:fldChar w:fldCharType="end"/>
          </w:r>
          <w:r>
            <w:fldChar w:fldCharType="end"/>
          </w:r>
        </w:p>
        <w:p>
          <w:pPr>
            <w:pStyle w:val="54"/>
            <w:tabs>
              <w:tab w:val="right" w:leader="dot" w:pos="8306"/>
            </w:tabs>
            <w:rPr>
              <w:b/>
            </w:rPr>
          </w:pPr>
          <w:r>
            <w:rPr>
              <w:b/>
            </w:rPr>
            <w:fldChar w:fldCharType="begin"/>
          </w:r>
          <w:r>
            <w:rPr>
              <w:b/>
            </w:rPr>
            <w:instrText xml:space="preserve"> HYPERLINK \l _Toc24804 </w:instrText>
          </w:r>
          <w:r>
            <w:rPr>
              <w:b/>
            </w:rPr>
            <w:fldChar w:fldCharType="separate"/>
          </w:r>
          <w:r>
            <w:rPr>
              <w:rFonts w:hint="eastAsia" w:ascii="黑体" w:hAnsi="黑体" w:eastAsia="黑体"/>
              <w:b/>
            </w:rPr>
            <w:t>第二部分 2022年度</w:t>
          </w:r>
          <w:r>
            <w:rPr>
              <w:rFonts w:hint="eastAsia" w:ascii="黑体" w:hAnsi="黑体" w:eastAsia="黑体"/>
              <w:b/>
              <w:bCs/>
            </w:rPr>
            <w:t>部门决算情况说明</w:t>
          </w:r>
          <w:r>
            <w:rPr>
              <w:b/>
            </w:rPr>
            <w:tab/>
          </w:r>
          <w:r>
            <w:rPr>
              <w:b/>
            </w:rPr>
            <w:fldChar w:fldCharType="begin"/>
          </w:r>
          <w:r>
            <w:rPr>
              <w:b/>
            </w:rPr>
            <w:instrText xml:space="preserve"> PAGEREF _Toc24804 \h </w:instrText>
          </w:r>
          <w:r>
            <w:rPr>
              <w:b/>
            </w:rPr>
            <w:fldChar w:fldCharType="separate"/>
          </w:r>
          <w:r>
            <w:rPr>
              <w:b/>
            </w:rPr>
            <w:t>5</w:t>
          </w:r>
          <w:r>
            <w:rPr>
              <w:b/>
            </w:rPr>
            <w:fldChar w:fldCharType="end"/>
          </w:r>
          <w:r>
            <w:rPr>
              <w:b/>
            </w:rPr>
            <w:fldChar w:fldCharType="end"/>
          </w:r>
        </w:p>
        <w:p>
          <w:pPr>
            <w:pStyle w:val="55"/>
            <w:tabs>
              <w:tab w:val="right" w:leader="dot" w:pos="8306"/>
            </w:tabs>
          </w:pPr>
          <w:r>
            <w:fldChar w:fldCharType="begin"/>
          </w:r>
          <w:r>
            <w:instrText xml:space="preserve"> HYPERLINK \l _Toc9121 </w:instrText>
          </w:r>
          <w:r>
            <w:fldChar w:fldCharType="separate"/>
          </w:r>
          <w:r>
            <w:rPr>
              <w:rFonts w:hint="eastAsia" w:ascii="黑体" w:hAnsi="黑体" w:eastAsia="黑体"/>
              <w:szCs w:val="32"/>
              <w:lang w:eastAsia="zh-CN"/>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_Toc9121 \h </w:instrText>
          </w:r>
          <w:r>
            <w:fldChar w:fldCharType="separate"/>
          </w:r>
          <w:r>
            <w:t>5</w:t>
          </w:r>
          <w:r>
            <w:fldChar w:fldCharType="end"/>
          </w:r>
          <w:r>
            <w:fldChar w:fldCharType="end"/>
          </w:r>
        </w:p>
        <w:p>
          <w:pPr>
            <w:pStyle w:val="55"/>
            <w:tabs>
              <w:tab w:val="right" w:leader="dot" w:pos="8306"/>
            </w:tabs>
          </w:pPr>
          <w:r>
            <w:fldChar w:fldCharType="begin"/>
          </w:r>
          <w:r>
            <w:instrText xml:space="preserve"> HYPERLINK \l _Toc21724 </w:instrText>
          </w:r>
          <w:r>
            <w:fldChar w:fldCharType="separate"/>
          </w:r>
          <w:r>
            <w:rPr>
              <w:rFonts w:hint="eastAsia" w:ascii="黑体" w:hAnsi="黑体" w:eastAsia="黑体"/>
              <w:szCs w:val="32"/>
              <w:lang w:eastAsia="zh-CN"/>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_Toc21724 \h </w:instrText>
          </w:r>
          <w:r>
            <w:fldChar w:fldCharType="separate"/>
          </w:r>
          <w:r>
            <w:t>5</w:t>
          </w:r>
          <w:r>
            <w:fldChar w:fldCharType="end"/>
          </w:r>
          <w:r>
            <w:fldChar w:fldCharType="end"/>
          </w:r>
        </w:p>
        <w:p>
          <w:pPr>
            <w:pStyle w:val="55"/>
            <w:tabs>
              <w:tab w:val="right" w:leader="dot" w:pos="8306"/>
            </w:tabs>
          </w:pPr>
          <w:r>
            <w:fldChar w:fldCharType="begin"/>
          </w:r>
          <w:r>
            <w:instrText xml:space="preserve"> HYPERLINK \l _Toc31867 </w:instrText>
          </w:r>
          <w:r>
            <w:fldChar w:fldCharType="separate"/>
          </w:r>
          <w:r>
            <w:rPr>
              <w:rFonts w:hint="eastAsia" w:ascii="黑体" w:hAnsi="黑体" w:eastAsia="黑体"/>
              <w:szCs w:val="32"/>
              <w:lang w:eastAsia="zh-CN"/>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_Toc31867 \h </w:instrText>
          </w:r>
          <w:r>
            <w:fldChar w:fldCharType="separate"/>
          </w:r>
          <w:r>
            <w:t>6</w:t>
          </w:r>
          <w:r>
            <w:fldChar w:fldCharType="end"/>
          </w:r>
          <w:r>
            <w:fldChar w:fldCharType="end"/>
          </w:r>
        </w:p>
        <w:p>
          <w:pPr>
            <w:pStyle w:val="55"/>
            <w:tabs>
              <w:tab w:val="right" w:leader="dot" w:pos="8306"/>
            </w:tabs>
          </w:pPr>
          <w:r>
            <w:fldChar w:fldCharType="begin"/>
          </w:r>
          <w:r>
            <w:instrText xml:space="preserve"> HYPERLINK \l _Toc19111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_Toc19111 \h </w:instrText>
          </w:r>
          <w:r>
            <w:fldChar w:fldCharType="separate"/>
          </w:r>
          <w:r>
            <w:t>6</w:t>
          </w:r>
          <w:r>
            <w:fldChar w:fldCharType="end"/>
          </w:r>
          <w:r>
            <w:fldChar w:fldCharType="end"/>
          </w:r>
        </w:p>
        <w:p>
          <w:pPr>
            <w:pStyle w:val="55"/>
            <w:tabs>
              <w:tab w:val="right" w:leader="dot" w:pos="8306"/>
            </w:tabs>
          </w:pPr>
          <w:r>
            <w:fldChar w:fldCharType="begin"/>
          </w:r>
          <w:r>
            <w:instrText xml:space="preserve"> HYPERLINK \l _Toc3783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_Toc3783 \h </w:instrText>
          </w:r>
          <w:r>
            <w:fldChar w:fldCharType="separate"/>
          </w:r>
          <w:r>
            <w:t>7</w:t>
          </w:r>
          <w:r>
            <w:fldChar w:fldCharType="end"/>
          </w:r>
          <w:r>
            <w:fldChar w:fldCharType="end"/>
          </w:r>
        </w:p>
        <w:p>
          <w:pPr>
            <w:pStyle w:val="55"/>
            <w:tabs>
              <w:tab w:val="right" w:leader="dot" w:pos="8306"/>
            </w:tabs>
          </w:pPr>
          <w:r>
            <w:fldChar w:fldCharType="begin"/>
          </w:r>
          <w:r>
            <w:instrText xml:space="preserve"> HYPERLINK \l _Toc11008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_Toc11008 \h </w:instrText>
          </w:r>
          <w:r>
            <w:fldChar w:fldCharType="separate"/>
          </w:r>
          <w:r>
            <w:t>11</w:t>
          </w:r>
          <w:r>
            <w:fldChar w:fldCharType="end"/>
          </w:r>
          <w:r>
            <w:fldChar w:fldCharType="end"/>
          </w:r>
        </w:p>
        <w:p>
          <w:pPr>
            <w:pStyle w:val="55"/>
            <w:tabs>
              <w:tab w:val="right" w:leader="dot" w:pos="8306"/>
            </w:tabs>
          </w:pPr>
          <w:r>
            <w:fldChar w:fldCharType="begin"/>
          </w:r>
          <w:r>
            <w:instrText xml:space="preserve"> HYPERLINK \l _Toc29884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_Toc29884 \h </w:instrText>
          </w:r>
          <w:r>
            <w:fldChar w:fldCharType="separate"/>
          </w:r>
          <w:r>
            <w:t>11</w:t>
          </w:r>
          <w:r>
            <w:fldChar w:fldCharType="end"/>
          </w:r>
          <w:r>
            <w:fldChar w:fldCharType="end"/>
          </w:r>
        </w:p>
        <w:p>
          <w:pPr>
            <w:pStyle w:val="55"/>
            <w:tabs>
              <w:tab w:val="right" w:leader="dot" w:pos="8306"/>
            </w:tabs>
          </w:pPr>
          <w:r>
            <w:fldChar w:fldCharType="begin"/>
          </w:r>
          <w:r>
            <w:instrText xml:space="preserve"> HYPERLINK \l _Toc29633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_Toc29633 \h </w:instrText>
          </w:r>
          <w:r>
            <w:fldChar w:fldCharType="separate"/>
          </w:r>
          <w:r>
            <w:t>13</w:t>
          </w:r>
          <w:r>
            <w:fldChar w:fldCharType="end"/>
          </w:r>
          <w:r>
            <w:fldChar w:fldCharType="end"/>
          </w:r>
        </w:p>
        <w:p>
          <w:pPr>
            <w:pStyle w:val="55"/>
            <w:tabs>
              <w:tab w:val="right" w:leader="dot" w:pos="8306"/>
            </w:tabs>
          </w:pPr>
          <w:r>
            <w:fldChar w:fldCharType="begin"/>
          </w:r>
          <w:r>
            <w:instrText xml:space="preserve"> HYPERLINK \l _Toc31666 </w:instrText>
          </w:r>
          <w:r>
            <w:fldChar w:fldCharType="separate"/>
          </w:r>
          <w:r>
            <w:rPr>
              <w:rFonts w:hint="eastAsia" w:ascii="黑体" w:hAnsi="黑体" w:eastAsia="黑体"/>
            </w:rPr>
            <w:t>九、 国有资本经营预算支出决算情况说明</w:t>
          </w:r>
          <w:r>
            <w:tab/>
          </w:r>
          <w:r>
            <w:fldChar w:fldCharType="begin"/>
          </w:r>
          <w:r>
            <w:instrText xml:space="preserve"> PAGEREF _Toc31666 \h </w:instrText>
          </w:r>
          <w:r>
            <w:fldChar w:fldCharType="separate"/>
          </w:r>
          <w:r>
            <w:t>14</w:t>
          </w:r>
          <w:r>
            <w:fldChar w:fldCharType="end"/>
          </w:r>
          <w:r>
            <w:fldChar w:fldCharType="end"/>
          </w:r>
        </w:p>
        <w:p>
          <w:pPr>
            <w:pStyle w:val="55"/>
            <w:tabs>
              <w:tab w:val="right" w:leader="dot" w:pos="8306"/>
            </w:tabs>
          </w:pPr>
          <w:r>
            <w:fldChar w:fldCharType="begin"/>
          </w:r>
          <w:r>
            <w:instrText xml:space="preserve"> HYPERLINK \l _Toc18383 </w:instrText>
          </w:r>
          <w:r>
            <w:fldChar w:fldCharType="separate"/>
          </w:r>
          <w:r>
            <w:rPr>
              <w:rFonts w:hint="eastAsia" w:ascii="黑体" w:hAnsi="黑体" w:eastAsia="黑体"/>
            </w:rPr>
            <w:t>十、 其他重要事项的情况说明</w:t>
          </w:r>
          <w:r>
            <w:tab/>
          </w:r>
          <w:r>
            <w:fldChar w:fldCharType="begin"/>
          </w:r>
          <w:r>
            <w:instrText xml:space="preserve"> PAGEREF _Toc18383 \h </w:instrText>
          </w:r>
          <w:r>
            <w:fldChar w:fldCharType="separate"/>
          </w:r>
          <w:r>
            <w:t>14</w:t>
          </w:r>
          <w:r>
            <w:fldChar w:fldCharType="end"/>
          </w:r>
          <w:r>
            <w:fldChar w:fldCharType="end"/>
          </w:r>
        </w:p>
        <w:p>
          <w:pPr>
            <w:pStyle w:val="54"/>
            <w:tabs>
              <w:tab w:val="right" w:leader="dot" w:pos="8306"/>
            </w:tabs>
            <w:rPr>
              <w:b/>
            </w:rPr>
          </w:pPr>
          <w:r>
            <w:rPr>
              <w:rFonts w:hint="eastAsia"/>
              <w:b/>
              <w:lang w:eastAsia="zh-CN"/>
            </w:rPr>
            <w:t>第三部分</w:t>
          </w:r>
          <w:r>
            <w:rPr>
              <w:rFonts w:hint="eastAsia"/>
              <w:b/>
              <w:lang w:val="en-US" w:eastAsia="zh-CN"/>
            </w:rPr>
            <w:t xml:space="preserve"> </w:t>
          </w:r>
          <w:r>
            <w:rPr>
              <w:b/>
            </w:rPr>
            <w:fldChar w:fldCharType="begin"/>
          </w:r>
          <w:r>
            <w:rPr>
              <w:b/>
            </w:rPr>
            <w:instrText xml:space="preserve"> HYPERLINK \l _Toc7898 </w:instrText>
          </w:r>
          <w:r>
            <w:rPr>
              <w:b/>
            </w:rPr>
            <w:fldChar w:fldCharType="separate"/>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_Toc7898 \h </w:instrText>
          </w:r>
          <w:r>
            <w:rPr>
              <w:b/>
            </w:rPr>
            <w:fldChar w:fldCharType="separate"/>
          </w:r>
          <w:r>
            <w:rPr>
              <w:b/>
            </w:rPr>
            <w:t>16</w:t>
          </w:r>
          <w:r>
            <w:rPr>
              <w:b/>
            </w:rPr>
            <w:fldChar w:fldCharType="end"/>
          </w:r>
          <w:r>
            <w:rPr>
              <w:b/>
            </w:rPr>
            <w:fldChar w:fldCharType="end"/>
          </w:r>
        </w:p>
        <w:p>
          <w:pPr>
            <w:pStyle w:val="54"/>
            <w:tabs>
              <w:tab w:val="right" w:leader="dot" w:pos="8306"/>
            </w:tabs>
          </w:pPr>
          <w:r>
            <w:rPr>
              <w:b/>
            </w:rPr>
            <w:fldChar w:fldCharType="begin"/>
          </w:r>
          <w:r>
            <w:rPr>
              <w:b/>
            </w:rPr>
            <w:instrText xml:space="preserve"> HYPERLINK \l _Toc29193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_Toc29193 \h </w:instrText>
          </w:r>
          <w:r>
            <w:rPr>
              <w:b/>
            </w:rPr>
            <w:fldChar w:fldCharType="separate"/>
          </w:r>
          <w:r>
            <w:rPr>
              <w:b/>
            </w:rPr>
            <w:t>20</w:t>
          </w:r>
          <w:r>
            <w:rPr>
              <w:b/>
            </w:rPr>
            <w:fldChar w:fldCharType="end"/>
          </w:r>
          <w:r>
            <w:rPr>
              <w:b/>
            </w:rPr>
            <w:fldChar w:fldCharType="end"/>
          </w:r>
        </w:p>
        <w:p>
          <w:pPr>
            <w:pStyle w:val="54"/>
            <w:tabs>
              <w:tab w:val="right" w:leader="dot" w:pos="8306"/>
            </w:tabs>
            <w:rPr>
              <w:b/>
            </w:rPr>
          </w:pPr>
          <w:r>
            <w:rPr>
              <w:b/>
            </w:rPr>
            <w:fldChar w:fldCharType="begin"/>
          </w:r>
          <w:r>
            <w:rPr>
              <w:b/>
            </w:rPr>
            <w:instrText xml:space="preserve"> HYPERLINK \l _Toc31541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_Toc31541 \h </w:instrText>
          </w:r>
          <w:r>
            <w:rPr>
              <w:b/>
            </w:rPr>
            <w:fldChar w:fldCharType="separate"/>
          </w:r>
          <w:r>
            <w:rPr>
              <w:b/>
            </w:rPr>
            <w:t>33</w:t>
          </w:r>
          <w:r>
            <w:rPr>
              <w:b/>
            </w:rPr>
            <w:fldChar w:fldCharType="end"/>
          </w:r>
          <w:r>
            <w:rPr>
              <w:b/>
            </w:rPr>
            <w:fldChar w:fldCharType="end"/>
          </w:r>
        </w:p>
        <w:p>
          <w:pPr>
            <w:pStyle w:val="55"/>
            <w:tabs>
              <w:tab w:val="right" w:leader="dot" w:pos="8306"/>
            </w:tabs>
          </w:pPr>
          <w:r>
            <w:fldChar w:fldCharType="begin"/>
          </w:r>
          <w:r>
            <w:instrText xml:space="preserve"> HYPERLINK \l _Toc17838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_Toc17838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_Toc17127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_Toc17127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_Toc29761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_Toc29761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_Toc26702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_Toc26702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_Toc10824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_Toc10824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_Toc9898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_Toc9898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_Toc21631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_Toc21631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_Toc25665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_Toc25665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_Toc8877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_Toc8877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_Toc12804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_Toc12804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_Toc1462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_Toc1462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_Toc22194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_Toc22194 \h </w:instrText>
          </w:r>
          <w:r>
            <w:fldChar w:fldCharType="separate"/>
          </w:r>
          <w:r>
            <w:t>33</w:t>
          </w:r>
          <w:r>
            <w:fldChar w:fldCharType="end"/>
          </w:r>
          <w:r>
            <w:fldChar w:fldCharType="end"/>
          </w:r>
        </w:p>
        <w:p>
          <w:pPr>
            <w:pStyle w:val="55"/>
            <w:tabs>
              <w:tab w:val="right" w:leader="dot" w:pos="8306"/>
            </w:tabs>
          </w:pPr>
          <w:r>
            <w:fldChar w:fldCharType="begin"/>
          </w:r>
          <w:r>
            <w:instrText xml:space="preserve"> HYPERLINK \l _Toc27138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_Toc27138 \h </w:instrText>
          </w:r>
          <w:r>
            <w:fldChar w:fldCharType="separate"/>
          </w:r>
          <w:r>
            <w:t>33</w:t>
          </w:r>
          <w:r>
            <w:fldChar w:fldCharType="end"/>
          </w:r>
          <w:r>
            <w:fldChar w:fldCharType="end"/>
          </w:r>
        </w:p>
        <w:p>
          <w:pPr>
            <w:pageBreakBefore w:val="0"/>
            <w:kinsoku/>
            <w:wordWrap/>
            <w:overflowPunct/>
            <w:topLinePunct w:val="0"/>
            <w:bidi w:val="0"/>
            <w:ind w:firstLine="422" w:firstLineChars="200"/>
            <w:textAlignment w:val="auto"/>
            <w:rPr>
              <w:rFonts w:ascii="Times New Roman" w:hAnsi="Times New Roman" w:eastAsia="宋体" w:cs="Times New Roman"/>
              <w:b/>
              <w:kern w:val="2"/>
              <w:sz w:val="21"/>
              <w:szCs w:val="24"/>
              <w:lang w:val="en-US" w:eastAsia="zh-CN" w:bidi="ar-SA"/>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b/>
            </w:rPr>
            <w:fldChar w:fldCharType="end"/>
          </w:r>
        </w:p>
      </w:sdtContent>
    </w:sdt>
    <w:p>
      <w:pPr>
        <w:pStyle w:val="2"/>
      </w:pPr>
    </w:p>
    <w:p>
      <w:pPr>
        <w:pStyle w:val="3"/>
        <w:pageBreakBefore w:val="0"/>
        <w:kinsoku/>
        <w:wordWrap/>
        <w:overflowPunct/>
        <w:topLinePunct w:val="0"/>
        <w:bidi w:val="0"/>
        <w:ind w:firstLine="880" w:firstLineChars="200"/>
        <w:jc w:val="center"/>
        <w:textAlignment w:val="auto"/>
        <w:rPr>
          <w:rFonts w:ascii="黑体" w:hAnsi="黑体" w:eastAsia="黑体"/>
          <w:bCs w:val="0"/>
        </w:rPr>
      </w:pPr>
      <w:bookmarkStart w:id="14" w:name="_Toc15396599"/>
      <w:bookmarkStart w:id="15" w:name="_Toc15377196"/>
      <w:bookmarkStart w:id="16" w:name="_Toc29082"/>
      <w:r>
        <w:rPr>
          <w:rFonts w:hint="eastAsia" w:ascii="黑体" w:hAnsi="黑体" w:eastAsia="黑体"/>
          <w:b w:val="0"/>
        </w:rPr>
        <w:t xml:space="preserve">第一部分 </w:t>
      </w:r>
      <w:r>
        <w:rPr>
          <w:rStyle w:val="30"/>
          <w:rFonts w:hint="eastAsia" w:ascii="黑体" w:hAnsi="黑体" w:eastAsia="黑体"/>
          <w:b w:val="0"/>
          <w:bCs w:val="0"/>
        </w:rPr>
        <w:t>部门概况</w:t>
      </w:r>
      <w:bookmarkEnd w:id="14"/>
      <w:bookmarkEnd w:id="15"/>
      <w:bookmarkEnd w:id="16"/>
    </w:p>
    <w:p>
      <w:pPr>
        <w:pStyle w:val="4"/>
        <w:pageBreakBefore w:val="0"/>
        <w:numPr>
          <w:ilvl w:val="0"/>
          <w:numId w:val="0"/>
        </w:numPr>
        <w:kinsoku/>
        <w:wordWrap/>
        <w:overflowPunct/>
        <w:topLinePunct w:val="0"/>
        <w:bidi w:val="0"/>
        <w:ind w:firstLine="640" w:firstLineChars="200"/>
        <w:textAlignment w:val="auto"/>
        <w:rPr>
          <w:rFonts w:ascii="黑体" w:hAnsi="黑体" w:eastAsia="黑体"/>
          <w:b w:val="0"/>
        </w:rPr>
      </w:pPr>
      <w:bookmarkStart w:id="17" w:name="_Toc10941"/>
      <w:r>
        <w:rPr>
          <w:rFonts w:hint="eastAsia" w:ascii="黑体" w:hAnsi="黑体" w:eastAsia="黑体"/>
          <w:b w:val="0"/>
          <w:lang w:eastAsia="zh-CN"/>
        </w:rPr>
        <w:t>一、</w:t>
      </w:r>
      <w:r>
        <w:rPr>
          <w:rFonts w:hint="eastAsia" w:ascii="黑体" w:hAnsi="黑体" w:eastAsia="黑体"/>
          <w:b w:val="0"/>
        </w:rPr>
        <w:t>部门职责</w:t>
      </w:r>
      <w:bookmarkEnd w:id="17"/>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（1）贯彻执行国家有关种植业、畜牧业、渔业、农业机械化、农垦等农业领域工作的法律、法规、政策以及区委、区政府关于“三农”方面的决策部署，组织拟订全区“三农”有关政策。</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（2）统筹实施乡村振兴战略，牵头组织改善全区农村人居环境。</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（3）负责农民承包地管理和改革有关工作。负责农村集体产权制度改革。</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（4）指导全区乡村特色产业、农产品加工业（产地初加工）、休闲农业和乡村企业发展工作。负责农业信息体系建设，推动数字农业发展。</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（5）负责全区种植业、畜牧业（草原牧业）、渔业、农垦、农业机械化等农业各产业的监督管理。</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（6）负责制定全区农业全产业机械化、智能化、数字化发展规划并组织实施。指导设施农业、农机库棚、机电提灌、机耕道等基础设施建设。</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(7)负责全区农产品质量安全监督管理。依法组织实施符合安全标准的农产品生产基地认定、产品认证、农产品地理标志登记保护和监督管理。</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(8)组织开展全区农业资源区划和资源保护工作。</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(9)负责全区有关农业生产资料和农业投入品的监督管理。组织兽医医政、兽药（鱼药）药政药检工作，负责执业兽医和兽禽屠宰行业管理。</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(10)负责全区农业防灾减灾、农作物重大病虫害防治工作。指导动植物防疫检疫体系建设，组织监督管理全区动植物防疫检疫工作，发布疫情并组织扑灭。组织植物检疫性有害生物普查。</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(11)负责全区农业投资管理。按规定权限审批农业投资项目，负责农业投资项目资金安排和监督管理。负责农业综合开发项目工作。</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（12）负责全区农田建设管理、高标准农田建设和耕地质量管理。</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（14）指导全区农业农村人才工作。拟订农业农村人才队伍建设规划并组织实施，指导农业教育和农业职业技能开发，指导新型职业农民培育、农业科技人才培养和农村实用人才培训工作。</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（15）牵头开展全区农业对外合作工作。组织开展农业贸易促进和交流合作。</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（16）负责全区农业领域行政执法工作。负责区本级涉农违法案件的办理。推进农业依法行政。</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（17）依法依规负责农业安全生产和职业健康监督管理工作。</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（18）组织拟订并监督实施公路、水路等行业发展战略、政策，会同有关部门组织编制综合运输体系规划。</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（19）负责本系统、本部门依法行政工作；指导公路、水路行业有关体制改革和机制转换工作；参与拟订物流业发展战略和规划。</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（20）指导城乡客运管理工作，指导出租车行业管理工作；会同有关部门制定运输价格。</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（22）负责提出公路、水路固定资产投资规模、方向和区财政资金安排建议，按照程序报批国家、省、市、区规划内和年度计划规模内固定资产投资项目。</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（24）指导农村公路养管理、交通工程建设、农村客运、水上交通灯方面安全生产和应急管理工作。负责全区干线路网运行监测和协调；组织协调地方交通战备工作，承担国防动员有关工作。</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（25）承担交通运输科技项目开发和研究的组织实施工作，负责交通运输科研成果的推广、应用工作。指导全区交通运输信息化建设，监测分析运行情况，开展相关统计工作，发布有关信息。</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（26）负责职责范围内的安全生产、职业健康、生态环境保护、审批服务便民化等工作。</w:t>
      </w:r>
    </w:p>
    <w:p>
      <w:pPr>
        <w:pageBreakBefore w:val="0"/>
        <w:kinsoku/>
        <w:wordWrap/>
        <w:overflowPunct/>
        <w:topLinePunct w:val="0"/>
        <w:bidi w:val="0"/>
        <w:spacing w:line="560" w:lineRule="exact"/>
        <w:ind w:left="284"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（27）完成区委、区政府交办的其他任务。</w:t>
      </w:r>
    </w:p>
    <w:p>
      <w:pPr>
        <w:pStyle w:val="4"/>
        <w:pageBreakBefore w:val="0"/>
        <w:kinsoku/>
        <w:wordWrap/>
        <w:overflowPunct/>
        <w:topLinePunct w:val="0"/>
        <w:bidi w:val="0"/>
        <w:ind w:firstLine="640" w:firstLineChars="200"/>
        <w:textAlignment w:val="auto"/>
        <w:rPr>
          <w:rStyle w:val="31"/>
          <w:b w:val="0"/>
          <w:bCs w:val="0"/>
        </w:rPr>
      </w:pPr>
      <w:bookmarkStart w:id="18" w:name="_Toc15396601"/>
      <w:bookmarkStart w:id="19" w:name="_Toc5696"/>
      <w:bookmarkStart w:id="20" w:name="_Toc1537720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8"/>
      <w:bookmarkEnd w:id="19"/>
      <w:bookmarkEnd w:id="20"/>
    </w:p>
    <w:p>
      <w:pPr>
        <w:pageBreakBefore w:val="0"/>
        <w:kinsoku/>
        <w:wordWrap/>
        <w:overflowPunct/>
        <w:topLinePunct w:val="0"/>
        <w:bidi w:val="0"/>
        <w:ind w:firstLine="640" w:firstLineChars="200"/>
        <w:textAlignment w:val="auto"/>
        <w:rPr>
          <w:rFonts w:ascii="仿宋" w:hAnsi="仿宋" w:eastAsia="仿宋"/>
          <w:sz w:val="32"/>
          <w:szCs w:val="32"/>
        </w:rPr>
      </w:pPr>
      <w:r>
        <w:rPr>
          <w:rFonts w:ascii="仿宋" w:hAnsi="仿宋" w:eastAsia="仿宋"/>
          <w:sz w:val="32"/>
          <w:szCs w:val="32"/>
        </w:rPr>
        <w:t>攀枝花市西区交通运输局</w:t>
      </w:r>
      <w:r>
        <w:rPr>
          <w:rFonts w:hint="eastAsia" w:ascii="仿宋" w:hAnsi="仿宋" w:eastAsia="仿宋"/>
          <w:sz w:val="32"/>
          <w:szCs w:val="32"/>
        </w:rPr>
        <w:t>下属二级预算单位1个，其中行政单位0个，参照公务员法管理的事业单位0个，其他事业单位1个。</w:t>
      </w:r>
    </w:p>
    <w:p>
      <w:pPr>
        <w:pStyle w:val="2"/>
        <w:pageBreakBefore w:val="0"/>
        <w:kinsoku/>
        <w:wordWrap/>
        <w:overflowPunct/>
        <w:topLinePunct w:val="0"/>
        <w:bidi w:val="0"/>
        <w:adjustRightInd w:val="0"/>
        <w:snapToGrid w:val="0"/>
        <w:spacing w:before="93" w:line="600" w:lineRule="exact"/>
        <w:ind w:firstLine="640" w:firstLineChars="200"/>
        <w:textAlignment w:val="auto"/>
        <w:rPr>
          <w:rFonts w:ascii="仿宋" w:hAnsi="仿宋" w:eastAsia="仿宋"/>
          <w:sz w:val="32"/>
          <w:szCs w:val="32"/>
        </w:rPr>
      </w:pPr>
      <w:r>
        <w:rPr>
          <w:rFonts w:hint="eastAsia" w:ascii="仿宋" w:hAnsi="仿宋" w:eastAsia="仿宋"/>
          <w:sz w:val="32"/>
          <w:szCs w:val="32"/>
        </w:rPr>
        <w:t>纳入</w:t>
      </w:r>
      <w:r>
        <w:rPr>
          <w:rFonts w:ascii="仿宋" w:hAnsi="仿宋" w:eastAsia="仿宋"/>
          <w:sz w:val="32"/>
          <w:szCs w:val="32"/>
        </w:rPr>
        <w:t>攀枝花市西区农业农村和交通运输局</w:t>
      </w:r>
      <w:r>
        <w:rPr>
          <w:rFonts w:hint="eastAsia" w:ascii="仿宋" w:hAnsi="仿宋" w:eastAsia="仿宋"/>
          <w:sz w:val="32"/>
          <w:szCs w:val="32"/>
        </w:rPr>
        <w:t>2022年度部门决算编制范围的二级预算单位包括：</w:t>
      </w:r>
    </w:p>
    <w:p>
      <w:pPr>
        <w:pStyle w:val="2"/>
        <w:pageBreakBefore w:val="0"/>
        <w:numPr>
          <w:ilvl w:val="0"/>
          <w:numId w:val="0"/>
        </w:numPr>
        <w:kinsoku/>
        <w:wordWrap/>
        <w:overflowPunct/>
        <w:topLinePunct w:val="0"/>
        <w:bidi w:val="0"/>
        <w:adjustRightInd w:val="0"/>
        <w:snapToGrid w:val="0"/>
        <w:spacing w:before="93" w:line="600" w:lineRule="exact"/>
        <w:ind w:leftChars="200"/>
        <w:textAlignment w:val="auto"/>
        <w:outlineLvl w:val="2"/>
        <w:rPr>
          <w:rFonts w:ascii="仿宋" w:hAnsi="仿宋" w:eastAsia="仿宋"/>
          <w:sz w:val="32"/>
          <w:szCs w:val="32"/>
        </w:rPr>
      </w:pPr>
      <w:bookmarkStart w:id="21" w:name="_Toc15306275"/>
      <w:bookmarkStart w:id="22" w:name="_Toc15377432"/>
      <w:bookmarkStart w:id="23" w:name="_Toc15377201"/>
      <w:bookmarkStart w:id="24" w:name="_Toc15378448"/>
      <w:r>
        <w:rPr>
          <w:rFonts w:hint="eastAsia" w:ascii="仿宋" w:hAnsi="仿宋" w:eastAsia="仿宋"/>
          <w:sz w:val="32"/>
          <w:szCs w:val="32"/>
          <w:lang w:val="en-US" w:eastAsia="zh-CN"/>
        </w:rPr>
        <w:t>1.</w:t>
      </w:r>
      <w:r>
        <w:rPr>
          <w:rFonts w:ascii="仿宋" w:hAnsi="仿宋" w:eastAsia="仿宋"/>
          <w:sz w:val="32"/>
          <w:szCs w:val="32"/>
        </w:rPr>
        <w:t>攀枝花市西区动物疫病预防控制中心</w:t>
      </w:r>
      <w:bookmarkEnd w:id="21"/>
      <w:bookmarkEnd w:id="22"/>
      <w:bookmarkEnd w:id="23"/>
      <w:bookmarkEnd w:id="24"/>
    </w:p>
    <w:p>
      <w:pPr>
        <w:pageBreakBefore w:val="0"/>
        <w:widowControl/>
        <w:kinsoku/>
        <w:wordWrap/>
        <w:overflowPunct/>
        <w:topLinePunct w:val="0"/>
        <w:bidi w:val="0"/>
        <w:ind w:firstLine="640" w:firstLineChars="200"/>
        <w:jc w:val="left"/>
        <w:textAlignment w:val="auto"/>
        <w:rPr>
          <w:rFonts w:ascii="仿宋" w:hAnsi="仿宋" w:eastAsia="仿宋"/>
          <w:kern w:val="0"/>
          <w:sz w:val="32"/>
          <w:szCs w:val="32"/>
        </w:rPr>
      </w:pPr>
      <w:r>
        <w:rPr>
          <w:rFonts w:ascii="仿宋" w:hAnsi="仿宋" w:eastAsia="仿宋"/>
          <w:sz w:val="32"/>
          <w:szCs w:val="32"/>
        </w:rPr>
        <w:br w:type="page"/>
      </w:r>
    </w:p>
    <w:p>
      <w:pPr>
        <w:pStyle w:val="3"/>
        <w:pageBreakBefore w:val="0"/>
        <w:kinsoku/>
        <w:wordWrap/>
        <w:overflowPunct/>
        <w:topLinePunct w:val="0"/>
        <w:bidi w:val="0"/>
        <w:ind w:right="440"/>
        <w:jc w:val="center"/>
        <w:textAlignment w:val="auto"/>
        <w:rPr>
          <w:rStyle w:val="30"/>
          <w:rFonts w:ascii="黑体" w:hAnsi="黑体" w:eastAsia="黑体"/>
          <w:b w:val="0"/>
          <w:bCs/>
        </w:rPr>
      </w:pPr>
      <w:bookmarkStart w:id="25" w:name="_Toc15396602"/>
      <w:bookmarkStart w:id="26" w:name="_Toc24804"/>
      <w:bookmarkStart w:id="27" w:name="_Toc15377204"/>
      <w:r>
        <w:rPr>
          <w:rFonts w:hint="eastAsia" w:ascii="黑体" w:hAnsi="黑体" w:eastAsia="黑体"/>
          <w:b w:val="0"/>
        </w:rPr>
        <w:t>第二部分 2022年度</w:t>
      </w:r>
      <w:r>
        <w:rPr>
          <w:rStyle w:val="30"/>
          <w:rFonts w:hint="eastAsia" w:ascii="黑体" w:hAnsi="黑体" w:eastAsia="黑体"/>
          <w:b w:val="0"/>
          <w:bCs/>
        </w:rPr>
        <w:t>部门决算情况说明</w:t>
      </w:r>
      <w:bookmarkEnd w:id="25"/>
      <w:bookmarkEnd w:id="26"/>
      <w:bookmarkEnd w:id="27"/>
    </w:p>
    <w:p>
      <w:pPr>
        <w:pageBreakBefore w:val="0"/>
        <w:kinsoku/>
        <w:wordWrap/>
        <w:overflowPunct/>
        <w:topLinePunct w:val="0"/>
        <w:bidi w:val="0"/>
        <w:ind w:firstLine="420" w:firstLineChars="200"/>
        <w:textAlignment w:val="auto"/>
      </w:pPr>
    </w:p>
    <w:p>
      <w:pPr>
        <w:pStyle w:val="29"/>
        <w:pageBreakBefore w:val="0"/>
        <w:numPr>
          <w:ilvl w:val="0"/>
          <w:numId w:val="0"/>
        </w:numPr>
        <w:kinsoku/>
        <w:wordWrap/>
        <w:overflowPunct/>
        <w:topLinePunct w:val="0"/>
        <w:bidi w:val="0"/>
        <w:spacing w:line="600" w:lineRule="exact"/>
        <w:ind w:firstLine="640" w:firstLineChars="200"/>
        <w:textAlignment w:val="auto"/>
        <w:outlineLvl w:val="1"/>
        <w:rPr>
          <w:rStyle w:val="31"/>
          <w:rFonts w:ascii="黑体" w:hAnsi="黑体" w:eastAsia="黑体"/>
          <w:b w:val="0"/>
        </w:rPr>
      </w:pPr>
      <w:bookmarkStart w:id="28" w:name="_Toc15396603"/>
      <w:bookmarkStart w:id="29" w:name="_Toc15377205"/>
      <w:bookmarkStart w:id="30" w:name="_Toc9121"/>
      <w:r>
        <w:rPr>
          <w:rFonts w:hint="eastAsia" w:ascii="黑体" w:hAnsi="黑体" w:eastAsia="黑体"/>
          <w:sz w:val="32"/>
          <w:szCs w:val="32"/>
          <w:lang w:eastAsia="zh-CN"/>
        </w:rPr>
        <w:t>一、</w:t>
      </w:r>
      <w:r>
        <w:rPr>
          <w:rFonts w:hint="eastAsia" w:ascii="黑体" w:hAnsi="黑体" w:eastAsia="黑体"/>
          <w:sz w:val="32"/>
          <w:szCs w:val="32"/>
        </w:rPr>
        <w:t>收</w:t>
      </w:r>
      <w:r>
        <w:rPr>
          <w:rStyle w:val="31"/>
          <w:rFonts w:hint="eastAsia" w:ascii="黑体" w:hAnsi="黑体" w:eastAsia="黑体"/>
          <w:b w:val="0"/>
        </w:rPr>
        <w:t>入支出决算总体情况说明</w:t>
      </w:r>
      <w:bookmarkEnd w:id="28"/>
      <w:bookmarkEnd w:id="29"/>
      <w:bookmarkEnd w:id="30"/>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2022年度收、支总计1598.57万元。与2021年相比，收、支总计各减少2557.58万元，下降62.4</w:t>
      </w:r>
      <w:r>
        <w:rPr>
          <w:rFonts w:ascii="仿宋" w:hAnsi="仿宋" w:eastAsia="仿宋"/>
          <w:sz w:val="32"/>
          <w:szCs w:val="32"/>
        </w:rPr>
        <w:t>%</w:t>
      </w:r>
      <w:r>
        <w:rPr>
          <w:rFonts w:hint="eastAsia" w:ascii="仿宋" w:hAnsi="仿宋" w:eastAsia="仿宋"/>
          <w:sz w:val="32"/>
          <w:szCs w:val="32"/>
        </w:rPr>
        <w:t>。主要变动原因是农业、交通专项大额资金减少。</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pageBreakBefore w:val="0"/>
        <w:kinsoku/>
        <w:wordWrap/>
        <w:overflowPunct/>
        <w:topLinePunct w:val="0"/>
        <w:bidi w:val="0"/>
        <w:spacing w:before="93"/>
        <w:ind w:firstLine="600" w:firstLineChars="200"/>
        <w:textAlignment w:val="auto"/>
      </w:pPr>
      <w:r>
        <w:drawing>
          <wp:inline distT="0" distB="0" distL="0" distR="0">
            <wp:extent cx="3419475" cy="1771650"/>
            <wp:effectExtent l="19050" t="0" r="9525"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9"/>
        <w:pageBreakBefore w:val="0"/>
        <w:numPr>
          <w:ilvl w:val="0"/>
          <w:numId w:val="0"/>
        </w:numPr>
        <w:kinsoku/>
        <w:wordWrap/>
        <w:overflowPunct/>
        <w:topLinePunct w:val="0"/>
        <w:bidi w:val="0"/>
        <w:spacing w:line="600" w:lineRule="exact"/>
        <w:ind w:firstLine="640" w:firstLineChars="200"/>
        <w:textAlignment w:val="auto"/>
        <w:outlineLvl w:val="1"/>
        <w:rPr>
          <w:rStyle w:val="31"/>
          <w:rFonts w:ascii="黑体" w:hAnsi="黑体" w:eastAsia="黑体"/>
          <w:b w:val="0"/>
        </w:rPr>
      </w:pPr>
      <w:bookmarkStart w:id="31" w:name="_Toc15396604"/>
      <w:bookmarkStart w:id="32" w:name="_Toc21724"/>
      <w:bookmarkStart w:id="33" w:name="_Toc15377206"/>
      <w:r>
        <w:rPr>
          <w:rFonts w:hint="eastAsia" w:ascii="黑体" w:hAnsi="黑体" w:eastAsia="黑体"/>
          <w:sz w:val="32"/>
          <w:szCs w:val="32"/>
          <w:lang w:eastAsia="zh-CN"/>
        </w:rPr>
        <w:t>二、</w:t>
      </w:r>
      <w:r>
        <w:rPr>
          <w:rFonts w:hint="eastAsia" w:ascii="黑体" w:hAnsi="黑体" w:eastAsia="黑体"/>
          <w:sz w:val="32"/>
          <w:szCs w:val="32"/>
        </w:rPr>
        <w:t>收</w:t>
      </w:r>
      <w:r>
        <w:rPr>
          <w:rStyle w:val="31"/>
          <w:rFonts w:hint="eastAsia" w:ascii="黑体" w:hAnsi="黑体" w:eastAsia="黑体"/>
          <w:b w:val="0"/>
        </w:rPr>
        <w:t>入决算情况说明</w:t>
      </w:r>
      <w:bookmarkEnd w:id="31"/>
      <w:bookmarkEnd w:id="32"/>
      <w:bookmarkEnd w:id="33"/>
    </w:p>
    <w:p>
      <w:pPr>
        <w:pageBreakBefore w:val="0"/>
        <w:kinsoku/>
        <w:wordWrap/>
        <w:overflowPunct/>
        <w:topLinePunct w:val="0"/>
        <w:bidi w:val="0"/>
        <w:spacing w:line="600" w:lineRule="exact"/>
        <w:ind w:firstLine="640" w:firstLineChars="200"/>
        <w:textAlignment w:val="auto"/>
        <w:outlineLvl w:val="1"/>
        <w:rPr>
          <w:rFonts w:ascii="仿宋" w:hAnsi="仿宋" w:eastAsia="仿宋"/>
          <w:sz w:val="32"/>
          <w:szCs w:val="32"/>
        </w:rPr>
      </w:pPr>
      <w:bookmarkStart w:id="34" w:name="_Toc28803"/>
      <w:r>
        <w:rPr>
          <w:rFonts w:ascii="仿宋" w:hAnsi="仿宋" w:eastAsia="仿宋"/>
          <w:sz w:val="32"/>
          <w:szCs w:val="32"/>
        </w:rPr>
        <w:t>20</w:t>
      </w:r>
      <w:r>
        <w:rPr>
          <w:rFonts w:hint="eastAsia" w:ascii="仿宋" w:hAnsi="仿宋" w:eastAsia="仿宋"/>
          <w:sz w:val="32"/>
          <w:szCs w:val="32"/>
        </w:rPr>
        <w:t>22年本年收入合计1226.83万元，其中：一般公共预算财政拨款收入1186.43万元，占96.7</w:t>
      </w:r>
      <w:r>
        <w:rPr>
          <w:rFonts w:ascii="仿宋" w:hAnsi="仿宋" w:eastAsia="仿宋"/>
          <w:sz w:val="32"/>
          <w:szCs w:val="32"/>
        </w:rPr>
        <w:t>%</w:t>
      </w:r>
      <w:r>
        <w:rPr>
          <w:rFonts w:hint="eastAsia" w:ascii="仿宋" w:hAnsi="仿宋" w:eastAsia="仿宋"/>
          <w:sz w:val="32"/>
          <w:szCs w:val="32"/>
        </w:rPr>
        <w:t>；政府性基金预算财政拨款收入40.4万元，占3.3</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4"/>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（图2：收入决算结构图）（饼状图）</w:t>
      </w:r>
    </w:p>
    <w:p>
      <w:pPr>
        <w:pStyle w:val="2"/>
        <w:pageBreakBefore w:val="0"/>
        <w:kinsoku/>
        <w:wordWrap/>
        <w:overflowPunct/>
        <w:topLinePunct w:val="0"/>
        <w:bidi w:val="0"/>
        <w:spacing w:before="93"/>
        <w:ind w:firstLine="600" w:firstLineChars="200"/>
        <w:textAlignment w:val="auto"/>
      </w:pPr>
      <w:r>
        <w:drawing>
          <wp:inline distT="0" distB="0" distL="0" distR="0">
            <wp:extent cx="3019425" cy="1866265"/>
            <wp:effectExtent l="19050" t="0" r="9525" b="1"/>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9"/>
        <w:pageBreakBefore w:val="0"/>
        <w:numPr>
          <w:ilvl w:val="0"/>
          <w:numId w:val="0"/>
        </w:numPr>
        <w:kinsoku/>
        <w:wordWrap/>
        <w:overflowPunct/>
        <w:topLinePunct w:val="0"/>
        <w:bidi w:val="0"/>
        <w:spacing w:line="600" w:lineRule="exact"/>
        <w:ind w:firstLine="640" w:firstLineChars="200"/>
        <w:textAlignment w:val="auto"/>
        <w:outlineLvl w:val="1"/>
        <w:rPr>
          <w:rStyle w:val="31"/>
          <w:rFonts w:ascii="黑体" w:hAnsi="黑体" w:eastAsia="黑体"/>
          <w:b w:val="0"/>
        </w:rPr>
      </w:pPr>
      <w:bookmarkStart w:id="35" w:name="_Toc15377207"/>
      <w:bookmarkStart w:id="36" w:name="_Toc31867"/>
      <w:bookmarkStart w:id="37" w:name="_Toc15396605"/>
      <w:r>
        <w:rPr>
          <w:rFonts w:hint="eastAsia" w:ascii="黑体" w:hAnsi="黑体" w:eastAsia="黑体"/>
          <w:sz w:val="32"/>
          <w:szCs w:val="32"/>
          <w:lang w:eastAsia="zh-CN"/>
        </w:rPr>
        <w:t>三、</w:t>
      </w:r>
      <w:r>
        <w:rPr>
          <w:rFonts w:hint="eastAsia" w:ascii="黑体" w:hAnsi="黑体" w:eastAsia="黑体"/>
          <w:sz w:val="32"/>
          <w:szCs w:val="32"/>
        </w:rPr>
        <w:t>支</w:t>
      </w:r>
      <w:r>
        <w:rPr>
          <w:rStyle w:val="31"/>
          <w:rFonts w:hint="eastAsia" w:ascii="黑体" w:hAnsi="黑体" w:eastAsia="黑体"/>
          <w:b w:val="0"/>
        </w:rPr>
        <w:t>出决算情况说明</w:t>
      </w:r>
      <w:bookmarkEnd w:id="35"/>
      <w:bookmarkEnd w:id="36"/>
      <w:bookmarkEnd w:id="37"/>
    </w:p>
    <w:p>
      <w:pPr>
        <w:pageBreakBefore w:val="0"/>
        <w:kinsoku/>
        <w:wordWrap/>
        <w:overflowPunct/>
        <w:topLinePunct w:val="0"/>
        <w:bidi w:val="0"/>
        <w:spacing w:line="600" w:lineRule="exact"/>
        <w:ind w:firstLine="640" w:firstLineChars="200"/>
        <w:textAlignment w:val="auto"/>
        <w:outlineLvl w:val="1"/>
        <w:rPr>
          <w:rFonts w:ascii="仿宋" w:hAnsi="仿宋" w:eastAsia="仿宋"/>
          <w:sz w:val="32"/>
          <w:szCs w:val="32"/>
        </w:rPr>
      </w:pPr>
      <w:bookmarkStart w:id="38" w:name="_Toc13565"/>
      <w:r>
        <w:rPr>
          <w:rFonts w:ascii="仿宋" w:hAnsi="仿宋" w:eastAsia="仿宋"/>
          <w:sz w:val="32"/>
          <w:szCs w:val="32"/>
        </w:rPr>
        <w:t>20</w:t>
      </w:r>
      <w:r>
        <w:rPr>
          <w:rFonts w:hint="eastAsia" w:ascii="仿宋" w:hAnsi="仿宋" w:eastAsia="仿宋"/>
          <w:sz w:val="32"/>
          <w:szCs w:val="32"/>
        </w:rPr>
        <w:t>22年本年支出合计1542.94万元，其中：基本支出584.34万元，占37.87</w:t>
      </w:r>
      <w:r>
        <w:rPr>
          <w:rFonts w:ascii="仿宋" w:hAnsi="仿宋" w:eastAsia="仿宋"/>
          <w:sz w:val="32"/>
          <w:szCs w:val="32"/>
        </w:rPr>
        <w:t>%</w:t>
      </w:r>
      <w:r>
        <w:rPr>
          <w:rFonts w:hint="eastAsia" w:ascii="仿宋" w:hAnsi="仿宋" w:eastAsia="仿宋"/>
          <w:sz w:val="32"/>
          <w:szCs w:val="32"/>
        </w:rPr>
        <w:t>；项目支出958.6万元，占62.13</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；对附属单位补助支出0元，占0</w:t>
      </w:r>
      <w:r>
        <w:rPr>
          <w:rFonts w:ascii="仿宋" w:hAnsi="仿宋" w:eastAsia="仿宋"/>
          <w:sz w:val="32"/>
          <w:szCs w:val="32"/>
        </w:rPr>
        <w:t>%</w:t>
      </w:r>
      <w:r>
        <w:rPr>
          <w:rFonts w:hint="eastAsia" w:ascii="仿宋" w:hAnsi="仿宋" w:eastAsia="仿宋"/>
          <w:sz w:val="32"/>
          <w:szCs w:val="32"/>
        </w:rPr>
        <w:t>。</w:t>
      </w:r>
      <w:bookmarkEnd w:id="38"/>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（图3：支出决算结构图）（饼状图）</w:t>
      </w:r>
    </w:p>
    <w:p>
      <w:pPr>
        <w:pStyle w:val="2"/>
        <w:pageBreakBefore w:val="0"/>
        <w:kinsoku/>
        <w:wordWrap/>
        <w:overflowPunct/>
        <w:topLinePunct w:val="0"/>
        <w:bidi w:val="0"/>
        <w:spacing w:before="93"/>
        <w:ind w:firstLine="600" w:firstLineChars="200"/>
        <w:textAlignment w:val="auto"/>
      </w:pPr>
      <w:r>
        <w:drawing>
          <wp:inline distT="0" distB="0" distL="0" distR="0">
            <wp:extent cx="3371850" cy="2113915"/>
            <wp:effectExtent l="19050" t="0" r="19050" b="1"/>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600" w:lineRule="exact"/>
        <w:ind w:firstLine="640" w:firstLineChars="200"/>
        <w:textAlignment w:val="auto"/>
        <w:outlineLvl w:val="1"/>
        <w:rPr>
          <w:rStyle w:val="31"/>
          <w:rFonts w:ascii="黑体" w:hAnsi="黑体" w:eastAsia="黑体"/>
          <w:b w:val="0"/>
        </w:rPr>
      </w:pPr>
      <w:bookmarkStart w:id="39" w:name="_Toc15396606"/>
      <w:bookmarkStart w:id="40" w:name="_Toc15377208"/>
      <w:bookmarkStart w:id="41" w:name="_Toc19111"/>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9"/>
      <w:bookmarkEnd w:id="40"/>
      <w:bookmarkEnd w:id="41"/>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22年财政拨款收、支总计1542.94万元。与</w:t>
      </w:r>
      <w:r>
        <w:rPr>
          <w:rFonts w:ascii="仿宋" w:hAnsi="仿宋" w:eastAsia="仿宋"/>
          <w:sz w:val="32"/>
          <w:szCs w:val="32"/>
        </w:rPr>
        <w:t>20</w:t>
      </w:r>
      <w:r>
        <w:rPr>
          <w:rFonts w:hint="eastAsia" w:ascii="仿宋" w:hAnsi="仿宋" w:eastAsia="仿宋"/>
          <w:sz w:val="32"/>
          <w:szCs w:val="32"/>
        </w:rPr>
        <w:t>21年相比，财政拨款收、支总计各减少2573.33万元，下降62.5</w:t>
      </w:r>
      <w:r>
        <w:rPr>
          <w:rFonts w:ascii="仿宋" w:hAnsi="仿宋" w:eastAsia="仿宋"/>
          <w:sz w:val="32"/>
          <w:szCs w:val="32"/>
        </w:rPr>
        <w:t>%</w:t>
      </w:r>
      <w:r>
        <w:rPr>
          <w:rFonts w:hint="eastAsia" w:ascii="仿宋" w:hAnsi="仿宋" w:eastAsia="仿宋"/>
          <w:sz w:val="32"/>
          <w:szCs w:val="32"/>
        </w:rPr>
        <w:t>。主要变动原因是大额项目资金减少。</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pageBreakBefore w:val="0"/>
        <w:kinsoku/>
        <w:wordWrap/>
        <w:overflowPunct/>
        <w:topLinePunct w:val="0"/>
        <w:bidi w:val="0"/>
        <w:spacing w:before="93"/>
        <w:ind w:firstLine="600" w:firstLineChars="200"/>
        <w:textAlignment w:val="auto"/>
      </w:pPr>
      <w:r>
        <w:drawing>
          <wp:inline distT="0" distB="0" distL="0" distR="0">
            <wp:extent cx="3743325" cy="2105025"/>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600" w:lineRule="exact"/>
        <w:ind w:firstLine="640" w:firstLineChars="200"/>
        <w:textAlignment w:val="auto"/>
        <w:outlineLvl w:val="1"/>
        <w:rPr>
          <w:rStyle w:val="31"/>
          <w:rFonts w:ascii="黑体" w:hAnsi="黑体" w:eastAsia="黑体"/>
          <w:b w:val="0"/>
        </w:rPr>
      </w:pPr>
      <w:bookmarkStart w:id="42" w:name="_Toc3783"/>
      <w:bookmarkStart w:id="43" w:name="_Toc15377209"/>
      <w:bookmarkStart w:id="44"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42"/>
      <w:bookmarkEnd w:id="43"/>
      <w:bookmarkEnd w:id="44"/>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45" w:name="_Toc15377210"/>
      <w:r>
        <w:rPr>
          <w:rFonts w:hint="eastAsia" w:ascii="仿宋" w:hAnsi="仿宋" w:eastAsia="仿宋"/>
          <w:b/>
          <w:sz w:val="32"/>
          <w:szCs w:val="32"/>
        </w:rPr>
        <w:t>（一）一般公共预算财政拨款支出决算总体情况</w:t>
      </w:r>
      <w:bookmarkEnd w:id="45"/>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22年一般公共预算财政拨款支出1502.54万元，占本年支出合计的97.4</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21年相比，一般公共预算财政拨款支出减少2513.34万元，下降62.6</w:t>
      </w:r>
      <w:r>
        <w:rPr>
          <w:rFonts w:ascii="仿宋" w:hAnsi="仿宋" w:eastAsia="仿宋"/>
          <w:sz w:val="32"/>
          <w:szCs w:val="32"/>
        </w:rPr>
        <w:t>%</w:t>
      </w:r>
      <w:r>
        <w:rPr>
          <w:rFonts w:hint="eastAsia" w:ascii="仿宋" w:hAnsi="仿宋" w:eastAsia="仿宋"/>
          <w:sz w:val="32"/>
          <w:szCs w:val="32"/>
        </w:rPr>
        <w:t>。主要变动原因是大额项目资金减少。</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pageBreakBefore w:val="0"/>
        <w:kinsoku/>
        <w:wordWrap/>
        <w:overflowPunct/>
        <w:topLinePunct w:val="0"/>
        <w:bidi w:val="0"/>
        <w:spacing w:before="93"/>
        <w:ind w:firstLine="600" w:firstLineChars="200"/>
        <w:textAlignment w:val="auto"/>
      </w:pPr>
      <w:r>
        <w:drawing>
          <wp:inline distT="0" distB="0" distL="0" distR="0">
            <wp:extent cx="3705225" cy="2152650"/>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46" w:name="_Toc15377211"/>
      <w:r>
        <w:rPr>
          <w:rFonts w:hint="eastAsia" w:ascii="仿宋" w:hAnsi="仿宋" w:eastAsia="仿宋"/>
          <w:b/>
          <w:sz w:val="32"/>
          <w:szCs w:val="32"/>
        </w:rPr>
        <w:t>（二）一般公共预算财政拨款支出决算结构情况</w:t>
      </w:r>
      <w:bookmarkEnd w:id="46"/>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22年一般公共预算财政拨款支出1502.54万元，主要用于以下方面</w:t>
      </w:r>
      <w:r>
        <w:rPr>
          <w:rFonts w:ascii="仿宋" w:hAnsi="仿宋" w:eastAsia="仿宋"/>
          <w:sz w:val="32"/>
          <w:szCs w:val="32"/>
        </w:rPr>
        <w:t>:</w:t>
      </w:r>
      <w:r>
        <w:rPr>
          <w:rFonts w:hint="eastAsia" w:ascii="仿宋" w:hAnsi="仿宋" w:eastAsia="仿宋"/>
          <w:b w:val="0"/>
          <w:bCs/>
          <w:sz w:val="32"/>
          <w:szCs w:val="32"/>
        </w:rPr>
        <w:t>一般公共服务支出0万元，占0</w:t>
      </w:r>
      <w:r>
        <w:rPr>
          <w:rFonts w:ascii="仿宋" w:hAnsi="仿宋" w:eastAsia="仿宋"/>
          <w:b w:val="0"/>
          <w:bCs/>
          <w:sz w:val="32"/>
          <w:szCs w:val="32"/>
        </w:rPr>
        <w:t>%</w:t>
      </w:r>
      <w:r>
        <w:rPr>
          <w:rFonts w:hint="eastAsia" w:ascii="仿宋" w:hAnsi="仿宋" w:eastAsia="仿宋"/>
          <w:b w:val="0"/>
          <w:bCs/>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val="0"/>
          <w:bCs/>
          <w:sz w:val="32"/>
          <w:szCs w:val="32"/>
        </w:rPr>
        <w:t>科学技术支出0万元，占0</w:t>
      </w:r>
      <w:r>
        <w:rPr>
          <w:rFonts w:ascii="仿宋" w:hAnsi="仿宋" w:eastAsia="仿宋"/>
          <w:b w:val="0"/>
          <w:bCs/>
          <w:sz w:val="32"/>
          <w:szCs w:val="32"/>
        </w:rPr>
        <w:t>%</w:t>
      </w:r>
      <w:r>
        <w:rPr>
          <w:rFonts w:hint="eastAsia" w:ascii="仿宋" w:hAnsi="仿宋" w:eastAsia="仿宋"/>
          <w:b w:val="0"/>
          <w:bCs/>
          <w:sz w:val="32"/>
          <w:szCs w:val="32"/>
        </w:rPr>
        <w:t>；文化旅游体育与传媒支出0万元，占0</w:t>
      </w:r>
      <w:r>
        <w:rPr>
          <w:rFonts w:ascii="仿宋" w:hAnsi="仿宋" w:eastAsia="仿宋"/>
          <w:b w:val="0"/>
          <w:bCs/>
          <w:sz w:val="32"/>
          <w:szCs w:val="32"/>
        </w:rPr>
        <w:t>%</w:t>
      </w:r>
      <w:r>
        <w:rPr>
          <w:rFonts w:hint="eastAsia" w:ascii="仿宋" w:hAnsi="仿宋" w:eastAsia="仿宋"/>
          <w:b w:val="0"/>
          <w:bCs/>
          <w:sz w:val="32"/>
          <w:szCs w:val="32"/>
        </w:rPr>
        <w:t>；社会保障和就业支出41.63万元，占2.8</w:t>
      </w:r>
      <w:r>
        <w:rPr>
          <w:rFonts w:ascii="仿宋" w:hAnsi="仿宋" w:eastAsia="仿宋"/>
          <w:b w:val="0"/>
          <w:bCs/>
          <w:sz w:val="32"/>
          <w:szCs w:val="32"/>
        </w:rPr>
        <w:t>%</w:t>
      </w:r>
      <w:r>
        <w:rPr>
          <w:rFonts w:hint="eastAsia" w:ascii="仿宋" w:hAnsi="仿宋" w:eastAsia="仿宋"/>
          <w:b w:val="0"/>
          <w:bCs/>
          <w:sz w:val="32"/>
          <w:szCs w:val="32"/>
        </w:rPr>
        <w:t>；卫生健康支出26.32万元，占1.8</w:t>
      </w:r>
      <w:r>
        <w:rPr>
          <w:rFonts w:ascii="仿宋" w:hAnsi="仿宋" w:eastAsia="仿宋"/>
          <w:b w:val="0"/>
          <w:bCs/>
          <w:sz w:val="32"/>
          <w:szCs w:val="32"/>
        </w:rPr>
        <w:t>%</w:t>
      </w:r>
      <w:r>
        <w:rPr>
          <w:rFonts w:hint="eastAsia" w:ascii="仿宋" w:hAnsi="仿宋" w:eastAsia="仿宋"/>
          <w:b w:val="0"/>
          <w:bCs/>
          <w:sz w:val="32"/>
          <w:szCs w:val="32"/>
        </w:rPr>
        <w:t>；住房保障支出38.27万元，占2.5</w:t>
      </w:r>
      <w:r>
        <w:rPr>
          <w:rFonts w:ascii="仿宋" w:hAnsi="仿宋" w:eastAsia="仿宋"/>
          <w:b w:val="0"/>
          <w:bCs/>
          <w:sz w:val="32"/>
          <w:szCs w:val="32"/>
        </w:rPr>
        <w:t>%</w:t>
      </w:r>
      <w:r>
        <w:rPr>
          <w:rFonts w:hint="eastAsia" w:ascii="仿宋" w:hAnsi="仿宋" w:eastAsia="仿宋"/>
          <w:b w:val="0"/>
          <w:bCs/>
          <w:sz w:val="32"/>
          <w:szCs w:val="32"/>
        </w:rPr>
        <w:t>；农林水</w:t>
      </w:r>
      <w:r>
        <w:rPr>
          <w:rFonts w:hint="eastAsia" w:ascii="仿宋" w:hAnsi="仿宋" w:eastAsia="仿宋"/>
          <w:sz w:val="32"/>
          <w:szCs w:val="32"/>
        </w:rPr>
        <w:t>支出1153.5万元，占76.7%；交通运输支出241.8万元，占16%。</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pageBreakBefore w:val="0"/>
        <w:kinsoku/>
        <w:wordWrap/>
        <w:overflowPunct/>
        <w:topLinePunct w:val="0"/>
        <w:bidi w:val="0"/>
        <w:spacing w:before="93"/>
        <w:ind w:firstLine="600" w:firstLineChars="200"/>
        <w:textAlignment w:val="auto"/>
      </w:pPr>
      <w:r>
        <w:drawing>
          <wp:inline distT="0" distB="0" distL="0" distR="0">
            <wp:extent cx="3095625" cy="2209800"/>
            <wp:effectExtent l="1905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47" w:name="_Toc15377212"/>
      <w:r>
        <w:rPr>
          <w:rFonts w:hint="eastAsia" w:ascii="仿宋" w:hAnsi="仿宋" w:eastAsia="仿宋"/>
          <w:b/>
          <w:sz w:val="32"/>
          <w:szCs w:val="32"/>
        </w:rPr>
        <w:t>（三）一般公共预算财政拨款支出决算具体情况</w:t>
      </w:r>
      <w:bookmarkEnd w:id="47"/>
    </w:p>
    <w:p>
      <w:pPr>
        <w:pageBreakBefore w:val="0"/>
        <w:kinsoku/>
        <w:wordWrap/>
        <w:overflowPunct/>
        <w:topLinePunct w:val="0"/>
        <w:bidi w:val="0"/>
        <w:spacing w:line="600" w:lineRule="exact"/>
        <w:ind w:firstLine="640" w:firstLineChars="200"/>
        <w:textAlignment w:val="auto"/>
        <w:outlineLvl w:val="2"/>
        <w:rPr>
          <w:rFonts w:ascii="仿宋" w:hAnsi="仿宋" w:eastAsia="仿宋"/>
          <w:b w:val="0"/>
          <w:bCs/>
          <w:sz w:val="32"/>
          <w:szCs w:val="32"/>
        </w:rPr>
      </w:pPr>
      <w:bookmarkStart w:id="48" w:name="_Toc15377213"/>
      <w:bookmarkStart w:id="49" w:name="_Toc15377444"/>
      <w:bookmarkStart w:id="50" w:name="_Toc15378460"/>
      <w:r>
        <w:rPr>
          <w:rFonts w:hint="eastAsia" w:ascii="仿宋" w:hAnsi="仿宋" w:eastAsia="仿宋"/>
          <w:b w:val="0"/>
          <w:bCs/>
          <w:sz w:val="32"/>
          <w:szCs w:val="32"/>
        </w:rPr>
        <w:t>2022年一般公共预算支出决算数为1502.54万元，</w:t>
      </w:r>
      <w:r>
        <w:rPr>
          <w:rStyle w:val="18"/>
          <w:rFonts w:hint="eastAsia" w:ascii="仿宋" w:hAnsi="仿宋" w:eastAsia="仿宋"/>
          <w:b w:val="0"/>
          <w:bCs/>
          <w:sz w:val="32"/>
          <w:szCs w:val="32"/>
        </w:rPr>
        <w:t>完成预算100</w:t>
      </w:r>
      <w:r>
        <w:rPr>
          <w:rStyle w:val="18"/>
          <w:rFonts w:ascii="仿宋" w:hAnsi="仿宋" w:eastAsia="仿宋"/>
          <w:b w:val="0"/>
          <w:bCs/>
          <w:sz w:val="32"/>
          <w:szCs w:val="32"/>
        </w:rPr>
        <w:t>%</w:t>
      </w:r>
      <w:r>
        <w:rPr>
          <w:rStyle w:val="18"/>
          <w:rFonts w:hint="eastAsia" w:ascii="仿宋" w:hAnsi="仿宋" w:eastAsia="仿宋"/>
          <w:b w:val="0"/>
          <w:bCs/>
          <w:sz w:val="32"/>
          <w:szCs w:val="32"/>
        </w:rPr>
        <w:t>。其中：</w:t>
      </w:r>
      <w:bookmarkEnd w:id="48"/>
      <w:bookmarkEnd w:id="49"/>
      <w:bookmarkEnd w:id="50"/>
    </w:p>
    <w:p>
      <w:pPr>
        <w:pageBreakBefore w:val="0"/>
        <w:kinsoku/>
        <w:wordWrap/>
        <w:overflowPunct/>
        <w:topLinePunct w:val="0"/>
        <w:bidi w:val="0"/>
        <w:spacing w:line="600" w:lineRule="exact"/>
        <w:ind w:firstLine="640" w:firstLineChars="200"/>
        <w:textAlignment w:val="auto"/>
        <w:rPr>
          <w:rFonts w:ascii="仿宋" w:hAnsi="仿宋" w:eastAsia="仿宋"/>
          <w:b w:val="0"/>
          <w:bCs/>
          <w:sz w:val="32"/>
          <w:szCs w:val="32"/>
        </w:rPr>
      </w:pPr>
      <w:r>
        <w:rPr>
          <w:rStyle w:val="18"/>
          <w:rFonts w:ascii="仿宋" w:hAnsi="仿宋" w:eastAsia="仿宋"/>
          <w:b w:val="0"/>
          <w:bCs/>
          <w:sz w:val="32"/>
          <w:szCs w:val="32"/>
        </w:rPr>
        <w:t>1.</w:t>
      </w:r>
      <w:r>
        <w:rPr>
          <w:rStyle w:val="18"/>
          <w:rFonts w:hint="eastAsia" w:ascii="仿宋" w:hAnsi="仿宋" w:eastAsia="仿宋"/>
          <w:b w:val="0"/>
          <w:bCs/>
          <w:sz w:val="32"/>
          <w:szCs w:val="32"/>
        </w:rPr>
        <w:t>一般公共服务（类）0（款）0（项）</w:t>
      </w:r>
      <w:r>
        <w:rPr>
          <w:rStyle w:val="18"/>
          <w:rFonts w:ascii="仿宋" w:hAnsi="仿宋" w:eastAsia="仿宋"/>
          <w:b w:val="0"/>
          <w:bCs/>
          <w:sz w:val="32"/>
          <w:szCs w:val="32"/>
        </w:rPr>
        <w:t>:</w:t>
      </w:r>
      <w:r>
        <w:rPr>
          <w:rStyle w:val="18"/>
          <w:rFonts w:hint="eastAsia" w:ascii="仿宋" w:hAnsi="仿宋" w:eastAsia="仿宋"/>
          <w:b w:val="0"/>
          <w:bCs/>
          <w:sz w:val="32"/>
          <w:szCs w:val="32"/>
        </w:rPr>
        <w:t>支出决算为0万元，完成预算0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，决算数等于预算数的主要原因是无此预算。</w:t>
      </w:r>
    </w:p>
    <w:p>
      <w:pPr>
        <w:pageBreakBefore w:val="0"/>
        <w:kinsoku/>
        <w:wordWrap/>
        <w:overflowPunct/>
        <w:topLinePunct w:val="0"/>
        <w:bidi w:val="0"/>
        <w:spacing w:line="600" w:lineRule="exact"/>
        <w:ind w:firstLine="640" w:firstLineChars="200"/>
        <w:textAlignment w:val="auto"/>
        <w:rPr>
          <w:rFonts w:ascii="仿宋" w:hAnsi="仿宋" w:eastAsia="仿宋"/>
          <w:b w:val="0"/>
          <w:bCs/>
          <w:sz w:val="32"/>
          <w:szCs w:val="32"/>
        </w:rPr>
      </w:pPr>
      <w:r>
        <w:rPr>
          <w:rStyle w:val="18"/>
          <w:rFonts w:ascii="仿宋" w:hAnsi="仿宋" w:eastAsia="仿宋"/>
          <w:b w:val="0"/>
          <w:bCs/>
          <w:sz w:val="32"/>
          <w:szCs w:val="32"/>
        </w:rPr>
        <w:t>2.</w:t>
      </w:r>
      <w:r>
        <w:rPr>
          <w:rStyle w:val="18"/>
          <w:rFonts w:hint="eastAsia" w:ascii="仿宋" w:hAnsi="仿宋" w:eastAsia="仿宋"/>
          <w:b w:val="0"/>
          <w:bCs/>
          <w:sz w:val="32"/>
          <w:szCs w:val="32"/>
        </w:rPr>
        <w:t>教育（类）0（款）0（项）</w:t>
      </w:r>
      <w:r>
        <w:rPr>
          <w:rStyle w:val="18"/>
          <w:rFonts w:ascii="仿宋" w:hAnsi="仿宋" w:eastAsia="仿宋"/>
          <w:b w:val="0"/>
          <w:bCs/>
          <w:sz w:val="32"/>
          <w:szCs w:val="32"/>
        </w:rPr>
        <w:t>:</w:t>
      </w:r>
      <w:r>
        <w:rPr>
          <w:rStyle w:val="18"/>
          <w:rFonts w:hint="eastAsia" w:ascii="仿宋" w:hAnsi="仿宋" w:eastAsia="仿宋"/>
          <w:b w:val="0"/>
          <w:bCs/>
          <w:sz w:val="32"/>
          <w:szCs w:val="32"/>
        </w:rPr>
        <w:t>支出决算为0万元，完成预算0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，决算数等于预算数的主要原因是无此预算。</w:t>
      </w:r>
    </w:p>
    <w:p>
      <w:pPr>
        <w:pageBreakBefore w:val="0"/>
        <w:kinsoku/>
        <w:wordWrap/>
        <w:overflowPunct/>
        <w:topLinePunct w:val="0"/>
        <w:bidi w:val="0"/>
        <w:spacing w:line="600" w:lineRule="exact"/>
        <w:ind w:firstLine="640" w:firstLineChars="200"/>
        <w:textAlignment w:val="auto"/>
        <w:rPr>
          <w:rFonts w:ascii="仿宋" w:hAnsi="仿宋" w:eastAsia="仿宋"/>
          <w:b/>
          <w:sz w:val="32"/>
          <w:szCs w:val="32"/>
        </w:rPr>
      </w:pPr>
      <w:r>
        <w:rPr>
          <w:rStyle w:val="18"/>
          <w:rFonts w:ascii="仿宋" w:hAnsi="仿宋" w:eastAsia="仿宋"/>
          <w:b w:val="0"/>
          <w:bCs/>
          <w:sz w:val="32"/>
          <w:szCs w:val="32"/>
        </w:rPr>
        <w:t>3.</w:t>
      </w:r>
      <w:r>
        <w:rPr>
          <w:rStyle w:val="18"/>
          <w:rFonts w:hint="eastAsia" w:ascii="仿宋" w:hAnsi="仿宋" w:eastAsia="仿宋"/>
          <w:b w:val="0"/>
          <w:bCs/>
          <w:sz w:val="32"/>
          <w:szCs w:val="32"/>
        </w:rPr>
        <w:t>科学技术（类）0（款）0（项）</w:t>
      </w:r>
      <w:r>
        <w:rPr>
          <w:rStyle w:val="18"/>
          <w:rFonts w:ascii="仿宋" w:hAnsi="仿宋" w:eastAsia="仿宋"/>
          <w:b w:val="0"/>
          <w:bCs/>
          <w:sz w:val="32"/>
          <w:szCs w:val="32"/>
        </w:rPr>
        <w:t>:</w:t>
      </w:r>
      <w:r>
        <w:rPr>
          <w:rStyle w:val="18"/>
          <w:rFonts w:hint="eastAsia" w:ascii="仿宋" w:hAnsi="仿宋" w:eastAsia="仿宋"/>
          <w:b w:val="0"/>
          <w:bCs/>
          <w:sz w:val="32"/>
          <w:szCs w:val="32"/>
        </w:rPr>
        <w:t>支出决算为0万元，完成预算0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，决算数等于预算数的主要原因是无此预算。</w:t>
      </w:r>
    </w:p>
    <w:p>
      <w:pPr>
        <w:pageBreakBefore w:val="0"/>
        <w:kinsoku/>
        <w:wordWrap/>
        <w:overflowPunct/>
        <w:topLinePunct w:val="0"/>
        <w:bidi w:val="0"/>
        <w:spacing w:line="600" w:lineRule="exact"/>
        <w:ind w:firstLine="640" w:firstLineChars="200"/>
        <w:textAlignment w:val="auto"/>
        <w:rPr>
          <w:rFonts w:ascii="仿宋" w:hAnsi="仿宋" w:eastAsia="仿宋"/>
          <w:b/>
          <w:sz w:val="32"/>
          <w:szCs w:val="32"/>
        </w:rPr>
      </w:pPr>
      <w:r>
        <w:rPr>
          <w:rStyle w:val="18"/>
          <w:rFonts w:ascii="仿宋" w:hAnsi="仿宋" w:eastAsia="仿宋"/>
          <w:b w:val="0"/>
          <w:bCs w:val="0"/>
          <w:sz w:val="32"/>
          <w:szCs w:val="32"/>
        </w:rPr>
        <w:t>4.</w:t>
      </w:r>
      <w:r>
        <w:rPr>
          <w:rStyle w:val="18"/>
          <w:rFonts w:hint="eastAsia" w:ascii="仿宋" w:hAnsi="仿宋" w:eastAsia="仿宋"/>
          <w:b w:val="0"/>
          <w:bCs w:val="0"/>
          <w:sz w:val="32"/>
          <w:szCs w:val="32"/>
        </w:rPr>
        <w:t>文化旅游体育与传媒（类）0（款）0（项）</w:t>
      </w:r>
      <w:r>
        <w:rPr>
          <w:rStyle w:val="18"/>
          <w:rFonts w:ascii="仿宋" w:hAnsi="仿宋" w:eastAsia="仿宋"/>
          <w:bCs/>
          <w:sz w:val="32"/>
          <w:szCs w:val="32"/>
        </w:rPr>
        <w:t>:</w:t>
      </w:r>
      <w:r>
        <w:rPr>
          <w:rStyle w:val="18"/>
          <w:rFonts w:hint="eastAsia" w:ascii="仿宋" w:hAnsi="仿宋" w:eastAsia="仿宋"/>
          <w:b w:val="0"/>
          <w:bCs/>
          <w:sz w:val="32"/>
          <w:szCs w:val="32"/>
        </w:rPr>
        <w:t>支出决算为0万元，完成预算0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，决算数等于预算数的主要原因是无此预算。</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Style w:val="18"/>
          <w:rFonts w:ascii="仿宋" w:hAnsi="仿宋" w:eastAsia="仿宋"/>
          <w:b w:val="0"/>
          <w:bCs w:val="0"/>
          <w:sz w:val="32"/>
          <w:szCs w:val="32"/>
        </w:rPr>
        <w:t>5.</w:t>
      </w:r>
      <w:r>
        <w:rPr>
          <w:rFonts w:hint="eastAsia" w:ascii="仿宋" w:hAnsi="仿宋" w:eastAsia="仿宋"/>
          <w:b w:val="0"/>
          <w:bCs w:val="0"/>
          <w:sz w:val="32"/>
          <w:szCs w:val="32"/>
        </w:rPr>
        <w:t xml:space="preserve"> </w:t>
      </w:r>
      <w:r>
        <w:rPr>
          <w:rStyle w:val="18"/>
          <w:rFonts w:hint="eastAsia" w:ascii="仿宋" w:hAnsi="仿宋" w:eastAsia="仿宋"/>
          <w:b w:val="0"/>
          <w:bCs w:val="0"/>
          <w:sz w:val="32"/>
          <w:szCs w:val="32"/>
        </w:rPr>
        <w:t>社会保障和就业（类）行政事业单位养老支出（款）</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Style w:val="18"/>
          <w:rFonts w:ascii="仿宋" w:hAnsi="仿宋" w:eastAsia="仿宋"/>
          <w:b w:val="0"/>
          <w:bCs w:val="0"/>
          <w:sz w:val="32"/>
          <w:szCs w:val="32"/>
        </w:rPr>
        <w:t>行政单位离退休</w:t>
      </w:r>
      <w:r>
        <w:rPr>
          <w:rStyle w:val="18"/>
          <w:rFonts w:hint="eastAsia" w:ascii="仿宋" w:hAnsi="仿宋" w:eastAsia="仿宋"/>
          <w:b w:val="0"/>
          <w:bCs w:val="0"/>
          <w:sz w:val="32"/>
          <w:szCs w:val="32"/>
        </w:rPr>
        <w:t>（项）</w:t>
      </w:r>
      <w:r>
        <w:rPr>
          <w:rStyle w:val="18"/>
          <w:rFonts w:ascii="仿宋" w:hAnsi="仿宋" w:eastAsia="仿宋"/>
          <w:b w:val="0"/>
          <w:bCs w:val="0"/>
          <w:sz w:val="32"/>
          <w:szCs w:val="32"/>
        </w:rPr>
        <w:t>:</w:t>
      </w:r>
      <w:r>
        <w:rPr>
          <w:rStyle w:val="18"/>
          <w:rFonts w:hint="eastAsia" w:ascii="仿宋" w:hAnsi="仿宋" w:eastAsia="仿宋"/>
          <w:b w:val="0"/>
          <w:bCs w:val="0"/>
          <w:sz w:val="32"/>
          <w:szCs w:val="32"/>
        </w:rPr>
        <w:t>支出决算为6.51万元，完成预算100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Style w:val="18"/>
          <w:rFonts w:hint="eastAsia" w:ascii="仿宋" w:hAnsi="仿宋" w:eastAsia="仿宋"/>
          <w:b w:val="0"/>
          <w:bCs w:val="0"/>
          <w:sz w:val="32"/>
          <w:szCs w:val="32"/>
        </w:rPr>
        <w:t>社会保障和就业（类）行政事业单位养老支出（款）</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Style w:val="18"/>
          <w:rFonts w:ascii="仿宋" w:hAnsi="仿宋" w:eastAsia="仿宋"/>
          <w:b w:val="0"/>
          <w:bCs w:val="0"/>
          <w:sz w:val="32"/>
          <w:szCs w:val="32"/>
        </w:rPr>
        <w:t>事业单位离退休</w:t>
      </w:r>
      <w:r>
        <w:rPr>
          <w:rStyle w:val="18"/>
          <w:rFonts w:hint="eastAsia" w:ascii="仿宋" w:hAnsi="仿宋" w:eastAsia="仿宋"/>
          <w:b w:val="0"/>
          <w:bCs w:val="0"/>
          <w:sz w:val="32"/>
          <w:szCs w:val="32"/>
        </w:rPr>
        <w:t>（项）</w:t>
      </w:r>
      <w:r>
        <w:rPr>
          <w:rStyle w:val="18"/>
          <w:rFonts w:ascii="仿宋" w:hAnsi="仿宋" w:eastAsia="仿宋"/>
          <w:b w:val="0"/>
          <w:bCs w:val="0"/>
          <w:sz w:val="32"/>
          <w:szCs w:val="32"/>
        </w:rPr>
        <w:t>:</w:t>
      </w:r>
      <w:r>
        <w:rPr>
          <w:rStyle w:val="18"/>
          <w:rFonts w:hint="eastAsia" w:ascii="仿宋" w:hAnsi="仿宋" w:eastAsia="仿宋"/>
          <w:b w:val="0"/>
          <w:bCs w:val="0"/>
          <w:sz w:val="32"/>
          <w:szCs w:val="32"/>
        </w:rPr>
        <w:t>支出决算为1.6万元，完成预算100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Style w:val="18"/>
          <w:rFonts w:hint="eastAsia" w:ascii="仿宋" w:hAnsi="仿宋" w:eastAsia="仿宋"/>
          <w:b w:val="0"/>
          <w:bCs w:val="0"/>
          <w:sz w:val="32"/>
          <w:szCs w:val="32"/>
        </w:rPr>
        <w:t>社会保障和就业（类）行政事业单位养老支出（款）</w:t>
      </w:r>
    </w:p>
    <w:p>
      <w:pPr>
        <w:pStyle w:val="2"/>
        <w:pageBreakBefore w:val="0"/>
        <w:kinsoku/>
        <w:wordWrap/>
        <w:overflowPunct/>
        <w:topLinePunct w:val="0"/>
        <w:bidi w:val="0"/>
        <w:spacing w:before="93"/>
        <w:ind w:firstLine="640" w:firstLineChars="200"/>
        <w:textAlignment w:val="auto"/>
        <w:rPr>
          <w:rFonts w:ascii="仿宋" w:hAnsi="仿宋" w:eastAsia="仿宋"/>
          <w:b w:val="0"/>
          <w:bCs w:val="0"/>
          <w:sz w:val="32"/>
          <w:szCs w:val="32"/>
        </w:rPr>
      </w:pPr>
      <w:r>
        <w:rPr>
          <w:rStyle w:val="18"/>
          <w:rFonts w:ascii="仿宋" w:hAnsi="仿宋" w:eastAsia="仿宋"/>
          <w:b w:val="0"/>
          <w:bCs w:val="0"/>
          <w:sz w:val="32"/>
          <w:szCs w:val="32"/>
        </w:rPr>
        <w:t>机关事业单位基本养老保险缴费支出</w:t>
      </w:r>
      <w:r>
        <w:rPr>
          <w:rStyle w:val="18"/>
          <w:rFonts w:hint="eastAsia" w:ascii="仿宋" w:hAnsi="仿宋" w:eastAsia="仿宋"/>
          <w:b w:val="0"/>
          <w:bCs w:val="0"/>
          <w:sz w:val="32"/>
          <w:szCs w:val="32"/>
        </w:rPr>
        <w:t>（项）</w:t>
      </w:r>
      <w:r>
        <w:rPr>
          <w:rStyle w:val="18"/>
          <w:rFonts w:ascii="仿宋" w:hAnsi="仿宋" w:eastAsia="仿宋"/>
          <w:b w:val="0"/>
          <w:bCs w:val="0"/>
          <w:sz w:val="32"/>
          <w:szCs w:val="32"/>
        </w:rPr>
        <w:t>:</w:t>
      </w:r>
      <w:r>
        <w:rPr>
          <w:rStyle w:val="18"/>
          <w:rFonts w:hint="eastAsia" w:ascii="仿宋" w:hAnsi="仿宋" w:eastAsia="仿宋"/>
          <w:b w:val="0"/>
          <w:bCs w:val="0"/>
          <w:sz w:val="32"/>
          <w:szCs w:val="32"/>
        </w:rPr>
        <w:t>支出决算为33.52万元，完成预算100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ageBreakBefore w:val="0"/>
        <w:kinsoku/>
        <w:wordWrap/>
        <w:overflowPunct/>
        <w:topLinePunct w:val="0"/>
        <w:bidi w:val="0"/>
        <w:spacing w:line="600" w:lineRule="exact"/>
        <w:ind w:firstLine="640" w:firstLineChars="200"/>
        <w:textAlignment w:val="auto"/>
        <w:rPr>
          <w:rFonts w:ascii="仿宋" w:hAnsi="仿宋" w:eastAsia="仿宋"/>
          <w:b w:val="0"/>
          <w:bCs w:val="0"/>
          <w:sz w:val="32"/>
          <w:szCs w:val="32"/>
        </w:rPr>
      </w:pPr>
      <w:r>
        <w:rPr>
          <w:rStyle w:val="18"/>
          <w:rFonts w:ascii="仿宋" w:hAnsi="仿宋" w:eastAsia="仿宋"/>
          <w:b w:val="0"/>
          <w:bCs w:val="0"/>
          <w:sz w:val="32"/>
          <w:szCs w:val="32"/>
        </w:rPr>
        <w:t>6.</w:t>
      </w:r>
      <w:r>
        <w:rPr>
          <w:rFonts w:hint="eastAsia" w:ascii="仿宋" w:hAnsi="仿宋" w:eastAsia="仿宋"/>
          <w:b w:val="0"/>
          <w:bCs w:val="0"/>
          <w:sz w:val="32"/>
          <w:szCs w:val="32"/>
        </w:rPr>
        <w:t>卫生健康</w:t>
      </w:r>
      <w:r>
        <w:rPr>
          <w:rStyle w:val="18"/>
          <w:rFonts w:hint="eastAsia" w:ascii="仿宋" w:hAnsi="仿宋" w:eastAsia="仿宋"/>
          <w:b w:val="0"/>
          <w:bCs w:val="0"/>
          <w:sz w:val="32"/>
          <w:szCs w:val="32"/>
        </w:rPr>
        <w:t>（类）行政事业单位医疗（款）行政单位医疗（项）</w:t>
      </w:r>
      <w:r>
        <w:rPr>
          <w:rStyle w:val="18"/>
          <w:rFonts w:ascii="仿宋" w:hAnsi="仿宋" w:eastAsia="仿宋"/>
          <w:b w:val="0"/>
          <w:bCs w:val="0"/>
          <w:sz w:val="32"/>
          <w:szCs w:val="32"/>
        </w:rPr>
        <w:t>:</w:t>
      </w:r>
      <w:r>
        <w:rPr>
          <w:rStyle w:val="18"/>
          <w:rFonts w:hint="eastAsia" w:ascii="仿宋" w:hAnsi="仿宋" w:eastAsia="仿宋"/>
          <w:b w:val="0"/>
          <w:bCs w:val="0"/>
          <w:sz w:val="32"/>
          <w:szCs w:val="32"/>
        </w:rPr>
        <w:t>支出决算为14.2万元，完成预算100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Fonts w:hint="eastAsia" w:ascii="仿宋" w:hAnsi="仿宋" w:eastAsia="仿宋"/>
          <w:b w:val="0"/>
          <w:bCs w:val="0"/>
          <w:sz w:val="32"/>
          <w:szCs w:val="32"/>
        </w:rPr>
        <w:t>卫生健康</w:t>
      </w:r>
      <w:r>
        <w:rPr>
          <w:rStyle w:val="18"/>
          <w:rFonts w:hint="eastAsia" w:ascii="仿宋" w:hAnsi="仿宋" w:eastAsia="仿宋"/>
          <w:b w:val="0"/>
          <w:bCs w:val="0"/>
          <w:sz w:val="32"/>
          <w:szCs w:val="32"/>
        </w:rPr>
        <w:t>（类）行政事业单位医疗（款）事业单位医疗（项）</w:t>
      </w:r>
      <w:r>
        <w:rPr>
          <w:rStyle w:val="18"/>
          <w:rFonts w:ascii="仿宋" w:hAnsi="仿宋" w:eastAsia="仿宋"/>
          <w:b w:val="0"/>
          <w:bCs w:val="0"/>
          <w:sz w:val="32"/>
          <w:szCs w:val="32"/>
        </w:rPr>
        <w:t>:</w:t>
      </w:r>
      <w:r>
        <w:rPr>
          <w:rStyle w:val="18"/>
          <w:rFonts w:hint="eastAsia" w:ascii="仿宋" w:hAnsi="仿宋" w:eastAsia="仿宋"/>
          <w:b w:val="0"/>
          <w:bCs w:val="0"/>
          <w:sz w:val="32"/>
          <w:szCs w:val="32"/>
        </w:rPr>
        <w:t>支出决算为9.26万元，完成预算100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Style w:val="2"/>
        <w:pageBreakBefore w:val="0"/>
        <w:kinsoku/>
        <w:wordWrap/>
        <w:overflowPunct/>
        <w:topLinePunct w:val="0"/>
        <w:bidi w:val="0"/>
        <w:spacing w:before="93"/>
        <w:ind w:firstLine="640" w:firstLineChars="200"/>
        <w:textAlignment w:val="auto"/>
        <w:rPr>
          <w:rStyle w:val="18"/>
          <w:rFonts w:ascii="仿宋" w:hAnsi="仿宋" w:eastAsia="仿宋"/>
          <w:b w:val="0"/>
          <w:bCs w:val="0"/>
          <w:sz w:val="32"/>
          <w:szCs w:val="32"/>
        </w:rPr>
      </w:pPr>
      <w:r>
        <w:rPr>
          <w:rFonts w:hint="eastAsia" w:ascii="仿宋" w:hAnsi="仿宋" w:eastAsia="仿宋"/>
          <w:b w:val="0"/>
          <w:bCs w:val="0"/>
          <w:sz w:val="32"/>
          <w:szCs w:val="32"/>
        </w:rPr>
        <w:t>卫生健康</w:t>
      </w:r>
      <w:r>
        <w:rPr>
          <w:rStyle w:val="18"/>
          <w:rFonts w:hint="eastAsia" w:ascii="仿宋" w:hAnsi="仿宋" w:eastAsia="仿宋"/>
          <w:b w:val="0"/>
          <w:bCs w:val="0"/>
          <w:sz w:val="32"/>
          <w:szCs w:val="32"/>
        </w:rPr>
        <w:t>（类）行政事业单位医疗（款）公务员医疗补助（项）</w:t>
      </w:r>
      <w:r>
        <w:rPr>
          <w:rStyle w:val="18"/>
          <w:rFonts w:ascii="仿宋" w:hAnsi="仿宋" w:eastAsia="仿宋"/>
          <w:b w:val="0"/>
          <w:bCs w:val="0"/>
          <w:sz w:val="32"/>
          <w:szCs w:val="32"/>
        </w:rPr>
        <w:t>:</w:t>
      </w:r>
      <w:r>
        <w:rPr>
          <w:rStyle w:val="18"/>
          <w:rFonts w:hint="eastAsia" w:ascii="仿宋" w:hAnsi="仿宋" w:eastAsia="仿宋"/>
          <w:b w:val="0"/>
          <w:bCs w:val="0"/>
          <w:sz w:val="32"/>
          <w:szCs w:val="32"/>
        </w:rPr>
        <w:t>支出决算为2.1万元，完成预算100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Style w:val="2"/>
        <w:pageBreakBefore w:val="0"/>
        <w:kinsoku/>
        <w:wordWrap/>
        <w:overflowPunct/>
        <w:topLinePunct w:val="0"/>
        <w:bidi w:val="0"/>
        <w:spacing w:before="93"/>
        <w:ind w:firstLine="640" w:firstLineChars="200"/>
        <w:textAlignment w:val="auto"/>
        <w:rPr>
          <w:rStyle w:val="18"/>
          <w:rFonts w:ascii="仿宋" w:hAnsi="仿宋" w:eastAsia="仿宋"/>
          <w:b w:val="0"/>
          <w:bCs w:val="0"/>
          <w:sz w:val="32"/>
          <w:szCs w:val="32"/>
        </w:rPr>
      </w:pPr>
      <w:r>
        <w:rPr>
          <w:rFonts w:hint="eastAsia" w:ascii="仿宋" w:hAnsi="仿宋" w:eastAsia="仿宋"/>
          <w:b w:val="0"/>
          <w:bCs w:val="0"/>
          <w:sz w:val="32"/>
          <w:szCs w:val="32"/>
        </w:rPr>
        <w:t>卫生健康</w:t>
      </w:r>
      <w:r>
        <w:rPr>
          <w:rStyle w:val="18"/>
          <w:rFonts w:hint="eastAsia" w:ascii="仿宋" w:hAnsi="仿宋" w:eastAsia="仿宋"/>
          <w:b w:val="0"/>
          <w:bCs w:val="0"/>
          <w:sz w:val="32"/>
          <w:szCs w:val="32"/>
        </w:rPr>
        <w:t>（类）行政事业单位医疗（款）其他行政事业单位医疗支出（项）</w:t>
      </w:r>
      <w:r>
        <w:rPr>
          <w:rStyle w:val="18"/>
          <w:rFonts w:ascii="仿宋" w:hAnsi="仿宋" w:eastAsia="仿宋"/>
          <w:b w:val="0"/>
          <w:bCs w:val="0"/>
          <w:sz w:val="32"/>
          <w:szCs w:val="32"/>
        </w:rPr>
        <w:t>:</w:t>
      </w:r>
      <w:r>
        <w:rPr>
          <w:rStyle w:val="18"/>
          <w:rFonts w:hint="eastAsia" w:ascii="仿宋" w:hAnsi="仿宋" w:eastAsia="仿宋"/>
          <w:b w:val="0"/>
          <w:bCs w:val="0"/>
          <w:sz w:val="32"/>
          <w:szCs w:val="32"/>
        </w:rPr>
        <w:t>支出决算为0.75万元，完成预算100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Fonts w:hint="eastAsia" w:ascii="仿宋" w:hAnsi="仿宋" w:eastAsia="仿宋"/>
          <w:b w:val="0"/>
          <w:bCs w:val="0"/>
          <w:sz w:val="32"/>
          <w:szCs w:val="32"/>
        </w:rPr>
        <w:t>7.农林水支出（类）农业农村（款）行政运行（项）：</w:t>
      </w:r>
      <w:r>
        <w:rPr>
          <w:rStyle w:val="18"/>
          <w:rFonts w:hint="eastAsia" w:ascii="仿宋" w:hAnsi="仿宋" w:eastAsia="仿宋"/>
          <w:b w:val="0"/>
          <w:bCs w:val="0"/>
          <w:sz w:val="32"/>
          <w:szCs w:val="32"/>
        </w:rPr>
        <w:t>支出决算为331.36万元，完成预算100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Fonts w:hint="eastAsia" w:ascii="仿宋" w:hAnsi="仿宋" w:eastAsia="仿宋"/>
          <w:b w:val="0"/>
          <w:bCs w:val="0"/>
          <w:sz w:val="32"/>
          <w:szCs w:val="32"/>
        </w:rPr>
        <w:t>农林水支出（类）农业农村（款）事业运行（项）：</w:t>
      </w:r>
      <w:r>
        <w:rPr>
          <w:rStyle w:val="18"/>
          <w:rFonts w:hint="eastAsia" w:ascii="仿宋" w:hAnsi="仿宋" w:eastAsia="仿宋"/>
          <w:b w:val="0"/>
          <w:bCs w:val="0"/>
          <w:sz w:val="32"/>
          <w:szCs w:val="32"/>
        </w:rPr>
        <w:t>支出决算为146.76万元，完成预算100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ageBreakBefore w:val="0"/>
        <w:kinsoku/>
        <w:wordWrap/>
        <w:overflowPunct/>
        <w:topLinePunct w:val="0"/>
        <w:bidi w:val="0"/>
        <w:spacing w:line="600" w:lineRule="exact"/>
        <w:ind w:firstLine="640" w:firstLineChars="200"/>
        <w:textAlignment w:val="auto"/>
        <w:rPr>
          <w:rFonts w:ascii="仿宋" w:hAnsi="仿宋" w:eastAsia="仿宋"/>
          <w:b w:val="0"/>
          <w:bCs w:val="0"/>
          <w:sz w:val="32"/>
          <w:szCs w:val="32"/>
        </w:rPr>
      </w:pPr>
      <w:r>
        <w:rPr>
          <w:rFonts w:hint="eastAsia" w:ascii="仿宋_GB2312" w:eastAsia="仿宋_GB2312"/>
          <w:b w:val="0"/>
          <w:bCs w:val="0"/>
          <w:sz w:val="32"/>
          <w:szCs w:val="32"/>
        </w:rPr>
        <w:t>农林水（类）农业农村（款）病虫害控制（项）：支出决算为0.58万元，完成预算100%，决算数等于预算数。</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Fonts w:hint="eastAsia" w:ascii="仿宋" w:hAnsi="仿宋" w:eastAsia="仿宋"/>
          <w:b w:val="0"/>
          <w:bCs w:val="0"/>
          <w:sz w:val="32"/>
          <w:szCs w:val="32"/>
        </w:rPr>
        <w:t>农林水支出（类）农业农村（款）其他农业农村支出（项）：</w:t>
      </w:r>
      <w:r>
        <w:rPr>
          <w:rStyle w:val="18"/>
          <w:rFonts w:hint="eastAsia" w:ascii="仿宋" w:hAnsi="仿宋" w:eastAsia="仿宋"/>
          <w:b w:val="0"/>
          <w:bCs w:val="0"/>
          <w:sz w:val="32"/>
          <w:szCs w:val="32"/>
        </w:rPr>
        <w:t>支出决算为583.6万元，完成预算100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Fonts w:hint="eastAsia" w:ascii="仿宋" w:hAnsi="仿宋" w:eastAsia="仿宋"/>
          <w:b w:val="0"/>
          <w:bCs w:val="0"/>
          <w:sz w:val="32"/>
          <w:szCs w:val="32"/>
        </w:rPr>
        <w:t>农林水支出（类）农村综合改革（款）对村级公益事业建设的补助（项）：</w:t>
      </w:r>
      <w:r>
        <w:rPr>
          <w:rStyle w:val="18"/>
          <w:rFonts w:hint="eastAsia" w:ascii="仿宋" w:hAnsi="仿宋" w:eastAsia="仿宋"/>
          <w:b w:val="0"/>
          <w:bCs w:val="0"/>
          <w:sz w:val="32"/>
          <w:szCs w:val="32"/>
        </w:rPr>
        <w:t>支出决算为80万元，完成预算100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Fonts w:hint="eastAsia"/>
          <w:b w:val="0"/>
          <w:bCs w:val="0"/>
          <w:sz w:val="32"/>
          <w:szCs w:val="32"/>
        </w:rPr>
        <w:t xml:space="preserve">    </w:t>
      </w:r>
      <w:r>
        <w:rPr>
          <w:rFonts w:hint="eastAsia" w:ascii="仿宋" w:hAnsi="仿宋" w:eastAsia="仿宋"/>
          <w:b w:val="0"/>
          <w:bCs w:val="0"/>
          <w:sz w:val="32"/>
          <w:szCs w:val="32"/>
        </w:rPr>
        <w:t>农林水支出（类）普惠金融发展支出（款）农业保险保费支出（项）：</w:t>
      </w:r>
      <w:r>
        <w:rPr>
          <w:rStyle w:val="18"/>
          <w:rFonts w:hint="eastAsia" w:ascii="仿宋" w:hAnsi="仿宋" w:eastAsia="仿宋"/>
          <w:b w:val="0"/>
          <w:bCs w:val="0"/>
          <w:sz w:val="32"/>
          <w:szCs w:val="32"/>
        </w:rPr>
        <w:t>支出决算为11.22万元，完成预算100</w:t>
      </w:r>
      <w:r>
        <w:rPr>
          <w:rStyle w:val="18"/>
          <w:rFonts w:ascii="仿宋" w:hAnsi="仿宋" w:eastAsia="仿宋"/>
          <w:b w:val="0"/>
          <w:bCs w:val="0"/>
          <w:sz w:val="32"/>
          <w:szCs w:val="32"/>
        </w:rPr>
        <w:t>%</w:t>
      </w:r>
      <w:r>
        <w:rPr>
          <w:rStyle w:val="18"/>
          <w:rFonts w:hint="eastAsia" w:ascii="仿宋" w:hAnsi="仿宋" w:eastAsia="仿宋"/>
          <w:b w:val="0"/>
          <w:bCs w:val="0"/>
          <w:sz w:val="32"/>
          <w:szCs w:val="32"/>
        </w:rPr>
        <w:t>，决算数等于预算数。</w:t>
      </w:r>
    </w:p>
    <w:p>
      <w:pPr>
        <w:pStyle w:val="2"/>
        <w:pageBreakBefore w:val="0"/>
        <w:kinsoku/>
        <w:wordWrap/>
        <w:overflowPunct/>
        <w:topLinePunct w:val="0"/>
        <w:bidi w:val="0"/>
        <w:spacing w:before="93"/>
        <w:ind w:firstLine="600" w:firstLineChars="200"/>
        <w:textAlignment w:val="auto"/>
      </w:pPr>
      <w:r>
        <w:rPr>
          <w:rFonts w:hint="eastAsia"/>
        </w:rPr>
        <w:t>8.交通运输支出（类）公路水路运输（款）其他公路水路运输支出（项）：支出决算为137万元，完成预算100%，决算数等于预算数。</w:t>
      </w:r>
    </w:p>
    <w:p>
      <w:pPr>
        <w:pStyle w:val="2"/>
        <w:pageBreakBefore w:val="0"/>
        <w:kinsoku/>
        <w:wordWrap/>
        <w:overflowPunct/>
        <w:topLinePunct w:val="0"/>
        <w:bidi w:val="0"/>
        <w:spacing w:before="93"/>
        <w:ind w:firstLine="600" w:firstLineChars="200"/>
        <w:textAlignment w:val="auto"/>
      </w:pPr>
      <w:r>
        <w:rPr>
          <w:rFonts w:hint="eastAsia"/>
        </w:rPr>
        <w:t>交通运输支出（类）其他交通运输支出（款）其他交通运输支出（项）：支出决算为104.8万元，完成预算100%，决算数等于预算数。</w:t>
      </w:r>
    </w:p>
    <w:p>
      <w:pPr>
        <w:pStyle w:val="2"/>
        <w:pageBreakBefore w:val="0"/>
        <w:kinsoku/>
        <w:wordWrap/>
        <w:overflowPunct/>
        <w:topLinePunct w:val="0"/>
        <w:bidi w:val="0"/>
        <w:spacing w:before="93"/>
        <w:ind w:firstLine="600" w:firstLineChars="200"/>
        <w:textAlignment w:val="auto"/>
        <w:rPr>
          <w:rStyle w:val="18"/>
          <w:rFonts w:ascii="仿宋" w:hAnsi="仿宋" w:eastAsia="仿宋"/>
          <w:b w:val="0"/>
          <w:bCs/>
          <w:sz w:val="32"/>
          <w:szCs w:val="32"/>
        </w:rPr>
      </w:pPr>
      <w:r>
        <w:rPr>
          <w:rFonts w:hint="eastAsia"/>
        </w:rPr>
        <w:t>9.住房保障支出（类）住房改革支出（款）住房公积金（项）：支出决算为38.27万元，完成预算100%，决算数等于预算数。</w:t>
      </w:r>
    </w:p>
    <w:p>
      <w:pPr>
        <w:pageBreakBefore w:val="0"/>
        <w:tabs>
          <w:tab w:val="right" w:pos="8306"/>
        </w:tabs>
        <w:kinsoku/>
        <w:wordWrap/>
        <w:overflowPunct/>
        <w:topLinePunct w:val="0"/>
        <w:bidi w:val="0"/>
        <w:spacing w:line="600" w:lineRule="exact"/>
        <w:ind w:firstLine="640" w:firstLineChars="200"/>
        <w:textAlignment w:val="auto"/>
        <w:outlineLvl w:val="1"/>
        <w:rPr>
          <w:rStyle w:val="31"/>
        </w:rPr>
      </w:pPr>
      <w:bookmarkStart w:id="51" w:name="_Toc15396608"/>
      <w:bookmarkStart w:id="52" w:name="_Toc15377214"/>
      <w:bookmarkStart w:id="53" w:name="_Toc110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51"/>
      <w:bookmarkEnd w:id="52"/>
      <w:bookmarkEnd w:id="53"/>
      <w:r>
        <w:rPr>
          <w:rStyle w:val="31"/>
          <w:rFonts w:ascii="黑体" w:hAnsi="黑体" w:eastAsia="黑体"/>
          <w:b w:val="0"/>
        </w:rPr>
        <w:tab/>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22年一般公共预算财政拨款基本支出584.34万元，其中：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人员经费532.38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公用经费43.85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600" w:lineRule="exact"/>
        <w:ind w:firstLine="640" w:firstLineChars="200"/>
        <w:textAlignment w:val="auto"/>
        <w:outlineLvl w:val="1"/>
        <w:rPr>
          <w:rStyle w:val="31"/>
          <w:rFonts w:ascii="黑体" w:hAnsi="黑体" w:eastAsia="黑体"/>
          <w:b w:val="0"/>
        </w:rPr>
      </w:pPr>
      <w:bookmarkStart w:id="54" w:name="_Toc15396609"/>
      <w:bookmarkStart w:id="55" w:name="_Toc15377215"/>
      <w:bookmarkStart w:id="56" w:name="_Toc29884"/>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54"/>
      <w:bookmarkEnd w:id="55"/>
      <w:bookmarkEnd w:id="56"/>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57" w:name="_Toc15377216"/>
      <w:r>
        <w:rPr>
          <w:rFonts w:hint="eastAsia" w:ascii="仿宋" w:hAnsi="仿宋" w:eastAsia="仿宋"/>
          <w:b/>
          <w:sz w:val="32"/>
          <w:szCs w:val="32"/>
        </w:rPr>
        <w:t>（一）“三公”经费财政拨款支出决算总体情况说明</w:t>
      </w:r>
      <w:bookmarkEnd w:id="57"/>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22年“三公”经费财政拨款支出决算为4.84万元，完成预算100</w:t>
      </w:r>
      <w:r>
        <w:rPr>
          <w:rFonts w:ascii="仿宋" w:hAnsi="仿宋" w:eastAsia="仿宋"/>
          <w:sz w:val="32"/>
          <w:szCs w:val="32"/>
        </w:rPr>
        <w:t>%</w:t>
      </w:r>
      <w:r>
        <w:rPr>
          <w:rFonts w:hint="eastAsia" w:ascii="仿宋" w:hAnsi="仿宋" w:eastAsia="仿宋"/>
          <w:sz w:val="32"/>
          <w:szCs w:val="32"/>
        </w:rPr>
        <w:t>，较上年减少0.99万元，下降17%。决算数小于预算数的主要原因是</w:t>
      </w:r>
      <w:r>
        <w:rPr>
          <w:rFonts w:hint="eastAsia" w:ascii="仿宋" w:hAnsi="仿宋" w:eastAsia="仿宋"/>
          <w:sz w:val="32"/>
          <w:szCs w:val="32"/>
          <w:lang w:eastAsia="zh-CN"/>
        </w:rPr>
        <w:t>厉行节约</w:t>
      </w:r>
      <w:r>
        <w:rPr>
          <w:rFonts w:hint="eastAsia" w:ascii="仿宋" w:hAnsi="仿宋" w:eastAsia="仿宋"/>
          <w:sz w:val="32"/>
          <w:szCs w:val="32"/>
        </w:rPr>
        <w:t>，下调公务接待费及公车运行费。</w:t>
      </w:r>
    </w:p>
    <w:p>
      <w:pPr>
        <w:pageBreakBefore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58" w:name="_Toc15377217"/>
      <w:r>
        <w:rPr>
          <w:rFonts w:hint="eastAsia" w:ascii="仿宋" w:hAnsi="仿宋" w:eastAsia="仿宋"/>
          <w:b/>
          <w:sz w:val="32"/>
          <w:szCs w:val="32"/>
        </w:rPr>
        <w:t>（二）“三公”经费财政拨款支出决算具体情况说明</w:t>
      </w:r>
      <w:bookmarkEnd w:id="58"/>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；公务用车购置及运行维护费支出决算4.38万元，占90.5</w:t>
      </w:r>
      <w:r>
        <w:rPr>
          <w:rFonts w:ascii="仿宋" w:hAnsi="仿宋" w:eastAsia="仿宋"/>
          <w:sz w:val="32"/>
          <w:szCs w:val="32"/>
        </w:rPr>
        <w:t>%</w:t>
      </w:r>
      <w:r>
        <w:rPr>
          <w:rFonts w:hint="eastAsia" w:ascii="仿宋" w:hAnsi="仿宋" w:eastAsia="仿宋"/>
          <w:sz w:val="32"/>
          <w:szCs w:val="32"/>
        </w:rPr>
        <w:t>；公务接待费支出决算0.46万元，占9.5</w:t>
      </w:r>
      <w:r>
        <w:rPr>
          <w:rFonts w:ascii="仿宋" w:hAnsi="仿宋" w:eastAsia="仿宋"/>
          <w:sz w:val="32"/>
          <w:szCs w:val="32"/>
        </w:rPr>
        <w:t>%</w:t>
      </w:r>
      <w:r>
        <w:rPr>
          <w:rFonts w:hint="eastAsia" w:ascii="仿宋" w:hAnsi="仿宋" w:eastAsia="仿宋"/>
          <w:sz w:val="32"/>
          <w:szCs w:val="32"/>
        </w:rPr>
        <w:t>。具体情况如下：</w:t>
      </w:r>
    </w:p>
    <w:p>
      <w:pPr>
        <w:pageBreakBefore w:val="0"/>
        <w:kinsoku/>
        <w:wordWrap/>
        <w:overflowPunct/>
        <w:topLinePunct w:val="0"/>
        <w:bidi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（图7：“三公”经费财政拨款支出结构）（饼状图）</w:t>
      </w:r>
    </w:p>
    <w:p>
      <w:pPr>
        <w:pStyle w:val="2"/>
        <w:pageBreakBefore w:val="0"/>
        <w:kinsoku/>
        <w:wordWrap/>
        <w:overflowPunct/>
        <w:topLinePunct w:val="0"/>
        <w:bidi w:val="0"/>
        <w:spacing w:before="93"/>
        <w:ind w:firstLine="600" w:firstLineChars="200"/>
        <w:textAlignment w:val="auto"/>
      </w:pPr>
      <w:r>
        <w:drawing>
          <wp:inline distT="0" distB="0" distL="0" distR="0">
            <wp:extent cx="3086100" cy="1971675"/>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kinsoku/>
        <w:wordWrap/>
        <w:overflowPunct/>
        <w:topLinePunct w:val="0"/>
        <w:bidi w:val="0"/>
        <w:spacing w:line="600" w:lineRule="exact"/>
        <w:ind w:firstLine="643" w:firstLineChars="200"/>
        <w:textAlignment w:val="auto"/>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21年增加0万元，增长0</w:t>
      </w:r>
      <w:r>
        <w:rPr>
          <w:rFonts w:ascii="仿宋_GB2312" w:eastAsia="仿宋_GB2312"/>
          <w:sz w:val="32"/>
          <w:szCs w:val="32"/>
        </w:rPr>
        <w:t>%</w:t>
      </w:r>
      <w:r>
        <w:rPr>
          <w:rFonts w:hint="eastAsia" w:ascii="仿宋_GB2312" w:eastAsia="仿宋_GB2312"/>
          <w:sz w:val="32"/>
          <w:szCs w:val="32"/>
        </w:rPr>
        <w:t>。主要原因是无此预算。</w:t>
      </w:r>
    </w:p>
    <w:p>
      <w:pPr>
        <w:pageBreakBefore w:val="0"/>
        <w:kinsoku/>
        <w:wordWrap/>
        <w:overflowPunct/>
        <w:topLinePunct w:val="0"/>
        <w:bidi w:val="0"/>
        <w:spacing w:line="600" w:lineRule="exact"/>
        <w:ind w:firstLine="643" w:firstLineChars="200"/>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公务用车购置及运行维护费支出4.38</w:t>
      </w:r>
      <w:r>
        <w:rPr>
          <w:rFonts w:hint="eastAsia" w:ascii="仿宋_GB2312" w:eastAsia="仿宋_GB2312"/>
          <w:sz w:val="32"/>
          <w:szCs w:val="32"/>
        </w:rPr>
        <w:t>万元,</w:t>
      </w:r>
      <w:r>
        <w:rPr>
          <w:rStyle w:val="18"/>
          <w:rFonts w:hint="eastAsia" w:ascii="仿宋" w:hAnsi="仿宋" w:eastAsia="仿宋"/>
          <w:b w:val="0"/>
          <w:bCs/>
          <w:sz w:val="32"/>
          <w:szCs w:val="32"/>
        </w:rPr>
        <w:t>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21年减少0.85万元，下降16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厉行节约</w:t>
      </w:r>
      <w:r>
        <w:rPr>
          <w:rFonts w:hint="eastAsia" w:ascii="仿宋_GB2312" w:eastAsia="仿宋_GB2312"/>
          <w:sz w:val="32"/>
          <w:szCs w:val="32"/>
        </w:rPr>
        <w:t>，下调公务车运行维护费。</w:t>
      </w:r>
    </w:p>
    <w:p>
      <w:pPr>
        <w:pageBreakBefore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公务用车购置支出0</w:t>
      </w:r>
      <w:r>
        <w:rPr>
          <w:rFonts w:hint="eastAsia" w:ascii="仿宋_GB2312" w:eastAsia="仿宋_GB2312"/>
          <w:sz w:val="32"/>
          <w:szCs w:val="32"/>
        </w:rPr>
        <w:t>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月底，单位共有公务用车3辆，其中：轿车1辆、越野车1辆、载客汽车0辆、货车1辆。</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4.38万元。主要用于农业执法、动物防疫等工作等所需的公务用车燃料费、维修费、过路过桥费、保险费等支出。</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公务接待费支出0.46</w:t>
      </w:r>
      <w:r>
        <w:rPr>
          <w:rFonts w:hint="eastAsia" w:ascii="仿宋_GB2312" w:eastAsia="仿宋_GB2312"/>
          <w:sz w:val="32"/>
          <w:szCs w:val="32"/>
        </w:rPr>
        <w:t>万元，</w:t>
      </w:r>
      <w:r>
        <w:rPr>
          <w:rStyle w:val="18"/>
          <w:rFonts w:hint="eastAsia" w:ascii="仿宋" w:hAnsi="仿宋" w:eastAsia="仿宋"/>
          <w:b w:val="0"/>
          <w:bCs/>
          <w:sz w:val="32"/>
          <w:szCs w:val="32"/>
        </w:rPr>
        <w:t>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21年减少0.14万元，下降23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厉行节约</w:t>
      </w:r>
      <w:r>
        <w:rPr>
          <w:rFonts w:hint="eastAsia" w:ascii="仿宋_GB2312" w:eastAsia="仿宋_GB2312"/>
          <w:sz w:val="32"/>
          <w:szCs w:val="32"/>
        </w:rPr>
        <w:t>，下调公务接待费。其中：</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hint="eastAsia" w:ascii="仿宋" w:hAnsi="仿宋" w:eastAsia="仿宋"/>
          <w:b/>
          <w:sz w:val="32"/>
          <w:szCs w:val="32"/>
        </w:rPr>
        <w:t>国内公务接待支出0.46</w:t>
      </w:r>
      <w:r>
        <w:rPr>
          <w:rFonts w:hint="eastAsia" w:ascii="仿宋_GB2312" w:eastAsia="仿宋_GB2312"/>
          <w:sz w:val="32"/>
          <w:szCs w:val="32"/>
        </w:rPr>
        <w:t>万元，主要用于交通道路检查督导、农村厕所革命调研、动物疫病春秋两季检查交流餐费。国内公务接待6批次，40人次（不包括陪同人员），共计支出0.46万元，具体内容包括：交通道路养护、建设检查督导0.28万元；农村厕所革命调研0.08万元、动物疫病防控检查餐费0.05万元，屠宰场非洲猪瘟环境样品抽样餐费0.04万元。</w:t>
      </w:r>
    </w:p>
    <w:p>
      <w:pPr>
        <w:pageBreakBefore w:val="0"/>
        <w:kinsoku/>
        <w:wordWrap/>
        <w:overflowPunct/>
        <w:topLinePunct w:val="0"/>
        <w:bidi w:val="0"/>
        <w:spacing w:line="600" w:lineRule="exact"/>
        <w:ind w:firstLine="643" w:firstLineChars="200"/>
        <w:textAlignment w:val="auto"/>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bookmarkStart w:id="59" w:name="_Toc15377218"/>
      <w:bookmarkStart w:id="60" w:name="_Toc15396610"/>
    </w:p>
    <w:p>
      <w:pPr>
        <w:pageBreakBefore w:val="0"/>
        <w:kinsoku/>
        <w:wordWrap/>
        <w:overflowPunct/>
        <w:topLinePunct w:val="0"/>
        <w:bidi w:val="0"/>
        <w:spacing w:line="600" w:lineRule="exact"/>
        <w:ind w:firstLine="640" w:firstLineChars="200"/>
        <w:textAlignment w:val="auto"/>
        <w:outlineLvl w:val="1"/>
        <w:rPr>
          <w:rStyle w:val="31"/>
          <w:rFonts w:ascii="黑体" w:hAnsi="黑体" w:eastAsia="黑体"/>
        </w:rPr>
      </w:pPr>
      <w:bookmarkStart w:id="61" w:name="_Toc29633"/>
      <w:r>
        <w:rPr>
          <w:rFonts w:hint="eastAsia" w:ascii="黑体" w:eastAsia="黑体"/>
          <w:sz w:val="32"/>
          <w:szCs w:val="32"/>
        </w:rPr>
        <w:t>八、</w:t>
      </w:r>
      <w:r>
        <w:rPr>
          <w:rStyle w:val="31"/>
          <w:rFonts w:hint="eastAsia" w:ascii="黑体" w:hAnsi="黑体" w:eastAsia="黑体"/>
          <w:b w:val="0"/>
        </w:rPr>
        <w:t>政府性基金预算支出决算情况说明</w:t>
      </w:r>
      <w:bookmarkEnd w:id="59"/>
      <w:bookmarkEnd w:id="60"/>
      <w:bookmarkEnd w:id="61"/>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22年政府性基金预算财政拨款支出40.4万元。</w:t>
      </w:r>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p>
    <w:p>
      <w:pPr>
        <w:pageBreakBefore w:val="0"/>
        <w:numPr>
          <w:ilvl w:val="0"/>
          <w:numId w:val="1"/>
        </w:numPr>
        <w:kinsoku/>
        <w:wordWrap/>
        <w:overflowPunct/>
        <w:topLinePunct w:val="0"/>
        <w:bidi w:val="0"/>
        <w:spacing w:line="600" w:lineRule="exact"/>
        <w:ind w:firstLine="640" w:firstLineChars="200"/>
        <w:textAlignment w:val="auto"/>
        <w:outlineLvl w:val="1"/>
        <w:rPr>
          <w:rStyle w:val="31"/>
          <w:rFonts w:ascii="黑体" w:hAnsi="黑体" w:eastAsia="黑体"/>
          <w:b w:val="0"/>
        </w:rPr>
      </w:pPr>
      <w:bookmarkStart w:id="62" w:name="_Toc31666"/>
      <w:bookmarkStart w:id="63" w:name="_Toc15396611"/>
      <w:bookmarkStart w:id="64" w:name="_Toc15377219"/>
      <w:r>
        <w:rPr>
          <w:rStyle w:val="31"/>
          <w:rFonts w:hint="eastAsia" w:ascii="黑体" w:hAnsi="黑体" w:eastAsia="黑体"/>
          <w:b w:val="0"/>
        </w:rPr>
        <w:t>国有资本经营预算支出决算情况说明</w:t>
      </w:r>
      <w:bookmarkEnd w:id="62"/>
      <w:bookmarkEnd w:id="63"/>
      <w:bookmarkEnd w:id="64"/>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pageBreakBefore w:val="0"/>
        <w:kinsoku/>
        <w:wordWrap/>
        <w:overflowPunct/>
        <w:topLinePunct w:val="0"/>
        <w:bidi w:val="0"/>
        <w:spacing w:line="580" w:lineRule="exact"/>
        <w:ind w:firstLine="880" w:firstLineChars="200"/>
        <w:jc w:val="center"/>
        <w:textAlignment w:val="auto"/>
        <w:rPr>
          <w:rFonts w:ascii="方正小标宋简体" w:hAnsi="方正小标宋简体" w:eastAsia="方正小标宋简体" w:cs="方正小标宋简体"/>
          <w:sz w:val="44"/>
          <w:szCs w:val="44"/>
        </w:rPr>
      </w:pPr>
    </w:p>
    <w:p>
      <w:pPr>
        <w:pageBreakBefore w:val="0"/>
        <w:numPr>
          <w:ilvl w:val="0"/>
          <w:numId w:val="1"/>
        </w:numPr>
        <w:kinsoku/>
        <w:wordWrap/>
        <w:overflowPunct/>
        <w:topLinePunct w:val="0"/>
        <w:bidi w:val="0"/>
        <w:spacing w:line="600" w:lineRule="exact"/>
        <w:ind w:firstLine="640" w:firstLineChars="200"/>
        <w:textAlignment w:val="auto"/>
        <w:outlineLvl w:val="1"/>
        <w:rPr>
          <w:rStyle w:val="31"/>
          <w:rFonts w:ascii="黑体" w:hAnsi="黑体" w:eastAsia="黑体"/>
          <w:b w:val="0"/>
        </w:rPr>
      </w:pPr>
      <w:bookmarkStart w:id="65" w:name="_Toc15396612"/>
      <w:bookmarkStart w:id="66" w:name="_Toc15377221"/>
      <w:bookmarkStart w:id="67" w:name="_Toc18383"/>
      <w:r>
        <w:rPr>
          <w:rStyle w:val="31"/>
          <w:rFonts w:hint="eastAsia" w:ascii="黑体" w:hAnsi="黑体" w:eastAsia="黑体"/>
          <w:b w:val="0"/>
        </w:rPr>
        <w:t>其他重要事项的情况说明</w:t>
      </w:r>
      <w:bookmarkEnd w:id="65"/>
      <w:bookmarkEnd w:id="66"/>
      <w:bookmarkEnd w:id="67"/>
    </w:p>
    <w:p>
      <w:pPr>
        <w:pageBreakBefore w:val="0"/>
        <w:kinsoku/>
        <w:wordWrap/>
        <w:overflowPunct/>
        <w:topLinePunct w:val="0"/>
        <w:bidi w:val="0"/>
        <w:spacing w:line="600" w:lineRule="exact"/>
        <w:ind w:firstLine="643" w:firstLineChars="200"/>
        <w:textAlignment w:val="auto"/>
        <w:outlineLvl w:val="2"/>
        <w:rPr>
          <w:rFonts w:ascii="仿宋" w:hAnsi="仿宋" w:eastAsia="仿宋"/>
          <w:sz w:val="32"/>
          <w:szCs w:val="32"/>
        </w:rPr>
      </w:pPr>
      <w:bookmarkStart w:id="68" w:name="_Toc15377222"/>
      <w:r>
        <w:rPr>
          <w:rFonts w:hint="eastAsia" w:ascii="仿宋" w:hAnsi="仿宋" w:eastAsia="仿宋"/>
          <w:b/>
          <w:sz w:val="32"/>
          <w:szCs w:val="32"/>
        </w:rPr>
        <w:t>（一）机关运行经费支出情况</w:t>
      </w:r>
      <w:bookmarkEnd w:id="68"/>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22年，攀枝花市西区农业农村和交通运输局机关运行经费支出38.89万元，比</w:t>
      </w:r>
      <w:r>
        <w:rPr>
          <w:rFonts w:ascii="仿宋_GB2312" w:eastAsia="仿宋_GB2312"/>
          <w:sz w:val="32"/>
          <w:szCs w:val="32"/>
        </w:rPr>
        <w:t>20</w:t>
      </w:r>
      <w:r>
        <w:rPr>
          <w:rFonts w:hint="eastAsia" w:ascii="仿宋_GB2312" w:eastAsia="仿宋_GB2312"/>
          <w:sz w:val="32"/>
          <w:szCs w:val="32"/>
        </w:rPr>
        <w:t>21年增减少9.57万元，下降19.75</w:t>
      </w:r>
      <w:r>
        <w:rPr>
          <w:rFonts w:ascii="仿宋_GB2312" w:eastAsia="仿宋_GB2312"/>
          <w:sz w:val="32"/>
          <w:szCs w:val="32"/>
        </w:rPr>
        <w:t>%</w:t>
      </w:r>
      <w:r>
        <w:rPr>
          <w:rFonts w:hint="eastAsia" w:ascii="仿宋_GB2312" w:eastAsia="仿宋_GB2312"/>
          <w:sz w:val="32"/>
          <w:szCs w:val="32"/>
        </w:rPr>
        <w:t>。主要原因是 “三公”经费下调，</w:t>
      </w:r>
      <w:r>
        <w:rPr>
          <w:rFonts w:hint="eastAsia" w:ascii="仿宋_GB2312" w:eastAsia="仿宋_GB2312"/>
          <w:sz w:val="32"/>
          <w:szCs w:val="32"/>
          <w:lang w:eastAsia="zh-CN"/>
        </w:rPr>
        <w:t>厉行节约</w:t>
      </w:r>
      <w:r>
        <w:rPr>
          <w:rFonts w:hint="eastAsia" w:ascii="仿宋_GB2312" w:eastAsia="仿宋_GB2312"/>
          <w:sz w:val="32"/>
          <w:szCs w:val="32"/>
        </w:rPr>
        <w:t>严格办公经费管理。</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sz w:val="32"/>
          <w:szCs w:val="32"/>
        </w:rPr>
      </w:pPr>
      <w:bookmarkStart w:id="69" w:name="_Toc15377223"/>
      <w:r>
        <w:rPr>
          <w:rFonts w:hint="eastAsia" w:ascii="仿宋" w:hAnsi="仿宋" w:eastAsia="仿宋"/>
          <w:b/>
          <w:sz w:val="32"/>
          <w:szCs w:val="32"/>
        </w:rPr>
        <w:t>（二）政府采购支出情况</w:t>
      </w:r>
      <w:bookmarkEnd w:id="69"/>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22年，攀枝花市西区农业农村和交通运输局政府采购支出总额0万元，其中：政府采购货物支出0万元、政府采购工程支出0万元、政府采购服务支出0万元。授予中小企业合同金额0万元，占政府采购支出总额的0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sz w:val="32"/>
          <w:szCs w:val="32"/>
        </w:rPr>
      </w:pPr>
      <w:bookmarkStart w:id="70" w:name="_Toc15377224"/>
      <w:r>
        <w:rPr>
          <w:rFonts w:hint="eastAsia" w:ascii="仿宋" w:hAnsi="仿宋" w:eastAsia="仿宋"/>
          <w:b/>
          <w:sz w:val="32"/>
          <w:szCs w:val="32"/>
        </w:rPr>
        <w:t>（三）国有资产占有使用情况</w:t>
      </w:r>
      <w:bookmarkEnd w:id="70"/>
    </w:p>
    <w:p>
      <w:pPr>
        <w:pageBreakBefore w:val="0"/>
        <w:kinsoku/>
        <w:wordWrap/>
        <w:overflowPunct/>
        <w:topLinePunct w:val="0"/>
        <w:autoSpaceDE w:val="0"/>
        <w:autoSpaceDN w:val="0"/>
        <w:bidi w:val="0"/>
        <w:adjustRightInd w:val="0"/>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日，攀枝花市西区农业农村和交通运输局共有车辆3辆，其中：主要领导干部用车0辆、机要通信用车0辆、应急保障用车0辆、其他用车3辆，其他用车主要是用于农业执法和动物防疫工作。单价</w:t>
      </w:r>
      <w:r>
        <w:rPr>
          <w:rFonts w:ascii="仿宋_GB2312" w:eastAsia="仿宋_GB2312"/>
          <w:sz w:val="32"/>
          <w:szCs w:val="32"/>
        </w:rPr>
        <w:t>100</w:t>
      </w:r>
      <w:r>
        <w:rPr>
          <w:rFonts w:hint="eastAsia" w:ascii="仿宋_GB2312" w:eastAsia="仿宋_GB2312"/>
          <w:sz w:val="32"/>
          <w:szCs w:val="32"/>
        </w:rPr>
        <w:t>万元以上专用设备0台（套）。</w:t>
      </w:r>
    </w:p>
    <w:p>
      <w:pPr>
        <w:pageBreakBefore w:val="0"/>
        <w:kinsoku/>
        <w:wordWrap/>
        <w:overflowPunct/>
        <w:topLinePunct w:val="0"/>
        <w:autoSpaceDE w:val="0"/>
        <w:autoSpaceDN w:val="0"/>
        <w:bidi w:val="0"/>
        <w:adjustRightInd w:val="0"/>
        <w:spacing w:line="600" w:lineRule="exact"/>
        <w:ind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pageBreakBefore w:val="0"/>
        <w:widowControl/>
        <w:kinsoku/>
        <w:wordWrap/>
        <w:overflowPunct/>
        <w:topLinePunct w:val="0"/>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根据预算绩效管理要求，本部门在2022年度预算编制阶段，组织对非洲猪瘟和疫情防控等2个项目开展了预算事前绩效评估，对2个项目编制了绩效目标，预算执行过程中，选取2个项目开展绩效监控。</w:t>
      </w:r>
    </w:p>
    <w:p>
      <w:pPr>
        <w:pageBreakBefore w:val="0"/>
        <w:widowControl/>
        <w:kinsoku/>
        <w:wordWrap/>
        <w:overflowPunct/>
        <w:topLinePunct w:val="0"/>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攀枝花市西区农业农村和交通运输局部门整体（含部门预算项目）绩效自评报告、非洲猪瘟和疫情防控等专项预算项目绩效自评报告，其中，攀枝花市西区农业农村和交通运输局部门整体（含部门预算项目）绩效自评得分为良好，绩效自评综述：全面完成工作目标，完成情况良好；非洲猪瘟和疫情防控等专项预算项目绩效自评得分为良好，绩效自评综述：全面完成工作目标，完成情况良好。绩效自评报告详见附件。</w:t>
      </w:r>
      <w:bookmarkStart w:id="71" w:name="_Toc15396613"/>
      <w:bookmarkStart w:id="72" w:name="_Toc15377225"/>
    </w:p>
    <w:p>
      <w:pPr>
        <w:pageBreakBefore w:val="0"/>
        <w:widowControl/>
        <w:kinsoku/>
        <w:wordWrap/>
        <w:overflowPunct/>
        <w:topLinePunct w:val="0"/>
        <w:bidi w:val="0"/>
        <w:ind w:firstLine="880" w:firstLineChars="200"/>
        <w:jc w:val="left"/>
        <w:textAlignment w:val="auto"/>
        <w:rPr>
          <w:rFonts w:ascii="黑体" w:hAnsi="黑体" w:eastAsia="黑体"/>
          <w:sz w:val="44"/>
          <w:szCs w:val="44"/>
        </w:rPr>
      </w:pPr>
    </w:p>
    <w:p>
      <w:pPr>
        <w:pageBreakBefore w:val="0"/>
        <w:widowControl/>
        <w:kinsoku/>
        <w:wordWrap/>
        <w:overflowPunct/>
        <w:topLinePunct w:val="0"/>
        <w:bidi w:val="0"/>
        <w:ind w:firstLine="880" w:firstLineChars="200"/>
        <w:jc w:val="left"/>
        <w:textAlignment w:val="auto"/>
        <w:rPr>
          <w:rFonts w:ascii="黑体" w:hAnsi="黑体" w:eastAsia="黑体"/>
          <w:sz w:val="44"/>
          <w:szCs w:val="44"/>
        </w:rPr>
      </w:pPr>
    </w:p>
    <w:p>
      <w:pPr>
        <w:pageBreakBefore w:val="0"/>
        <w:widowControl/>
        <w:kinsoku/>
        <w:wordWrap/>
        <w:overflowPunct/>
        <w:topLinePunct w:val="0"/>
        <w:bidi w:val="0"/>
        <w:ind w:firstLine="880" w:firstLineChars="200"/>
        <w:jc w:val="left"/>
        <w:textAlignment w:val="auto"/>
        <w:rPr>
          <w:rFonts w:ascii="黑体" w:hAnsi="黑体" w:eastAsia="黑体"/>
          <w:sz w:val="44"/>
          <w:szCs w:val="44"/>
        </w:rPr>
      </w:pPr>
    </w:p>
    <w:p>
      <w:pPr>
        <w:pageBreakBefore w:val="0"/>
        <w:widowControl/>
        <w:kinsoku/>
        <w:wordWrap/>
        <w:overflowPunct/>
        <w:topLinePunct w:val="0"/>
        <w:bidi w:val="0"/>
        <w:ind w:firstLine="880" w:firstLineChars="200"/>
        <w:jc w:val="left"/>
        <w:textAlignment w:val="auto"/>
        <w:rPr>
          <w:rFonts w:ascii="黑体" w:hAnsi="黑体" w:eastAsia="黑体"/>
          <w:sz w:val="44"/>
          <w:szCs w:val="44"/>
        </w:rPr>
      </w:pPr>
    </w:p>
    <w:p>
      <w:pPr>
        <w:pageBreakBefore w:val="0"/>
        <w:widowControl/>
        <w:kinsoku/>
        <w:wordWrap/>
        <w:overflowPunct/>
        <w:topLinePunct w:val="0"/>
        <w:bidi w:val="0"/>
        <w:ind w:firstLine="880" w:firstLineChars="200"/>
        <w:jc w:val="left"/>
        <w:textAlignment w:val="auto"/>
        <w:rPr>
          <w:rFonts w:ascii="黑体" w:hAnsi="黑体" w:eastAsia="黑体"/>
          <w:sz w:val="44"/>
          <w:szCs w:val="44"/>
        </w:rPr>
      </w:pPr>
    </w:p>
    <w:p>
      <w:pPr>
        <w:pageBreakBefore w:val="0"/>
        <w:widowControl/>
        <w:kinsoku/>
        <w:wordWrap/>
        <w:overflowPunct/>
        <w:topLinePunct w:val="0"/>
        <w:bidi w:val="0"/>
        <w:ind w:firstLine="880" w:firstLineChars="200"/>
        <w:jc w:val="left"/>
        <w:textAlignment w:val="auto"/>
        <w:rPr>
          <w:rFonts w:ascii="黑体" w:hAnsi="黑体" w:eastAsia="黑体"/>
          <w:sz w:val="44"/>
          <w:szCs w:val="44"/>
        </w:rPr>
      </w:pPr>
    </w:p>
    <w:p>
      <w:pPr>
        <w:pageBreakBefore w:val="0"/>
        <w:widowControl/>
        <w:kinsoku/>
        <w:wordWrap/>
        <w:overflowPunct/>
        <w:topLinePunct w:val="0"/>
        <w:bidi w:val="0"/>
        <w:ind w:firstLine="880" w:firstLineChars="200"/>
        <w:jc w:val="left"/>
        <w:textAlignment w:val="auto"/>
        <w:rPr>
          <w:rFonts w:ascii="黑体" w:hAnsi="黑体" w:eastAsia="黑体"/>
          <w:sz w:val="44"/>
          <w:szCs w:val="44"/>
        </w:rPr>
      </w:pPr>
    </w:p>
    <w:p>
      <w:pPr>
        <w:pageBreakBefore w:val="0"/>
        <w:widowControl/>
        <w:kinsoku/>
        <w:wordWrap/>
        <w:overflowPunct/>
        <w:topLinePunct w:val="0"/>
        <w:bidi w:val="0"/>
        <w:ind w:firstLine="880" w:firstLineChars="200"/>
        <w:jc w:val="left"/>
        <w:textAlignment w:val="auto"/>
        <w:rPr>
          <w:rFonts w:ascii="黑体" w:hAnsi="黑体" w:eastAsia="黑体"/>
          <w:sz w:val="44"/>
          <w:szCs w:val="44"/>
        </w:rPr>
      </w:pPr>
    </w:p>
    <w:p>
      <w:pPr>
        <w:pageBreakBefore w:val="0"/>
        <w:widowControl/>
        <w:kinsoku/>
        <w:wordWrap/>
        <w:overflowPunct/>
        <w:topLinePunct w:val="0"/>
        <w:bidi w:val="0"/>
        <w:jc w:val="center"/>
        <w:textAlignment w:val="auto"/>
        <w:outlineLvl w:val="0"/>
        <w:rPr>
          <w:rStyle w:val="30"/>
          <w:rFonts w:ascii="黑体" w:hAnsi="黑体" w:eastAsia="黑体"/>
          <w:b w:val="0"/>
        </w:rPr>
      </w:pPr>
      <w:bookmarkStart w:id="73" w:name="_Toc7898"/>
      <w:r>
        <w:rPr>
          <w:rFonts w:hint="eastAsia" w:ascii="黑体" w:hAnsi="黑体" w:eastAsia="黑体"/>
          <w:sz w:val="44"/>
          <w:szCs w:val="44"/>
        </w:rPr>
        <w:t>名</w:t>
      </w:r>
      <w:r>
        <w:rPr>
          <w:rStyle w:val="30"/>
          <w:rFonts w:hint="eastAsia" w:ascii="黑体" w:hAnsi="黑体" w:eastAsia="黑体"/>
          <w:b w:val="0"/>
        </w:rPr>
        <w:t>词解释</w:t>
      </w:r>
      <w:bookmarkEnd w:id="71"/>
      <w:bookmarkEnd w:id="72"/>
      <w:bookmarkEnd w:id="73"/>
    </w:p>
    <w:p>
      <w:pPr>
        <w:pageBreakBefore w:val="0"/>
        <w:kinsoku/>
        <w:wordWrap/>
        <w:overflowPunct/>
        <w:topLinePunct w:val="0"/>
        <w:bidi w:val="0"/>
        <w:spacing w:line="600" w:lineRule="exact"/>
        <w:ind w:firstLine="883" w:firstLineChars="200"/>
        <w:jc w:val="left"/>
        <w:textAlignment w:val="auto"/>
        <w:rPr>
          <w:rFonts w:ascii="宋体"/>
          <w:b/>
          <w:sz w:val="44"/>
          <w:szCs w:val="44"/>
        </w:rPr>
      </w:pPr>
    </w:p>
    <w:p>
      <w:pPr>
        <w:pStyle w:val="28"/>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8"/>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8"/>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8"/>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8"/>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8"/>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8"/>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8"/>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ageBreakBefore w:val="0"/>
        <w:kinsoku/>
        <w:wordWrap/>
        <w:overflowPunct/>
        <w:topLinePunct w:val="0"/>
        <w:bidi w:val="0"/>
        <w:spacing w:line="600" w:lineRule="exact"/>
        <w:ind w:firstLine="640" w:firstLineChars="200"/>
        <w:textAlignment w:val="auto"/>
        <w:rPr>
          <w:rStyle w:val="18"/>
          <w:rFonts w:ascii="仿宋_GB2312" w:hAnsi="仿宋" w:eastAsia="仿宋_GB2312"/>
          <w:b w:val="0"/>
          <w:bCs w:val="0"/>
          <w:sz w:val="32"/>
          <w:szCs w:val="32"/>
        </w:rPr>
      </w:pPr>
      <w:r>
        <w:rPr>
          <w:rFonts w:hint="eastAsia" w:ascii="仿宋_GB2312" w:eastAsia="仿宋_GB2312"/>
          <w:b w:val="0"/>
          <w:bCs w:val="0"/>
          <w:sz w:val="32"/>
          <w:szCs w:val="32"/>
        </w:rPr>
        <w:t>9</w:t>
      </w:r>
      <w:r>
        <w:rPr>
          <w:rFonts w:ascii="仿宋_GB2312" w:eastAsia="仿宋_GB2312"/>
          <w:b w:val="0"/>
          <w:bCs w:val="0"/>
          <w:sz w:val="32"/>
          <w:szCs w:val="32"/>
        </w:rPr>
        <w:t>.</w:t>
      </w:r>
      <w:r>
        <w:rPr>
          <w:rStyle w:val="18"/>
          <w:rFonts w:hint="eastAsia" w:ascii="仿宋_GB2312" w:hAnsi="仿宋" w:eastAsia="仿宋_GB2312"/>
          <w:b w:val="0"/>
          <w:bCs w:val="0"/>
          <w:sz w:val="32"/>
          <w:szCs w:val="32"/>
        </w:rPr>
        <w:t>社会保障和就业（类）行政事业单位养老支出（款）</w:t>
      </w:r>
    </w:p>
    <w:p>
      <w:pPr>
        <w:pageBreakBefore w:val="0"/>
        <w:kinsoku/>
        <w:wordWrap/>
        <w:overflowPunct/>
        <w:topLinePunct w:val="0"/>
        <w:bidi w:val="0"/>
        <w:ind w:firstLine="640" w:firstLineChars="200"/>
        <w:textAlignment w:val="auto"/>
        <w:rPr>
          <w:rFonts w:ascii="仿宋_GB2312" w:eastAsia="仿宋_GB2312"/>
          <w:b w:val="0"/>
          <w:bCs w:val="0"/>
          <w:sz w:val="32"/>
          <w:szCs w:val="32"/>
        </w:rPr>
      </w:pPr>
      <w:r>
        <w:rPr>
          <w:rStyle w:val="18"/>
          <w:rFonts w:hint="eastAsia" w:ascii="仿宋_GB2312" w:hAnsi="仿宋" w:eastAsia="仿宋_GB2312"/>
          <w:b w:val="0"/>
          <w:bCs w:val="0"/>
          <w:sz w:val="32"/>
          <w:szCs w:val="32"/>
        </w:rPr>
        <w:t>行政单位离退休（项）</w:t>
      </w:r>
      <w:r>
        <w:rPr>
          <w:rFonts w:hint="eastAsia" w:ascii="仿宋_GB2312" w:eastAsia="仿宋_GB2312"/>
          <w:b w:val="0"/>
          <w:bCs w:val="0"/>
          <w:sz w:val="32"/>
          <w:szCs w:val="32"/>
        </w:rPr>
        <w:t>：指行政单位退休人员支出费用。</w:t>
      </w:r>
    </w:p>
    <w:p>
      <w:pPr>
        <w:pageBreakBefore w:val="0"/>
        <w:kinsoku/>
        <w:wordWrap/>
        <w:overflowPunct/>
        <w:topLinePunct w:val="0"/>
        <w:bidi w:val="0"/>
        <w:spacing w:line="600" w:lineRule="exact"/>
        <w:ind w:firstLine="640" w:firstLineChars="200"/>
        <w:textAlignment w:val="auto"/>
        <w:rPr>
          <w:rStyle w:val="18"/>
          <w:rFonts w:ascii="仿宋_GB2312" w:hAnsi="仿宋" w:eastAsia="仿宋_GB2312"/>
          <w:b w:val="0"/>
          <w:bCs w:val="0"/>
          <w:sz w:val="32"/>
          <w:szCs w:val="32"/>
        </w:rPr>
      </w:pPr>
      <w:r>
        <w:rPr>
          <w:rStyle w:val="18"/>
          <w:rFonts w:hint="eastAsia" w:ascii="仿宋_GB2312" w:hAnsi="仿宋" w:eastAsia="仿宋_GB2312"/>
          <w:b w:val="0"/>
          <w:bCs w:val="0"/>
          <w:sz w:val="32"/>
          <w:szCs w:val="32"/>
        </w:rPr>
        <w:t>社会保障和就业（类）行政事业单位养老支出（款）</w:t>
      </w:r>
    </w:p>
    <w:p>
      <w:pPr>
        <w:pStyle w:val="2"/>
        <w:pageBreakBefore w:val="0"/>
        <w:kinsoku/>
        <w:wordWrap/>
        <w:overflowPunct/>
        <w:topLinePunct w:val="0"/>
        <w:bidi w:val="0"/>
        <w:spacing w:before="93"/>
        <w:ind w:firstLine="640" w:firstLineChars="200"/>
        <w:textAlignment w:val="auto"/>
        <w:rPr>
          <w:b w:val="0"/>
          <w:bCs w:val="0"/>
        </w:rPr>
      </w:pPr>
      <w:r>
        <w:rPr>
          <w:rStyle w:val="18"/>
          <w:rFonts w:hint="eastAsia" w:hAnsi="仿宋"/>
          <w:b w:val="0"/>
          <w:bCs w:val="0"/>
          <w:sz w:val="32"/>
          <w:szCs w:val="32"/>
        </w:rPr>
        <w:t>机关事业单位基本养老保险缴费支出（项）</w:t>
      </w:r>
      <w:r>
        <w:rPr>
          <w:rFonts w:hint="eastAsia"/>
          <w:b w:val="0"/>
          <w:bCs w:val="0"/>
        </w:rPr>
        <w:t>：指行政事业单位缴纳在职人员养老保险单位部分支出。</w:t>
      </w:r>
    </w:p>
    <w:p>
      <w:pPr>
        <w:pageBreakBefore w:val="0"/>
        <w:kinsoku/>
        <w:wordWrap/>
        <w:overflowPunct/>
        <w:topLinePunct w:val="0"/>
        <w:bidi w:val="0"/>
        <w:spacing w:line="600" w:lineRule="exact"/>
        <w:ind w:firstLine="640" w:firstLineChars="200"/>
        <w:textAlignment w:val="auto"/>
        <w:rPr>
          <w:rFonts w:ascii="仿宋_GB2312" w:hAnsi="仿宋" w:eastAsia="仿宋_GB2312"/>
          <w:b w:val="0"/>
          <w:bCs w:val="0"/>
          <w:sz w:val="32"/>
          <w:szCs w:val="32"/>
        </w:rPr>
      </w:pPr>
      <w:r>
        <w:rPr>
          <w:rFonts w:ascii="仿宋_GB2312" w:eastAsia="仿宋_GB2312"/>
          <w:b w:val="0"/>
          <w:bCs w:val="0"/>
          <w:sz w:val="32"/>
          <w:szCs w:val="32"/>
        </w:rPr>
        <w:t>1</w:t>
      </w:r>
      <w:r>
        <w:rPr>
          <w:rFonts w:hint="eastAsia" w:ascii="仿宋_GB2312" w:eastAsia="仿宋_GB2312"/>
          <w:b w:val="0"/>
          <w:bCs w:val="0"/>
          <w:sz w:val="32"/>
          <w:szCs w:val="32"/>
        </w:rPr>
        <w:t>0</w:t>
      </w:r>
      <w:r>
        <w:rPr>
          <w:rFonts w:ascii="仿宋_GB2312" w:eastAsia="仿宋_GB2312"/>
          <w:b w:val="0"/>
          <w:bCs w:val="0"/>
          <w:sz w:val="32"/>
          <w:szCs w:val="32"/>
        </w:rPr>
        <w:t>.</w:t>
      </w:r>
      <w:r>
        <w:rPr>
          <w:rFonts w:hint="eastAsia" w:ascii="仿宋" w:hAnsi="仿宋" w:eastAsia="仿宋"/>
          <w:b w:val="0"/>
          <w:bCs w:val="0"/>
          <w:sz w:val="32"/>
          <w:szCs w:val="32"/>
        </w:rPr>
        <w:t xml:space="preserve"> </w:t>
      </w:r>
      <w:r>
        <w:rPr>
          <w:rFonts w:hint="eastAsia" w:ascii="仿宋_GB2312" w:hAnsi="仿宋" w:eastAsia="仿宋_GB2312"/>
          <w:b w:val="0"/>
          <w:bCs w:val="0"/>
          <w:sz w:val="32"/>
          <w:szCs w:val="32"/>
        </w:rPr>
        <w:t>卫生健康</w:t>
      </w:r>
      <w:r>
        <w:rPr>
          <w:rStyle w:val="18"/>
          <w:rFonts w:hint="eastAsia" w:ascii="仿宋_GB2312" w:hAnsi="仿宋" w:eastAsia="仿宋_GB2312"/>
          <w:b w:val="0"/>
          <w:bCs w:val="0"/>
          <w:sz w:val="32"/>
          <w:szCs w:val="32"/>
        </w:rPr>
        <w:t>（类）行政事业单位医疗（款）行政单位医疗（项）:指行政单位缴纳在职人员医疗保险单位部分支出。</w:t>
      </w:r>
    </w:p>
    <w:p>
      <w:pPr>
        <w:pageBreakBefore w:val="0"/>
        <w:kinsoku/>
        <w:wordWrap/>
        <w:overflowPunct/>
        <w:topLinePunct w:val="0"/>
        <w:bidi w:val="0"/>
        <w:spacing w:line="600" w:lineRule="exact"/>
        <w:ind w:firstLine="640" w:firstLineChars="200"/>
        <w:textAlignment w:val="auto"/>
        <w:rPr>
          <w:rStyle w:val="18"/>
          <w:rFonts w:ascii="仿宋_GB2312" w:hAnsi="仿宋" w:eastAsia="仿宋_GB2312"/>
          <w:b w:val="0"/>
          <w:bCs w:val="0"/>
          <w:sz w:val="32"/>
          <w:szCs w:val="32"/>
        </w:rPr>
      </w:pPr>
      <w:r>
        <w:rPr>
          <w:rFonts w:hint="eastAsia" w:ascii="仿宋_GB2312" w:hAnsi="仿宋" w:eastAsia="仿宋_GB2312"/>
          <w:b w:val="0"/>
          <w:bCs w:val="0"/>
          <w:sz w:val="32"/>
          <w:szCs w:val="32"/>
        </w:rPr>
        <w:t>卫生健康</w:t>
      </w:r>
      <w:r>
        <w:rPr>
          <w:rStyle w:val="18"/>
          <w:rFonts w:hint="eastAsia" w:ascii="仿宋_GB2312" w:hAnsi="仿宋" w:eastAsia="仿宋_GB2312"/>
          <w:b w:val="0"/>
          <w:bCs w:val="0"/>
          <w:sz w:val="32"/>
          <w:szCs w:val="32"/>
        </w:rPr>
        <w:t>（类）行政事业单位医疗（款）事业单位医疗（项）:指事业单位缴纳在职人员医疗保险单位部分支出。</w:t>
      </w:r>
    </w:p>
    <w:p>
      <w:pPr>
        <w:pStyle w:val="2"/>
        <w:pageBreakBefore w:val="0"/>
        <w:kinsoku/>
        <w:wordWrap/>
        <w:overflowPunct/>
        <w:topLinePunct w:val="0"/>
        <w:bidi w:val="0"/>
        <w:spacing w:before="93"/>
        <w:ind w:firstLine="640" w:firstLineChars="200"/>
        <w:textAlignment w:val="auto"/>
        <w:rPr>
          <w:rStyle w:val="18"/>
          <w:rFonts w:ascii="仿宋" w:hAnsi="仿宋" w:eastAsia="仿宋"/>
          <w:b w:val="0"/>
          <w:bCs w:val="0"/>
          <w:sz w:val="32"/>
          <w:szCs w:val="32"/>
        </w:rPr>
      </w:pPr>
      <w:r>
        <w:rPr>
          <w:rFonts w:hint="eastAsia" w:hAnsi="仿宋"/>
          <w:b w:val="0"/>
          <w:bCs w:val="0"/>
          <w:sz w:val="32"/>
          <w:szCs w:val="32"/>
        </w:rPr>
        <w:t>卫生健康</w:t>
      </w:r>
      <w:r>
        <w:rPr>
          <w:rStyle w:val="18"/>
          <w:rFonts w:hint="eastAsia" w:hAnsi="仿宋"/>
          <w:b w:val="0"/>
          <w:bCs w:val="0"/>
          <w:sz w:val="32"/>
          <w:szCs w:val="32"/>
        </w:rPr>
        <w:t>（类）行政事业单位医疗（款）公务员医疗补助（项）:</w:t>
      </w:r>
      <w:r>
        <w:rPr>
          <w:rStyle w:val="18"/>
          <w:rFonts w:hint="eastAsia" w:ascii="仿宋" w:hAnsi="仿宋" w:eastAsia="仿宋"/>
          <w:b w:val="0"/>
          <w:bCs w:val="0"/>
          <w:sz w:val="32"/>
          <w:szCs w:val="32"/>
        </w:rPr>
        <w:t>指行政事业单位缴纳在职人员医疗补助部分。</w:t>
      </w:r>
    </w:p>
    <w:p>
      <w:pPr>
        <w:pageBreakBefore w:val="0"/>
        <w:kinsoku/>
        <w:wordWrap/>
        <w:overflowPunct/>
        <w:topLinePunct w:val="0"/>
        <w:bidi w:val="0"/>
        <w:ind w:firstLine="640" w:firstLineChars="200"/>
        <w:textAlignment w:val="auto"/>
        <w:rPr>
          <w:rFonts w:ascii="仿宋_GB2312" w:eastAsia="仿宋_GB2312"/>
          <w:b w:val="0"/>
          <w:bCs w:val="0"/>
          <w:sz w:val="32"/>
          <w:szCs w:val="32"/>
        </w:rPr>
      </w:pPr>
      <w:r>
        <w:rPr>
          <w:rFonts w:ascii="仿宋_GB2312" w:eastAsia="仿宋_GB2312"/>
          <w:b w:val="0"/>
          <w:bCs w:val="0"/>
          <w:sz w:val="32"/>
          <w:szCs w:val="32"/>
        </w:rPr>
        <w:t>1</w:t>
      </w:r>
      <w:r>
        <w:rPr>
          <w:rFonts w:hint="eastAsia" w:ascii="仿宋_GB2312" w:eastAsia="仿宋_GB2312"/>
          <w:b w:val="0"/>
          <w:bCs w:val="0"/>
          <w:sz w:val="32"/>
          <w:szCs w:val="32"/>
        </w:rPr>
        <w:t>1</w:t>
      </w:r>
      <w:r>
        <w:rPr>
          <w:rFonts w:ascii="仿宋_GB2312" w:eastAsia="仿宋_GB2312"/>
          <w:b w:val="0"/>
          <w:bCs w:val="0"/>
          <w:sz w:val="32"/>
          <w:szCs w:val="32"/>
        </w:rPr>
        <w:t>.</w:t>
      </w:r>
      <w:r>
        <w:rPr>
          <w:rFonts w:hint="eastAsia" w:ascii="仿宋_GB2312" w:eastAsia="仿宋_GB2312"/>
          <w:b w:val="0"/>
          <w:bCs w:val="0"/>
          <w:sz w:val="32"/>
          <w:szCs w:val="32"/>
        </w:rPr>
        <w:t>城乡社区（类）国有土地使用权出让收入安排的支出（款）土地开发支出（项）：指农业和交通项目支出。</w:t>
      </w:r>
    </w:p>
    <w:p>
      <w:pPr>
        <w:pageBreakBefore w:val="0"/>
        <w:kinsoku/>
        <w:wordWrap/>
        <w:overflowPunct/>
        <w:topLinePunct w:val="0"/>
        <w:bidi w:val="0"/>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城乡社区（类）国有土地使用权出让收入安排的支出（款）农业农村生态环境支出（项）：指农业专项支出。</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Fonts w:hint="eastAsia" w:ascii="仿宋_GB2312" w:eastAsia="仿宋_GB2312"/>
          <w:b w:val="0"/>
          <w:bCs w:val="0"/>
          <w:sz w:val="32"/>
          <w:szCs w:val="32"/>
        </w:rPr>
        <w:t>12</w:t>
      </w:r>
      <w:r>
        <w:rPr>
          <w:rFonts w:ascii="仿宋_GB2312" w:eastAsia="仿宋_GB2312"/>
          <w:b w:val="0"/>
          <w:bCs w:val="0"/>
          <w:sz w:val="32"/>
          <w:szCs w:val="32"/>
        </w:rPr>
        <w:t>.</w:t>
      </w:r>
      <w:r>
        <w:rPr>
          <w:rFonts w:hint="eastAsia" w:ascii="仿宋" w:hAnsi="仿宋" w:eastAsia="仿宋"/>
          <w:b w:val="0"/>
          <w:bCs w:val="0"/>
          <w:sz w:val="32"/>
          <w:szCs w:val="32"/>
        </w:rPr>
        <w:t>农林水支出（类）农业农村（款）行政运行（项）：</w:t>
      </w:r>
      <w:r>
        <w:rPr>
          <w:rStyle w:val="18"/>
          <w:rFonts w:hint="eastAsia" w:ascii="仿宋" w:hAnsi="仿宋" w:eastAsia="仿宋"/>
          <w:b w:val="0"/>
          <w:bCs w:val="0"/>
          <w:sz w:val="32"/>
          <w:szCs w:val="32"/>
        </w:rPr>
        <w:t>指行政单位基本支出。</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Fonts w:hint="eastAsia" w:ascii="仿宋" w:hAnsi="仿宋" w:eastAsia="仿宋"/>
          <w:b w:val="0"/>
          <w:bCs w:val="0"/>
          <w:sz w:val="32"/>
          <w:szCs w:val="32"/>
        </w:rPr>
        <w:t>农林水支出（类）农业农村（款）事业运行（项）：</w:t>
      </w:r>
      <w:r>
        <w:rPr>
          <w:rStyle w:val="18"/>
          <w:rFonts w:hint="eastAsia" w:ascii="仿宋" w:hAnsi="仿宋" w:eastAsia="仿宋"/>
          <w:b w:val="0"/>
          <w:bCs w:val="0"/>
          <w:sz w:val="32"/>
          <w:szCs w:val="32"/>
        </w:rPr>
        <w:t>指事业单位基本支出。</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农林水（类）农业农村（款）病虫害控制（项）：指动物疫病预防控制项目经费。</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Fonts w:hint="eastAsia" w:ascii="仿宋" w:hAnsi="仿宋" w:eastAsia="仿宋"/>
          <w:b w:val="0"/>
          <w:bCs w:val="0"/>
          <w:sz w:val="32"/>
          <w:szCs w:val="32"/>
        </w:rPr>
        <w:t>农林水支出（类）农业农村（款）其他农业农村支出（项）：</w:t>
      </w:r>
      <w:r>
        <w:rPr>
          <w:rStyle w:val="18"/>
          <w:rFonts w:hint="eastAsia" w:ascii="仿宋" w:hAnsi="仿宋" w:eastAsia="仿宋"/>
          <w:b w:val="0"/>
          <w:bCs w:val="0"/>
          <w:sz w:val="32"/>
          <w:szCs w:val="32"/>
        </w:rPr>
        <w:t>指农业专项项目支出。</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Fonts w:hint="eastAsia" w:ascii="仿宋" w:hAnsi="仿宋" w:eastAsia="仿宋"/>
          <w:b w:val="0"/>
          <w:bCs w:val="0"/>
          <w:sz w:val="32"/>
          <w:szCs w:val="32"/>
        </w:rPr>
        <w:t>农林水支出（类）农村综合改革（款）对村级公益事业建设的补助（项）：</w:t>
      </w:r>
      <w:r>
        <w:rPr>
          <w:rStyle w:val="18"/>
          <w:rFonts w:hint="eastAsia" w:ascii="仿宋" w:hAnsi="仿宋" w:eastAsia="仿宋"/>
          <w:b w:val="0"/>
          <w:bCs w:val="0"/>
          <w:sz w:val="32"/>
          <w:szCs w:val="32"/>
        </w:rPr>
        <w:t>指农业专项项目支出。</w:t>
      </w:r>
    </w:p>
    <w:p>
      <w:pPr>
        <w:pageBreakBefore w:val="0"/>
        <w:kinsoku/>
        <w:wordWrap/>
        <w:overflowPunct/>
        <w:topLinePunct w:val="0"/>
        <w:bidi w:val="0"/>
        <w:spacing w:line="600" w:lineRule="exact"/>
        <w:ind w:firstLine="640" w:firstLineChars="200"/>
        <w:textAlignment w:val="auto"/>
        <w:rPr>
          <w:rStyle w:val="18"/>
          <w:rFonts w:ascii="仿宋" w:hAnsi="仿宋" w:eastAsia="仿宋"/>
          <w:b w:val="0"/>
          <w:bCs w:val="0"/>
          <w:sz w:val="32"/>
          <w:szCs w:val="32"/>
        </w:rPr>
      </w:pPr>
      <w:r>
        <w:rPr>
          <w:rFonts w:hint="eastAsia" w:ascii="仿宋" w:hAnsi="仿宋" w:eastAsia="仿宋"/>
          <w:b w:val="0"/>
          <w:bCs w:val="0"/>
          <w:sz w:val="32"/>
          <w:szCs w:val="32"/>
        </w:rPr>
        <w:t>农林水支出（类）普惠金融发展支出（款）农业保险保费支出（项）：</w:t>
      </w:r>
      <w:r>
        <w:rPr>
          <w:rStyle w:val="18"/>
          <w:rFonts w:hint="eastAsia" w:ascii="仿宋" w:hAnsi="仿宋" w:eastAsia="仿宋"/>
          <w:b w:val="0"/>
          <w:bCs w:val="0"/>
          <w:sz w:val="32"/>
          <w:szCs w:val="32"/>
        </w:rPr>
        <w:t>指农业保险支出。</w:t>
      </w:r>
    </w:p>
    <w:p>
      <w:pPr>
        <w:pStyle w:val="2"/>
        <w:pageBreakBefore w:val="0"/>
        <w:kinsoku/>
        <w:wordWrap/>
        <w:overflowPunct/>
        <w:topLinePunct w:val="0"/>
        <w:bidi w:val="0"/>
        <w:spacing w:before="93"/>
        <w:ind w:firstLine="640" w:firstLineChars="200"/>
        <w:textAlignment w:val="auto"/>
      </w:pPr>
      <w:r>
        <w:rPr>
          <w:rFonts w:hint="eastAsia"/>
          <w:sz w:val="32"/>
          <w:szCs w:val="32"/>
        </w:rPr>
        <w:t>13.</w:t>
      </w:r>
      <w:r>
        <w:rPr>
          <w:rFonts w:hint="eastAsia"/>
        </w:rPr>
        <w:t>交通运输支出（类）公路水路运输（款）其他公路水路运输支出（项）：指交通运输专项支出。</w:t>
      </w:r>
    </w:p>
    <w:p>
      <w:pPr>
        <w:pStyle w:val="2"/>
        <w:pageBreakBefore w:val="0"/>
        <w:kinsoku/>
        <w:wordWrap/>
        <w:overflowPunct/>
        <w:topLinePunct w:val="0"/>
        <w:bidi w:val="0"/>
        <w:spacing w:before="93"/>
        <w:ind w:firstLine="600" w:firstLineChars="200"/>
        <w:textAlignment w:val="auto"/>
      </w:pPr>
      <w:r>
        <w:rPr>
          <w:rFonts w:hint="eastAsia"/>
        </w:rPr>
        <w:t>交通运输支出（类）其他交通运输支出（款）其他交通运输支出（项）：指交通运输专项支出。</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住房保障支出（类）住房改革支出（款）住房公积金（项）：指行政事业单位缴纳在职人员公积金单位部分。</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ageBreakBefore w:val="0"/>
        <w:kinsoku/>
        <w:wordWrap/>
        <w:overflowPunct/>
        <w:topLinePunct w:val="0"/>
        <w:bidi w:val="0"/>
        <w:ind w:firstLine="640" w:firstLineChars="200"/>
        <w:textAlignment w:val="auto"/>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8"/>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pageBreakBefore w:val="0"/>
        <w:kinsoku/>
        <w:wordWrap/>
        <w:overflowPunct/>
        <w:topLinePunct w:val="0"/>
        <w:bidi w:val="0"/>
        <w:spacing w:line="560" w:lineRule="exact"/>
        <w:ind w:firstLine="640" w:firstLineChars="200"/>
        <w:textAlignment w:val="auto"/>
        <w:rPr>
          <w:rFonts w:ascii="仿宋_GB2312" w:eastAsia="仿宋_GB2312" w:cs="黑体"/>
          <w:color w:val="auto"/>
          <w:sz w:val="32"/>
          <w:szCs w:val="32"/>
        </w:rPr>
      </w:pPr>
    </w:p>
    <w:p>
      <w:pPr>
        <w:pageBreakBefore w:val="0"/>
        <w:kinsoku/>
        <w:wordWrap/>
        <w:overflowPunct/>
        <w:topLinePunct w:val="0"/>
        <w:bidi w:val="0"/>
        <w:spacing w:line="600" w:lineRule="exact"/>
        <w:jc w:val="center"/>
        <w:textAlignment w:val="auto"/>
        <w:outlineLvl w:val="0"/>
        <w:rPr>
          <w:rStyle w:val="30"/>
          <w:rFonts w:ascii="黑体" w:hAnsi="黑体" w:eastAsia="黑体"/>
          <w:b w:val="0"/>
        </w:rPr>
      </w:pPr>
      <w:bookmarkStart w:id="74" w:name="_Toc15377226"/>
      <w:r>
        <w:rPr>
          <w:rFonts w:ascii="宋体"/>
          <w:b/>
          <w:sz w:val="44"/>
          <w:szCs w:val="44"/>
        </w:rPr>
        <w:br w:type="page"/>
      </w:r>
      <w:bookmarkStart w:id="75" w:name="_Toc15396614"/>
      <w:bookmarkStart w:id="76" w:name="_Toc29193"/>
      <w:r>
        <w:rPr>
          <w:rFonts w:hint="eastAsia" w:ascii="黑体" w:hAnsi="黑体" w:eastAsia="黑体"/>
          <w:sz w:val="44"/>
          <w:szCs w:val="44"/>
        </w:rPr>
        <w:t>第</w:t>
      </w:r>
      <w:r>
        <w:rPr>
          <w:rStyle w:val="30"/>
          <w:rFonts w:hint="eastAsia" w:ascii="黑体" w:hAnsi="黑体" w:eastAsia="黑体"/>
          <w:b w:val="0"/>
        </w:rPr>
        <w:t>四部分 附件</w:t>
      </w:r>
      <w:bookmarkEnd w:id="75"/>
      <w:bookmarkEnd w:id="76"/>
    </w:p>
    <w:p>
      <w:pPr>
        <w:pageBreakBefore w:val="0"/>
        <w:kinsoku/>
        <w:wordWrap/>
        <w:overflowPunct/>
        <w:topLinePunct w:val="0"/>
        <w:bidi w:val="0"/>
        <w:spacing w:line="572" w:lineRule="exact"/>
        <w:jc w:val="left"/>
        <w:textAlignment w:val="auto"/>
        <w:outlineLvl w:val="0"/>
        <w:rPr>
          <w:rFonts w:hint="eastAsia" w:ascii="黑体" w:hAnsi="黑体" w:eastAsia="黑体" w:cs="黑体"/>
          <w:sz w:val="32"/>
          <w:szCs w:val="32"/>
        </w:rPr>
      </w:pPr>
      <w:bookmarkStart w:id="77" w:name="_Toc4154"/>
      <w:r>
        <w:rPr>
          <w:rFonts w:hint="eastAsia" w:ascii="黑体" w:hAnsi="黑体" w:eastAsia="黑体" w:cs="黑体"/>
          <w:sz w:val="32"/>
          <w:szCs w:val="32"/>
        </w:rPr>
        <w:t>附件</w:t>
      </w:r>
      <w:bookmarkEnd w:id="77"/>
    </w:p>
    <w:p>
      <w:pPr>
        <w:pageBreakBefore w:val="0"/>
        <w:kinsoku/>
        <w:wordWrap/>
        <w:overflowPunct/>
        <w:topLinePunct w:val="0"/>
        <w:bidi w:val="0"/>
        <w:spacing w:line="572" w:lineRule="exact"/>
        <w:jc w:val="center"/>
        <w:textAlignment w:val="auto"/>
        <w:outlineLvl w:val="0"/>
        <w:rPr>
          <w:rFonts w:asciiTheme="majorEastAsia" w:hAnsiTheme="majorEastAsia" w:eastAsiaTheme="majorEastAsia"/>
          <w:b/>
          <w:sz w:val="32"/>
          <w:szCs w:val="32"/>
          <w:shd w:val="clear" w:color="auto" w:fill="FFFFFF"/>
        </w:rPr>
      </w:pPr>
      <w:r>
        <w:rPr>
          <w:rFonts w:hint="eastAsia" w:asciiTheme="majorEastAsia" w:hAnsiTheme="majorEastAsia" w:eastAsiaTheme="majorEastAsia"/>
          <w:b/>
          <w:sz w:val="32"/>
          <w:szCs w:val="32"/>
          <w:shd w:val="clear" w:color="auto" w:fill="FFFFFF"/>
        </w:rPr>
        <w:t>2022年攀枝花市西区农业农村和交通运输局部门</w:t>
      </w:r>
    </w:p>
    <w:p>
      <w:pPr>
        <w:pageBreakBefore w:val="0"/>
        <w:widowControl/>
        <w:kinsoku/>
        <w:wordWrap/>
        <w:overflowPunct/>
        <w:topLinePunct w:val="0"/>
        <w:bidi w:val="0"/>
        <w:spacing w:line="580" w:lineRule="exact"/>
        <w:contextualSpacing/>
        <w:jc w:val="center"/>
        <w:textAlignment w:val="auto"/>
        <w:rPr>
          <w:rFonts w:asciiTheme="majorEastAsia" w:hAnsiTheme="majorEastAsia" w:eastAsiaTheme="majorEastAsia"/>
          <w:b/>
          <w:sz w:val="32"/>
          <w:szCs w:val="32"/>
          <w:shd w:val="clear" w:color="auto" w:fill="FFFFFF"/>
        </w:rPr>
      </w:pPr>
      <w:r>
        <w:rPr>
          <w:rFonts w:hint="eastAsia" w:asciiTheme="majorEastAsia" w:hAnsiTheme="majorEastAsia" w:eastAsiaTheme="majorEastAsia"/>
          <w:b/>
          <w:sz w:val="32"/>
          <w:szCs w:val="32"/>
          <w:shd w:val="clear" w:color="auto" w:fill="FFFFFF"/>
        </w:rPr>
        <w:t>整体支出绩效评价报告范本</w:t>
      </w:r>
    </w:p>
    <w:p>
      <w:pPr>
        <w:pageBreakBefore w:val="0"/>
        <w:widowControl/>
        <w:kinsoku/>
        <w:wordWrap/>
        <w:overflowPunct/>
        <w:topLinePunct w:val="0"/>
        <w:bidi w:val="0"/>
        <w:spacing w:line="580" w:lineRule="exact"/>
        <w:contextualSpacing/>
        <w:jc w:val="center"/>
        <w:textAlignment w:val="auto"/>
        <w:rPr>
          <w:rFonts w:ascii="仿宋_GB2312" w:eastAsia="仿宋_GB2312"/>
          <w:sz w:val="32"/>
          <w:szCs w:val="32"/>
          <w:shd w:val="clear" w:color="auto" w:fill="FFFFFF"/>
        </w:rPr>
      </w:pPr>
      <w:r>
        <w:rPr>
          <w:rFonts w:hint="eastAsia" w:ascii="仿宋_GB2312" w:eastAsia="仿宋_GB2312"/>
          <w:sz w:val="32"/>
          <w:szCs w:val="32"/>
          <w:shd w:val="clear" w:color="auto" w:fill="FFFFFF"/>
        </w:rPr>
        <w:t>（报告范围包括机关和下属单位）</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rPr>
      </w:pP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rPr>
        <w:t>一、</w:t>
      </w:r>
      <w:r>
        <w:rPr>
          <w:rFonts w:hint="eastAsia" w:ascii="仿宋_GB2312" w:eastAsia="仿宋_GB2312"/>
          <w:color w:val="000000"/>
          <w:kern w:val="0"/>
          <w:sz w:val="32"/>
          <w:szCs w:val="32"/>
          <w:shd w:val="clear" w:color="auto" w:fill="FFFFFF"/>
          <w:lang w:val="zh-CN"/>
        </w:rPr>
        <w:t>部门（单位）概况</w:t>
      </w:r>
    </w:p>
    <w:p>
      <w:pPr>
        <w:pStyle w:val="9"/>
        <w:pageBreakBefore w:val="0"/>
        <w:kinsoku/>
        <w:wordWrap/>
        <w:overflowPunct/>
        <w:topLinePunct w:val="0"/>
        <w:bidi w:val="0"/>
        <w:spacing w:line="353" w:lineRule="auto"/>
        <w:ind w:firstLine="640" w:firstLineChars="200"/>
        <w:textAlignment w:val="auto"/>
        <w:rPr>
          <w:rFonts w:ascii="仿宋_GB2312" w:hAnsi="Times New Roman" w:eastAsia="仿宋_GB2312"/>
          <w:sz w:val="32"/>
          <w:szCs w:val="32"/>
        </w:rPr>
      </w:pPr>
      <w:r>
        <w:rPr>
          <w:rFonts w:hint="eastAsia" w:ascii="仿宋_GB2312" w:eastAsia="仿宋_GB2312"/>
          <w:color w:val="000000"/>
          <w:kern w:val="0"/>
          <w:sz w:val="32"/>
          <w:szCs w:val="32"/>
          <w:shd w:val="clear" w:color="auto" w:fill="FFFFFF"/>
          <w:lang w:val="zh-CN"/>
        </w:rPr>
        <w:t>（一）机构组成。</w:t>
      </w:r>
      <w:r>
        <w:rPr>
          <w:rFonts w:hint="eastAsia" w:ascii="仿宋_GB2312" w:hAnsi="Times New Roman" w:eastAsia="仿宋_GB2312"/>
          <w:sz w:val="32"/>
          <w:szCs w:val="32"/>
        </w:rPr>
        <w:t>攀枝花市西区农业农村和交通运输局是攀枝花市西区人民政府组成部门，于2019年3月政府机构改革时将原农林畜牧局农业部分和原交通运输局合并新组建而成。</w:t>
      </w:r>
    </w:p>
    <w:p>
      <w:pPr>
        <w:pageBreakBefore w:val="0"/>
        <w:kinsoku/>
        <w:wordWrap/>
        <w:overflowPunct/>
        <w:topLinePunct w:val="0"/>
        <w:bidi w:val="0"/>
        <w:spacing w:line="560" w:lineRule="exact"/>
        <w:ind w:firstLine="640" w:firstLineChars="200"/>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（二）机构职能。</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1.基本职能</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（1）贯彻执行国家有关种植业、畜牧业、渔业、农业机械化、农垦等农业领域工作的法律、法规、政策以及区委、区政府关于“三农”方面的决策部署，组织拟订全区“三农”有关政策。</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（2）统筹实施乡村振兴战略，牵头组织改善全区农村人居环境。</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（3）负责农民承包地管理和改革有关工作。负责农村集体产权制度改革。</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（4）指导全区乡村特色产业、农产品加工业（产地初加工）、休闲农业和乡村企业发展工作。负责农业信息体系建设，推动数字农业发展。</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（5）负责全区种植业、畜牧业（草原牧业）、渔业、农垦、农业机械化等农业各产业的监督管理。</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（6）负责制定全区农业全产业机械化、智能化、数字化发展规划并组织实施。指导设施农业、农机库棚、机电提灌、机耕道等基础设施建设。</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(7)负责全区农产品质量安全监督管理。依法组织实施符合安全标准的农产品生产基地认定、产品认证、农产品地理标志登记保护和监督管理。</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(8)组织开展全区农业资源区划和资源保护工作。</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(9)负责全区有关农业生产资料和农业投入品的监督管理。组织兽医医政、兽药（鱼药）药政药检工作，负责执业兽医和兽禽屠宰行业管理。</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(10)负责全区农业防灾减灾、农作物重大病虫害防治工作。指导动植物防疫检疫体系建设，组织监督管理全区动植物防疫检疫工作，发布疫情并组织扑灭。组织植物检疫性有害生物普查。</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(11)负责全区农业投资管理。按规定权限审批农业投资项目，负责农业投资项目资金安排和监督管理。负责农业综合开发项目工作。</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（12）负责全区农田建设管理、高标准农田建设和耕地质量管理。</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（14）指导全区农业农村人才工作。拟订农业农村人才队伍建设规划并组织实施，指导农业教育和农业职业技能开发，指导新型职业农民培育、农业科技人才培养和农村实用人才培训工作。</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（15）牵头开展全区农业对外合作工作。组织开展农业贸易促进和交流合作。</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（16）负责全区农业领域行政执法工作。负责区本级涉农违法案件的办理。推进农业依法行政。</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（17）依法依规负责农业安全生产和职业健康监督管理工作。</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（18）组织拟订并监督实施公路、水路等行业发展战略、政策，会同有关部门组织编制综合运输体系规划。</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（19）负责本系统、本部门依法行政工作；指导公路、水路行业有关体制改革和机制转换工作；参与拟订物流业发展战略和规划。</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（20）指导城乡客运管理工作，指导出租车行业管理工作；会同有关部门制定运输价格。</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（22）负责提出公路、水路固定资产投资规模、方向和区财政资金安排建议，按照程序报批国家、省、市、区规划内和年度计划规模内固定资产投资项目。</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（24）指导农村公路养管理、交通工程建设、农村客运、水上交通灯方面安全生产和应急管理工作。负责全区干线路网运行监测和协调；组织协调地方交通战备工作，承担国防动员有关工作。</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（25）承担交通运输科技项目开发和研究的组织实施工作，负责交通运输科研成果的推广、应用工作。指导全区交通运输信息化建设，监测分析运行情况，开展相关统计工作，发布有关信息。</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（26）负责职责范围内的安全生产、职业健康、生态环境保护、审批服务便民化等工作。</w:t>
      </w:r>
    </w:p>
    <w:p>
      <w:pPr>
        <w:pageBreakBefore w:val="0"/>
        <w:kinsoku/>
        <w:wordWrap/>
        <w:overflowPunct/>
        <w:topLinePunct w:val="0"/>
        <w:bidi w:val="0"/>
        <w:spacing w:line="560" w:lineRule="exact"/>
        <w:ind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（27）完成区委、区政府交办的其他任务。</w:t>
      </w:r>
    </w:p>
    <w:p>
      <w:pPr>
        <w:pageBreakBefore w:val="0"/>
        <w:kinsoku/>
        <w:wordWrap/>
        <w:overflowPunct/>
        <w:topLinePunct w:val="0"/>
        <w:bidi w:val="0"/>
        <w:snapToGrid w:val="0"/>
        <w:spacing w:line="520" w:lineRule="exact"/>
        <w:ind w:firstLine="640" w:firstLineChars="200"/>
        <w:textAlignment w:val="auto"/>
        <w:rPr>
          <w:rFonts w:ascii="仿宋_GB2312" w:hAnsi="仿宋" w:eastAsia="仿宋_GB2312"/>
          <w:sz w:val="32"/>
          <w:szCs w:val="32"/>
        </w:rPr>
      </w:pPr>
      <w:r>
        <w:rPr>
          <w:rFonts w:hint="eastAsia" w:ascii="仿宋_GB2312" w:eastAsia="仿宋_GB2312"/>
          <w:color w:val="000000"/>
          <w:kern w:val="0"/>
          <w:sz w:val="32"/>
          <w:szCs w:val="32"/>
          <w:shd w:val="clear" w:color="auto" w:fill="FFFFFF"/>
          <w:lang w:val="zh-CN"/>
        </w:rPr>
        <w:t>（三）人员概况。</w:t>
      </w:r>
      <w:r>
        <w:rPr>
          <w:rFonts w:hint="eastAsia" w:ascii="仿宋_GB2312" w:hAnsi="仿宋" w:eastAsia="仿宋_GB2312"/>
          <w:sz w:val="32"/>
          <w:szCs w:val="32"/>
        </w:rPr>
        <w:t>2022年，西区农业农村和交通局下设办公室、农村改革和畜牧渔政股、农业综合股、交通综合股、农业综合执法大队等五个内设科室和西区动物疫病控制中心、西区公路养护管理中心等2个二级单位,截至2022年底,共有正式人员30名,其中公务员5名,参公人员6名,机关工勤5名,参公工勤 1名,事业人员13名,临聘人员19名,退休人员10名。</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二、部门财政资金收支情况</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（一）部门财政资金收入情况。</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2022年，西区农业农村和交通运输局财政资金收入1542.94万元。</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（二）部门财政资金支出情况。</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2022年，西区农业农村和交通运输局财政资金支出1542.94万元。</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三、部门整体预算绩效管理情况（根据适用指标体系进行调整，涉及到有专项预算的部门，专项预算项目自评报告根据要求另行单独报送）</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（一）部门预算项目绩效管理。</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西区农业农村和交通运输局所属各股室（单位）根据第二年工作开展情况，结合西区和单位实际，制定项目绩效目标，细化指标，</w:t>
      </w:r>
      <w:r>
        <w:rPr>
          <w:rFonts w:hint="eastAsia" w:ascii="仿宋_GB2312" w:eastAsia="仿宋_GB2312"/>
          <w:kern w:val="0"/>
          <w:sz w:val="32"/>
          <w:szCs w:val="32"/>
          <w:shd w:val="clear" w:color="auto" w:fill="FFFFFF"/>
          <w:lang w:val="zh-CN"/>
        </w:rPr>
        <w:t>列入局党委会议讨论并</w:t>
      </w:r>
      <w:r>
        <w:rPr>
          <w:rFonts w:hint="eastAsia" w:ascii="仿宋_GB2312" w:eastAsia="仿宋_GB2312"/>
          <w:color w:val="000000"/>
          <w:kern w:val="0"/>
          <w:sz w:val="32"/>
          <w:szCs w:val="32"/>
          <w:shd w:val="clear" w:color="auto" w:fill="FFFFFF"/>
          <w:lang w:val="zh-CN"/>
        </w:rPr>
        <w:t>审议；绩效目标分为人员类、运转类和特定目标类三类分类制定目标，根据目标分类跟踪考核。项目预算编制，实事求是，确保预算的准确性、及时性；专项预算项目按照程序严密、规划合理的原则实施、管理结果符合审计要求、及时支付，没有违规记录等情况。</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（二）结果应用情况。</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严格对照项目支出绩效评价发现的问题，查找漏洞，将评价结果用于制定政策、完善内控管理制度，改进项目管理、财务管理和资金使用管理等方面，不断提高资金使用效益。</w:t>
      </w:r>
    </w:p>
    <w:p>
      <w:pPr>
        <w:pageBreakBefore w:val="0"/>
        <w:widowControl/>
        <w:numPr>
          <w:ilvl w:val="0"/>
          <w:numId w:val="2"/>
        </w:numPr>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自评质量。</w:t>
      </w:r>
    </w:p>
    <w:p>
      <w:pPr>
        <w:pageBreakBefore w:val="0"/>
        <w:tabs>
          <w:tab w:val="left" w:pos="4246"/>
        </w:tabs>
        <w:kinsoku/>
        <w:wordWrap/>
        <w:overflowPunct/>
        <w:topLinePunct w:val="0"/>
        <w:bidi w:val="0"/>
        <w:snapToGrid w:val="0"/>
        <w:spacing w:line="353" w:lineRule="auto"/>
        <w:ind w:firstLine="640" w:firstLineChars="200"/>
        <w:textAlignment w:val="auto"/>
        <w:rPr>
          <w:rFonts w:ascii="仿宋_GB2312" w:eastAsia="仿宋_GB2312"/>
          <w:sz w:val="32"/>
          <w:szCs w:val="32"/>
        </w:rPr>
      </w:pPr>
      <w:r>
        <w:rPr>
          <w:rFonts w:hint="eastAsia" w:ascii="仿宋_GB2312" w:eastAsia="仿宋_GB2312"/>
          <w:sz w:val="32"/>
          <w:szCs w:val="32"/>
        </w:rPr>
        <w:t>2022年,在区委、区政府的正确领导下，西区农业农村和交通运输局克服人员少、任务重、时间紧等诸多困难，按计划、按要求完成了各项目工作，较好地实现了2022年目标绩效工作，完成情况良好。</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（一）评价结论。</w:t>
      </w:r>
      <w:r>
        <w:rPr>
          <w:rFonts w:hint="eastAsia" w:ascii="仿宋_GB2312" w:eastAsia="仿宋_GB2312"/>
          <w:kern w:val="0"/>
          <w:sz w:val="32"/>
          <w:szCs w:val="32"/>
          <w:shd w:val="clear" w:color="auto" w:fill="FFFFFF"/>
          <w:lang w:val="zh-CN"/>
        </w:rPr>
        <w:t>我单位支出绩效总体良好，各项目标基本达到了相应时期执行进度，使财政收支预算执行都得到了良好的制度保障和实施效果。</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（二）存在问题。</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部分资金在资金支付上有进度滞后情况。</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（三）改进建议。</w:t>
      </w:r>
    </w:p>
    <w:p>
      <w:pPr>
        <w:pageBreakBefore w:val="0"/>
        <w:widowControl/>
        <w:kinsoku/>
        <w:wordWrap/>
        <w:overflowPunct/>
        <w:topLinePunct w:val="0"/>
        <w:bidi w:val="0"/>
        <w:adjustRightInd w:val="0"/>
        <w:snapToGrid w:val="0"/>
        <w:spacing w:line="580" w:lineRule="exact"/>
        <w:ind w:firstLine="640" w:firstLineChars="200"/>
        <w:contextualSpacing/>
        <w:jc w:val="left"/>
        <w:textAlignment w:val="auto"/>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我们将进一步重视预算编制与项目管理制度建设，积极与财政对接，努力提高财政资金使用效率。</w:t>
      </w:r>
    </w:p>
    <w:p>
      <w:pPr>
        <w:pStyle w:val="15"/>
        <w:pageBreakBefore w:val="0"/>
        <w:kinsoku/>
        <w:wordWrap/>
        <w:overflowPunct/>
        <w:topLinePunct w:val="0"/>
        <w:bidi w:val="0"/>
        <w:spacing w:line="560" w:lineRule="exact"/>
        <w:ind w:left="0" w:leftChars="0" w:firstLine="640" w:firstLineChars="200"/>
        <w:textAlignment w:val="auto"/>
        <w:rPr>
          <w:rFonts w:eastAsia="仿宋_GB2312"/>
          <w:sz w:val="32"/>
          <w:lang w:val="zh-CN"/>
        </w:rPr>
      </w:pPr>
    </w:p>
    <w:p>
      <w:pPr>
        <w:pStyle w:val="15"/>
        <w:pageBreakBefore w:val="0"/>
        <w:kinsoku/>
        <w:wordWrap/>
        <w:overflowPunct/>
        <w:topLinePunct w:val="0"/>
        <w:bidi w:val="0"/>
        <w:spacing w:line="560" w:lineRule="exact"/>
        <w:ind w:left="0" w:leftChars="0" w:firstLine="640" w:firstLineChars="200"/>
        <w:textAlignment w:val="auto"/>
        <w:rPr>
          <w:rFonts w:eastAsia="仿宋_GB2312"/>
          <w:sz w:val="32"/>
          <w:lang w:val="zh-CN"/>
        </w:rPr>
      </w:pPr>
    </w:p>
    <w:p>
      <w:pPr>
        <w:pStyle w:val="2"/>
        <w:pageBreakBefore w:val="0"/>
        <w:kinsoku/>
        <w:wordWrap/>
        <w:overflowPunct/>
        <w:topLinePunct w:val="0"/>
        <w:bidi w:val="0"/>
        <w:spacing w:before="93"/>
        <w:ind w:firstLine="640" w:firstLineChars="200"/>
        <w:textAlignment w:val="auto"/>
        <w:rPr>
          <w:rFonts w:hAnsi="宋体" w:cs="宋体"/>
          <w:sz w:val="32"/>
          <w:szCs w:val="32"/>
          <w:shd w:val="clear" w:color="auto" w:fill="FFFFFF"/>
          <w:lang w:val="zh-CN"/>
        </w:rPr>
      </w:pPr>
    </w:p>
    <w:p>
      <w:pPr>
        <w:pStyle w:val="2"/>
        <w:pageBreakBefore w:val="0"/>
        <w:kinsoku/>
        <w:wordWrap/>
        <w:overflowPunct/>
        <w:topLinePunct w:val="0"/>
        <w:bidi w:val="0"/>
        <w:spacing w:before="93"/>
        <w:ind w:firstLine="640" w:firstLineChars="200"/>
        <w:textAlignment w:val="auto"/>
        <w:rPr>
          <w:rFonts w:hAnsi="宋体" w:cs="宋体"/>
          <w:sz w:val="32"/>
          <w:szCs w:val="32"/>
          <w:shd w:val="clear" w:color="auto" w:fill="FFFFFF"/>
          <w:lang w:val="zh-CN"/>
        </w:rPr>
      </w:pPr>
    </w:p>
    <w:p>
      <w:pPr>
        <w:pStyle w:val="2"/>
        <w:pageBreakBefore w:val="0"/>
        <w:kinsoku/>
        <w:wordWrap/>
        <w:overflowPunct/>
        <w:topLinePunct w:val="0"/>
        <w:bidi w:val="0"/>
        <w:spacing w:before="93"/>
        <w:ind w:firstLine="640" w:firstLineChars="200"/>
        <w:textAlignment w:val="auto"/>
        <w:rPr>
          <w:rFonts w:hAnsi="宋体" w:cs="宋体"/>
          <w:sz w:val="32"/>
          <w:szCs w:val="32"/>
          <w:shd w:val="clear" w:color="auto" w:fill="FFFFFF"/>
          <w:lang w:val="zh-CN"/>
        </w:rPr>
      </w:pPr>
    </w:p>
    <w:p>
      <w:pPr>
        <w:pStyle w:val="2"/>
        <w:pageBreakBefore w:val="0"/>
        <w:kinsoku/>
        <w:wordWrap/>
        <w:overflowPunct/>
        <w:topLinePunct w:val="0"/>
        <w:bidi w:val="0"/>
        <w:spacing w:before="93"/>
        <w:ind w:firstLine="640" w:firstLineChars="200"/>
        <w:textAlignment w:val="auto"/>
        <w:rPr>
          <w:rFonts w:hAnsi="宋体" w:cs="宋体"/>
          <w:sz w:val="32"/>
          <w:szCs w:val="32"/>
          <w:shd w:val="clear" w:color="auto" w:fill="FFFFFF"/>
          <w:lang w:val="zh-CN"/>
        </w:rPr>
      </w:pPr>
    </w:p>
    <w:p>
      <w:pPr>
        <w:pStyle w:val="2"/>
        <w:pageBreakBefore w:val="0"/>
        <w:kinsoku/>
        <w:wordWrap/>
        <w:overflowPunct/>
        <w:topLinePunct w:val="0"/>
        <w:bidi w:val="0"/>
        <w:spacing w:before="93"/>
        <w:ind w:firstLine="640" w:firstLineChars="200"/>
        <w:textAlignment w:val="auto"/>
        <w:rPr>
          <w:rFonts w:hAnsi="宋体" w:cs="宋体"/>
          <w:sz w:val="32"/>
          <w:szCs w:val="32"/>
          <w:shd w:val="clear" w:color="auto" w:fill="FFFFFF"/>
          <w:lang w:val="zh-CN"/>
        </w:rPr>
      </w:pPr>
    </w:p>
    <w:p>
      <w:pPr>
        <w:pStyle w:val="2"/>
        <w:pageBreakBefore w:val="0"/>
        <w:kinsoku/>
        <w:wordWrap/>
        <w:overflowPunct/>
        <w:topLinePunct w:val="0"/>
        <w:bidi w:val="0"/>
        <w:spacing w:before="93"/>
        <w:ind w:firstLine="640" w:firstLineChars="200"/>
        <w:textAlignment w:val="auto"/>
        <w:rPr>
          <w:rFonts w:hAnsi="宋体" w:cs="宋体"/>
          <w:sz w:val="32"/>
          <w:szCs w:val="32"/>
          <w:shd w:val="clear" w:color="auto" w:fill="FFFFFF"/>
          <w:lang w:val="zh-CN"/>
        </w:rPr>
      </w:pPr>
    </w:p>
    <w:p>
      <w:pPr>
        <w:pStyle w:val="2"/>
        <w:pageBreakBefore w:val="0"/>
        <w:kinsoku/>
        <w:wordWrap/>
        <w:overflowPunct/>
        <w:topLinePunct w:val="0"/>
        <w:bidi w:val="0"/>
        <w:spacing w:before="93"/>
        <w:textAlignment w:val="auto"/>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6"/>
        <w:pageBreakBefore w:val="0"/>
        <w:kinsoku/>
        <w:wordWrap/>
        <w:overflowPunct/>
        <w:topLinePunct w:val="0"/>
        <w:bidi w:val="0"/>
        <w:spacing w:line="578" w:lineRule="exact"/>
        <w:ind w:left="420" w:firstLine="640" w:firstLineChars="200"/>
        <w:jc w:val="center"/>
        <w:textAlignment w:val="auto"/>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2022年专项资金预算项目绩效自评报告</w:t>
      </w:r>
    </w:p>
    <w:p>
      <w:pPr>
        <w:pStyle w:val="36"/>
        <w:pageBreakBefore w:val="0"/>
        <w:kinsoku/>
        <w:wordWrap/>
        <w:overflowPunct/>
        <w:topLinePunct w:val="0"/>
        <w:bidi w:val="0"/>
        <w:spacing w:line="578" w:lineRule="exact"/>
        <w:ind w:left="420" w:firstLine="640" w:firstLineChars="200"/>
        <w:jc w:val="center"/>
        <w:textAlignment w:val="auto"/>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（非洲猪瘟卡点防控经费）</w:t>
      </w:r>
    </w:p>
    <w:p>
      <w:pPr>
        <w:pStyle w:val="36"/>
        <w:pageBreakBefore w:val="0"/>
        <w:kinsoku/>
        <w:wordWrap/>
        <w:overflowPunct/>
        <w:topLinePunct w:val="0"/>
        <w:bidi w:val="0"/>
        <w:spacing w:line="578" w:lineRule="exact"/>
        <w:ind w:left="420" w:firstLine="640" w:firstLineChars="200"/>
        <w:jc w:val="center"/>
        <w:textAlignment w:val="auto"/>
        <w:rPr>
          <w:rFonts w:ascii="宋体" w:hAnsi="宋体"/>
          <w:color w:val="auto"/>
          <w:kern w:val="2"/>
          <w:sz w:val="32"/>
          <w:szCs w:val="32"/>
        </w:rPr>
      </w:pPr>
    </w:p>
    <w:p>
      <w:pPr>
        <w:pageBreakBefore w:val="0"/>
        <w:kinsoku/>
        <w:wordWrap/>
        <w:overflowPunct/>
        <w:topLinePunct w:val="0"/>
        <w:bidi w:val="0"/>
        <w:adjustRightInd w:val="0"/>
        <w:snapToGrid w:val="0"/>
        <w:spacing w:line="578" w:lineRule="exact"/>
        <w:ind w:firstLine="640" w:firstLineChars="20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ageBreakBefore w:val="0"/>
        <w:kinsoku/>
        <w:wordWrap/>
        <w:overflowPunct/>
        <w:topLinePunct w:val="0"/>
        <w:bidi w:val="0"/>
        <w:adjustRightInd w:val="0"/>
        <w:snapToGrid w:val="0"/>
        <w:spacing w:line="578"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由于非洲猪瘟防控形势严峻，根据省、市非洲猪瘟防控会议精神和有关要求，西区开展了非洲猪瘟防控工作。在西区3个高速公路出口，陶家渡、新庄、庄上高速公路出口分别设置临时卡点。每个卡点安排民兵24小时轮流值守，每班不少于2人，每班8小时，检查入境车辆，严禁省外生猪及产品、手续不全的生猪及产品入境，开展车辆消毒等工作。开展辖区非洲猪瘟疫情排查、监测，消毒灭源，非洲猪瘟防控知识宣传，产地检疫、屠宰检疫，病害猪无害化处理，生猪调运执法监管等工作。</w:t>
      </w:r>
    </w:p>
    <w:p>
      <w:pPr>
        <w:pageBreakBefore w:val="0"/>
        <w:kinsoku/>
        <w:wordWrap/>
        <w:overflowPunct/>
        <w:topLinePunct w:val="0"/>
        <w:bidi w:val="0"/>
        <w:spacing w:line="600" w:lineRule="exact"/>
        <w:ind w:firstLine="640" w:firstLineChars="200"/>
        <w:textAlignment w:val="auto"/>
        <w:rPr>
          <w:rFonts w:eastAsia="仿宋_GB2312"/>
          <w:kern w:val="0"/>
          <w:sz w:val="32"/>
          <w:szCs w:val="32"/>
        </w:rPr>
      </w:pPr>
      <w:r>
        <w:rPr>
          <w:rFonts w:hint="eastAsia" w:ascii="仿宋_GB2312" w:eastAsia="仿宋_GB2312"/>
          <w:sz w:val="32"/>
          <w:szCs w:val="32"/>
        </w:rPr>
        <w:t>2022年区级财政安排</w:t>
      </w:r>
      <w:r>
        <w:rPr>
          <w:rFonts w:hint="eastAsia" w:eastAsia="仿宋_GB2312"/>
          <w:kern w:val="0"/>
          <w:sz w:val="32"/>
          <w:szCs w:val="32"/>
        </w:rPr>
        <w:t>非洲猪瘟卡点防控</w:t>
      </w:r>
      <w:r>
        <w:rPr>
          <w:rFonts w:eastAsia="仿宋_GB2312"/>
          <w:kern w:val="0"/>
          <w:sz w:val="32"/>
          <w:szCs w:val="32"/>
        </w:rPr>
        <w:t>项目</w:t>
      </w:r>
      <w:r>
        <w:rPr>
          <w:rFonts w:hint="eastAsia" w:eastAsia="仿宋_GB2312"/>
          <w:kern w:val="0"/>
          <w:sz w:val="32"/>
          <w:szCs w:val="32"/>
        </w:rPr>
        <w:t>资金50.54万元，保障防控工作的开展，支付使用资金50.54万元。</w:t>
      </w:r>
    </w:p>
    <w:p>
      <w:pPr>
        <w:pageBreakBefore w:val="0"/>
        <w:kinsoku/>
        <w:wordWrap/>
        <w:overflowPunct/>
        <w:topLinePunct w:val="0"/>
        <w:bidi w:val="0"/>
        <w:spacing w:line="600"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ageBreakBefore w:val="0"/>
        <w:kinsoku/>
        <w:wordWrap/>
        <w:overflowPunct/>
        <w:topLinePunct w:val="0"/>
        <w:bidi w:val="0"/>
        <w:spacing w:line="353" w:lineRule="auto"/>
        <w:ind w:firstLine="640" w:firstLineChars="200"/>
        <w:textAlignment w:val="auto"/>
        <w:rPr>
          <w:rFonts w:ascii="仿宋_GB2312" w:eastAsia="仿宋_GB2312"/>
          <w:color w:val="000000"/>
          <w:sz w:val="32"/>
          <w:szCs w:val="32"/>
          <w:shd w:val="clear" w:color="auto" w:fill="F8F8F8"/>
        </w:rPr>
      </w:pPr>
      <w:r>
        <w:rPr>
          <w:rFonts w:hint="eastAsia" w:ascii="仿宋_GB2312" w:hAnsi="黑体" w:eastAsia="仿宋_GB2312"/>
          <w:sz w:val="32"/>
          <w:szCs w:val="32"/>
        </w:rPr>
        <w:t>该项目绩效目标为安排资金保障非洲猪瘟临时防控卡点运行，有效防控非洲猪瘟疫情，保障辖区生猪生产稳定。</w:t>
      </w:r>
    </w:p>
    <w:p>
      <w:pPr>
        <w:pageBreakBefore w:val="0"/>
        <w:kinsoku/>
        <w:wordWrap/>
        <w:overflowPunct/>
        <w:topLinePunct w:val="0"/>
        <w:bidi w:val="0"/>
        <w:spacing w:line="353" w:lineRule="auto"/>
        <w:ind w:firstLine="640" w:firstLineChars="200"/>
        <w:textAlignment w:val="auto"/>
        <w:rPr>
          <w:rFonts w:ascii="黑体" w:hAnsi="宋体" w:eastAsia="黑体"/>
          <w:sz w:val="32"/>
          <w:szCs w:val="32"/>
        </w:rPr>
      </w:pPr>
      <w:r>
        <w:rPr>
          <w:rFonts w:hint="eastAsia" w:ascii="黑体" w:hAnsi="宋体" w:eastAsia="黑体"/>
          <w:sz w:val="32"/>
          <w:szCs w:val="32"/>
        </w:rPr>
        <w:t>二、项目资金申报及使用情况</w:t>
      </w:r>
    </w:p>
    <w:p>
      <w:pPr>
        <w:pageBreakBefore w:val="0"/>
        <w:kinsoku/>
        <w:wordWrap/>
        <w:overflowPunct/>
        <w:topLinePunct w:val="0"/>
        <w:bidi w:val="0"/>
        <w:adjustRightInd w:val="0"/>
        <w:snapToGrid w:val="0"/>
        <w:spacing w:line="578"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ageBreakBefore w:val="0"/>
        <w:widowControl/>
        <w:kinsoku/>
        <w:wordWrap/>
        <w:overflowPunct/>
        <w:topLinePunct w:val="0"/>
        <w:bidi w:val="0"/>
        <w:adjustRightInd w:val="0"/>
        <w:snapToGrid w:val="0"/>
        <w:spacing w:line="578" w:lineRule="exact"/>
        <w:ind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说明项目资金由区农业农村和交通运输局向区政府申报，经批复下达资金预算，保障开展非洲猪瘟防控工作。</w:t>
      </w:r>
    </w:p>
    <w:p>
      <w:pPr>
        <w:pageBreakBefore w:val="0"/>
        <w:kinsoku/>
        <w:wordWrap/>
        <w:overflowPunct/>
        <w:topLinePunct w:val="0"/>
        <w:bidi w:val="0"/>
        <w:adjustRightInd w:val="0"/>
        <w:snapToGrid w:val="0"/>
        <w:spacing w:line="578" w:lineRule="exact"/>
        <w:ind w:firstLine="643" w:firstLineChars="200"/>
        <w:textAlignment w:val="auto"/>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pageBreakBefore w:val="0"/>
        <w:widowControl/>
        <w:kinsoku/>
        <w:wordWrap/>
        <w:overflowPunct/>
        <w:topLinePunct w:val="0"/>
        <w:bidi w:val="0"/>
        <w:adjustRightInd w:val="0"/>
        <w:snapToGrid w:val="0"/>
        <w:spacing w:line="578" w:lineRule="exact"/>
        <w:ind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1．资金计划。该项目计划使用资金120万元，由区级财政进行预算。</w:t>
      </w:r>
    </w:p>
    <w:p>
      <w:pPr>
        <w:pageBreakBefore w:val="0"/>
        <w:widowControl/>
        <w:kinsoku/>
        <w:wordWrap/>
        <w:overflowPunct/>
        <w:topLinePunct w:val="0"/>
        <w:bidi w:val="0"/>
        <w:adjustRightInd w:val="0"/>
        <w:snapToGrid w:val="0"/>
        <w:spacing w:line="578" w:lineRule="exact"/>
        <w:ind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2．资金到位。该项资金到位50.54万元。</w:t>
      </w:r>
    </w:p>
    <w:p>
      <w:pPr>
        <w:pageBreakBefore w:val="0"/>
        <w:widowControl/>
        <w:kinsoku/>
        <w:wordWrap/>
        <w:overflowPunct/>
        <w:topLinePunct w:val="0"/>
        <w:bidi w:val="0"/>
        <w:adjustRightInd w:val="0"/>
        <w:snapToGrid w:val="0"/>
        <w:spacing w:line="578" w:lineRule="exact"/>
        <w:ind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3．资金使用。该项按照厉行节约的原则使用资金</w:t>
      </w:r>
      <w:r>
        <w:rPr>
          <w:rFonts w:hint="eastAsia" w:eastAsia="仿宋_GB2312"/>
          <w:kern w:val="0"/>
          <w:sz w:val="32"/>
          <w:szCs w:val="32"/>
        </w:rPr>
        <w:t>50.54万元</w:t>
      </w:r>
      <w:r>
        <w:rPr>
          <w:rFonts w:hint="eastAsia" w:ascii="仿宋_GB2312" w:hAnsi="仿宋_GB2312" w:eastAsia="仿宋_GB2312" w:cs="仿宋_GB2312"/>
          <w:kern w:val="0"/>
          <w:sz w:val="32"/>
          <w:szCs w:val="32"/>
          <w:shd w:val="clear" w:color="auto" w:fill="FFFFFF"/>
          <w:lang w:val="zh-CN"/>
        </w:rPr>
        <w:t>，资金支付范围、支付标准、支付进度、支付依据合规合法、与预算相符。</w:t>
      </w:r>
    </w:p>
    <w:p>
      <w:pPr>
        <w:pageBreakBefore w:val="0"/>
        <w:kinsoku/>
        <w:wordWrap/>
        <w:overflowPunct/>
        <w:topLinePunct w:val="0"/>
        <w:bidi w:val="0"/>
        <w:adjustRightInd w:val="0"/>
        <w:snapToGrid w:val="0"/>
        <w:spacing w:line="578"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pageBreakBefore w:val="0"/>
        <w:widowControl/>
        <w:kinsoku/>
        <w:wordWrap/>
        <w:overflowPunct/>
        <w:topLinePunct w:val="0"/>
        <w:bidi w:val="0"/>
        <w:adjustRightInd w:val="0"/>
        <w:snapToGrid w:val="0"/>
        <w:spacing w:line="578" w:lineRule="exact"/>
        <w:ind w:firstLine="640" w:firstLineChars="200"/>
        <w:contextualSpacing/>
        <w:jc w:val="left"/>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项目实施单位财务管理制度健全，严格执行财务管理制度，账务处理及时，会计核算规范。</w:t>
      </w:r>
    </w:p>
    <w:p>
      <w:pPr>
        <w:pageBreakBefore w:val="0"/>
        <w:kinsoku/>
        <w:wordWrap/>
        <w:overflowPunct/>
        <w:topLinePunct w:val="0"/>
        <w:bidi w:val="0"/>
        <w:adjustRightInd w:val="0"/>
        <w:snapToGrid w:val="0"/>
        <w:spacing w:line="578" w:lineRule="exact"/>
        <w:ind w:firstLine="640" w:firstLineChars="200"/>
        <w:textAlignment w:val="auto"/>
        <w:rPr>
          <w:rFonts w:ascii="黑体" w:hAnsi="宋体" w:eastAsia="黑体"/>
          <w:sz w:val="32"/>
          <w:szCs w:val="32"/>
        </w:rPr>
      </w:pPr>
      <w:r>
        <w:rPr>
          <w:rFonts w:hint="eastAsia" w:ascii="黑体" w:hAnsi="宋体" w:eastAsia="黑体"/>
          <w:sz w:val="32"/>
          <w:szCs w:val="32"/>
        </w:rPr>
        <w:t>三、项目实施及管理情况</w:t>
      </w:r>
    </w:p>
    <w:p>
      <w:pPr>
        <w:pageBreakBefore w:val="0"/>
        <w:kinsoku/>
        <w:wordWrap/>
        <w:overflowPunct/>
        <w:topLinePunct w:val="0"/>
        <w:bidi w:val="0"/>
        <w:adjustRightInd w:val="0"/>
        <w:snapToGrid w:val="0"/>
        <w:spacing w:line="578" w:lineRule="exact"/>
        <w:ind w:firstLine="643" w:firstLineChars="200"/>
        <w:textAlignment w:val="auto"/>
        <w:rPr>
          <w:lang w:val="zh-CN"/>
        </w:rPr>
      </w:pPr>
      <w:r>
        <w:rPr>
          <w:rFonts w:hint="eastAsia" w:ascii="楷体_GB2312" w:hAnsi="宋体" w:eastAsia="楷体_GB2312"/>
          <w:b/>
          <w:sz w:val="32"/>
          <w:szCs w:val="32"/>
          <w:lang w:val="zh-CN"/>
        </w:rPr>
        <w:t>（一）项目组织架构及实施流程。</w:t>
      </w:r>
      <w:r>
        <w:rPr>
          <w:rFonts w:hint="eastAsia" w:ascii="仿宋_GB2312" w:hAnsi="仿宋_GB2312" w:eastAsia="仿宋_GB2312" w:cs="仿宋_GB2312"/>
          <w:kern w:val="0"/>
          <w:sz w:val="32"/>
          <w:szCs w:val="32"/>
          <w:shd w:val="clear" w:color="auto" w:fill="FFFFFF"/>
          <w:lang w:val="zh-CN"/>
        </w:rPr>
        <w:t>项目由区农业农村和交通运输局牵头，在高速公路出口设置临时卡点，由属地的格里坪镇人民政府和陶家渡街道办事处安排执勤民兵开展卡点值守和排查等相关防控工作，安排资金补助执勤民兵和购买相关物资，保障卡点的运行。</w:t>
      </w:r>
    </w:p>
    <w:p>
      <w:pPr>
        <w:pageBreakBefore w:val="0"/>
        <w:kinsoku/>
        <w:wordWrap/>
        <w:overflowPunct/>
        <w:topLinePunct w:val="0"/>
        <w:bidi w:val="0"/>
        <w:adjustRightInd w:val="0"/>
        <w:snapToGrid w:val="0"/>
        <w:spacing w:line="578" w:lineRule="exact"/>
        <w:ind w:firstLine="643" w:firstLineChars="200"/>
        <w:textAlignment w:val="auto"/>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r>
        <w:rPr>
          <w:rFonts w:hint="eastAsia" w:eastAsia="仿宋_GB2312"/>
          <w:kern w:val="0"/>
          <w:sz w:val="32"/>
          <w:szCs w:val="32"/>
        </w:rPr>
        <w:t>项目实施依据充分，目标明确，在项目实施过程中严格执行了相关政策规定，项目的立项、卡点数量、人员安排、物</w:t>
      </w:r>
      <w:r>
        <w:rPr>
          <w:rFonts w:hint="eastAsia" w:eastAsia="仿宋_GB2312"/>
          <w:kern w:val="0"/>
          <w:sz w:val="32"/>
          <w:szCs w:val="32"/>
          <w:lang w:val="en-US" w:eastAsia="zh-CN"/>
        </w:rPr>
        <w:t>资</w:t>
      </w:r>
      <w:r>
        <w:rPr>
          <w:rFonts w:hint="eastAsia" w:eastAsia="仿宋_GB2312"/>
          <w:kern w:val="0"/>
          <w:sz w:val="32"/>
          <w:szCs w:val="32"/>
        </w:rPr>
        <w:t>采购、资金拨付等程序严格管理和审核。</w:t>
      </w:r>
    </w:p>
    <w:p>
      <w:pPr>
        <w:pageBreakBefore w:val="0"/>
        <w:kinsoku/>
        <w:wordWrap/>
        <w:overflowPunct/>
        <w:topLinePunct w:val="0"/>
        <w:bidi w:val="0"/>
        <w:adjustRightInd w:val="0"/>
        <w:snapToGrid w:val="0"/>
        <w:spacing w:line="578" w:lineRule="exact"/>
        <w:ind w:firstLine="643" w:firstLineChars="200"/>
        <w:textAlignment w:val="auto"/>
        <w:rPr>
          <w:rFonts w:eastAsia="仿宋_GB2312"/>
          <w:kern w:val="0"/>
          <w:sz w:val="32"/>
          <w:szCs w:val="32"/>
        </w:rPr>
      </w:pPr>
      <w:r>
        <w:rPr>
          <w:rFonts w:hint="eastAsia" w:ascii="楷体_GB2312" w:hAnsi="宋体" w:eastAsia="楷体_GB2312"/>
          <w:b/>
          <w:sz w:val="32"/>
          <w:szCs w:val="32"/>
          <w:lang w:val="zh-CN"/>
        </w:rPr>
        <w:t>（三）项目监管情况。</w:t>
      </w:r>
      <w:r>
        <w:rPr>
          <w:rFonts w:hint="eastAsia" w:eastAsia="仿宋_GB2312"/>
          <w:kern w:val="0"/>
          <w:sz w:val="32"/>
          <w:szCs w:val="32"/>
        </w:rPr>
        <w:t>加强项目监管，在卡点数量、人员安排、物</w:t>
      </w:r>
      <w:r>
        <w:rPr>
          <w:rFonts w:hint="eastAsia" w:eastAsia="仿宋_GB2312"/>
          <w:kern w:val="0"/>
          <w:sz w:val="32"/>
          <w:szCs w:val="32"/>
          <w:lang w:val="en-US" w:eastAsia="zh-CN"/>
        </w:rPr>
        <w:t>资</w:t>
      </w:r>
      <w:r>
        <w:rPr>
          <w:rFonts w:hint="eastAsia" w:eastAsia="仿宋_GB2312"/>
          <w:kern w:val="0"/>
          <w:sz w:val="32"/>
          <w:szCs w:val="32"/>
        </w:rPr>
        <w:t>采购、资金拨付等程序未发现不符合政策要求的情况，严格资金使用监管，保障专款专用。</w:t>
      </w:r>
    </w:p>
    <w:p>
      <w:pPr>
        <w:pageBreakBefore w:val="0"/>
        <w:kinsoku/>
        <w:wordWrap/>
        <w:overflowPunct/>
        <w:topLinePunct w:val="0"/>
        <w:bidi w:val="0"/>
        <w:adjustRightInd w:val="0"/>
        <w:snapToGrid w:val="0"/>
        <w:spacing w:line="578" w:lineRule="exact"/>
        <w:ind w:firstLine="640" w:firstLineChars="200"/>
        <w:textAlignment w:val="auto"/>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pageBreakBefore w:val="0"/>
        <w:kinsoku/>
        <w:wordWrap/>
        <w:overflowPunct/>
        <w:topLinePunct w:val="0"/>
        <w:bidi w:val="0"/>
        <w:adjustRightInd w:val="0"/>
        <w:snapToGrid w:val="0"/>
        <w:spacing w:line="578"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ageBreakBefore w:val="0"/>
        <w:kinsoku/>
        <w:wordWrap/>
        <w:overflowPunct/>
        <w:topLinePunct w:val="0"/>
        <w:bidi w:val="0"/>
        <w:spacing w:line="353" w:lineRule="auto"/>
        <w:ind w:firstLine="640" w:firstLineChars="200"/>
        <w:textAlignment w:val="auto"/>
        <w:rPr>
          <w:rFonts w:ascii="楷体_GB2312" w:hAnsi="黑体" w:eastAsia="楷体_GB2312"/>
          <w:sz w:val="32"/>
          <w:szCs w:val="32"/>
        </w:rPr>
      </w:pPr>
      <w:r>
        <w:rPr>
          <w:rFonts w:hint="eastAsia" w:ascii="仿宋_GB2312" w:hAnsi="仿宋_GB2312" w:eastAsia="仿宋_GB2312" w:cs="仿宋_GB2312"/>
          <w:kern w:val="0"/>
          <w:sz w:val="32"/>
          <w:szCs w:val="32"/>
          <w:shd w:val="clear" w:color="auto" w:fill="FFFFFF"/>
        </w:rPr>
        <w:t>完成了非洲猪瘟疫情防控目标，辖区生猪生产稳定，</w:t>
      </w:r>
      <w:r>
        <w:rPr>
          <w:rFonts w:hint="eastAsia" w:eastAsia="仿宋_GB2312"/>
          <w:sz w:val="32"/>
          <w:szCs w:val="32"/>
        </w:rPr>
        <w:t>生猪出栏1.2万头，完成市级下达的目标任务。</w:t>
      </w:r>
    </w:p>
    <w:p>
      <w:pPr>
        <w:pageBreakBefore w:val="0"/>
        <w:kinsoku/>
        <w:wordWrap/>
        <w:overflowPunct/>
        <w:topLinePunct w:val="0"/>
        <w:bidi w:val="0"/>
        <w:adjustRightInd w:val="0"/>
        <w:snapToGrid w:val="0"/>
        <w:spacing w:line="578" w:lineRule="exact"/>
        <w:ind w:firstLine="643" w:firstLineChars="20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通过项目资金的支持，有效防控了非洲猪瘟疫情，</w:t>
      </w:r>
      <w:r>
        <w:rPr>
          <w:rFonts w:hint="eastAsia" w:eastAsia="仿宋_GB2312"/>
          <w:sz w:val="32"/>
          <w:szCs w:val="32"/>
        </w:rPr>
        <w:t>保护了辖区生猪安全生产，促进了生猪养殖农户增收，增加了市场猪肉供应，丰富了“菜篮子”，稳定了猪肉价格，保障了群众基本营养需要，促进了社会稳定。</w:t>
      </w:r>
    </w:p>
    <w:p>
      <w:pPr>
        <w:pageBreakBefore w:val="0"/>
        <w:kinsoku/>
        <w:wordWrap/>
        <w:overflowPunct/>
        <w:topLinePunct w:val="0"/>
        <w:bidi w:val="0"/>
        <w:adjustRightInd w:val="0"/>
        <w:snapToGrid w:val="0"/>
        <w:spacing w:line="578" w:lineRule="exact"/>
        <w:ind w:firstLine="640" w:firstLineChars="200"/>
        <w:textAlignment w:val="auto"/>
        <w:rPr>
          <w:rFonts w:ascii="黑体" w:hAnsi="宋体" w:eastAsia="黑体"/>
          <w:sz w:val="32"/>
          <w:szCs w:val="32"/>
        </w:rPr>
      </w:pPr>
      <w:r>
        <w:rPr>
          <w:rFonts w:hint="eastAsia" w:ascii="黑体" w:hAnsi="宋体" w:eastAsia="黑体"/>
          <w:sz w:val="32"/>
          <w:szCs w:val="32"/>
        </w:rPr>
        <w:t>五、评价结论及建议</w:t>
      </w:r>
    </w:p>
    <w:p>
      <w:pPr>
        <w:pageBreakBefore w:val="0"/>
        <w:kinsoku/>
        <w:wordWrap/>
        <w:overflowPunct/>
        <w:topLinePunct w:val="0"/>
        <w:bidi w:val="0"/>
        <w:spacing w:line="580" w:lineRule="exact"/>
        <w:ind w:firstLine="640" w:firstLineChars="200"/>
        <w:textAlignment w:val="auto"/>
        <w:rPr>
          <w:rFonts w:ascii="仿宋_GB2312" w:hAnsi="仿宋_GB2312" w:eastAsia="仿宋_GB2312" w:cs="仿宋_GB2312"/>
          <w:bCs/>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非洲猪瘟卡点防控经费项目，项目实施依据充分，目标明确，在项目实施过程中严格执行了相关政策规定，项目的立项、卡点数量、人员安排、物</w:t>
      </w:r>
      <w:r>
        <w:rPr>
          <w:rFonts w:hint="eastAsia" w:ascii="仿宋_GB2312" w:hAnsi="仿宋_GB2312" w:eastAsia="仿宋_GB2312" w:cs="仿宋_GB2312"/>
          <w:kern w:val="0"/>
          <w:sz w:val="32"/>
          <w:szCs w:val="32"/>
          <w:shd w:val="clear" w:color="auto" w:fill="FFFFFF"/>
          <w:lang w:val="en-US" w:eastAsia="zh-CN"/>
        </w:rPr>
        <w:t>资</w:t>
      </w:r>
      <w:r>
        <w:rPr>
          <w:rFonts w:hint="eastAsia" w:ascii="仿宋_GB2312" w:hAnsi="仿宋_GB2312" w:eastAsia="仿宋_GB2312" w:cs="仿宋_GB2312"/>
          <w:kern w:val="0"/>
          <w:sz w:val="32"/>
          <w:szCs w:val="32"/>
          <w:shd w:val="clear" w:color="auto" w:fill="FFFFFF"/>
          <w:lang w:val="zh-CN"/>
        </w:rPr>
        <w:t>采购、资金拨付等程序未发现不符合政策要求的情况。较好地完成了</w:t>
      </w:r>
      <w:r>
        <w:rPr>
          <w:rFonts w:ascii="仿宋_GB2312" w:hAnsi="仿宋_GB2312" w:eastAsia="仿宋_GB2312" w:cs="仿宋_GB2312"/>
          <w:kern w:val="0"/>
          <w:sz w:val="32"/>
          <w:szCs w:val="32"/>
          <w:shd w:val="clear" w:color="auto" w:fill="FFFFFF"/>
          <w:lang w:val="zh-CN"/>
        </w:rPr>
        <w:t>202</w:t>
      </w:r>
      <w:r>
        <w:rPr>
          <w:rFonts w:hint="eastAsia" w:ascii="仿宋_GB2312" w:hAnsi="仿宋_GB2312" w:eastAsia="仿宋_GB2312" w:cs="仿宋_GB2312"/>
          <w:kern w:val="0"/>
          <w:sz w:val="32"/>
          <w:szCs w:val="32"/>
          <w:shd w:val="clear" w:color="auto" w:fill="FFFFFF"/>
          <w:lang w:val="zh-CN"/>
        </w:rPr>
        <w:t>2年非洲猪瘟疫情防控和生猪生产任务，项目绩效评价得分优良。</w:t>
      </w:r>
    </w:p>
    <w:p>
      <w:pPr>
        <w:pageBreakBefore w:val="0"/>
        <w:kinsoku/>
        <w:wordWrap/>
        <w:overflowPunct/>
        <w:topLinePunct w:val="0"/>
        <w:bidi w:val="0"/>
        <w:ind w:firstLine="640" w:firstLineChars="200"/>
        <w:textAlignment w:val="auto"/>
        <w:rPr>
          <w:rFonts w:ascii="仿宋_GB2312" w:hAnsi="仿宋_GB2312" w:eastAsia="仿宋_GB2312" w:cs="仿宋_GB2312"/>
          <w:kern w:val="0"/>
          <w:sz w:val="32"/>
          <w:szCs w:val="32"/>
          <w:shd w:val="clear" w:color="auto" w:fill="FFFFFF"/>
          <w:lang w:val="zh-CN"/>
        </w:rPr>
      </w:pPr>
    </w:p>
    <w:p>
      <w:pPr>
        <w:pageBreakBefore w:val="0"/>
        <w:kinsoku/>
        <w:wordWrap/>
        <w:overflowPunct/>
        <w:topLinePunct w:val="0"/>
        <w:bidi w:val="0"/>
        <w:spacing w:line="580" w:lineRule="exact"/>
        <w:ind w:firstLine="880" w:firstLineChars="200"/>
        <w:textAlignment w:val="auto"/>
        <w:rPr>
          <w:rStyle w:val="30"/>
          <w:rFonts w:ascii="黑体" w:hAnsi="黑体" w:eastAsia="黑体"/>
          <w:b w:val="0"/>
        </w:rPr>
      </w:pPr>
    </w:p>
    <w:p>
      <w:pPr>
        <w:pStyle w:val="36"/>
        <w:pageBreakBefore w:val="0"/>
        <w:kinsoku/>
        <w:wordWrap/>
        <w:overflowPunct/>
        <w:topLinePunct w:val="0"/>
        <w:bidi w:val="0"/>
        <w:spacing w:line="300" w:lineRule="auto"/>
        <w:jc w:val="center"/>
        <w:textAlignment w:val="auto"/>
        <w:outlineLvl w:val="0"/>
        <w:rPr>
          <w:rFonts w:ascii="Times New Roman" w:hAnsi="Times New Roman" w:eastAsia="方正小标宋_GBK"/>
          <w:color w:val="auto"/>
          <w:kern w:val="2"/>
          <w:sz w:val="44"/>
          <w:szCs w:val="44"/>
          <w:lang w:val="en-US"/>
        </w:rPr>
      </w:pPr>
      <w:r>
        <w:rPr>
          <w:rStyle w:val="30"/>
          <w:rFonts w:ascii="黑体" w:hAnsi="黑体" w:eastAsia="黑体"/>
          <w:b w:val="0"/>
        </w:rPr>
        <w:br w:type="page"/>
      </w:r>
      <w:bookmarkStart w:id="78" w:name="_Toc19545"/>
      <w:r>
        <w:rPr>
          <w:rFonts w:ascii="Times New Roman" w:hAnsi="Times New Roman" w:eastAsia="方正小标宋_GBK"/>
          <w:color w:val="auto"/>
          <w:kern w:val="2"/>
          <w:sz w:val="44"/>
          <w:szCs w:val="44"/>
          <w:lang w:val="en-US"/>
        </w:rPr>
        <w:t>2022年区级专项资金预算项目绩效</w:t>
      </w:r>
      <w:bookmarkEnd w:id="78"/>
      <w:bookmarkStart w:id="79" w:name="_Toc31249"/>
    </w:p>
    <w:p>
      <w:pPr>
        <w:pStyle w:val="36"/>
        <w:pageBreakBefore w:val="0"/>
        <w:kinsoku/>
        <w:wordWrap/>
        <w:overflowPunct/>
        <w:topLinePunct w:val="0"/>
        <w:bidi w:val="0"/>
        <w:spacing w:line="300" w:lineRule="auto"/>
        <w:jc w:val="center"/>
        <w:textAlignment w:val="auto"/>
        <w:outlineLvl w:val="0"/>
        <w:rPr>
          <w:rFonts w:ascii="Times New Roman" w:hAnsi="Times New Roman" w:eastAsia="方正小标宋_GBK"/>
          <w:color w:val="auto"/>
          <w:kern w:val="2"/>
          <w:sz w:val="44"/>
          <w:szCs w:val="44"/>
          <w:lang w:val="en-US"/>
        </w:rPr>
      </w:pPr>
      <w:r>
        <w:rPr>
          <w:rFonts w:ascii="Times New Roman" w:hAnsi="Times New Roman" w:eastAsia="方正小标宋_GBK"/>
          <w:color w:val="auto"/>
          <w:kern w:val="2"/>
          <w:sz w:val="44"/>
          <w:szCs w:val="44"/>
          <w:lang w:val="en-US"/>
        </w:rPr>
        <w:t>自评报告</w:t>
      </w:r>
      <w:bookmarkEnd w:id="79"/>
    </w:p>
    <w:p>
      <w:pPr>
        <w:pStyle w:val="36"/>
        <w:pageBreakBefore w:val="0"/>
        <w:kinsoku/>
        <w:wordWrap/>
        <w:overflowPunct/>
        <w:topLinePunct w:val="0"/>
        <w:bidi w:val="0"/>
        <w:spacing w:line="578" w:lineRule="exact"/>
        <w:jc w:val="center"/>
        <w:textAlignment w:val="auto"/>
        <w:outlineLvl w:val="1"/>
        <w:rPr>
          <w:rFonts w:ascii="Times New Roman" w:hAnsi="Times New Roman"/>
          <w:color w:val="auto"/>
          <w:kern w:val="2"/>
          <w:sz w:val="32"/>
          <w:szCs w:val="32"/>
        </w:rPr>
      </w:pPr>
      <w:bookmarkStart w:id="80" w:name="_Toc6172"/>
      <w:r>
        <w:rPr>
          <w:rFonts w:hint="eastAsia" w:ascii="Times New Roman" w:hAnsi="Times New Roman"/>
          <w:color w:val="auto"/>
          <w:kern w:val="2"/>
          <w:sz w:val="32"/>
          <w:szCs w:val="32"/>
        </w:rPr>
        <w:t>（疫情防控项目）</w:t>
      </w:r>
      <w:bookmarkEnd w:id="80"/>
    </w:p>
    <w:p>
      <w:pPr>
        <w:pageBreakBefore w:val="0"/>
        <w:kinsoku/>
        <w:wordWrap/>
        <w:overflowPunct/>
        <w:topLinePunct w:val="0"/>
        <w:bidi w:val="0"/>
        <w:adjustRightInd w:val="0"/>
        <w:snapToGrid w:val="0"/>
        <w:spacing w:line="353" w:lineRule="auto"/>
        <w:ind w:firstLine="640" w:firstLineChars="200"/>
        <w:textAlignment w:val="auto"/>
        <w:outlineLvl w:val="1"/>
        <w:rPr>
          <w:rFonts w:eastAsia="黑体"/>
          <w:sz w:val="32"/>
          <w:szCs w:val="32"/>
          <w:lang w:val="zh-CN"/>
        </w:rPr>
      </w:pPr>
      <w:bookmarkStart w:id="81" w:name="_Toc8214"/>
      <w:r>
        <w:rPr>
          <w:rFonts w:eastAsia="黑体"/>
          <w:sz w:val="32"/>
          <w:szCs w:val="32"/>
        </w:rPr>
        <w:t>一、</w:t>
      </w:r>
      <w:r>
        <w:rPr>
          <w:rFonts w:eastAsia="黑体"/>
          <w:sz w:val="32"/>
          <w:szCs w:val="32"/>
          <w:lang w:val="zh-CN"/>
        </w:rPr>
        <w:t>项目概况</w:t>
      </w:r>
      <w:bookmarkEnd w:id="81"/>
    </w:p>
    <w:p>
      <w:pPr>
        <w:pageBreakBefore w:val="0"/>
        <w:kinsoku/>
        <w:wordWrap/>
        <w:overflowPunct/>
        <w:topLinePunct w:val="0"/>
        <w:bidi w:val="0"/>
        <w:adjustRightInd w:val="0"/>
        <w:snapToGrid w:val="0"/>
        <w:spacing w:line="353" w:lineRule="auto"/>
        <w:ind w:firstLine="640" w:firstLineChars="200"/>
        <w:textAlignment w:val="auto"/>
        <w:rPr>
          <w:rFonts w:eastAsia="楷体_GB2312"/>
          <w:sz w:val="32"/>
          <w:szCs w:val="32"/>
          <w:lang w:val="zh-CN"/>
        </w:rPr>
      </w:pPr>
      <w:r>
        <w:rPr>
          <w:rFonts w:eastAsia="楷体_GB2312"/>
          <w:sz w:val="32"/>
          <w:szCs w:val="32"/>
          <w:lang w:val="zh-CN"/>
        </w:rPr>
        <w:t>（一）项目基本情况。</w:t>
      </w:r>
    </w:p>
    <w:p>
      <w:pPr>
        <w:pageBreakBefore w:val="0"/>
        <w:kinsoku/>
        <w:wordWrap/>
        <w:overflowPunct/>
        <w:topLinePunct w:val="0"/>
        <w:bidi w:val="0"/>
        <w:adjustRightInd w:val="0"/>
        <w:snapToGrid w:val="0"/>
        <w:spacing w:line="353" w:lineRule="auto"/>
        <w:ind w:firstLine="640" w:firstLineChars="200"/>
        <w:textAlignment w:val="auto"/>
        <w:rPr>
          <w:rFonts w:eastAsia="仿宋_GB2312"/>
          <w:color w:val="333333"/>
          <w:sz w:val="32"/>
          <w:szCs w:val="32"/>
          <w:shd w:val="clear" w:color="auto" w:fill="FFFFFF"/>
        </w:rPr>
      </w:pPr>
      <w:r>
        <w:rPr>
          <w:rFonts w:eastAsia="仿宋_GB2312"/>
          <w:color w:val="333333"/>
          <w:sz w:val="32"/>
          <w:szCs w:val="32"/>
          <w:shd w:val="clear" w:color="auto" w:fill="FFFFFF"/>
        </w:rPr>
        <w:t>本项目资金用于自2022年1月以来，在疫情防控过程中发生的相关费用，包括但不仅限于：防疫车辆费用（包括转运车辆）、防疫卡点费用、防疫物资费用、第三方民兵值守、联勤安保费用等等。</w:t>
      </w:r>
    </w:p>
    <w:p>
      <w:pPr>
        <w:pageBreakBefore w:val="0"/>
        <w:kinsoku/>
        <w:wordWrap/>
        <w:overflowPunct/>
        <w:topLinePunct w:val="0"/>
        <w:bidi w:val="0"/>
        <w:adjustRightInd w:val="0"/>
        <w:snapToGrid w:val="0"/>
        <w:spacing w:line="353" w:lineRule="auto"/>
        <w:ind w:firstLine="640" w:firstLineChars="200"/>
        <w:textAlignment w:val="auto"/>
        <w:rPr>
          <w:rFonts w:eastAsia="楷体_GB2312"/>
          <w:sz w:val="32"/>
          <w:szCs w:val="32"/>
          <w:lang w:val="zh-CN"/>
        </w:rPr>
      </w:pPr>
      <w:r>
        <w:rPr>
          <w:rFonts w:eastAsia="楷体_GB2312"/>
          <w:sz w:val="32"/>
          <w:szCs w:val="32"/>
          <w:lang w:val="zh-CN"/>
        </w:rPr>
        <w:t>（二）项目绩效目标。</w:t>
      </w:r>
    </w:p>
    <w:p>
      <w:pPr>
        <w:pageBreakBefore w:val="0"/>
        <w:kinsoku/>
        <w:wordWrap/>
        <w:overflowPunct/>
        <w:topLinePunct w:val="0"/>
        <w:bidi w:val="0"/>
        <w:spacing w:line="353" w:lineRule="auto"/>
        <w:ind w:firstLine="640" w:firstLineChars="200"/>
        <w:textAlignment w:val="auto"/>
        <w:rPr>
          <w:rFonts w:eastAsia="仿宋_GB2312"/>
          <w:color w:val="000000"/>
          <w:sz w:val="32"/>
          <w:szCs w:val="32"/>
          <w:shd w:val="clear" w:color="auto" w:fill="FFFFFF"/>
        </w:rPr>
      </w:pPr>
      <w:r>
        <w:rPr>
          <w:rFonts w:eastAsia="仿宋_GB2312"/>
          <w:color w:val="000000"/>
          <w:sz w:val="32"/>
          <w:szCs w:val="32"/>
          <w:shd w:val="clear" w:color="auto" w:fill="FFFFFF"/>
        </w:rPr>
        <w:t>积极配合全区做好疫情防控工作，守好高速出口“第一道防线”，按照卡点工作要求做好值守工作，根据区委、区政府疫情防控工作安排与部署，积极做好卡点疫情防控，严防死守高速卡口，加大财政投入力度，强化后勤物资采购的资金保障，改善核酸采样人员和一线值守人员工作环境，全力保障疫情防控服务站和核酸检测点正常运行。</w:t>
      </w:r>
    </w:p>
    <w:p>
      <w:pPr>
        <w:pageBreakBefore w:val="0"/>
        <w:kinsoku/>
        <w:wordWrap/>
        <w:overflowPunct/>
        <w:topLinePunct w:val="0"/>
        <w:bidi w:val="0"/>
        <w:adjustRightInd w:val="0"/>
        <w:snapToGrid w:val="0"/>
        <w:spacing w:line="353" w:lineRule="auto"/>
        <w:ind w:firstLine="640" w:firstLineChars="200"/>
        <w:textAlignment w:val="auto"/>
        <w:outlineLvl w:val="1"/>
        <w:rPr>
          <w:rFonts w:eastAsia="黑体"/>
          <w:sz w:val="32"/>
          <w:szCs w:val="32"/>
        </w:rPr>
      </w:pPr>
      <w:bookmarkStart w:id="82" w:name="_Toc6858"/>
      <w:r>
        <w:rPr>
          <w:rFonts w:eastAsia="黑体"/>
          <w:sz w:val="32"/>
          <w:szCs w:val="32"/>
        </w:rPr>
        <w:t>二、项目资金使用情况</w:t>
      </w:r>
      <w:bookmarkEnd w:id="82"/>
    </w:p>
    <w:p>
      <w:pPr>
        <w:pageBreakBefore w:val="0"/>
        <w:kinsoku/>
        <w:wordWrap/>
        <w:overflowPunct/>
        <w:topLinePunct w:val="0"/>
        <w:bidi w:val="0"/>
        <w:adjustRightInd w:val="0"/>
        <w:snapToGrid w:val="0"/>
        <w:spacing w:line="353" w:lineRule="auto"/>
        <w:ind w:firstLine="640" w:firstLineChars="200"/>
        <w:textAlignment w:val="auto"/>
        <w:rPr>
          <w:rFonts w:eastAsia="楷体_GB2312"/>
          <w:sz w:val="32"/>
          <w:szCs w:val="32"/>
          <w:lang w:val="zh-CN"/>
        </w:rPr>
      </w:pPr>
      <w:r>
        <w:rPr>
          <w:rFonts w:eastAsia="楷体_GB2312"/>
          <w:sz w:val="32"/>
          <w:szCs w:val="32"/>
          <w:lang w:val="zh-CN"/>
        </w:rPr>
        <w:t>（一）资金使用情况。</w:t>
      </w:r>
    </w:p>
    <w:p>
      <w:pPr>
        <w:pageBreakBefore w:val="0"/>
        <w:widowControl/>
        <w:kinsoku/>
        <w:wordWrap/>
        <w:overflowPunct/>
        <w:topLinePunct w:val="0"/>
        <w:bidi w:val="0"/>
        <w:adjustRightInd w:val="0"/>
        <w:snapToGrid w:val="0"/>
        <w:spacing w:line="353" w:lineRule="auto"/>
        <w:ind w:firstLine="640" w:firstLineChars="200"/>
        <w:contextualSpacing/>
        <w:jc w:val="left"/>
        <w:textAlignment w:val="auto"/>
        <w:rPr>
          <w:rFonts w:eastAsia="仿宋_GB2312"/>
          <w:kern w:val="0"/>
          <w:sz w:val="32"/>
          <w:szCs w:val="32"/>
          <w:shd w:val="clear" w:color="auto" w:fill="FFFFFF"/>
          <w:lang w:val="zh-CN"/>
        </w:rPr>
      </w:pPr>
      <w:r>
        <w:rPr>
          <w:rFonts w:eastAsia="仿宋_GB2312"/>
          <w:kern w:val="0"/>
          <w:sz w:val="32"/>
          <w:szCs w:val="32"/>
          <w:shd w:val="clear" w:color="auto" w:fill="FFFFFF"/>
          <w:lang w:val="zh-CN"/>
        </w:rPr>
        <w:t>攀枝花市西区农业农村和交通运输局2022年新冠病毒肺炎疫情防控工作经费实际使用资金为</w:t>
      </w:r>
      <w:r>
        <w:rPr>
          <w:rFonts w:eastAsia="仿宋_GB2312"/>
          <w:kern w:val="0"/>
          <w:sz w:val="32"/>
          <w:szCs w:val="32"/>
          <w:shd w:val="clear" w:color="auto" w:fill="FFFFFF"/>
        </w:rPr>
        <w:t>160.01</w:t>
      </w:r>
      <w:r>
        <w:rPr>
          <w:rFonts w:eastAsia="仿宋_GB2312"/>
          <w:kern w:val="0"/>
          <w:sz w:val="32"/>
          <w:szCs w:val="32"/>
          <w:shd w:val="clear" w:color="auto" w:fill="FFFFFF"/>
          <w:lang w:val="zh-CN"/>
        </w:rPr>
        <w:t>万元，其中防疫车辆费用（包括转运车辆）共计</w:t>
      </w:r>
      <w:r>
        <w:rPr>
          <w:rFonts w:eastAsia="仿宋_GB2312"/>
          <w:kern w:val="0"/>
          <w:sz w:val="32"/>
          <w:szCs w:val="32"/>
          <w:shd w:val="clear" w:color="auto" w:fill="FFFFFF"/>
        </w:rPr>
        <w:t>12.66万元</w:t>
      </w:r>
      <w:r>
        <w:rPr>
          <w:rFonts w:eastAsia="仿宋_GB2312"/>
          <w:kern w:val="0"/>
          <w:sz w:val="32"/>
          <w:szCs w:val="32"/>
          <w:shd w:val="clear" w:color="auto" w:fill="FFFFFF"/>
          <w:lang w:val="zh-CN"/>
        </w:rPr>
        <w:t>、防疫卡点建设费用</w:t>
      </w:r>
      <w:r>
        <w:rPr>
          <w:rFonts w:eastAsia="仿宋_GB2312"/>
          <w:kern w:val="0"/>
          <w:sz w:val="32"/>
          <w:szCs w:val="32"/>
          <w:shd w:val="clear" w:color="auto" w:fill="FFFFFF"/>
        </w:rPr>
        <w:t>12.747万元</w:t>
      </w:r>
      <w:r>
        <w:rPr>
          <w:rFonts w:eastAsia="仿宋_GB2312"/>
          <w:kern w:val="0"/>
          <w:sz w:val="32"/>
          <w:szCs w:val="32"/>
          <w:shd w:val="clear" w:color="auto" w:fill="FFFFFF"/>
          <w:lang w:val="zh-CN"/>
        </w:rPr>
        <w:t>、防疫物资费用</w:t>
      </w:r>
      <w:r>
        <w:rPr>
          <w:rFonts w:eastAsia="仿宋_GB2312"/>
          <w:kern w:val="0"/>
          <w:sz w:val="32"/>
          <w:szCs w:val="32"/>
          <w:shd w:val="clear" w:color="auto" w:fill="FFFFFF"/>
        </w:rPr>
        <w:t>15.3万元</w:t>
      </w:r>
      <w:r>
        <w:rPr>
          <w:rFonts w:eastAsia="仿宋_GB2312"/>
          <w:kern w:val="0"/>
          <w:sz w:val="32"/>
          <w:szCs w:val="32"/>
          <w:shd w:val="clear" w:color="auto" w:fill="FFFFFF"/>
          <w:lang w:val="zh-CN"/>
        </w:rPr>
        <w:t>、第三方民兵值守、联勤安保费用</w:t>
      </w:r>
      <w:r>
        <w:rPr>
          <w:rFonts w:eastAsia="仿宋_GB2312"/>
          <w:kern w:val="0"/>
          <w:sz w:val="32"/>
          <w:szCs w:val="32"/>
          <w:shd w:val="clear" w:color="auto" w:fill="FFFFFF"/>
        </w:rPr>
        <w:t>119.303万元</w:t>
      </w:r>
      <w:r>
        <w:rPr>
          <w:rFonts w:eastAsia="仿宋_GB2312"/>
          <w:kern w:val="0"/>
          <w:sz w:val="32"/>
          <w:szCs w:val="32"/>
          <w:shd w:val="clear" w:color="auto" w:fill="FFFFFF"/>
          <w:lang w:val="zh-CN"/>
        </w:rPr>
        <w:t>。截止至绩效评价日，该项目总投资金额</w:t>
      </w:r>
      <w:r>
        <w:rPr>
          <w:rFonts w:eastAsia="仿宋_GB2312"/>
          <w:kern w:val="0"/>
          <w:sz w:val="32"/>
          <w:szCs w:val="32"/>
          <w:shd w:val="clear" w:color="auto" w:fill="FFFFFF"/>
        </w:rPr>
        <w:t>160.01</w:t>
      </w:r>
      <w:r>
        <w:rPr>
          <w:rFonts w:eastAsia="仿宋_GB2312"/>
          <w:kern w:val="0"/>
          <w:sz w:val="32"/>
          <w:szCs w:val="32"/>
          <w:shd w:val="clear" w:color="auto" w:fill="FFFFFF"/>
          <w:lang w:val="zh-CN"/>
        </w:rPr>
        <w:t>万元已足额到位，资金到位率100%。</w:t>
      </w:r>
    </w:p>
    <w:p>
      <w:pPr>
        <w:pageBreakBefore w:val="0"/>
        <w:kinsoku/>
        <w:wordWrap/>
        <w:overflowPunct/>
        <w:topLinePunct w:val="0"/>
        <w:bidi w:val="0"/>
        <w:adjustRightInd w:val="0"/>
        <w:snapToGrid w:val="0"/>
        <w:spacing w:line="353" w:lineRule="auto"/>
        <w:ind w:firstLine="640" w:firstLineChars="200"/>
        <w:textAlignment w:val="auto"/>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（二）项目财务管理情况。</w:t>
      </w:r>
    </w:p>
    <w:p>
      <w:pPr>
        <w:pageBreakBefore w:val="0"/>
        <w:kinsoku/>
        <w:wordWrap/>
        <w:overflowPunct/>
        <w:topLinePunct w:val="0"/>
        <w:bidi w:val="0"/>
        <w:adjustRightInd w:val="0"/>
        <w:snapToGrid w:val="0"/>
        <w:spacing w:line="353" w:lineRule="auto"/>
        <w:ind w:firstLine="640" w:firstLineChars="200"/>
        <w:textAlignment w:val="auto"/>
        <w:rPr>
          <w:rFonts w:eastAsia="仿宋_GB2312"/>
          <w:kern w:val="0"/>
          <w:sz w:val="32"/>
          <w:szCs w:val="32"/>
          <w:shd w:val="clear" w:color="auto" w:fill="FFFFFF"/>
          <w:lang w:val="zh-CN"/>
        </w:rPr>
      </w:pPr>
      <w:r>
        <w:rPr>
          <w:rFonts w:eastAsia="仿宋_GB2312"/>
          <w:kern w:val="0"/>
          <w:sz w:val="32"/>
          <w:szCs w:val="32"/>
          <w:shd w:val="clear" w:color="auto" w:fill="FFFFFF"/>
          <w:lang w:val="zh-CN"/>
        </w:rPr>
        <w:t>被评价项目在预算执行过程中执行《行政单位会计制度》及本单位的《财务管理制度》，被评价项目的支出原则与业务活动有关的支出列入此项目，对资金使用过程进行控制，发现问题及时汇报，及时解决，会计核算基本规范。</w:t>
      </w:r>
    </w:p>
    <w:p>
      <w:pPr>
        <w:pageBreakBefore w:val="0"/>
        <w:kinsoku/>
        <w:wordWrap/>
        <w:overflowPunct/>
        <w:topLinePunct w:val="0"/>
        <w:bidi w:val="0"/>
        <w:adjustRightInd w:val="0"/>
        <w:snapToGrid w:val="0"/>
        <w:spacing w:line="353" w:lineRule="auto"/>
        <w:ind w:firstLine="640" w:firstLineChars="200"/>
        <w:textAlignment w:val="auto"/>
        <w:outlineLvl w:val="1"/>
        <w:rPr>
          <w:rFonts w:ascii="黑体" w:hAnsi="黑体" w:eastAsia="黑体" w:cs="黑体"/>
          <w:sz w:val="32"/>
          <w:szCs w:val="32"/>
        </w:rPr>
      </w:pPr>
      <w:bookmarkStart w:id="83" w:name="_Toc2034"/>
      <w:r>
        <w:rPr>
          <w:rFonts w:hint="eastAsia" w:ascii="黑体" w:hAnsi="黑体" w:eastAsia="黑体" w:cs="黑体"/>
          <w:sz w:val="32"/>
          <w:szCs w:val="32"/>
        </w:rPr>
        <w:t>三、项目实施及管理情况</w:t>
      </w:r>
      <w:bookmarkEnd w:id="83"/>
    </w:p>
    <w:p>
      <w:pPr>
        <w:pageBreakBefore w:val="0"/>
        <w:kinsoku/>
        <w:wordWrap/>
        <w:overflowPunct/>
        <w:topLinePunct w:val="0"/>
        <w:bidi w:val="0"/>
        <w:adjustRightInd w:val="0"/>
        <w:snapToGrid w:val="0"/>
        <w:spacing w:line="353" w:lineRule="auto"/>
        <w:ind w:firstLine="640" w:firstLineChars="200"/>
        <w:textAlignment w:val="auto"/>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（一）项目组织架构及实施流程。</w:t>
      </w:r>
    </w:p>
    <w:p>
      <w:pPr>
        <w:pageBreakBefore w:val="0"/>
        <w:kinsoku/>
        <w:wordWrap/>
        <w:overflowPunct/>
        <w:topLinePunct w:val="0"/>
        <w:bidi w:val="0"/>
        <w:adjustRightInd w:val="0"/>
        <w:snapToGrid w:val="0"/>
        <w:spacing w:line="353" w:lineRule="auto"/>
        <w:ind w:firstLine="640" w:firstLineChars="200"/>
        <w:textAlignment w:val="auto"/>
        <w:rPr>
          <w:rFonts w:eastAsia="仿宋_GB2312"/>
          <w:color w:val="000000"/>
          <w:sz w:val="32"/>
          <w:szCs w:val="32"/>
          <w:shd w:val="clear" w:color="auto" w:fill="FFFFFF"/>
        </w:rPr>
      </w:pPr>
      <w:r>
        <w:rPr>
          <w:rFonts w:hint="eastAsia" w:eastAsia="仿宋_GB2312"/>
          <w:color w:val="000000"/>
          <w:sz w:val="32"/>
          <w:szCs w:val="32"/>
          <w:shd w:val="clear" w:color="auto" w:fill="FFFFFF"/>
        </w:rPr>
        <w:t>我局负责牵头统筹疫情防控服务站有关工作，对常态化疫情防控服务站和应急状态下增设的疫情防控服务站人员安排、物资采购配备、值班值守时间安排等提供合理化建议; 负责贯彻落实上级各项防控措施，加强指导检查，对发现的问题督促有关单位进行整改;负责整理、收集、报告疫情防控服务站工作情况; 负责卡点一线值守人员政策培训、严格落实“入川即检”及最新的各项政策措施;负责督促值守人员做好个人防护并提供后勤物资保障。</w:t>
      </w:r>
      <w:r>
        <w:rPr>
          <w:rFonts w:eastAsia="仿宋_GB2312"/>
          <w:color w:val="000000"/>
          <w:sz w:val="32"/>
          <w:szCs w:val="32"/>
          <w:shd w:val="clear" w:color="auto" w:fill="FFFFFF"/>
        </w:rPr>
        <w:t>在项目管理上制定有相应管理制度并严格按照制度加以落实，各个股室根据职能职责负责各自工作职能项目的申报与跟进，办公室配合好各股室做好项目资金管理与收支使用，同时协助各职能股室做好项目绩效管理工作。</w:t>
      </w:r>
    </w:p>
    <w:p>
      <w:pPr>
        <w:pageBreakBefore w:val="0"/>
        <w:numPr>
          <w:ilvl w:val="0"/>
          <w:numId w:val="3"/>
        </w:numPr>
        <w:kinsoku/>
        <w:wordWrap/>
        <w:overflowPunct/>
        <w:topLinePunct w:val="0"/>
        <w:bidi w:val="0"/>
        <w:adjustRightInd w:val="0"/>
        <w:snapToGrid w:val="0"/>
        <w:spacing w:line="578" w:lineRule="exact"/>
        <w:ind w:firstLine="640" w:firstLineChars="200"/>
        <w:textAlignment w:val="auto"/>
        <w:rPr>
          <w:rFonts w:ascii="楷体_GB2312" w:hAnsi="宋体" w:eastAsia="楷体_GB2312"/>
          <w:bCs/>
          <w:sz w:val="32"/>
          <w:szCs w:val="32"/>
          <w:lang w:val="zh-CN"/>
        </w:rPr>
      </w:pPr>
      <w:r>
        <w:rPr>
          <w:rFonts w:hint="eastAsia" w:ascii="楷体_GB2312" w:hAnsi="宋体" w:eastAsia="楷体_GB2312"/>
          <w:bCs/>
          <w:sz w:val="32"/>
          <w:szCs w:val="32"/>
          <w:lang w:val="zh-CN"/>
        </w:rPr>
        <w:t>项目管理情况。</w:t>
      </w:r>
    </w:p>
    <w:p>
      <w:pPr>
        <w:pageBreakBefore w:val="0"/>
        <w:kinsoku/>
        <w:wordWrap/>
        <w:overflowPunct/>
        <w:topLinePunct w:val="0"/>
        <w:bidi w:val="0"/>
        <w:adjustRightInd w:val="0"/>
        <w:snapToGrid w:val="0"/>
        <w:spacing w:line="578" w:lineRule="exact"/>
        <w:ind w:firstLine="640" w:firstLineChars="200"/>
        <w:textAlignment w:val="auto"/>
        <w:rPr>
          <w:rFonts w:ascii="仿宋_GB2312" w:hAnsi="仿宋_GB2312" w:eastAsia="仿宋_GB2312" w:cs="仿宋_GB2312"/>
          <w:kern w:val="0"/>
          <w:sz w:val="32"/>
          <w:szCs w:val="32"/>
          <w:shd w:val="clear" w:color="auto" w:fill="FFFFFF"/>
          <w:lang w:val="zh-CN"/>
        </w:rPr>
      </w:pPr>
      <w:r>
        <w:rPr>
          <w:rFonts w:hint="eastAsia" w:eastAsia="仿宋_GB2312"/>
          <w:kern w:val="0"/>
          <w:sz w:val="32"/>
          <w:szCs w:val="32"/>
        </w:rPr>
        <w:t>项目实施依据充分，目标明确，在项目实施过程中严格执行了相关政策规定，项目的立项、高速卡点数量、人员安排、物</w:t>
      </w:r>
      <w:r>
        <w:rPr>
          <w:rFonts w:hint="eastAsia" w:eastAsia="仿宋_GB2312"/>
          <w:kern w:val="0"/>
          <w:sz w:val="32"/>
          <w:szCs w:val="32"/>
          <w:lang w:val="en-US" w:eastAsia="zh-CN"/>
        </w:rPr>
        <w:t>资</w:t>
      </w:r>
      <w:r>
        <w:rPr>
          <w:rFonts w:hint="eastAsia" w:eastAsia="仿宋_GB2312"/>
          <w:kern w:val="0"/>
          <w:sz w:val="32"/>
          <w:szCs w:val="32"/>
        </w:rPr>
        <w:t>采购、资金拨付等程序严格管理和审核。</w:t>
      </w:r>
    </w:p>
    <w:p>
      <w:pPr>
        <w:pageBreakBefore w:val="0"/>
        <w:numPr>
          <w:ilvl w:val="0"/>
          <w:numId w:val="3"/>
        </w:numPr>
        <w:kinsoku/>
        <w:wordWrap/>
        <w:overflowPunct/>
        <w:topLinePunct w:val="0"/>
        <w:bidi w:val="0"/>
        <w:adjustRightInd w:val="0"/>
        <w:snapToGrid w:val="0"/>
        <w:spacing w:line="578" w:lineRule="exact"/>
        <w:ind w:firstLine="640" w:firstLineChars="200"/>
        <w:textAlignment w:val="auto"/>
        <w:rPr>
          <w:rFonts w:ascii="楷体_GB2312" w:hAnsi="宋体" w:eastAsia="楷体_GB2312"/>
          <w:bCs/>
          <w:sz w:val="32"/>
          <w:szCs w:val="32"/>
          <w:lang w:val="zh-CN"/>
        </w:rPr>
      </w:pPr>
      <w:r>
        <w:rPr>
          <w:rFonts w:hint="eastAsia" w:ascii="楷体_GB2312" w:hAnsi="宋体" w:eastAsia="楷体_GB2312"/>
          <w:bCs/>
          <w:sz w:val="32"/>
          <w:szCs w:val="32"/>
          <w:lang w:val="zh-CN"/>
        </w:rPr>
        <w:t>项目监管情况。</w:t>
      </w:r>
    </w:p>
    <w:p>
      <w:pPr>
        <w:pageBreakBefore w:val="0"/>
        <w:kinsoku/>
        <w:wordWrap/>
        <w:overflowPunct/>
        <w:topLinePunct w:val="0"/>
        <w:bidi w:val="0"/>
        <w:adjustRightInd w:val="0"/>
        <w:snapToGrid w:val="0"/>
        <w:spacing w:line="578" w:lineRule="exact"/>
        <w:ind w:firstLine="640" w:firstLineChars="200"/>
        <w:textAlignment w:val="auto"/>
        <w:rPr>
          <w:rFonts w:eastAsia="仿宋_GB2312"/>
          <w:kern w:val="0"/>
          <w:sz w:val="32"/>
          <w:szCs w:val="32"/>
        </w:rPr>
      </w:pPr>
      <w:r>
        <w:rPr>
          <w:rFonts w:hint="eastAsia" w:eastAsia="仿宋_GB2312"/>
          <w:kern w:val="0"/>
          <w:sz w:val="32"/>
          <w:szCs w:val="32"/>
        </w:rPr>
        <w:t>加强项目监管，在高速卡点数量、人员安排、物</w:t>
      </w:r>
      <w:r>
        <w:rPr>
          <w:rFonts w:hint="eastAsia" w:eastAsia="仿宋_GB2312"/>
          <w:kern w:val="0"/>
          <w:sz w:val="32"/>
          <w:szCs w:val="32"/>
          <w:lang w:val="en-US" w:eastAsia="zh-CN"/>
        </w:rPr>
        <w:t>资</w:t>
      </w:r>
      <w:r>
        <w:rPr>
          <w:rFonts w:hint="eastAsia" w:eastAsia="仿宋_GB2312"/>
          <w:kern w:val="0"/>
          <w:sz w:val="32"/>
          <w:szCs w:val="32"/>
        </w:rPr>
        <w:t>采购、资金拨付等程序未发现不符合政策要求的情况，严格资金使用监管，保障专款专用。</w:t>
      </w:r>
    </w:p>
    <w:p>
      <w:pPr>
        <w:pStyle w:val="6"/>
        <w:pageBreakBefore w:val="0"/>
        <w:kinsoku/>
        <w:wordWrap/>
        <w:overflowPunct/>
        <w:topLinePunct w:val="0"/>
        <w:bidi w:val="0"/>
        <w:ind w:firstLine="420" w:firstLineChars="200"/>
        <w:textAlignment w:val="auto"/>
      </w:pPr>
    </w:p>
    <w:p>
      <w:pPr>
        <w:pageBreakBefore w:val="0"/>
        <w:kinsoku/>
        <w:wordWrap/>
        <w:overflowPunct/>
        <w:topLinePunct w:val="0"/>
        <w:bidi w:val="0"/>
        <w:adjustRightInd w:val="0"/>
        <w:snapToGrid w:val="0"/>
        <w:spacing w:line="353" w:lineRule="auto"/>
        <w:ind w:firstLine="640" w:firstLineChars="200"/>
        <w:textAlignment w:val="auto"/>
        <w:outlineLvl w:val="1"/>
        <w:rPr>
          <w:rFonts w:ascii="黑体" w:hAnsi="黑体" w:eastAsia="黑体" w:cs="黑体"/>
          <w:sz w:val="32"/>
          <w:szCs w:val="32"/>
          <w:lang w:val="zh-CN"/>
        </w:rPr>
      </w:pPr>
      <w:bookmarkStart w:id="84" w:name="_Toc10523"/>
      <w:r>
        <w:rPr>
          <w:rFonts w:hint="eastAsia" w:ascii="黑体" w:hAnsi="黑体" w:eastAsia="黑体" w:cs="黑体"/>
          <w:sz w:val="32"/>
          <w:szCs w:val="32"/>
        </w:rPr>
        <w:t>四、项目绩效情况</w:t>
      </w:r>
      <w:bookmarkEnd w:id="84"/>
      <w:r>
        <w:rPr>
          <w:rFonts w:hint="eastAsia" w:ascii="黑体" w:hAnsi="黑体" w:eastAsia="黑体" w:cs="黑体"/>
          <w:sz w:val="32"/>
          <w:szCs w:val="32"/>
          <w:lang w:val="zh-CN"/>
        </w:rPr>
        <w:tab/>
      </w:r>
    </w:p>
    <w:p>
      <w:pPr>
        <w:pStyle w:val="4"/>
        <w:pageBreakBefore w:val="0"/>
        <w:widowControl/>
        <w:shd w:val="clear" w:color="auto" w:fill="FFFFFF"/>
        <w:kinsoku/>
        <w:wordWrap/>
        <w:overflowPunct/>
        <w:topLinePunct w:val="0"/>
        <w:bidi w:val="0"/>
        <w:spacing w:line="353" w:lineRule="auto"/>
        <w:ind w:firstLine="640" w:firstLineChars="200"/>
        <w:textAlignment w:val="auto"/>
        <w:rPr>
          <w:rFonts w:ascii="Times New Roman" w:hAnsi="Times New Roman" w:eastAsia="仿宋_GB2312"/>
          <w:b w:val="0"/>
          <w:bCs w:val="0"/>
          <w:color w:val="000000"/>
          <w:shd w:val="clear" w:color="auto" w:fill="FFFFFF"/>
          <w:lang w:val="zh-CN"/>
        </w:rPr>
      </w:pPr>
      <w:bookmarkStart w:id="85" w:name="_Toc19058"/>
      <w:r>
        <w:rPr>
          <w:rFonts w:ascii="Times New Roman" w:hAnsi="Times New Roman" w:eastAsia="仿宋_GB2312" w:cs="Times New Roman"/>
          <w:b w:val="0"/>
          <w:bCs w:val="0"/>
          <w:color w:val="000000"/>
          <w:shd w:val="clear" w:color="auto" w:fill="FFFFFF"/>
        </w:rPr>
        <w:t>结合2022年度我区疫情防控工作实际，申请了疫情防控项目，经过区级财政研究同意给予疫情防控项目经费保障部门疫情防控工作。2022年，项目实施内容完成了西区高速卡口建设工作，疫情防控物资(社会面)的采购工作，项目已经按预期绩效目标完成，项目完成质量较好。我局2022年度疫情防控工作紧跟区级推进，全年工作开展顺利，资金保障充足，各项项目目标均得以实现。我局通过积极开展疫情防控工作，在全力保障物流畅通的同时，筑牢了“外防输入”屏障。</w:t>
      </w:r>
      <w:bookmarkEnd w:id="85"/>
    </w:p>
    <w:p>
      <w:pPr>
        <w:pageBreakBefore w:val="0"/>
        <w:kinsoku/>
        <w:wordWrap/>
        <w:overflowPunct/>
        <w:topLinePunct w:val="0"/>
        <w:bidi w:val="0"/>
        <w:adjustRightInd w:val="0"/>
        <w:snapToGrid w:val="0"/>
        <w:spacing w:line="353" w:lineRule="auto"/>
        <w:ind w:firstLine="640" w:firstLineChars="200"/>
        <w:textAlignment w:val="auto"/>
        <w:outlineLvl w:val="1"/>
        <w:rPr>
          <w:rFonts w:ascii="黑体" w:hAnsi="黑体" w:eastAsia="黑体" w:cs="黑体"/>
          <w:sz w:val="32"/>
          <w:szCs w:val="32"/>
        </w:rPr>
      </w:pPr>
      <w:bookmarkStart w:id="86" w:name="_Toc23530"/>
      <w:r>
        <w:rPr>
          <w:rFonts w:hint="eastAsia" w:ascii="黑体" w:hAnsi="黑体" w:eastAsia="黑体" w:cs="黑体"/>
          <w:sz w:val="32"/>
          <w:szCs w:val="32"/>
        </w:rPr>
        <w:t>五、评价结论及建议</w:t>
      </w:r>
      <w:bookmarkEnd w:id="86"/>
    </w:p>
    <w:p>
      <w:pPr>
        <w:pageBreakBefore w:val="0"/>
        <w:kinsoku/>
        <w:wordWrap/>
        <w:overflowPunct/>
        <w:topLinePunct w:val="0"/>
        <w:bidi w:val="0"/>
        <w:adjustRightInd w:val="0"/>
        <w:snapToGrid w:val="0"/>
        <w:spacing w:line="353" w:lineRule="auto"/>
        <w:ind w:firstLine="640" w:firstLineChars="200"/>
        <w:textAlignment w:val="auto"/>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（一）评价结论。</w:t>
      </w:r>
    </w:p>
    <w:p>
      <w:pPr>
        <w:pageBreakBefore w:val="0"/>
        <w:kinsoku/>
        <w:wordWrap/>
        <w:overflowPunct/>
        <w:topLinePunct w:val="0"/>
        <w:bidi w:val="0"/>
        <w:adjustRightInd w:val="0"/>
        <w:snapToGrid w:val="0"/>
        <w:spacing w:line="353" w:lineRule="auto"/>
        <w:ind w:firstLine="640" w:firstLineChars="200"/>
        <w:textAlignment w:val="auto"/>
        <w:rPr>
          <w:rFonts w:eastAsia="仿宋_GB2312"/>
          <w:color w:val="000000"/>
          <w:sz w:val="32"/>
          <w:szCs w:val="32"/>
          <w:shd w:val="clear" w:color="auto" w:fill="FFFFFF"/>
        </w:rPr>
      </w:pPr>
      <w:r>
        <w:rPr>
          <w:rFonts w:eastAsia="仿宋_GB2312"/>
          <w:color w:val="000000"/>
          <w:sz w:val="32"/>
          <w:szCs w:val="32"/>
          <w:shd w:val="clear" w:color="auto" w:fill="FFFFFF"/>
        </w:rPr>
        <w:t>通过认真开展评价，我局2022年度新冠肺炎疫情防控项目自评得分99分，其中结转项目资金反映项目进度有点缓慢扣除1分，但综合评价等级结果为优。按照项目绩效目标设定值，2022年度新冠肺炎疫情防控项目已顺利实施，各项目标得以实现。</w:t>
      </w:r>
    </w:p>
    <w:p>
      <w:pPr>
        <w:pageBreakBefore w:val="0"/>
        <w:kinsoku/>
        <w:wordWrap/>
        <w:overflowPunct/>
        <w:topLinePunct w:val="0"/>
        <w:bidi w:val="0"/>
        <w:adjustRightInd w:val="0"/>
        <w:snapToGrid w:val="0"/>
        <w:spacing w:line="353" w:lineRule="auto"/>
        <w:ind w:firstLine="640" w:firstLineChars="200"/>
        <w:textAlignment w:val="auto"/>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（二）存在的问题。</w:t>
      </w:r>
    </w:p>
    <w:p>
      <w:pPr>
        <w:pageBreakBefore w:val="0"/>
        <w:widowControl/>
        <w:kinsoku/>
        <w:wordWrap/>
        <w:overflowPunct/>
        <w:topLinePunct w:val="0"/>
        <w:bidi w:val="0"/>
        <w:adjustRightInd w:val="0"/>
        <w:snapToGrid w:val="0"/>
        <w:spacing w:line="353" w:lineRule="auto"/>
        <w:ind w:firstLine="640" w:firstLineChars="200"/>
        <w:contextualSpacing/>
        <w:jc w:val="left"/>
        <w:textAlignment w:val="auto"/>
        <w:rPr>
          <w:rFonts w:eastAsia="仿宋_GB2312"/>
          <w:kern w:val="0"/>
          <w:sz w:val="32"/>
          <w:szCs w:val="32"/>
          <w:shd w:val="clear" w:color="auto" w:fill="FFFFFF"/>
        </w:rPr>
      </w:pPr>
      <w:r>
        <w:rPr>
          <w:rFonts w:eastAsia="仿宋_GB2312"/>
          <w:color w:val="000000"/>
          <w:sz w:val="32"/>
          <w:szCs w:val="32"/>
          <w:shd w:val="clear" w:color="auto" w:fill="FFFFFF"/>
        </w:rPr>
        <w:t>该项目在绩效管理上暂未发现问题。</w:t>
      </w:r>
    </w:p>
    <w:p>
      <w:pPr>
        <w:pageBreakBefore w:val="0"/>
        <w:kinsoku/>
        <w:wordWrap/>
        <w:overflowPunct/>
        <w:topLinePunct w:val="0"/>
        <w:bidi w:val="0"/>
        <w:adjustRightInd w:val="0"/>
        <w:snapToGrid w:val="0"/>
        <w:spacing w:line="353" w:lineRule="auto"/>
        <w:ind w:firstLine="640" w:firstLineChars="200"/>
        <w:textAlignment w:val="auto"/>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（三）相关建议。</w:t>
      </w:r>
    </w:p>
    <w:p>
      <w:pPr>
        <w:pageBreakBefore w:val="0"/>
        <w:kinsoku/>
        <w:wordWrap/>
        <w:overflowPunct/>
        <w:topLinePunct w:val="0"/>
        <w:bidi w:val="0"/>
        <w:adjustRightInd w:val="0"/>
        <w:snapToGrid w:val="0"/>
        <w:spacing w:line="353" w:lineRule="auto"/>
        <w:ind w:firstLine="640" w:firstLineChars="200"/>
        <w:textAlignment w:val="auto"/>
        <w:rPr>
          <w:rFonts w:eastAsia="仿宋_GB2312"/>
          <w:color w:val="000000"/>
          <w:sz w:val="32"/>
          <w:szCs w:val="32"/>
          <w:shd w:val="clear" w:color="auto" w:fill="FFFFFF"/>
        </w:rPr>
      </w:pPr>
      <w:r>
        <w:rPr>
          <w:rFonts w:eastAsia="仿宋_GB2312"/>
          <w:color w:val="000000"/>
          <w:sz w:val="32"/>
          <w:szCs w:val="32"/>
          <w:shd w:val="clear" w:color="auto" w:fill="FFFFFF"/>
        </w:rPr>
        <w:t>一是要紧扣工作中心，科学设立考核指标体系。严格落实“一把手”负责制，根据人员变动，及时对绩效管理工作领导小组进行调整，并及时召开会议研究项目绩效目标的设定和管理工作，确保绩效目标科学合理，可实现性强。二是要取长补短，完善指标考核综合体系。根据往年绩效目标实现情况，认真分析绩效目标管理工作中的经验和不足，从指标设置、日常考核等环节逐项深入讨论，找症结，补短板，压实责任。三是要抓住工作重点，加强绩效目标运行监督。按月度、季度、半年和年度，将各部门工作完成情况与目标值进行比较，及时掌握工作进度缓慢、实现难度大的绩效目标进行规范和监督，防止在项目执行过程中出现偏差。</w:t>
      </w:r>
    </w:p>
    <w:p>
      <w:pPr>
        <w:pStyle w:val="2"/>
        <w:pageBreakBefore w:val="0"/>
        <w:kinsoku/>
        <w:wordWrap/>
        <w:overflowPunct/>
        <w:topLinePunct w:val="0"/>
        <w:bidi w:val="0"/>
        <w:spacing w:beforeLines="0" w:line="353" w:lineRule="auto"/>
        <w:ind w:firstLine="640" w:firstLineChars="200"/>
        <w:textAlignment w:val="auto"/>
        <w:rPr>
          <w:rFonts w:ascii="Times New Roman"/>
          <w:sz w:val="32"/>
          <w:szCs w:val="32"/>
        </w:rPr>
      </w:pPr>
    </w:p>
    <w:p>
      <w:pPr>
        <w:pageBreakBefore w:val="0"/>
        <w:widowControl/>
        <w:kinsoku/>
        <w:wordWrap/>
        <w:overflowPunct/>
        <w:topLinePunct w:val="0"/>
        <w:bidi w:val="0"/>
        <w:ind w:firstLine="880" w:firstLineChars="200"/>
        <w:jc w:val="left"/>
        <w:textAlignment w:val="auto"/>
        <w:rPr>
          <w:rStyle w:val="30"/>
          <w:rFonts w:hint="eastAsia" w:ascii="黑体" w:hAnsi="黑体" w:eastAsia="黑体"/>
          <w:b w:val="0"/>
        </w:rPr>
      </w:pPr>
    </w:p>
    <w:p>
      <w:pPr>
        <w:pStyle w:val="2"/>
        <w:pageBreakBefore w:val="0"/>
        <w:kinsoku/>
        <w:wordWrap/>
        <w:overflowPunct/>
        <w:topLinePunct w:val="0"/>
        <w:bidi w:val="0"/>
        <w:spacing w:before="93"/>
        <w:ind w:firstLine="600" w:firstLineChars="200"/>
        <w:textAlignment w:val="auto"/>
        <w:rPr>
          <w:rFonts w:hint="eastAsia"/>
        </w:rPr>
      </w:pPr>
    </w:p>
    <w:p>
      <w:pPr>
        <w:pStyle w:val="2"/>
        <w:pageBreakBefore w:val="0"/>
        <w:kinsoku/>
        <w:wordWrap/>
        <w:overflowPunct/>
        <w:topLinePunct w:val="0"/>
        <w:bidi w:val="0"/>
        <w:spacing w:before="93"/>
        <w:ind w:firstLine="600" w:firstLineChars="200"/>
        <w:textAlignment w:val="auto"/>
        <w:rPr>
          <w:rFonts w:hint="eastAsia"/>
        </w:rPr>
      </w:pPr>
    </w:p>
    <w:p>
      <w:pPr>
        <w:pStyle w:val="2"/>
        <w:pageBreakBefore w:val="0"/>
        <w:kinsoku/>
        <w:wordWrap/>
        <w:overflowPunct/>
        <w:topLinePunct w:val="0"/>
        <w:bidi w:val="0"/>
        <w:spacing w:before="93"/>
        <w:ind w:firstLine="600" w:firstLineChars="200"/>
        <w:textAlignment w:val="auto"/>
      </w:pPr>
    </w:p>
    <w:p>
      <w:pPr>
        <w:pageBreakBefore w:val="0"/>
        <w:kinsoku/>
        <w:wordWrap/>
        <w:overflowPunct/>
        <w:topLinePunct w:val="0"/>
        <w:bidi w:val="0"/>
        <w:spacing w:line="600" w:lineRule="exact"/>
        <w:jc w:val="center"/>
        <w:textAlignment w:val="auto"/>
        <w:outlineLvl w:val="0"/>
        <w:rPr>
          <w:rFonts w:ascii="仿宋" w:hAnsi="仿宋" w:eastAsia="仿宋"/>
        </w:rPr>
      </w:pPr>
      <w:bookmarkStart w:id="87" w:name="_Toc15396618"/>
      <w:bookmarkStart w:id="88" w:name="_Toc31541"/>
      <w:r>
        <w:rPr>
          <w:rFonts w:hint="eastAsia" w:ascii="黑体" w:hAnsi="黑体" w:eastAsia="黑体"/>
          <w:sz w:val="44"/>
          <w:szCs w:val="44"/>
        </w:rPr>
        <w:t>第</w:t>
      </w:r>
      <w:r>
        <w:rPr>
          <w:rStyle w:val="30"/>
          <w:rFonts w:hint="eastAsia" w:ascii="黑体" w:hAnsi="黑体" w:eastAsia="黑体"/>
          <w:b w:val="0"/>
        </w:rPr>
        <w:t>五部分 附表</w:t>
      </w:r>
      <w:bookmarkEnd w:id="74"/>
      <w:bookmarkEnd w:id="87"/>
      <w:bookmarkEnd w:id="88"/>
      <w:bookmarkStart w:id="89" w:name="_Toc15396619"/>
    </w:p>
    <w:p>
      <w:pPr>
        <w:pStyle w:val="4"/>
        <w:pageBreakBefore w:val="0"/>
        <w:kinsoku/>
        <w:wordWrap/>
        <w:overflowPunct/>
        <w:topLinePunct w:val="0"/>
        <w:bidi w:val="0"/>
        <w:ind w:firstLine="640" w:firstLineChars="200"/>
        <w:textAlignment w:val="auto"/>
        <w:rPr>
          <w:rFonts w:ascii="仿宋" w:hAnsi="仿宋" w:eastAsia="仿宋"/>
        </w:rPr>
      </w:pPr>
      <w:bookmarkStart w:id="90" w:name="_Toc17838"/>
      <w:r>
        <w:rPr>
          <w:rFonts w:hint="eastAsia" w:ascii="仿宋" w:hAnsi="仿宋" w:eastAsia="仿宋"/>
          <w:b w:val="0"/>
        </w:rPr>
        <w:t>一、收</w:t>
      </w:r>
      <w:r>
        <w:rPr>
          <w:rStyle w:val="31"/>
          <w:rFonts w:hint="eastAsia" w:ascii="仿宋" w:hAnsi="仿宋" w:eastAsia="仿宋"/>
          <w:b w:val="0"/>
          <w:bCs w:val="0"/>
        </w:rPr>
        <w:t>入支出决算总表</w:t>
      </w:r>
      <w:bookmarkEnd w:id="89"/>
      <w:bookmarkEnd w:id="90"/>
    </w:p>
    <w:p>
      <w:pPr>
        <w:pStyle w:val="4"/>
        <w:pageBreakBefore w:val="0"/>
        <w:kinsoku/>
        <w:wordWrap/>
        <w:overflowPunct/>
        <w:topLinePunct w:val="0"/>
        <w:bidi w:val="0"/>
        <w:ind w:firstLine="640" w:firstLineChars="200"/>
        <w:textAlignment w:val="auto"/>
        <w:rPr>
          <w:rFonts w:ascii="仿宋" w:hAnsi="仿宋" w:eastAsia="仿宋"/>
        </w:rPr>
      </w:pPr>
      <w:bookmarkStart w:id="91" w:name="_Toc15396620"/>
      <w:bookmarkStart w:id="92" w:name="_Toc17127"/>
      <w:r>
        <w:rPr>
          <w:rFonts w:hint="eastAsia" w:ascii="仿宋" w:hAnsi="仿宋" w:eastAsia="仿宋"/>
          <w:b w:val="0"/>
        </w:rPr>
        <w:t>二、收</w:t>
      </w:r>
      <w:r>
        <w:rPr>
          <w:rStyle w:val="31"/>
          <w:rFonts w:hint="eastAsia" w:ascii="仿宋" w:hAnsi="仿宋" w:eastAsia="仿宋"/>
          <w:b w:val="0"/>
          <w:bCs w:val="0"/>
        </w:rPr>
        <w:t>入决算表</w:t>
      </w:r>
      <w:bookmarkEnd w:id="91"/>
      <w:bookmarkEnd w:id="92"/>
    </w:p>
    <w:p>
      <w:pPr>
        <w:pStyle w:val="4"/>
        <w:pageBreakBefore w:val="0"/>
        <w:kinsoku/>
        <w:wordWrap/>
        <w:overflowPunct/>
        <w:topLinePunct w:val="0"/>
        <w:bidi w:val="0"/>
        <w:ind w:firstLine="640" w:firstLineChars="200"/>
        <w:textAlignment w:val="auto"/>
        <w:rPr>
          <w:rFonts w:ascii="仿宋" w:hAnsi="仿宋" w:eastAsia="仿宋"/>
        </w:rPr>
      </w:pPr>
      <w:bookmarkStart w:id="93" w:name="_Toc29761"/>
      <w:bookmarkStart w:id="94"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93"/>
      <w:bookmarkEnd w:id="94"/>
    </w:p>
    <w:p>
      <w:pPr>
        <w:pStyle w:val="4"/>
        <w:pageBreakBefore w:val="0"/>
        <w:kinsoku/>
        <w:wordWrap/>
        <w:overflowPunct/>
        <w:topLinePunct w:val="0"/>
        <w:bidi w:val="0"/>
        <w:ind w:firstLine="640" w:firstLineChars="200"/>
        <w:textAlignment w:val="auto"/>
        <w:rPr>
          <w:rFonts w:ascii="仿宋" w:hAnsi="仿宋" w:eastAsia="仿宋"/>
          <w:b w:val="0"/>
        </w:rPr>
      </w:pPr>
      <w:bookmarkStart w:id="95" w:name="_Toc15396622"/>
      <w:bookmarkStart w:id="96" w:name="_Toc2670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95"/>
      <w:bookmarkEnd w:id="96"/>
    </w:p>
    <w:p>
      <w:pPr>
        <w:pStyle w:val="4"/>
        <w:pageBreakBefore w:val="0"/>
        <w:kinsoku/>
        <w:wordWrap/>
        <w:overflowPunct/>
        <w:topLinePunct w:val="0"/>
        <w:bidi w:val="0"/>
        <w:ind w:firstLine="640" w:firstLineChars="200"/>
        <w:textAlignment w:val="auto"/>
        <w:rPr>
          <w:rStyle w:val="31"/>
          <w:rFonts w:ascii="仿宋" w:hAnsi="仿宋" w:eastAsia="仿宋"/>
          <w:b w:val="0"/>
          <w:bCs w:val="0"/>
        </w:rPr>
      </w:pPr>
      <w:bookmarkStart w:id="97" w:name="_Toc10824"/>
      <w:bookmarkStart w:id="98"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97"/>
      <w:bookmarkEnd w:id="98"/>
      <w:bookmarkStart w:id="99" w:name="_Toc15396624"/>
    </w:p>
    <w:p>
      <w:pPr>
        <w:pStyle w:val="4"/>
        <w:pageBreakBefore w:val="0"/>
        <w:kinsoku/>
        <w:wordWrap/>
        <w:overflowPunct/>
        <w:topLinePunct w:val="0"/>
        <w:bidi w:val="0"/>
        <w:ind w:firstLine="640" w:firstLineChars="200"/>
        <w:textAlignment w:val="auto"/>
        <w:rPr>
          <w:rFonts w:ascii="仿宋" w:hAnsi="仿宋" w:eastAsia="仿宋"/>
        </w:rPr>
      </w:pPr>
      <w:bookmarkStart w:id="100" w:name="_Toc9898"/>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99"/>
      <w:bookmarkEnd w:id="100"/>
    </w:p>
    <w:p>
      <w:pPr>
        <w:pStyle w:val="4"/>
        <w:pageBreakBefore w:val="0"/>
        <w:kinsoku/>
        <w:wordWrap/>
        <w:overflowPunct/>
        <w:topLinePunct w:val="0"/>
        <w:bidi w:val="0"/>
        <w:ind w:firstLine="640" w:firstLineChars="200"/>
        <w:textAlignment w:val="auto"/>
        <w:rPr>
          <w:rFonts w:ascii="仿宋" w:hAnsi="仿宋" w:eastAsia="仿宋"/>
        </w:rPr>
      </w:pPr>
      <w:bookmarkStart w:id="101" w:name="_Toc15396625"/>
      <w:bookmarkStart w:id="102" w:name="_Toc21631"/>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101"/>
      <w:bookmarkEnd w:id="102"/>
    </w:p>
    <w:p>
      <w:pPr>
        <w:pStyle w:val="4"/>
        <w:pageBreakBefore w:val="0"/>
        <w:kinsoku/>
        <w:wordWrap/>
        <w:overflowPunct/>
        <w:topLinePunct w:val="0"/>
        <w:bidi w:val="0"/>
        <w:ind w:firstLine="640" w:firstLineChars="200"/>
        <w:textAlignment w:val="auto"/>
        <w:rPr>
          <w:rFonts w:ascii="仿宋" w:hAnsi="仿宋" w:eastAsia="仿宋"/>
        </w:rPr>
      </w:pPr>
      <w:bookmarkStart w:id="103" w:name="_Toc25665"/>
      <w:bookmarkStart w:id="104"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103"/>
      <w:bookmarkEnd w:id="104"/>
    </w:p>
    <w:p>
      <w:pPr>
        <w:pStyle w:val="4"/>
        <w:pageBreakBefore w:val="0"/>
        <w:kinsoku/>
        <w:wordWrap/>
        <w:overflowPunct/>
        <w:topLinePunct w:val="0"/>
        <w:bidi w:val="0"/>
        <w:ind w:firstLine="640" w:firstLineChars="200"/>
        <w:textAlignment w:val="auto"/>
        <w:rPr>
          <w:rFonts w:ascii="仿宋" w:hAnsi="仿宋" w:eastAsia="仿宋"/>
        </w:rPr>
      </w:pPr>
      <w:bookmarkStart w:id="105" w:name="_Toc15396627"/>
      <w:bookmarkStart w:id="106" w:name="_Toc887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105"/>
      <w:bookmarkEnd w:id="106"/>
    </w:p>
    <w:p>
      <w:pPr>
        <w:pStyle w:val="4"/>
        <w:pageBreakBefore w:val="0"/>
        <w:kinsoku/>
        <w:wordWrap/>
        <w:overflowPunct/>
        <w:topLinePunct w:val="0"/>
        <w:bidi w:val="0"/>
        <w:ind w:firstLine="640" w:firstLineChars="200"/>
        <w:textAlignment w:val="auto"/>
        <w:rPr>
          <w:rFonts w:ascii="仿宋" w:hAnsi="仿宋" w:eastAsia="仿宋"/>
        </w:rPr>
      </w:pPr>
      <w:bookmarkStart w:id="107" w:name="_Toc15396628"/>
      <w:bookmarkStart w:id="108" w:name="_Toc12804"/>
      <w:r>
        <w:rPr>
          <w:rStyle w:val="31"/>
          <w:rFonts w:hint="eastAsia" w:ascii="仿宋" w:hAnsi="仿宋" w:eastAsia="仿宋"/>
          <w:b w:val="0"/>
          <w:bCs w:val="0"/>
        </w:rPr>
        <w:t>十、</w:t>
      </w:r>
      <w:bookmarkEnd w:id="107"/>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108"/>
    </w:p>
    <w:p>
      <w:pPr>
        <w:pStyle w:val="4"/>
        <w:pageBreakBefore w:val="0"/>
        <w:kinsoku/>
        <w:wordWrap/>
        <w:overflowPunct/>
        <w:topLinePunct w:val="0"/>
        <w:bidi w:val="0"/>
        <w:ind w:firstLine="640" w:firstLineChars="200"/>
        <w:textAlignment w:val="auto"/>
        <w:rPr>
          <w:rFonts w:ascii="仿宋" w:hAnsi="仿宋" w:eastAsia="仿宋"/>
        </w:rPr>
      </w:pPr>
      <w:bookmarkStart w:id="109" w:name="_Toc15396629"/>
      <w:bookmarkStart w:id="110" w:name="_Toc1462"/>
      <w:r>
        <w:rPr>
          <w:rStyle w:val="31"/>
          <w:rFonts w:hint="eastAsia" w:ascii="仿宋" w:hAnsi="仿宋" w:eastAsia="仿宋"/>
          <w:b w:val="0"/>
          <w:bCs w:val="0"/>
        </w:rPr>
        <w:t>十一、</w:t>
      </w:r>
      <w:bookmarkEnd w:id="109"/>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10"/>
    </w:p>
    <w:p>
      <w:pPr>
        <w:pStyle w:val="4"/>
        <w:pageBreakBefore w:val="0"/>
        <w:kinsoku/>
        <w:wordWrap/>
        <w:overflowPunct/>
        <w:topLinePunct w:val="0"/>
        <w:bidi w:val="0"/>
        <w:ind w:firstLine="640" w:firstLineChars="200"/>
        <w:textAlignment w:val="auto"/>
        <w:rPr>
          <w:rFonts w:ascii="仿宋" w:hAnsi="仿宋" w:eastAsia="仿宋"/>
        </w:rPr>
      </w:pPr>
      <w:bookmarkStart w:id="111" w:name="_Toc15396630"/>
      <w:bookmarkStart w:id="112" w:name="_Toc22194"/>
      <w:r>
        <w:rPr>
          <w:rStyle w:val="31"/>
          <w:rFonts w:hint="eastAsia" w:ascii="仿宋" w:hAnsi="仿宋" w:eastAsia="仿宋"/>
          <w:b w:val="0"/>
          <w:bCs w:val="0"/>
        </w:rPr>
        <w:t>十二、</w:t>
      </w:r>
      <w:bookmarkEnd w:id="111"/>
      <w:r>
        <w:rPr>
          <w:rStyle w:val="31"/>
          <w:rFonts w:hint="eastAsia" w:ascii="仿宋" w:hAnsi="仿宋" w:eastAsia="仿宋"/>
          <w:b w:val="0"/>
          <w:bCs w:val="0"/>
        </w:rPr>
        <w:t>国有资本经营预算财政拨款支出决算表</w:t>
      </w:r>
      <w:bookmarkEnd w:id="112"/>
    </w:p>
    <w:p>
      <w:pPr>
        <w:pStyle w:val="4"/>
        <w:pageBreakBefore w:val="0"/>
        <w:kinsoku/>
        <w:wordWrap/>
        <w:overflowPunct/>
        <w:topLinePunct w:val="0"/>
        <w:bidi w:val="0"/>
        <w:ind w:firstLine="640" w:firstLineChars="200"/>
        <w:textAlignment w:val="auto"/>
        <w:rPr>
          <w:rFonts w:eastAsia="仿宋"/>
        </w:rPr>
      </w:pPr>
      <w:bookmarkStart w:id="113" w:name="_Toc15396631"/>
      <w:bookmarkStart w:id="114" w:name="_Toc27138"/>
      <w:r>
        <w:rPr>
          <w:rStyle w:val="31"/>
          <w:rFonts w:hint="eastAsia" w:ascii="仿宋" w:hAnsi="仿宋" w:eastAsia="仿宋"/>
          <w:b w:val="0"/>
          <w:bCs w:val="0"/>
        </w:rPr>
        <w:t>十三、</w:t>
      </w:r>
      <w:bookmarkEnd w:id="113"/>
      <w:r>
        <w:rPr>
          <w:rStyle w:val="31"/>
          <w:rFonts w:hint="eastAsia" w:ascii="仿宋" w:hAnsi="仿宋" w:eastAsia="仿宋"/>
          <w:b w:val="0"/>
          <w:bCs w:val="0"/>
        </w:rPr>
        <w:t>财政拨款“三公”经费支出决算表</w:t>
      </w:r>
      <w:bookmarkEnd w:id="114"/>
    </w:p>
    <w:sectPr>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14</w:t>
                    </w:r>
                    <w:r>
                      <w:rPr>
                        <w:lang w:val="zh-CN"/>
                      </w:rPr>
                      <w:fldChar w:fldCharType="end"/>
                    </w:r>
                  </w:p>
                </w:sdtContent>
              </w:sdt>
              <w:p>
                <w:pPr>
                  <w:pStyle w:val="2"/>
                </w:pPr>
              </w:p>
            </w:txbxContent>
          </v:textbox>
        </v:shape>
      </w:pic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634B677"/>
    <w:multiLevelType w:val="singleLevel"/>
    <w:tmpl w:val="E634B677"/>
    <w:lvl w:ilvl="0" w:tentative="0">
      <w:start w:val="2"/>
      <w:numFmt w:val="chineseCounting"/>
      <w:suff w:val="nothing"/>
      <w:lvlText w:val="（%1）"/>
      <w:lvlJc w:val="left"/>
      <w:rPr>
        <w:rFonts w:hint="eastAsia"/>
      </w:rPr>
    </w:lvl>
  </w:abstractNum>
  <w:abstractNum w:abstractNumId="2">
    <w:nsid w:val="3E794925"/>
    <w:multiLevelType w:val="singleLevel"/>
    <w:tmpl w:val="3E794925"/>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ZmNjU4ZWMyNzRjNWRkODQwMDZiZGE1MWU4ZTU3OWEifQ=="/>
  </w:docVars>
  <w:rsids>
    <w:rsidRoot w:val="00F1361C"/>
    <w:rsid w:val="000222C6"/>
    <w:rsid w:val="0002549F"/>
    <w:rsid w:val="000468DB"/>
    <w:rsid w:val="0006487A"/>
    <w:rsid w:val="00065F8F"/>
    <w:rsid w:val="00066034"/>
    <w:rsid w:val="00070A43"/>
    <w:rsid w:val="00071306"/>
    <w:rsid w:val="000768F2"/>
    <w:rsid w:val="0009184B"/>
    <w:rsid w:val="00094236"/>
    <w:rsid w:val="00094A26"/>
    <w:rsid w:val="0009593C"/>
    <w:rsid w:val="00096FB4"/>
    <w:rsid w:val="00097322"/>
    <w:rsid w:val="000A6A92"/>
    <w:rsid w:val="000B047F"/>
    <w:rsid w:val="000B251B"/>
    <w:rsid w:val="000B5923"/>
    <w:rsid w:val="000B5A48"/>
    <w:rsid w:val="000B6FF3"/>
    <w:rsid w:val="000C3467"/>
    <w:rsid w:val="000C3CA6"/>
    <w:rsid w:val="000D1267"/>
    <w:rsid w:val="000D1D50"/>
    <w:rsid w:val="000D5782"/>
    <w:rsid w:val="000E315D"/>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4C7"/>
    <w:rsid w:val="002B2613"/>
    <w:rsid w:val="002D6D05"/>
    <w:rsid w:val="002F1818"/>
    <w:rsid w:val="002F3E97"/>
    <w:rsid w:val="002F567B"/>
    <w:rsid w:val="003216A9"/>
    <w:rsid w:val="00335A74"/>
    <w:rsid w:val="0036561B"/>
    <w:rsid w:val="0037013F"/>
    <w:rsid w:val="00376F20"/>
    <w:rsid w:val="00380C92"/>
    <w:rsid w:val="003A2EAB"/>
    <w:rsid w:val="003A484F"/>
    <w:rsid w:val="003A4883"/>
    <w:rsid w:val="003B0BE0"/>
    <w:rsid w:val="003B0C1B"/>
    <w:rsid w:val="003B688C"/>
    <w:rsid w:val="003B6CF4"/>
    <w:rsid w:val="003C0291"/>
    <w:rsid w:val="003C39AE"/>
    <w:rsid w:val="003C7B60"/>
    <w:rsid w:val="003D0C0F"/>
    <w:rsid w:val="003D1FB2"/>
    <w:rsid w:val="003D66DA"/>
    <w:rsid w:val="003E1310"/>
    <w:rsid w:val="003E6F55"/>
    <w:rsid w:val="003F4456"/>
    <w:rsid w:val="00401AD7"/>
    <w:rsid w:val="00406254"/>
    <w:rsid w:val="004223DE"/>
    <w:rsid w:val="00432B63"/>
    <w:rsid w:val="00434489"/>
    <w:rsid w:val="00437085"/>
    <w:rsid w:val="00443880"/>
    <w:rsid w:val="004464F4"/>
    <w:rsid w:val="00446E63"/>
    <w:rsid w:val="00467094"/>
    <w:rsid w:val="00471401"/>
    <w:rsid w:val="00473F31"/>
    <w:rsid w:val="0048263A"/>
    <w:rsid w:val="00487E5D"/>
    <w:rsid w:val="004A711F"/>
    <w:rsid w:val="004B199D"/>
    <w:rsid w:val="004B4690"/>
    <w:rsid w:val="004D074C"/>
    <w:rsid w:val="004E0A2D"/>
    <w:rsid w:val="004E206B"/>
    <w:rsid w:val="004E2808"/>
    <w:rsid w:val="004E6DF7"/>
    <w:rsid w:val="004F0FBD"/>
    <w:rsid w:val="00505A47"/>
    <w:rsid w:val="00512FDA"/>
    <w:rsid w:val="00520DA0"/>
    <w:rsid w:val="00524EF0"/>
    <w:rsid w:val="00525E15"/>
    <w:rsid w:val="005664BB"/>
    <w:rsid w:val="00566FFA"/>
    <w:rsid w:val="0057481D"/>
    <w:rsid w:val="00582D13"/>
    <w:rsid w:val="0058486E"/>
    <w:rsid w:val="00585B33"/>
    <w:rsid w:val="0059014D"/>
    <w:rsid w:val="005B5C64"/>
    <w:rsid w:val="005B67C6"/>
    <w:rsid w:val="005C5337"/>
    <w:rsid w:val="005C6BD0"/>
    <w:rsid w:val="005D1C8B"/>
    <w:rsid w:val="005D3E86"/>
    <w:rsid w:val="005D468D"/>
    <w:rsid w:val="005D5CED"/>
    <w:rsid w:val="005D7D8C"/>
    <w:rsid w:val="005F1A4C"/>
    <w:rsid w:val="00601DB0"/>
    <w:rsid w:val="00605688"/>
    <w:rsid w:val="006070AF"/>
    <w:rsid w:val="00607E6C"/>
    <w:rsid w:val="006101B1"/>
    <w:rsid w:val="00614E44"/>
    <w:rsid w:val="006219B9"/>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6F4366"/>
    <w:rsid w:val="006F77A3"/>
    <w:rsid w:val="007127B7"/>
    <w:rsid w:val="0071798E"/>
    <w:rsid w:val="0074073D"/>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0801"/>
    <w:rsid w:val="007F1991"/>
    <w:rsid w:val="007F2C2F"/>
    <w:rsid w:val="007F55FC"/>
    <w:rsid w:val="007F5665"/>
    <w:rsid w:val="00800112"/>
    <w:rsid w:val="00813348"/>
    <w:rsid w:val="008253BB"/>
    <w:rsid w:val="0083706E"/>
    <w:rsid w:val="008408F6"/>
    <w:rsid w:val="008423A5"/>
    <w:rsid w:val="00850625"/>
    <w:rsid w:val="00853718"/>
    <w:rsid w:val="0085405C"/>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4AF"/>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340C"/>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E41FF"/>
    <w:rsid w:val="00EF39C0"/>
    <w:rsid w:val="00EF4392"/>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1164"/>
    <w:rsid w:val="00FD3CC1"/>
    <w:rsid w:val="00FF1E02"/>
    <w:rsid w:val="00FF30B4"/>
    <w:rsid w:val="015975B8"/>
    <w:rsid w:val="02143E91"/>
    <w:rsid w:val="066E0107"/>
    <w:rsid w:val="07996F6E"/>
    <w:rsid w:val="0A2032A3"/>
    <w:rsid w:val="0F98263C"/>
    <w:rsid w:val="101860EC"/>
    <w:rsid w:val="10C055FF"/>
    <w:rsid w:val="118107EC"/>
    <w:rsid w:val="13D50BC4"/>
    <w:rsid w:val="16BB723D"/>
    <w:rsid w:val="189A5212"/>
    <w:rsid w:val="1BE8440E"/>
    <w:rsid w:val="1D155CEE"/>
    <w:rsid w:val="1EC7098C"/>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1E20BCA"/>
    <w:rsid w:val="44E268DA"/>
    <w:rsid w:val="48713B42"/>
    <w:rsid w:val="4A627F82"/>
    <w:rsid w:val="4B0E749A"/>
    <w:rsid w:val="4B4F25DA"/>
    <w:rsid w:val="4BE068DB"/>
    <w:rsid w:val="4D577224"/>
    <w:rsid w:val="4EAB630A"/>
    <w:rsid w:val="4ECE2238"/>
    <w:rsid w:val="537E6D0A"/>
    <w:rsid w:val="539B3278"/>
    <w:rsid w:val="5AF92295"/>
    <w:rsid w:val="5CD71FC4"/>
    <w:rsid w:val="6C4A05C8"/>
    <w:rsid w:val="6D8276B5"/>
    <w:rsid w:val="6E7E3605"/>
    <w:rsid w:val="6FF5CC65"/>
    <w:rsid w:val="715C0E4B"/>
    <w:rsid w:val="72734D90"/>
    <w:rsid w:val="73AD73D5"/>
    <w:rsid w:val="73B6EB34"/>
    <w:rsid w:val="744731E5"/>
    <w:rsid w:val="76E3355F"/>
    <w:rsid w:val="778769C8"/>
    <w:rsid w:val="77942B35"/>
    <w:rsid w:val="794F6CF9"/>
    <w:rsid w:val="79EE5BA4"/>
    <w:rsid w:val="7A894339"/>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Salutation"/>
    <w:basedOn w:val="1"/>
    <w:next w:val="1"/>
    <w:link w:val="53"/>
    <w:unhideWhenUsed/>
    <w:qFormat/>
    <w:uiPriority w:val="99"/>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52"/>
    <w:qFormat/>
    <w:uiPriority w:val="0"/>
    <w:rPr>
      <w:rFonts w:ascii="宋体" w:hAnsi="Courier New"/>
      <w:szCs w:val="22"/>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7"/>
    <w:link w:val="10"/>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纯文本 Char"/>
    <w:basedOn w:val="17"/>
    <w:link w:val="9"/>
    <w:qFormat/>
    <w:uiPriority w:val="0"/>
    <w:rPr>
      <w:rFonts w:ascii="宋体" w:hAnsi="Courier New" w:eastAsia="宋体" w:cs="Times New Roman"/>
      <w:kern w:val="2"/>
      <w:sz w:val="21"/>
      <w:szCs w:val="22"/>
    </w:rPr>
  </w:style>
  <w:style w:type="character" w:customStyle="1" w:styleId="53">
    <w:name w:val="称呼 Char"/>
    <w:basedOn w:val="17"/>
    <w:link w:val="6"/>
    <w:qFormat/>
    <w:uiPriority w:val="99"/>
    <w:rPr>
      <w:rFonts w:ascii="Times New Roman" w:hAnsi="Times New Roman" w:eastAsia="宋体" w:cs="Times New Roman"/>
      <w:kern w:val="2"/>
      <w:sz w:val="21"/>
      <w:szCs w:val="24"/>
    </w:rPr>
  </w:style>
  <w:style w:type="paragraph" w:customStyle="1" w:styleId="54">
    <w:name w:val="WPSOffice手动目录 1"/>
    <w:qFormat/>
    <w:uiPriority w:val="0"/>
    <w:pPr>
      <w:ind w:leftChars="0"/>
    </w:pPr>
    <w:rPr>
      <w:rFonts w:asciiTheme="minorHAnsi" w:hAnsiTheme="minorHAnsi" w:eastAsiaTheme="minorEastAsia" w:cstheme="minorBidi"/>
      <w:sz w:val="20"/>
      <w:szCs w:val="20"/>
    </w:rPr>
  </w:style>
  <w:style w:type="paragraph" w:customStyle="1" w:styleId="5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multiLvlStrRef>
              <c:f>Sheet1!$H$17:$I$18</c:f>
              <c:multiLvlStrCache>
                <c:ptCount val="2"/>
                <c:lvl>
                  <c:pt idx="0">
                    <c:v>4156.15万元</c:v>
                  </c:pt>
                  <c:pt idx="1">
                    <c:v>1598.57万元</c:v>
                  </c:pt>
                </c:lvl>
                <c:lvl>
                  <c:pt idx="0">
                    <c:v>2021年收、支决算总计</c:v>
                  </c:pt>
                  <c:pt idx="1">
                    <c:v>2022年收、支决算总计</c:v>
                  </c:pt>
                </c:lvl>
              </c:multiLvlStrCache>
            </c:multiLvlStrRef>
          </c:cat>
          <c:val>
            <c:numRef>
              <c:f>Sheet1!$J$17:$J$18</c:f>
              <c:numCache>
                <c:formatCode>0%</c:formatCode>
                <c:ptCount val="2"/>
                <c:pt idx="0">
                  <c:v>1</c:v>
                </c:pt>
                <c:pt idx="1" c:formatCode="0.00%">
                  <c:v>0.376</c:v>
                </c:pt>
              </c:numCache>
            </c:numRef>
          </c:val>
        </c:ser>
        <c:dLbls>
          <c:showLegendKey val="0"/>
          <c:showVal val="0"/>
          <c:showCatName val="0"/>
          <c:showSerName val="0"/>
          <c:showPercent val="0"/>
          <c:showBubbleSize val="0"/>
        </c:dLbls>
        <c:gapWidth val="150"/>
        <c:overlap val="100"/>
        <c:axId val="317564032"/>
        <c:axId val="317565568"/>
      </c:barChart>
      <c:catAx>
        <c:axId val="3175640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7565568"/>
        <c:crosses val="autoZero"/>
        <c:auto val="1"/>
        <c:lblAlgn val="ctr"/>
        <c:lblOffset val="100"/>
        <c:noMultiLvlLbl val="0"/>
      </c:catAx>
      <c:valAx>
        <c:axId val="317565568"/>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756403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Sheet1!$H$12:$I$14</c:f>
              <c:multiLvlStrCache>
                <c:ptCount val="3"/>
                <c:lvl>
                  <c:pt idx="0">
                    <c:v>1222.23万元</c:v>
                  </c:pt>
                  <c:pt idx="1">
                    <c:v>1186.43万元</c:v>
                  </c:pt>
                  <c:pt idx="2">
                    <c:v>40.4万元</c:v>
                  </c:pt>
                </c:lvl>
                <c:lvl>
                  <c:pt idx="0">
                    <c:v>2022年收入总计</c:v>
                  </c:pt>
                  <c:pt idx="1">
                    <c:v>其中：一般公共预算财政拨款收入</c:v>
                  </c:pt>
                  <c:pt idx="2">
                    <c:v>政府性基金财政预算拨款收入</c:v>
                  </c:pt>
                </c:lvl>
              </c:multiLvlStrCache>
            </c:multiLvlStrRef>
          </c:cat>
          <c:val>
            <c:numRef>
              <c:f>Sheet1!$J$12:$J$14</c:f>
              <c:numCache>
                <c:formatCode>General</c:formatCode>
                <c:ptCount val="3"/>
                <c:pt idx="1" c:formatCode="0.00%">
                  <c:v>0.967000000000001</c:v>
                </c:pt>
                <c:pt idx="2" c:formatCode="0.00%">
                  <c:v>0.033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Sheet1!$G$13:$H$15</c:f>
              <c:multiLvlStrCache>
                <c:ptCount val="3"/>
                <c:lvl>
                  <c:pt idx="0">
                    <c:v>1542.94万元</c:v>
                  </c:pt>
                  <c:pt idx="1">
                    <c:v>584.34万元</c:v>
                  </c:pt>
                  <c:pt idx="2">
                    <c:v>958.6万元</c:v>
                  </c:pt>
                </c:lvl>
                <c:lvl>
                  <c:pt idx="0">
                    <c:v>2022年支出总计</c:v>
                  </c:pt>
                  <c:pt idx="1">
                    <c:v>其中：基本支出</c:v>
                  </c:pt>
                  <c:pt idx="2">
                    <c:v>项目支出</c:v>
                  </c:pt>
                </c:lvl>
              </c:multiLvlStrCache>
            </c:multiLvlStrRef>
          </c:cat>
          <c:val>
            <c:numRef>
              <c:f>Sheet1!$I$13:$I$15</c:f>
              <c:numCache>
                <c:formatCode>General</c:formatCode>
                <c:ptCount val="3"/>
                <c:pt idx="1" c:formatCode="0.00%">
                  <c:v>0.3787</c:v>
                </c:pt>
                <c:pt idx="2" c:formatCode="0.00%">
                  <c:v>0.621300000000001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multiLvlStrRef>
              <c:f>Sheet1!$E$14:$F$15</c:f>
              <c:multiLvlStrCache>
                <c:ptCount val="2"/>
                <c:lvl>
                  <c:pt idx="0">
                    <c:v>4116.27万元</c:v>
                  </c:pt>
                  <c:pt idx="1">
                    <c:v>1542.94万元</c:v>
                  </c:pt>
                </c:lvl>
                <c:lvl>
                  <c:pt idx="0">
                    <c:v>2021年财政拨款收支总计</c:v>
                  </c:pt>
                  <c:pt idx="1">
                    <c:v>2022年财政拨款收支总计</c:v>
                  </c:pt>
                </c:lvl>
              </c:multiLvlStrCache>
            </c:multiLvlStrRef>
          </c:cat>
          <c:val>
            <c:numRef>
              <c:f>Sheet1!$G$14:$G$15</c:f>
              <c:numCache>
                <c:formatCode>0%</c:formatCode>
                <c:ptCount val="2"/>
                <c:pt idx="0">
                  <c:v>1</c:v>
                </c:pt>
                <c:pt idx="1" c:formatCode="0.00%">
                  <c:v>0.375</c:v>
                </c:pt>
              </c:numCache>
            </c:numRef>
          </c:val>
        </c:ser>
        <c:dLbls>
          <c:showLegendKey val="0"/>
          <c:showVal val="0"/>
          <c:showCatName val="0"/>
          <c:showSerName val="0"/>
          <c:showPercent val="0"/>
          <c:showBubbleSize val="0"/>
        </c:dLbls>
        <c:gapWidth val="150"/>
        <c:overlap val="100"/>
        <c:axId val="39376768"/>
        <c:axId val="39378304"/>
      </c:barChart>
      <c:catAx>
        <c:axId val="39376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378304"/>
        <c:crosses val="autoZero"/>
        <c:auto val="1"/>
        <c:lblAlgn val="ctr"/>
        <c:lblOffset val="100"/>
        <c:noMultiLvlLbl val="0"/>
      </c:catAx>
      <c:valAx>
        <c:axId val="3937830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37676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multiLvlStrRef>
              <c:f>Sheet1!$E$13:$F$14</c:f>
              <c:multiLvlStrCache>
                <c:ptCount val="2"/>
                <c:lvl>
                  <c:pt idx="0">
                    <c:v>4015.88万元</c:v>
                  </c:pt>
                  <c:pt idx="1">
                    <c:v>1502.54万元</c:v>
                  </c:pt>
                </c:lvl>
                <c:lvl>
                  <c:pt idx="0">
                    <c:v>2021年一般公共预算财政拨款支出总计</c:v>
                  </c:pt>
                  <c:pt idx="1">
                    <c:v>2022年一般公共预算财政拨款支出总计</c:v>
                  </c:pt>
                </c:lvl>
              </c:multiLvlStrCache>
            </c:multiLvlStrRef>
          </c:cat>
          <c:val>
            <c:numRef>
              <c:f>Sheet1!$G$13:$G$14</c:f>
              <c:numCache>
                <c:formatCode>0%</c:formatCode>
                <c:ptCount val="2"/>
                <c:pt idx="0">
                  <c:v>1</c:v>
                </c:pt>
                <c:pt idx="1" c:formatCode="0.00%">
                  <c:v>0.374</c:v>
                </c:pt>
              </c:numCache>
            </c:numRef>
          </c:val>
        </c:ser>
        <c:dLbls>
          <c:showLegendKey val="0"/>
          <c:showVal val="0"/>
          <c:showCatName val="0"/>
          <c:showSerName val="0"/>
          <c:showPercent val="0"/>
          <c:showBubbleSize val="0"/>
        </c:dLbls>
        <c:gapWidth val="150"/>
        <c:overlap val="100"/>
        <c:axId val="39385344"/>
        <c:axId val="317603840"/>
      </c:barChart>
      <c:catAx>
        <c:axId val="39385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7603840"/>
        <c:crosses val="autoZero"/>
        <c:auto val="1"/>
        <c:lblAlgn val="ctr"/>
        <c:lblOffset val="100"/>
        <c:noMultiLvlLbl val="0"/>
      </c:catAx>
      <c:valAx>
        <c:axId val="317603840"/>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3853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Sheet1!$E$9:$F$14</c:f>
              <c:multiLvlStrCache>
                <c:ptCount val="6"/>
                <c:lvl>
                  <c:pt idx="0">
                    <c:v>1502.54万元</c:v>
                  </c:pt>
                  <c:pt idx="1">
                    <c:v>41.63万元</c:v>
                  </c:pt>
                  <c:pt idx="2">
                    <c:v>26.32万元</c:v>
                  </c:pt>
                  <c:pt idx="3">
                    <c:v>38.27万元</c:v>
                  </c:pt>
                  <c:pt idx="4">
                    <c:v>1153.5万元</c:v>
                  </c:pt>
                  <c:pt idx="5">
                    <c:v>241.8万元</c:v>
                  </c:pt>
                </c:lvl>
                <c:lvl>
                  <c:pt idx="0">
                    <c:v>一般公共预算财政拨款支出</c:v>
                  </c:pt>
                  <c:pt idx="1">
                    <c:v>其中：社会保障和就业支出</c:v>
                  </c:pt>
                  <c:pt idx="2">
                    <c:v>卫生和健康支出</c:v>
                  </c:pt>
                  <c:pt idx="3">
                    <c:v>住房保障支出</c:v>
                  </c:pt>
                  <c:pt idx="4">
                    <c:v>农林水支出</c:v>
                  </c:pt>
                  <c:pt idx="5">
                    <c:v>交通运输支出</c:v>
                  </c:pt>
                </c:lvl>
              </c:multiLvlStrCache>
            </c:multiLvlStrRef>
          </c:cat>
          <c:val>
            <c:numRef>
              <c:f>Sheet1!$G$9:$G$14</c:f>
              <c:numCache>
                <c:formatCode>General</c:formatCode>
                <c:ptCount val="6"/>
                <c:pt idx="1" c:formatCode="0.00%">
                  <c:v>0.028</c:v>
                </c:pt>
                <c:pt idx="2" c:formatCode="0.00%">
                  <c:v>0.018</c:v>
                </c:pt>
                <c:pt idx="3" c:formatCode="0.00%">
                  <c:v>0.025</c:v>
                </c:pt>
                <c:pt idx="4" c:formatCode="0.00%">
                  <c:v>0.767000000000001</c:v>
                </c:pt>
                <c:pt idx="5" c:formatCode="0%">
                  <c:v>0.16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Sheet1!$D$10:$E$12</c:f>
              <c:multiLvlStrCache>
                <c:ptCount val="3"/>
                <c:lvl>
                  <c:pt idx="0">
                    <c:v>4.84万元</c:v>
                  </c:pt>
                  <c:pt idx="1">
                    <c:v>4.38万元</c:v>
                  </c:pt>
                  <c:pt idx="2">
                    <c:v>0.46万元</c:v>
                  </c:pt>
                </c:lvl>
                <c:lvl>
                  <c:pt idx="0">
                    <c:v>2022年“三公”经费财政拨款支出</c:v>
                  </c:pt>
                  <c:pt idx="1">
                    <c:v>其中：公务车运行维护费</c:v>
                  </c:pt>
                  <c:pt idx="2">
                    <c:v>公务接待费</c:v>
                  </c:pt>
                </c:lvl>
              </c:multiLvlStrCache>
            </c:multiLvlStrRef>
          </c:cat>
          <c:val>
            <c:numRef>
              <c:f>Sheet1!$F$10:$F$12</c:f>
              <c:numCache>
                <c:formatCode>General</c:formatCode>
                <c:ptCount val="3"/>
                <c:pt idx="1" c:formatCode="0.00%">
                  <c:v>0.905</c:v>
                </c:pt>
                <c:pt idx="2" c:formatCode="0.00%">
                  <c:v>0.095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2F86C-FA4F-4A44-9A3D-466B3B03D47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2137</Words>
  <Characters>12185</Characters>
  <Lines>101</Lines>
  <Paragraphs>28</Paragraphs>
  <TotalTime>12</TotalTime>
  <ScaleCrop>false</ScaleCrop>
  <LinksUpToDate>false</LinksUpToDate>
  <CharactersWithSpaces>14294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李付兵</cp:lastModifiedBy>
  <cp:lastPrinted>2023-07-31T02:35:00Z</cp:lastPrinted>
  <dcterms:modified xsi:type="dcterms:W3CDTF">2023-11-27T08:59:50Z</dcterms:modified>
  <dc:title>四川省***</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423AE45F2EA74D15BDF760A36EB3D5FE_12</vt:lpwstr>
  </property>
</Properties>
</file>