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600" w:lineRule="exact"/>
        <w:ind w:firstLine="420" w:firstLineChars="200"/>
        <w:jc w:val="left"/>
        <w:textAlignment w:val="auto"/>
        <w:outlineLvl w:val="9"/>
        <w:rPr>
          <w:rFonts w:ascii="方正小标宋简体" w:hAnsi="宋体" w:eastAsia="方正小标宋简体"/>
          <w:szCs w:val="21"/>
        </w:rPr>
      </w:pPr>
      <w:bookmarkStart w:id="0" w:name="_Toc15306267"/>
    </w:p>
    <w:p>
      <w:pPr>
        <w:pageBreakBefore w:val="0"/>
        <w:kinsoku/>
        <w:wordWrap/>
        <w:overflowPunct/>
        <w:topLinePunct w:val="0"/>
        <w:bidi w:val="0"/>
        <w:spacing w:line="600" w:lineRule="exact"/>
        <w:ind w:firstLine="1440" w:firstLineChars="200"/>
        <w:jc w:val="center"/>
        <w:textAlignment w:val="auto"/>
        <w:outlineLvl w:val="9"/>
        <w:rPr>
          <w:rFonts w:ascii="方正小标宋简体" w:hAnsi="宋体" w:eastAsia="方正小标宋简体"/>
          <w:sz w:val="72"/>
          <w:szCs w:val="72"/>
        </w:rPr>
      </w:pPr>
    </w:p>
    <w:p>
      <w:pPr>
        <w:pageBreakBefore w:val="0"/>
        <w:kinsoku/>
        <w:wordWrap/>
        <w:overflowPunct/>
        <w:topLinePunct w:val="0"/>
        <w:bidi w:val="0"/>
        <w:spacing w:line="600" w:lineRule="exact"/>
        <w:ind w:firstLine="1440" w:firstLineChars="200"/>
        <w:jc w:val="center"/>
        <w:textAlignment w:val="auto"/>
        <w:outlineLvl w:val="9"/>
        <w:rPr>
          <w:rFonts w:ascii="方正小标宋简体" w:hAnsi="宋体" w:eastAsia="方正小标宋简体"/>
          <w:sz w:val="72"/>
          <w:szCs w:val="72"/>
        </w:rPr>
      </w:pPr>
    </w:p>
    <w:p>
      <w:pPr>
        <w:pageBreakBefore w:val="0"/>
        <w:kinsoku/>
        <w:wordWrap/>
        <w:overflowPunct/>
        <w:topLinePunct w:val="0"/>
        <w:bidi w:val="0"/>
        <w:adjustRightInd w:val="0"/>
        <w:snapToGrid w:val="0"/>
        <w:spacing w:line="360" w:lineRule="auto"/>
        <w:ind w:firstLine="1440" w:firstLineChars="200"/>
        <w:jc w:val="center"/>
        <w:textAlignment w:val="auto"/>
        <w:outlineLvl w:val="0"/>
        <w:rPr>
          <w:rFonts w:ascii="方正小标宋简体" w:hAnsi="方正小标宋简体" w:eastAsia="方正小标宋简体" w:cs="方正小标宋简体"/>
          <w:sz w:val="72"/>
          <w:szCs w:val="72"/>
        </w:rPr>
      </w:pPr>
      <w:bookmarkStart w:id="1" w:name="_Toc15396475"/>
      <w:bookmarkStart w:id="2" w:name="_Toc15377425"/>
      <w:bookmarkStart w:id="3" w:name="_Toc15377193"/>
      <w:bookmarkStart w:id="4" w:name="_Toc15378441"/>
      <w:bookmarkStart w:id="5" w:name="_Toc15396597"/>
      <w:bookmarkStart w:id="6" w:name="_Toc20111"/>
      <w:r>
        <w:rPr>
          <w:rFonts w:hint="eastAsia" w:ascii="方正小标宋简体" w:hAnsi="方正小标宋简体" w:eastAsia="方正小标宋简体" w:cs="方正小标宋简体"/>
          <w:sz w:val="72"/>
          <w:szCs w:val="72"/>
        </w:rPr>
        <w:t>2022年度</w:t>
      </w:r>
      <w:bookmarkEnd w:id="1"/>
      <w:bookmarkEnd w:id="2"/>
      <w:bookmarkEnd w:id="3"/>
      <w:bookmarkEnd w:id="4"/>
      <w:bookmarkEnd w:id="5"/>
      <w:bookmarkEnd w:id="6"/>
    </w:p>
    <w:p>
      <w:pPr>
        <w:pageBreakBefore w:val="0"/>
        <w:kinsoku/>
        <w:wordWrap/>
        <w:overflowPunct/>
        <w:topLinePunct w:val="0"/>
        <w:bidi w:val="0"/>
        <w:adjustRightInd w:val="0"/>
        <w:snapToGrid w:val="0"/>
        <w:spacing w:line="360" w:lineRule="auto"/>
        <w:ind w:firstLine="1440" w:firstLineChars="200"/>
        <w:jc w:val="center"/>
        <w:textAlignment w:val="auto"/>
        <w:outlineLvl w:val="0"/>
        <w:rPr>
          <w:rFonts w:ascii="方正小标宋简体" w:hAnsi="方正小标宋简体" w:eastAsia="方正小标宋简体" w:cs="方正小标宋简体"/>
          <w:sz w:val="72"/>
          <w:szCs w:val="72"/>
        </w:rPr>
      </w:pPr>
      <w:bookmarkStart w:id="7" w:name="_Toc15396476"/>
      <w:bookmarkStart w:id="8" w:name="_Toc15377426"/>
      <w:bookmarkStart w:id="9" w:name="_Toc15378442"/>
      <w:bookmarkStart w:id="10" w:name="_Toc15396598"/>
      <w:bookmarkStart w:id="11" w:name="_Toc15377194"/>
      <w:bookmarkStart w:id="12" w:name="_Toc8280"/>
      <w:r>
        <w:rPr>
          <w:rFonts w:hint="eastAsia" w:ascii="方正小标宋简体" w:hAnsi="方正小标宋简体" w:eastAsia="方正小标宋简体" w:cs="方正小标宋简体"/>
          <w:sz w:val="72"/>
          <w:szCs w:val="72"/>
        </w:rPr>
        <w:t>攀枝花市西区动物疫病预防控制中心</w:t>
      </w:r>
      <w:bookmarkEnd w:id="0"/>
      <w:bookmarkStart w:id="13" w:name="_Toc15306268"/>
      <w:r>
        <w:rPr>
          <w:rFonts w:hint="eastAsia" w:ascii="方正小标宋简体" w:hAnsi="方正小标宋简体" w:eastAsia="方正小标宋简体" w:cs="方正小标宋简体"/>
          <w:sz w:val="72"/>
          <w:szCs w:val="72"/>
        </w:rPr>
        <w:t>单位决算</w:t>
      </w:r>
      <w:bookmarkEnd w:id="7"/>
      <w:bookmarkEnd w:id="8"/>
      <w:bookmarkEnd w:id="9"/>
      <w:bookmarkEnd w:id="10"/>
      <w:bookmarkEnd w:id="11"/>
      <w:bookmarkEnd w:id="12"/>
      <w:bookmarkEnd w:id="13"/>
    </w:p>
    <w:p>
      <w:pPr>
        <w:pageBreakBefore w:val="0"/>
        <w:kinsoku/>
        <w:wordWrap/>
        <w:overflowPunct/>
        <w:topLinePunct w:val="0"/>
        <w:bidi w:val="0"/>
        <w:adjustRightInd w:val="0"/>
        <w:snapToGrid w:val="0"/>
        <w:spacing w:line="360" w:lineRule="auto"/>
        <w:ind w:firstLine="1040" w:firstLineChars="200"/>
        <w:jc w:val="center"/>
        <w:textAlignment w:val="auto"/>
        <w:outlineLvl w:val="9"/>
        <w:rPr>
          <w:rFonts w:ascii="方正小标宋简体" w:hAnsi="宋体" w:eastAsia="方正小标宋简体"/>
          <w:sz w:val="52"/>
          <w:szCs w:val="52"/>
        </w:rPr>
      </w:pPr>
    </w:p>
    <w:p>
      <w:pPr>
        <w:pageBreakBefore w:val="0"/>
        <w:widowControl/>
        <w:kinsoku/>
        <w:wordWrap/>
        <w:overflowPunct/>
        <w:topLinePunct w:val="0"/>
        <w:bidi w:val="0"/>
        <w:ind w:firstLine="720" w:firstLineChars="200"/>
        <w:jc w:val="center"/>
        <w:textAlignment w:val="auto"/>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pageBreakBefore w:val="0"/>
        <w:widowControl/>
        <w:kinsoku/>
        <w:wordWrap/>
        <w:overflowPunct/>
        <w:topLinePunct w:val="0"/>
        <w:bidi w:val="0"/>
        <w:ind w:firstLine="560" w:firstLineChars="200"/>
        <w:jc w:val="center"/>
        <w:textAlignment w:val="auto"/>
        <w:rPr>
          <w:rFonts w:ascii="黑体" w:hAnsi="黑体" w:eastAsia="黑体" w:cstheme="minorBidi"/>
          <w:sz w:val="28"/>
          <w:szCs w:val="28"/>
        </w:rPr>
      </w:pPr>
    </w:p>
    <w:p>
      <w:pPr>
        <w:pStyle w:val="10"/>
        <w:pageBreakBefore w:val="0"/>
        <w:kinsoku/>
        <w:wordWrap/>
        <w:overflowPunct/>
        <w:topLinePunct w:val="0"/>
        <w:bidi w:val="0"/>
        <w:ind w:firstLine="560" w:firstLineChars="200"/>
        <w:textAlignment w:val="auto"/>
      </w:pPr>
      <w:r>
        <w:rPr>
          <w:rFonts w:hint="eastAsia"/>
        </w:rPr>
        <w:t>公开时间：2023年</w:t>
      </w:r>
      <w:r>
        <w:rPr>
          <w:rFonts w:hint="eastAsia"/>
          <w:lang w:val="en-US" w:eastAsia="zh-CN"/>
        </w:rPr>
        <w:t>10</w:t>
      </w:r>
      <w:r>
        <w:rPr>
          <w:rFonts w:hint="eastAsia"/>
        </w:rPr>
        <w:t>月</w:t>
      </w:r>
      <w:r>
        <w:rPr>
          <w:rFonts w:hint="eastAsia"/>
          <w:lang w:val="en-US" w:eastAsia="zh-CN"/>
        </w:rPr>
        <w:t>30</w:t>
      </w:r>
      <w:r>
        <w:rPr>
          <w:rFonts w:hint="eastAsia"/>
        </w:rPr>
        <w:t>日</w:t>
      </w:r>
    </w:p>
    <w:sdt>
      <w:sdtPr>
        <w:rPr>
          <w:rFonts w:ascii="宋体" w:hAnsi="宋体" w:eastAsia="宋体" w:cs="Times New Roman"/>
          <w:kern w:val="2"/>
          <w:sz w:val="21"/>
          <w:szCs w:val="24"/>
          <w:lang w:val="en-US" w:eastAsia="zh-CN" w:bidi="ar-SA"/>
        </w:rPr>
        <w:id w:val="147470017"/>
        <w15:color w:val="DBDBDB"/>
        <w:docPartObj>
          <w:docPartGallery w:val="Table of Contents"/>
          <w:docPartUnique/>
        </w:docPartObj>
      </w:sdtPr>
      <w:sdtEndPr>
        <w:rPr>
          <w:rFonts w:ascii="Times New Roman" w:hAnsi="Times New Roman" w:eastAsia="宋体" w:cs="Times New Roman"/>
          <w:b/>
          <w:kern w:val="2"/>
          <w:sz w:val="21"/>
          <w:szCs w:val="24"/>
          <w:lang w:val="en-US" w:eastAsia="zh-CN" w:bidi="ar-SA"/>
        </w:rPr>
      </w:sdtEndPr>
      <w:sdtContent>
        <w:p>
          <w:pPr>
            <w:pageBreakBefore w:val="0"/>
            <w:kinsoku/>
            <w:wordWrap/>
            <w:overflowPunct/>
            <w:topLinePunct w:val="0"/>
            <w:bidi w:val="0"/>
            <w:spacing w:before="0" w:beforeLines="0" w:after="0" w:afterLines="0" w:line="240" w:lineRule="auto"/>
            <w:ind w:left="0" w:leftChars="0" w:right="0" w:rightChars="0" w:firstLine="420" w:firstLineChars="200"/>
            <w:jc w:val="center"/>
            <w:textAlignment w:val="auto"/>
          </w:pPr>
          <w:r>
            <w:rPr>
              <w:rFonts w:ascii="宋体" w:hAnsi="宋体" w:eastAsia="宋体"/>
              <w:sz w:val="21"/>
            </w:rPr>
            <w:t>目录</w:t>
          </w:r>
        </w:p>
        <w:p>
          <w:pPr>
            <w:pStyle w:val="30"/>
            <w:pageBreakBefore w:val="0"/>
            <w:tabs>
              <w:tab w:val="right" w:leader="dot" w:pos="8306"/>
            </w:tabs>
            <w:kinsoku/>
            <w:wordWrap/>
            <w:overflowPunct/>
            <w:topLinePunct w:val="0"/>
            <w:bidi w:val="0"/>
            <w:ind w:firstLine="400" w:firstLineChars="200"/>
            <w:textAlignment w:val="auto"/>
            <w:rPr>
              <w:b/>
            </w:rPr>
          </w:pPr>
          <w:r>
            <w:fldChar w:fldCharType="begin"/>
          </w:r>
          <w:r>
            <w:instrText xml:space="preserve">TOC \o "1-2" \h \u </w:instrText>
          </w:r>
          <w:r>
            <w:fldChar w:fldCharType="separate"/>
          </w:r>
        </w:p>
        <w:p>
          <w:pPr>
            <w:pStyle w:val="30"/>
            <w:pageBreakBefore w:val="0"/>
            <w:tabs>
              <w:tab w:val="right" w:leader="dot" w:pos="8306"/>
            </w:tabs>
            <w:kinsoku/>
            <w:wordWrap/>
            <w:overflowPunct/>
            <w:topLinePunct w:val="0"/>
            <w:bidi w:val="0"/>
            <w:ind w:firstLine="402" w:firstLineChars="200"/>
            <w:textAlignment w:val="auto"/>
            <w:rPr>
              <w:b/>
            </w:rPr>
          </w:pPr>
          <w:r>
            <w:rPr>
              <w:b/>
            </w:rPr>
            <w:fldChar w:fldCharType="begin"/>
          </w:r>
          <w:r>
            <w:rPr>
              <w:b/>
            </w:rPr>
            <w:instrText xml:space="preserve"> HYPERLINK \l _Toc10287 </w:instrText>
          </w:r>
          <w:r>
            <w:rPr>
              <w:b/>
            </w:rPr>
            <w:fldChar w:fldCharType="separate"/>
          </w:r>
          <w:r>
            <w:rPr>
              <w:rFonts w:hint="eastAsia" w:ascii="黑体" w:hAnsi="黑体" w:eastAsia="黑体"/>
              <w:b/>
            </w:rPr>
            <w:t>第一部分 单位</w:t>
          </w:r>
          <w:r>
            <w:rPr>
              <w:rFonts w:hint="eastAsia" w:ascii="黑体" w:hAnsi="黑体" w:eastAsia="黑体"/>
              <w:b/>
              <w:bCs w:val="0"/>
            </w:rPr>
            <w:t>概况</w:t>
          </w:r>
          <w:r>
            <w:rPr>
              <w:b/>
            </w:rPr>
            <w:tab/>
          </w:r>
          <w:r>
            <w:rPr>
              <w:b/>
            </w:rPr>
            <w:fldChar w:fldCharType="begin"/>
          </w:r>
          <w:r>
            <w:rPr>
              <w:b/>
            </w:rPr>
            <w:instrText xml:space="preserve"> PAGEREF _Toc10287 \h </w:instrText>
          </w:r>
          <w:r>
            <w:rPr>
              <w:b/>
            </w:rPr>
            <w:fldChar w:fldCharType="separate"/>
          </w:r>
          <w:r>
            <w:rPr>
              <w:b/>
            </w:rPr>
            <w:t>1</w:t>
          </w:r>
          <w:r>
            <w:rPr>
              <w:b/>
            </w:rPr>
            <w:fldChar w:fldCharType="end"/>
          </w:r>
          <w:r>
            <w:rPr>
              <w:b/>
            </w:rPr>
            <w:fldChar w:fldCharType="end"/>
          </w:r>
        </w:p>
        <w:p>
          <w:pPr>
            <w:pStyle w:val="31"/>
            <w:pageBreakBefore w:val="0"/>
            <w:tabs>
              <w:tab w:val="right" w:leader="dot" w:pos="8306"/>
            </w:tabs>
            <w:kinsoku/>
            <w:wordWrap/>
            <w:overflowPunct/>
            <w:topLinePunct w:val="0"/>
            <w:bidi w:val="0"/>
            <w:ind w:firstLine="400" w:firstLineChars="200"/>
            <w:textAlignment w:val="auto"/>
          </w:pPr>
          <w:r>
            <w:fldChar w:fldCharType="begin"/>
          </w:r>
          <w:r>
            <w:instrText xml:space="preserve"> HYPERLINK \l _Toc443 </w:instrText>
          </w:r>
          <w:r>
            <w:fldChar w:fldCharType="separate"/>
          </w:r>
          <w:r>
            <w:rPr>
              <w:rFonts w:hint="eastAsia" w:ascii="黑体" w:hAnsi="黑体" w:eastAsia="黑体"/>
              <w:bCs w:val="0"/>
            </w:rPr>
            <w:t>一、 主要职责</w:t>
          </w:r>
          <w:r>
            <w:tab/>
          </w:r>
          <w:r>
            <w:fldChar w:fldCharType="begin"/>
          </w:r>
          <w:r>
            <w:instrText xml:space="preserve"> PAGEREF _Toc443 \h </w:instrText>
          </w:r>
          <w:r>
            <w:fldChar w:fldCharType="separate"/>
          </w:r>
          <w:r>
            <w:t>1</w:t>
          </w:r>
          <w:r>
            <w:fldChar w:fldCharType="end"/>
          </w:r>
          <w:r>
            <w:fldChar w:fldCharType="end"/>
          </w:r>
        </w:p>
        <w:p>
          <w:pPr>
            <w:pStyle w:val="31"/>
            <w:pageBreakBefore w:val="0"/>
            <w:tabs>
              <w:tab w:val="right" w:leader="dot" w:pos="8306"/>
            </w:tabs>
            <w:kinsoku/>
            <w:wordWrap/>
            <w:overflowPunct/>
            <w:topLinePunct w:val="0"/>
            <w:bidi w:val="0"/>
            <w:ind w:firstLine="400" w:firstLineChars="200"/>
            <w:textAlignment w:val="auto"/>
          </w:pPr>
          <w:r>
            <w:fldChar w:fldCharType="begin"/>
          </w:r>
          <w:r>
            <w:instrText xml:space="preserve"> HYPERLINK \l _Toc21760 </w:instrText>
          </w:r>
          <w:r>
            <w:fldChar w:fldCharType="separate"/>
          </w:r>
          <w:r>
            <w:rPr>
              <w:rFonts w:hint="eastAsia" w:ascii="黑体" w:hAnsi="黑体" w:eastAsia="黑体"/>
            </w:rPr>
            <w:t>二、机构设置</w:t>
          </w:r>
          <w:r>
            <w:tab/>
          </w:r>
          <w:r>
            <w:fldChar w:fldCharType="begin"/>
          </w:r>
          <w:r>
            <w:instrText xml:space="preserve"> PAGEREF _Toc21760 \h </w:instrText>
          </w:r>
          <w:r>
            <w:fldChar w:fldCharType="separate"/>
          </w:r>
          <w:r>
            <w:t>1</w:t>
          </w:r>
          <w:r>
            <w:fldChar w:fldCharType="end"/>
          </w:r>
          <w:r>
            <w:fldChar w:fldCharType="end"/>
          </w:r>
        </w:p>
        <w:p>
          <w:pPr>
            <w:pStyle w:val="30"/>
            <w:pageBreakBefore w:val="0"/>
            <w:tabs>
              <w:tab w:val="right" w:leader="dot" w:pos="8306"/>
            </w:tabs>
            <w:kinsoku/>
            <w:wordWrap/>
            <w:overflowPunct/>
            <w:topLinePunct w:val="0"/>
            <w:bidi w:val="0"/>
            <w:ind w:firstLine="402" w:firstLineChars="200"/>
            <w:textAlignment w:val="auto"/>
            <w:rPr>
              <w:b/>
            </w:rPr>
          </w:pPr>
          <w:r>
            <w:rPr>
              <w:b/>
            </w:rPr>
            <w:fldChar w:fldCharType="begin"/>
          </w:r>
          <w:r>
            <w:rPr>
              <w:b/>
            </w:rPr>
            <w:instrText xml:space="preserve"> HYPERLINK \l _Toc32160 </w:instrText>
          </w:r>
          <w:r>
            <w:rPr>
              <w:b/>
            </w:rPr>
            <w:fldChar w:fldCharType="separate"/>
          </w:r>
          <w:r>
            <w:rPr>
              <w:rFonts w:hint="eastAsia" w:ascii="黑体" w:hAnsi="黑体" w:eastAsia="黑体"/>
              <w:b/>
            </w:rPr>
            <w:t>第二部分 2022年度</w:t>
          </w:r>
          <w:r>
            <w:rPr>
              <w:rFonts w:hint="eastAsia" w:ascii="黑体" w:hAnsi="黑体" w:eastAsia="黑体"/>
              <w:b/>
              <w:bCs/>
            </w:rPr>
            <w:t>单位决算情况说明</w:t>
          </w:r>
          <w:r>
            <w:rPr>
              <w:b/>
            </w:rPr>
            <w:tab/>
          </w:r>
          <w:r>
            <w:rPr>
              <w:b/>
            </w:rPr>
            <w:fldChar w:fldCharType="begin"/>
          </w:r>
          <w:r>
            <w:rPr>
              <w:b/>
            </w:rPr>
            <w:instrText xml:space="preserve"> PAGEREF _Toc32160 \h </w:instrText>
          </w:r>
          <w:r>
            <w:rPr>
              <w:b/>
            </w:rPr>
            <w:fldChar w:fldCharType="separate"/>
          </w:r>
          <w:r>
            <w:rPr>
              <w:b/>
            </w:rPr>
            <w:t>2</w:t>
          </w:r>
          <w:r>
            <w:rPr>
              <w:b/>
            </w:rPr>
            <w:fldChar w:fldCharType="end"/>
          </w:r>
          <w:r>
            <w:rPr>
              <w:b/>
            </w:rPr>
            <w:fldChar w:fldCharType="end"/>
          </w:r>
        </w:p>
        <w:p>
          <w:pPr>
            <w:pStyle w:val="31"/>
            <w:pageBreakBefore w:val="0"/>
            <w:tabs>
              <w:tab w:val="right" w:leader="dot" w:pos="8306"/>
            </w:tabs>
            <w:kinsoku/>
            <w:wordWrap/>
            <w:overflowPunct/>
            <w:topLinePunct w:val="0"/>
            <w:bidi w:val="0"/>
            <w:ind w:firstLine="400" w:firstLineChars="200"/>
            <w:textAlignment w:val="auto"/>
          </w:pPr>
          <w:r>
            <w:fldChar w:fldCharType="begin"/>
          </w:r>
          <w:r>
            <w:instrText xml:space="preserve"> HYPERLINK \l _Toc5602 </w:instrText>
          </w:r>
          <w:r>
            <w:fldChar w:fldCharType="separate"/>
          </w:r>
          <w:r>
            <w:rPr>
              <w:rFonts w:hint="default" w:ascii="黑体" w:hAnsi="黑体" w:eastAsia="黑体"/>
            </w:rPr>
            <w:t xml:space="preserve">一、 </w:t>
          </w:r>
          <w:r>
            <w:rPr>
              <w:rFonts w:hint="eastAsia" w:ascii="黑体" w:hAnsi="黑体" w:eastAsia="黑体"/>
              <w:szCs w:val="32"/>
            </w:rPr>
            <w:t>收</w:t>
          </w:r>
          <w:r>
            <w:rPr>
              <w:rFonts w:hint="eastAsia" w:ascii="黑体" w:hAnsi="黑体" w:eastAsia="黑体"/>
            </w:rPr>
            <w:t>入支出决算总体情况说明</w:t>
          </w:r>
          <w:r>
            <w:tab/>
          </w:r>
          <w:r>
            <w:fldChar w:fldCharType="begin"/>
          </w:r>
          <w:r>
            <w:instrText xml:space="preserve"> PAGEREF _Toc5602 \h </w:instrText>
          </w:r>
          <w:r>
            <w:fldChar w:fldCharType="separate"/>
          </w:r>
          <w:r>
            <w:t>2</w:t>
          </w:r>
          <w:r>
            <w:fldChar w:fldCharType="end"/>
          </w:r>
          <w:r>
            <w:fldChar w:fldCharType="end"/>
          </w:r>
        </w:p>
        <w:p>
          <w:pPr>
            <w:pStyle w:val="31"/>
            <w:pageBreakBefore w:val="0"/>
            <w:tabs>
              <w:tab w:val="right" w:leader="dot" w:pos="8306"/>
            </w:tabs>
            <w:kinsoku/>
            <w:wordWrap/>
            <w:overflowPunct/>
            <w:topLinePunct w:val="0"/>
            <w:bidi w:val="0"/>
            <w:ind w:firstLine="400" w:firstLineChars="200"/>
            <w:textAlignment w:val="auto"/>
          </w:pPr>
          <w:r>
            <w:fldChar w:fldCharType="begin"/>
          </w:r>
          <w:r>
            <w:instrText xml:space="preserve"> HYPERLINK \l _Toc27242 </w:instrText>
          </w:r>
          <w:r>
            <w:fldChar w:fldCharType="separate"/>
          </w:r>
          <w:r>
            <w:rPr>
              <w:rFonts w:hint="default" w:ascii="黑体" w:hAnsi="黑体" w:eastAsia="黑体"/>
            </w:rPr>
            <w:t xml:space="preserve">二、 </w:t>
          </w:r>
          <w:r>
            <w:rPr>
              <w:rFonts w:hint="eastAsia" w:ascii="黑体" w:hAnsi="黑体" w:eastAsia="黑体"/>
              <w:szCs w:val="32"/>
            </w:rPr>
            <w:t>收</w:t>
          </w:r>
          <w:r>
            <w:rPr>
              <w:rFonts w:hint="eastAsia" w:ascii="黑体" w:hAnsi="黑体" w:eastAsia="黑体"/>
            </w:rPr>
            <w:t>入决算情况说明</w:t>
          </w:r>
          <w:r>
            <w:tab/>
          </w:r>
          <w:r>
            <w:fldChar w:fldCharType="begin"/>
          </w:r>
          <w:r>
            <w:instrText xml:space="preserve"> PAGEREF _Toc27242 \h </w:instrText>
          </w:r>
          <w:r>
            <w:fldChar w:fldCharType="separate"/>
          </w:r>
          <w:r>
            <w:t>2</w:t>
          </w:r>
          <w:r>
            <w:fldChar w:fldCharType="end"/>
          </w:r>
          <w:r>
            <w:fldChar w:fldCharType="end"/>
          </w:r>
        </w:p>
        <w:p>
          <w:pPr>
            <w:pStyle w:val="31"/>
            <w:pageBreakBefore w:val="0"/>
            <w:tabs>
              <w:tab w:val="right" w:leader="dot" w:pos="8306"/>
            </w:tabs>
            <w:kinsoku/>
            <w:wordWrap/>
            <w:overflowPunct/>
            <w:topLinePunct w:val="0"/>
            <w:bidi w:val="0"/>
            <w:ind w:firstLine="400" w:firstLineChars="200"/>
            <w:textAlignment w:val="auto"/>
          </w:pPr>
          <w:r>
            <w:fldChar w:fldCharType="begin"/>
          </w:r>
          <w:r>
            <w:instrText xml:space="preserve"> HYPERLINK \l _Toc4270 </w:instrText>
          </w:r>
          <w:r>
            <w:fldChar w:fldCharType="separate"/>
          </w:r>
          <w:r>
            <w:rPr>
              <w:rFonts w:hint="default" w:ascii="黑体" w:hAnsi="黑体" w:eastAsia="黑体"/>
            </w:rPr>
            <w:t xml:space="preserve">三、 </w:t>
          </w:r>
          <w:r>
            <w:rPr>
              <w:rFonts w:hint="eastAsia" w:ascii="黑体" w:hAnsi="黑体" w:eastAsia="黑体"/>
              <w:szCs w:val="32"/>
            </w:rPr>
            <w:t>支</w:t>
          </w:r>
          <w:r>
            <w:rPr>
              <w:rFonts w:hint="eastAsia" w:ascii="黑体" w:hAnsi="黑体" w:eastAsia="黑体"/>
            </w:rPr>
            <w:t>出决算情况说明</w:t>
          </w:r>
          <w:r>
            <w:tab/>
          </w:r>
          <w:r>
            <w:fldChar w:fldCharType="begin"/>
          </w:r>
          <w:r>
            <w:instrText xml:space="preserve"> PAGEREF _Toc4270 \h </w:instrText>
          </w:r>
          <w:r>
            <w:fldChar w:fldCharType="separate"/>
          </w:r>
          <w:r>
            <w:t>3</w:t>
          </w:r>
          <w:r>
            <w:fldChar w:fldCharType="end"/>
          </w:r>
          <w:r>
            <w:fldChar w:fldCharType="end"/>
          </w:r>
        </w:p>
        <w:p>
          <w:pPr>
            <w:pStyle w:val="31"/>
            <w:pageBreakBefore w:val="0"/>
            <w:tabs>
              <w:tab w:val="right" w:leader="dot" w:pos="8306"/>
            </w:tabs>
            <w:kinsoku/>
            <w:wordWrap/>
            <w:overflowPunct/>
            <w:topLinePunct w:val="0"/>
            <w:bidi w:val="0"/>
            <w:ind w:firstLine="400" w:firstLineChars="200"/>
            <w:textAlignment w:val="auto"/>
          </w:pPr>
          <w:r>
            <w:fldChar w:fldCharType="begin"/>
          </w:r>
          <w:r>
            <w:instrText xml:space="preserve"> HYPERLINK \l _Toc30440 </w:instrText>
          </w:r>
          <w:r>
            <w:fldChar w:fldCharType="separate"/>
          </w:r>
          <w:r>
            <w:rPr>
              <w:rFonts w:hint="eastAsia" w:ascii="黑体" w:hAnsi="黑体" w:eastAsia="黑体"/>
              <w:szCs w:val="32"/>
            </w:rPr>
            <w:t>四、财</w:t>
          </w:r>
          <w:r>
            <w:rPr>
              <w:rFonts w:hint="eastAsia" w:ascii="黑体" w:hAnsi="黑体" w:eastAsia="黑体"/>
            </w:rPr>
            <w:t>政拨款收入支出决算总体情况说明</w:t>
          </w:r>
          <w:r>
            <w:tab/>
          </w:r>
          <w:r>
            <w:fldChar w:fldCharType="begin"/>
          </w:r>
          <w:r>
            <w:instrText xml:space="preserve"> PAGEREF _Toc30440 \h </w:instrText>
          </w:r>
          <w:r>
            <w:fldChar w:fldCharType="separate"/>
          </w:r>
          <w:r>
            <w:t>3</w:t>
          </w:r>
          <w:r>
            <w:fldChar w:fldCharType="end"/>
          </w:r>
          <w:r>
            <w:fldChar w:fldCharType="end"/>
          </w:r>
        </w:p>
        <w:p>
          <w:pPr>
            <w:pStyle w:val="31"/>
            <w:pageBreakBefore w:val="0"/>
            <w:tabs>
              <w:tab w:val="right" w:leader="dot" w:pos="8306"/>
            </w:tabs>
            <w:kinsoku/>
            <w:wordWrap/>
            <w:overflowPunct/>
            <w:topLinePunct w:val="0"/>
            <w:bidi w:val="0"/>
            <w:ind w:firstLine="400" w:firstLineChars="200"/>
            <w:textAlignment w:val="auto"/>
          </w:pPr>
          <w:r>
            <w:fldChar w:fldCharType="begin"/>
          </w:r>
          <w:r>
            <w:instrText xml:space="preserve"> HYPERLINK \l _Toc27729 </w:instrText>
          </w:r>
          <w:r>
            <w:fldChar w:fldCharType="separate"/>
          </w:r>
          <w:r>
            <w:rPr>
              <w:rFonts w:hint="eastAsia" w:ascii="黑体" w:hAnsi="黑体" w:eastAsia="黑体"/>
              <w:szCs w:val="32"/>
            </w:rPr>
            <w:t>五、一</w:t>
          </w:r>
          <w:r>
            <w:rPr>
              <w:rFonts w:hint="eastAsia" w:ascii="黑体" w:hAnsi="黑体" w:eastAsia="黑体"/>
            </w:rPr>
            <w:t>般公共预算财政拨款支出决算情况说明</w:t>
          </w:r>
          <w:r>
            <w:tab/>
          </w:r>
          <w:r>
            <w:fldChar w:fldCharType="begin"/>
          </w:r>
          <w:r>
            <w:instrText xml:space="preserve"> PAGEREF _Toc27729 \h </w:instrText>
          </w:r>
          <w:r>
            <w:fldChar w:fldCharType="separate"/>
          </w:r>
          <w:r>
            <w:t>4</w:t>
          </w:r>
          <w:r>
            <w:fldChar w:fldCharType="end"/>
          </w:r>
          <w:r>
            <w:fldChar w:fldCharType="end"/>
          </w:r>
        </w:p>
        <w:p>
          <w:pPr>
            <w:pStyle w:val="31"/>
            <w:pageBreakBefore w:val="0"/>
            <w:tabs>
              <w:tab w:val="right" w:leader="dot" w:pos="8306"/>
            </w:tabs>
            <w:kinsoku/>
            <w:wordWrap/>
            <w:overflowPunct/>
            <w:topLinePunct w:val="0"/>
            <w:bidi w:val="0"/>
            <w:ind w:firstLine="400" w:firstLineChars="200"/>
            <w:textAlignment w:val="auto"/>
          </w:pPr>
          <w:r>
            <w:fldChar w:fldCharType="begin"/>
          </w:r>
          <w:r>
            <w:instrText xml:space="preserve"> HYPERLINK \l _Toc32460 </w:instrText>
          </w:r>
          <w:r>
            <w:fldChar w:fldCharType="separate"/>
          </w:r>
          <w:r>
            <w:rPr>
              <w:rFonts w:hint="eastAsia" w:ascii="黑体" w:eastAsia="黑体"/>
              <w:szCs w:val="32"/>
            </w:rPr>
            <w:t>六、</w:t>
          </w:r>
          <w:r>
            <w:rPr>
              <w:rFonts w:hint="eastAsia" w:ascii="黑体" w:hAnsi="黑体" w:eastAsia="黑体"/>
              <w:szCs w:val="32"/>
            </w:rPr>
            <w:t>一</w:t>
          </w:r>
          <w:r>
            <w:rPr>
              <w:rFonts w:hint="eastAsia" w:ascii="黑体" w:hAnsi="黑体" w:eastAsia="黑体"/>
            </w:rPr>
            <w:t>般公共预算财政拨款基本支出决算情况说明</w:t>
          </w:r>
          <w:r>
            <w:tab/>
          </w:r>
          <w:r>
            <w:fldChar w:fldCharType="begin"/>
          </w:r>
          <w:r>
            <w:instrText xml:space="preserve"> PAGEREF _Toc32460 \h </w:instrText>
          </w:r>
          <w:r>
            <w:fldChar w:fldCharType="separate"/>
          </w:r>
          <w:r>
            <w:t>7</w:t>
          </w:r>
          <w:r>
            <w:fldChar w:fldCharType="end"/>
          </w:r>
          <w:r>
            <w:fldChar w:fldCharType="end"/>
          </w:r>
        </w:p>
        <w:p>
          <w:pPr>
            <w:pStyle w:val="31"/>
            <w:pageBreakBefore w:val="0"/>
            <w:tabs>
              <w:tab w:val="right" w:leader="dot" w:pos="8306"/>
            </w:tabs>
            <w:kinsoku/>
            <w:wordWrap/>
            <w:overflowPunct/>
            <w:topLinePunct w:val="0"/>
            <w:bidi w:val="0"/>
            <w:ind w:firstLine="400" w:firstLineChars="200"/>
            <w:textAlignment w:val="auto"/>
          </w:pPr>
          <w:r>
            <w:fldChar w:fldCharType="begin"/>
          </w:r>
          <w:r>
            <w:instrText xml:space="preserve"> HYPERLINK \l _Toc14888 </w:instrText>
          </w:r>
          <w:r>
            <w:fldChar w:fldCharType="separate"/>
          </w:r>
          <w:r>
            <w:rPr>
              <w:rFonts w:hint="eastAsia" w:ascii="黑体" w:eastAsia="黑体"/>
              <w:szCs w:val="32"/>
            </w:rPr>
            <w:t>七、</w:t>
          </w:r>
          <w:r>
            <w:rPr>
              <w:rFonts w:hint="eastAsia" w:ascii="黑体" w:hAnsi="黑体" w:eastAsia="黑体"/>
            </w:rPr>
            <w:t>财政拨款“三公”经费支出决算情况说明</w:t>
          </w:r>
          <w:r>
            <w:tab/>
          </w:r>
          <w:r>
            <w:fldChar w:fldCharType="begin"/>
          </w:r>
          <w:r>
            <w:instrText xml:space="preserve"> PAGEREF _Toc14888 \h </w:instrText>
          </w:r>
          <w:r>
            <w:fldChar w:fldCharType="separate"/>
          </w:r>
          <w:r>
            <w:t>8</w:t>
          </w:r>
          <w:r>
            <w:fldChar w:fldCharType="end"/>
          </w:r>
          <w:r>
            <w:fldChar w:fldCharType="end"/>
          </w:r>
        </w:p>
        <w:p>
          <w:pPr>
            <w:pStyle w:val="31"/>
            <w:pageBreakBefore w:val="0"/>
            <w:tabs>
              <w:tab w:val="right" w:leader="dot" w:pos="8306"/>
            </w:tabs>
            <w:kinsoku/>
            <w:wordWrap/>
            <w:overflowPunct/>
            <w:topLinePunct w:val="0"/>
            <w:bidi w:val="0"/>
            <w:ind w:firstLine="400" w:firstLineChars="200"/>
            <w:textAlignment w:val="auto"/>
          </w:pPr>
          <w:r>
            <w:fldChar w:fldCharType="begin"/>
          </w:r>
          <w:r>
            <w:instrText xml:space="preserve"> HYPERLINK \l _Toc3802 </w:instrText>
          </w:r>
          <w:r>
            <w:fldChar w:fldCharType="separate"/>
          </w:r>
          <w:r>
            <w:rPr>
              <w:rFonts w:hint="eastAsia" w:ascii="黑体" w:eastAsia="黑体"/>
              <w:szCs w:val="32"/>
            </w:rPr>
            <w:t>八、</w:t>
          </w:r>
          <w:r>
            <w:rPr>
              <w:rFonts w:hint="eastAsia" w:ascii="黑体" w:hAnsi="黑体" w:eastAsia="黑体"/>
            </w:rPr>
            <w:t>政府性基金预算支出决算情况说明</w:t>
          </w:r>
          <w:r>
            <w:tab/>
          </w:r>
          <w:r>
            <w:fldChar w:fldCharType="begin"/>
          </w:r>
          <w:r>
            <w:instrText xml:space="preserve"> PAGEREF _Toc3802 \h </w:instrText>
          </w:r>
          <w:r>
            <w:fldChar w:fldCharType="separate"/>
          </w:r>
          <w:r>
            <w:t>10</w:t>
          </w:r>
          <w:r>
            <w:fldChar w:fldCharType="end"/>
          </w:r>
          <w:r>
            <w:fldChar w:fldCharType="end"/>
          </w:r>
        </w:p>
        <w:p>
          <w:pPr>
            <w:pStyle w:val="31"/>
            <w:pageBreakBefore w:val="0"/>
            <w:tabs>
              <w:tab w:val="right" w:leader="dot" w:pos="8306"/>
            </w:tabs>
            <w:kinsoku/>
            <w:wordWrap/>
            <w:overflowPunct/>
            <w:topLinePunct w:val="0"/>
            <w:bidi w:val="0"/>
            <w:ind w:firstLine="400" w:firstLineChars="200"/>
            <w:textAlignment w:val="auto"/>
          </w:pPr>
          <w:r>
            <w:fldChar w:fldCharType="begin"/>
          </w:r>
          <w:r>
            <w:instrText xml:space="preserve"> HYPERLINK \l _Toc7906 </w:instrText>
          </w:r>
          <w:r>
            <w:fldChar w:fldCharType="separate"/>
          </w:r>
          <w:r>
            <w:rPr>
              <w:rFonts w:hint="eastAsia" w:ascii="黑体" w:hAnsi="黑体" w:eastAsia="黑体"/>
            </w:rPr>
            <w:t>九、 国有资本经营预算支出决算情况说明</w:t>
          </w:r>
          <w:r>
            <w:tab/>
          </w:r>
          <w:r>
            <w:fldChar w:fldCharType="begin"/>
          </w:r>
          <w:r>
            <w:instrText xml:space="preserve"> PAGEREF _Toc7906 \h </w:instrText>
          </w:r>
          <w:r>
            <w:fldChar w:fldCharType="separate"/>
          </w:r>
          <w:r>
            <w:t>10</w:t>
          </w:r>
          <w:r>
            <w:fldChar w:fldCharType="end"/>
          </w:r>
          <w:r>
            <w:fldChar w:fldCharType="end"/>
          </w:r>
        </w:p>
        <w:p>
          <w:pPr>
            <w:pStyle w:val="31"/>
            <w:pageBreakBefore w:val="0"/>
            <w:tabs>
              <w:tab w:val="right" w:leader="dot" w:pos="8306"/>
            </w:tabs>
            <w:kinsoku/>
            <w:wordWrap/>
            <w:overflowPunct/>
            <w:topLinePunct w:val="0"/>
            <w:bidi w:val="0"/>
            <w:ind w:firstLine="400" w:firstLineChars="200"/>
            <w:textAlignment w:val="auto"/>
          </w:pPr>
          <w:r>
            <w:fldChar w:fldCharType="begin"/>
          </w:r>
          <w:r>
            <w:instrText xml:space="preserve"> HYPERLINK \l _Toc7456 </w:instrText>
          </w:r>
          <w:r>
            <w:fldChar w:fldCharType="separate"/>
          </w:r>
          <w:r>
            <w:rPr>
              <w:rFonts w:hint="eastAsia" w:ascii="黑体" w:hAnsi="黑体" w:eastAsia="黑体"/>
            </w:rPr>
            <w:t>十、 其他重要事项的情况说明</w:t>
          </w:r>
          <w:r>
            <w:tab/>
          </w:r>
          <w:r>
            <w:fldChar w:fldCharType="begin"/>
          </w:r>
          <w:r>
            <w:instrText xml:space="preserve"> PAGEREF _Toc7456 \h </w:instrText>
          </w:r>
          <w:r>
            <w:fldChar w:fldCharType="separate"/>
          </w:r>
          <w:r>
            <w:t>10</w:t>
          </w:r>
          <w:r>
            <w:fldChar w:fldCharType="end"/>
          </w:r>
          <w:r>
            <w:fldChar w:fldCharType="end"/>
          </w:r>
        </w:p>
        <w:p>
          <w:pPr>
            <w:pStyle w:val="30"/>
            <w:pageBreakBefore w:val="0"/>
            <w:tabs>
              <w:tab w:val="right" w:leader="dot" w:pos="8306"/>
            </w:tabs>
            <w:kinsoku/>
            <w:wordWrap/>
            <w:overflowPunct/>
            <w:topLinePunct w:val="0"/>
            <w:bidi w:val="0"/>
            <w:ind w:firstLine="402" w:firstLineChars="200"/>
            <w:textAlignment w:val="auto"/>
            <w:rPr>
              <w:b/>
            </w:rPr>
          </w:pPr>
          <w:r>
            <w:rPr>
              <w:b/>
            </w:rPr>
            <w:fldChar w:fldCharType="begin"/>
          </w:r>
          <w:r>
            <w:rPr>
              <w:b/>
            </w:rPr>
            <w:instrText xml:space="preserve"> HYPERLINK \l _Toc19801 </w:instrText>
          </w:r>
          <w:r>
            <w:rPr>
              <w:b/>
            </w:rPr>
            <w:fldChar w:fldCharType="separate"/>
          </w:r>
          <w:r>
            <w:rPr>
              <w:rFonts w:hint="eastAsia" w:ascii="黑体" w:hAnsi="黑体" w:eastAsia="黑体" w:cs="黑体"/>
              <w:b/>
              <w:szCs w:val="44"/>
            </w:rPr>
            <w:t xml:space="preserve">第三部分 </w:t>
          </w:r>
          <w:r>
            <w:rPr>
              <w:rFonts w:hint="eastAsia" w:ascii="黑体" w:hAnsi="黑体" w:eastAsia="黑体"/>
              <w:b/>
              <w:szCs w:val="44"/>
            </w:rPr>
            <w:t>名</w:t>
          </w:r>
          <w:r>
            <w:rPr>
              <w:rFonts w:hint="eastAsia" w:ascii="黑体" w:hAnsi="黑体" w:eastAsia="黑体"/>
              <w:b/>
            </w:rPr>
            <w:t>词解释</w:t>
          </w:r>
          <w:r>
            <w:rPr>
              <w:b/>
            </w:rPr>
            <w:tab/>
          </w:r>
          <w:r>
            <w:rPr>
              <w:b/>
            </w:rPr>
            <w:fldChar w:fldCharType="begin"/>
          </w:r>
          <w:r>
            <w:rPr>
              <w:b/>
            </w:rPr>
            <w:instrText xml:space="preserve"> PAGEREF _Toc19801 \h </w:instrText>
          </w:r>
          <w:r>
            <w:rPr>
              <w:b/>
            </w:rPr>
            <w:fldChar w:fldCharType="separate"/>
          </w:r>
          <w:r>
            <w:rPr>
              <w:b/>
            </w:rPr>
            <w:t>12</w:t>
          </w:r>
          <w:r>
            <w:rPr>
              <w:b/>
            </w:rPr>
            <w:fldChar w:fldCharType="end"/>
          </w:r>
          <w:r>
            <w:rPr>
              <w:b/>
            </w:rPr>
            <w:fldChar w:fldCharType="end"/>
          </w:r>
        </w:p>
        <w:p>
          <w:pPr>
            <w:pStyle w:val="30"/>
            <w:pageBreakBefore w:val="0"/>
            <w:tabs>
              <w:tab w:val="right" w:leader="dot" w:pos="8306"/>
            </w:tabs>
            <w:kinsoku/>
            <w:wordWrap/>
            <w:overflowPunct/>
            <w:topLinePunct w:val="0"/>
            <w:bidi w:val="0"/>
            <w:ind w:firstLine="402" w:firstLineChars="200"/>
            <w:textAlignment w:val="auto"/>
            <w:rPr>
              <w:b/>
            </w:rPr>
          </w:pPr>
          <w:r>
            <w:rPr>
              <w:b/>
            </w:rPr>
            <w:fldChar w:fldCharType="begin"/>
          </w:r>
          <w:r>
            <w:rPr>
              <w:b/>
            </w:rPr>
            <w:instrText xml:space="preserve"> HYPERLINK \l _Toc23048 </w:instrText>
          </w:r>
          <w:r>
            <w:rPr>
              <w:b/>
            </w:rPr>
            <w:fldChar w:fldCharType="separate"/>
          </w:r>
          <w:r>
            <w:rPr>
              <w:rFonts w:hint="eastAsia" w:ascii="黑体" w:hAnsi="黑体" w:eastAsia="黑体"/>
              <w:b/>
              <w:szCs w:val="44"/>
            </w:rPr>
            <w:t>第</w:t>
          </w:r>
          <w:r>
            <w:rPr>
              <w:rFonts w:hint="eastAsia" w:ascii="黑体" w:hAnsi="黑体" w:eastAsia="黑体"/>
              <w:b/>
            </w:rPr>
            <w:t>四部分 附件</w:t>
          </w:r>
          <w:r>
            <w:rPr>
              <w:b/>
            </w:rPr>
            <w:tab/>
          </w:r>
          <w:r>
            <w:rPr>
              <w:b/>
            </w:rPr>
            <w:fldChar w:fldCharType="begin"/>
          </w:r>
          <w:r>
            <w:rPr>
              <w:b/>
            </w:rPr>
            <w:instrText xml:space="preserve"> PAGEREF _Toc23048 \h </w:instrText>
          </w:r>
          <w:r>
            <w:rPr>
              <w:b/>
            </w:rPr>
            <w:fldChar w:fldCharType="separate"/>
          </w:r>
          <w:r>
            <w:rPr>
              <w:b/>
            </w:rPr>
            <w:t>15</w:t>
          </w:r>
          <w:r>
            <w:rPr>
              <w:b/>
            </w:rPr>
            <w:fldChar w:fldCharType="end"/>
          </w:r>
          <w:r>
            <w:rPr>
              <w:b/>
            </w:rPr>
            <w:fldChar w:fldCharType="end"/>
          </w:r>
        </w:p>
        <w:p>
          <w:pPr>
            <w:pStyle w:val="30"/>
            <w:pageBreakBefore w:val="0"/>
            <w:tabs>
              <w:tab w:val="right" w:leader="dot" w:pos="8306"/>
            </w:tabs>
            <w:kinsoku/>
            <w:wordWrap/>
            <w:overflowPunct/>
            <w:topLinePunct w:val="0"/>
            <w:bidi w:val="0"/>
            <w:ind w:firstLine="402" w:firstLineChars="200"/>
            <w:textAlignment w:val="auto"/>
            <w:rPr>
              <w:b/>
            </w:rPr>
          </w:pPr>
          <w:r>
            <w:rPr>
              <w:b/>
            </w:rPr>
            <w:fldChar w:fldCharType="begin"/>
          </w:r>
          <w:r>
            <w:rPr>
              <w:b/>
            </w:rPr>
            <w:instrText xml:space="preserve"> HYPERLINK \l _Toc14436 </w:instrText>
          </w:r>
          <w:r>
            <w:rPr>
              <w:b/>
            </w:rPr>
            <w:fldChar w:fldCharType="separate"/>
          </w:r>
          <w:r>
            <w:rPr>
              <w:rFonts w:hint="eastAsia" w:ascii="黑体" w:hAnsi="黑体" w:eastAsia="黑体"/>
              <w:b/>
              <w:szCs w:val="44"/>
            </w:rPr>
            <w:t>第</w:t>
          </w:r>
          <w:r>
            <w:rPr>
              <w:rFonts w:hint="eastAsia" w:ascii="黑体" w:hAnsi="黑体" w:eastAsia="黑体"/>
              <w:b/>
            </w:rPr>
            <w:t>五部分 附表</w:t>
          </w:r>
          <w:r>
            <w:rPr>
              <w:b/>
            </w:rPr>
            <w:tab/>
          </w:r>
          <w:r>
            <w:rPr>
              <w:b/>
            </w:rPr>
            <w:fldChar w:fldCharType="begin"/>
          </w:r>
          <w:r>
            <w:rPr>
              <w:b/>
            </w:rPr>
            <w:instrText xml:space="preserve"> PAGEREF _Toc14436 \h </w:instrText>
          </w:r>
          <w:r>
            <w:rPr>
              <w:b/>
            </w:rPr>
            <w:fldChar w:fldCharType="separate"/>
          </w:r>
          <w:r>
            <w:rPr>
              <w:b/>
            </w:rPr>
            <w:t>16</w:t>
          </w:r>
          <w:r>
            <w:rPr>
              <w:b/>
            </w:rPr>
            <w:fldChar w:fldCharType="end"/>
          </w:r>
          <w:r>
            <w:rPr>
              <w:b/>
            </w:rPr>
            <w:fldChar w:fldCharType="end"/>
          </w:r>
        </w:p>
        <w:p>
          <w:pPr>
            <w:pStyle w:val="31"/>
            <w:pageBreakBefore w:val="0"/>
            <w:tabs>
              <w:tab w:val="right" w:leader="dot" w:pos="8306"/>
            </w:tabs>
            <w:kinsoku/>
            <w:wordWrap/>
            <w:overflowPunct/>
            <w:topLinePunct w:val="0"/>
            <w:bidi w:val="0"/>
            <w:ind w:firstLine="400" w:firstLineChars="200"/>
            <w:textAlignment w:val="auto"/>
          </w:pPr>
          <w:r>
            <w:fldChar w:fldCharType="begin"/>
          </w:r>
          <w:r>
            <w:instrText xml:space="preserve"> HYPERLINK \l _Toc26243 </w:instrText>
          </w:r>
          <w:r>
            <w:fldChar w:fldCharType="separate"/>
          </w:r>
          <w:r>
            <w:rPr>
              <w:rFonts w:hint="eastAsia" w:ascii="仿宋" w:hAnsi="仿宋" w:eastAsia="仿宋"/>
            </w:rPr>
            <w:t>一、收</w:t>
          </w:r>
          <w:r>
            <w:rPr>
              <w:rFonts w:hint="eastAsia" w:ascii="仿宋" w:hAnsi="仿宋" w:eastAsia="仿宋"/>
              <w:bCs w:val="0"/>
            </w:rPr>
            <w:t>入支出决算总表</w:t>
          </w:r>
          <w:r>
            <w:tab/>
          </w:r>
          <w:r>
            <w:fldChar w:fldCharType="begin"/>
          </w:r>
          <w:r>
            <w:instrText xml:space="preserve"> PAGEREF _Toc26243 \h </w:instrText>
          </w:r>
          <w:r>
            <w:fldChar w:fldCharType="separate"/>
          </w:r>
          <w:r>
            <w:t>16</w:t>
          </w:r>
          <w:r>
            <w:fldChar w:fldCharType="end"/>
          </w:r>
          <w:r>
            <w:fldChar w:fldCharType="end"/>
          </w:r>
        </w:p>
        <w:p>
          <w:pPr>
            <w:pStyle w:val="31"/>
            <w:pageBreakBefore w:val="0"/>
            <w:tabs>
              <w:tab w:val="right" w:leader="dot" w:pos="8306"/>
            </w:tabs>
            <w:kinsoku/>
            <w:wordWrap/>
            <w:overflowPunct/>
            <w:topLinePunct w:val="0"/>
            <w:bidi w:val="0"/>
            <w:ind w:firstLine="400" w:firstLineChars="200"/>
            <w:textAlignment w:val="auto"/>
          </w:pPr>
          <w:r>
            <w:fldChar w:fldCharType="begin"/>
          </w:r>
          <w:r>
            <w:instrText xml:space="preserve"> HYPERLINK \l _Toc31058 </w:instrText>
          </w:r>
          <w:r>
            <w:fldChar w:fldCharType="separate"/>
          </w:r>
          <w:r>
            <w:rPr>
              <w:rFonts w:hint="eastAsia" w:ascii="仿宋" w:hAnsi="仿宋" w:eastAsia="仿宋"/>
            </w:rPr>
            <w:t>二、收</w:t>
          </w:r>
          <w:r>
            <w:rPr>
              <w:rFonts w:hint="eastAsia" w:ascii="仿宋" w:hAnsi="仿宋" w:eastAsia="仿宋"/>
              <w:bCs w:val="0"/>
            </w:rPr>
            <w:t>入决算表</w:t>
          </w:r>
          <w:r>
            <w:tab/>
          </w:r>
          <w:r>
            <w:fldChar w:fldCharType="begin"/>
          </w:r>
          <w:r>
            <w:instrText xml:space="preserve"> PAGEREF _Toc31058 \h </w:instrText>
          </w:r>
          <w:r>
            <w:fldChar w:fldCharType="separate"/>
          </w:r>
          <w:r>
            <w:t>16</w:t>
          </w:r>
          <w:r>
            <w:fldChar w:fldCharType="end"/>
          </w:r>
          <w:r>
            <w:fldChar w:fldCharType="end"/>
          </w:r>
        </w:p>
        <w:p>
          <w:pPr>
            <w:pStyle w:val="31"/>
            <w:pageBreakBefore w:val="0"/>
            <w:tabs>
              <w:tab w:val="right" w:leader="dot" w:pos="8306"/>
            </w:tabs>
            <w:kinsoku/>
            <w:wordWrap/>
            <w:overflowPunct/>
            <w:topLinePunct w:val="0"/>
            <w:bidi w:val="0"/>
            <w:ind w:firstLine="400" w:firstLineChars="200"/>
            <w:textAlignment w:val="auto"/>
          </w:pPr>
          <w:r>
            <w:fldChar w:fldCharType="begin"/>
          </w:r>
          <w:r>
            <w:instrText xml:space="preserve"> HYPERLINK \l _Toc24588 </w:instrText>
          </w:r>
          <w:r>
            <w:fldChar w:fldCharType="separate"/>
          </w:r>
          <w:r>
            <w:rPr>
              <w:rFonts w:hint="eastAsia" w:ascii="仿宋" w:hAnsi="仿宋" w:eastAsia="仿宋"/>
              <w:bCs w:val="0"/>
            </w:rPr>
            <w:t>三、</w:t>
          </w:r>
          <w:r>
            <w:rPr>
              <w:rFonts w:hint="eastAsia" w:ascii="仿宋" w:hAnsi="仿宋" w:eastAsia="仿宋"/>
            </w:rPr>
            <w:t>支</w:t>
          </w:r>
          <w:r>
            <w:rPr>
              <w:rFonts w:hint="eastAsia" w:ascii="仿宋" w:hAnsi="仿宋" w:eastAsia="仿宋"/>
              <w:bCs w:val="0"/>
            </w:rPr>
            <w:t>出决算表</w:t>
          </w:r>
          <w:r>
            <w:tab/>
          </w:r>
          <w:r>
            <w:fldChar w:fldCharType="begin"/>
          </w:r>
          <w:r>
            <w:instrText xml:space="preserve"> PAGEREF _Toc24588 \h </w:instrText>
          </w:r>
          <w:r>
            <w:fldChar w:fldCharType="separate"/>
          </w:r>
          <w:r>
            <w:t>16</w:t>
          </w:r>
          <w:r>
            <w:fldChar w:fldCharType="end"/>
          </w:r>
          <w:r>
            <w:fldChar w:fldCharType="end"/>
          </w:r>
        </w:p>
        <w:p>
          <w:pPr>
            <w:pStyle w:val="31"/>
            <w:pageBreakBefore w:val="0"/>
            <w:tabs>
              <w:tab w:val="right" w:leader="dot" w:pos="8306"/>
            </w:tabs>
            <w:kinsoku/>
            <w:wordWrap/>
            <w:overflowPunct/>
            <w:topLinePunct w:val="0"/>
            <w:bidi w:val="0"/>
            <w:ind w:firstLine="400" w:firstLineChars="200"/>
            <w:textAlignment w:val="auto"/>
          </w:pPr>
          <w:r>
            <w:fldChar w:fldCharType="begin"/>
          </w:r>
          <w:r>
            <w:instrText xml:space="preserve"> HYPERLINK \l _Toc10843 </w:instrText>
          </w:r>
          <w:r>
            <w:fldChar w:fldCharType="separate"/>
          </w:r>
          <w:r>
            <w:rPr>
              <w:rFonts w:hint="eastAsia" w:ascii="仿宋" w:hAnsi="仿宋" w:eastAsia="仿宋"/>
              <w:bCs w:val="0"/>
            </w:rPr>
            <w:t>四、</w:t>
          </w:r>
          <w:r>
            <w:rPr>
              <w:rFonts w:hint="eastAsia" w:ascii="仿宋" w:hAnsi="仿宋" w:eastAsia="仿宋"/>
            </w:rPr>
            <w:t>财</w:t>
          </w:r>
          <w:r>
            <w:rPr>
              <w:rFonts w:hint="eastAsia" w:ascii="仿宋" w:hAnsi="仿宋" w:eastAsia="仿宋"/>
              <w:bCs w:val="0"/>
            </w:rPr>
            <w:t>政拨款收入支出决算总表</w:t>
          </w:r>
          <w:r>
            <w:tab/>
          </w:r>
          <w:r>
            <w:fldChar w:fldCharType="begin"/>
          </w:r>
          <w:r>
            <w:instrText xml:space="preserve"> PAGEREF _Toc10843 \h </w:instrText>
          </w:r>
          <w:r>
            <w:fldChar w:fldCharType="separate"/>
          </w:r>
          <w:r>
            <w:t>16</w:t>
          </w:r>
          <w:r>
            <w:fldChar w:fldCharType="end"/>
          </w:r>
          <w:r>
            <w:fldChar w:fldCharType="end"/>
          </w:r>
        </w:p>
        <w:p>
          <w:pPr>
            <w:pStyle w:val="31"/>
            <w:pageBreakBefore w:val="0"/>
            <w:tabs>
              <w:tab w:val="right" w:leader="dot" w:pos="8306"/>
            </w:tabs>
            <w:kinsoku/>
            <w:wordWrap/>
            <w:overflowPunct/>
            <w:topLinePunct w:val="0"/>
            <w:bidi w:val="0"/>
            <w:ind w:firstLine="400" w:firstLineChars="200"/>
            <w:textAlignment w:val="auto"/>
          </w:pPr>
          <w:r>
            <w:fldChar w:fldCharType="begin"/>
          </w:r>
          <w:r>
            <w:instrText xml:space="preserve"> HYPERLINK \l _Toc31782 </w:instrText>
          </w:r>
          <w:r>
            <w:fldChar w:fldCharType="separate"/>
          </w:r>
          <w:r>
            <w:rPr>
              <w:rFonts w:hint="eastAsia" w:ascii="仿宋" w:hAnsi="仿宋" w:eastAsia="仿宋"/>
              <w:bCs w:val="0"/>
            </w:rPr>
            <w:t>五、</w:t>
          </w:r>
          <w:r>
            <w:rPr>
              <w:rFonts w:hint="eastAsia" w:ascii="仿宋" w:hAnsi="仿宋" w:eastAsia="仿宋"/>
            </w:rPr>
            <w:t>财</w:t>
          </w:r>
          <w:r>
            <w:rPr>
              <w:rFonts w:hint="eastAsia" w:ascii="仿宋" w:hAnsi="仿宋" w:eastAsia="仿宋"/>
              <w:bCs w:val="0"/>
            </w:rPr>
            <w:t>政拨款支出决算明细表</w:t>
          </w:r>
          <w:r>
            <w:tab/>
          </w:r>
          <w:r>
            <w:fldChar w:fldCharType="begin"/>
          </w:r>
          <w:r>
            <w:instrText xml:space="preserve"> PAGEREF _Toc31782 \h </w:instrText>
          </w:r>
          <w:r>
            <w:fldChar w:fldCharType="separate"/>
          </w:r>
          <w:r>
            <w:t>16</w:t>
          </w:r>
          <w:r>
            <w:fldChar w:fldCharType="end"/>
          </w:r>
          <w:r>
            <w:fldChar w:fldCharType="end"/>
          </w:r>
        </w:p>
        <w:p>
          <w:pPr>
            <w:pStyle w:val="31"/>
            <w:pageBreakBefore w:val="0"/>
            <w:tabs>
              <w:tab w:val="right" w:leader="dot" w:pos="8306"/>
            </w:tabs>
            <w:kinsoku/>
            <w:wordWrap/>
            <w:overflowPunct/>
            <w:topLinePunct w:val="0"/>
            <w:bidi w:val="0"/>
            <w:ind w:firstLine="400" w:firstLineChars="200"/>
            <w:textAlignment w:val="auto"/>
          </w:pPr>
          <w:r>
            <w:fldChar w:fldCharType="begin"/>
          </w:r>
          <w:r>
            <w:instrText xml:space="preserve"> HYPERLINK \l _Toc12302 </w:instrText>
          </w:r>
          <w:r>
            <w:fldChar w:fldCharType="separate"/>
          </w:r>
          <w:r>
            <w:rPr>
              <w:rFonts w:hint="eastAsia" w:ascii="仿宋" w:hAnsi="仿宋" w:eastAsia="仿宋"/>
              <w:bCs w:val="0"/>
            </w:rPr>
            <w:t>六、</w:t>
          </w:r>
          <w:r>
            <w:rPr>
              <w:rFonts w:hint="eastAsia" w:ascii="仿宋" w:hAnsi="仿宋" w:eastAsia="仿宋"/>
            </w:rPr>
            <w:t>一</w:t>
          </w:r>
          <w:r>
            <w:rPr>
              <w:rFonts w:hint="eastAsia" w:ascii="仿宋" w:hAnsi="仿宋" w:eastAsia="仿宋"/>
              <w:bCs w:val="0"/>
            </w:rPr>
            <w:t>般公共预算财政拨款支出决算表</w:t>
          </w:r>
          <w:r>
            <w:tab/>
          </w:r>
          <w:r>
            <w:fldChar w:fldCharType="begin"/>
          </w:r>
          <w:r>
            <w:instrText xml:space="preserve"> PAGEREF _Toc12302 \h </w:instrText>
          </w:r>
          <w:r>
            <w:fldChar w:fldCharType="separate"/>
          </w:r>
          <w:r>
            <w:t>16</w:t>
          </w:r>
          <w:r>
            <w:fldChar w:fldCharType="end"/>
          </w:r>
          <w:r>
            <w:fldChar w:fldCharType="end"/>
          </w:r>
        </w:p>
        <w:p>
          <w:pPr>
            <w:pStyle w:val="31"/>
            <w:pageBreakBefore w:val="0"/>
            <w:tabs>
              <w:tab w:val="right" w:leader="dot" w:pos="8306"/>
            </w:tabs>
            <w:kinsoku/>
            <w:wordWrap/>
            <w:overflowPunct/>
            <w:topLinePunct w:val="0"/>
            <w:bidi w:val="0"/>
            <w:ind w:firstLine="400" w:firstLineChars="200"/>
            <w:textAlignment w:val="auto"/>
          </w:pPr>
          <w:r>
            <w:fldChar w:fldCharType="begin"/>
          </w:r>
          <w:r>
            <w:instrText xml:space="preserve"> HYPERLINK \l _Toc9774 </w:instrText>
          </w:r>
          <w:r>
            <w:fldChar w:fldCharType="separate"/>
          </w:r>
          <w:r>
            <w:rPr>
              <w:rFonts w:hint="eastAsia" w:ascii="仿宋" w:hAnsi="仿宋" w:eastAsia="仿宋"/>
              <w:bCs w:val="0"/>
            </w:rPr>
            <w:t>七、</w:t>
          </w:r>
          <w:r>
            <w:rPr>
              <w:rFonts w:hint="eastAsia" w:ascii="仿宋" w:hAnsi="仿宋" w:eastAsia="仿宋"/>
            </w:rPr>
            <w:t>一</w:t>
          </w:r>
          <w:r>
            <w:rPr>
              <w:rFonts w:hint="eastAsia" w:ascii="仿宋" w:hAnsi="仿宋" w:eastAsia="仿宋"/>
              <w:bCs w:val="0"/>
            </w:rPr>
            <w:t>般公共预算财政拨款支出决算明细表</w:t>
          </w:r>
          <w:r>
            <w:tab/>
          </w:r>
          <w:r>
            <w:fldChar w:fldCharType="begin"/>
          </w:r>
          <w:r>
            <w:instrText xml:space="preserve"> PAGEREF _Toc9774 \h </w:instrText>
          </w:r>
          <w:r>
            <w:fldChar w:fldCharType="separate"/>
          </w:r>
          <w:r>
            <w:t>16</w:t>
          </w:r>
          <w:r>
            <w:fldChar w:fldCharType="end"/>
          </w:r>
          <w:r>
            <w:fldChar w:fldCharType="end"/>
          </w:r>
        </w:p>
        <w:p>
          <w:pPr>
            <w:pStyle w:val="31"/>
            <w:pageBreakBefore w:val="0"/>
            <w:tabs>
              <w:tab w:val="right" w:leader="dot" w:pos="8306"/>
            </w:tabs>
            <w:kinsoku/>
            <w:wordWrap/>
            <w:overflowPunct/>
            <w:topLinePunct w:val="0"/>
            <w:bidi w:val="0"/>
            <w:ind w:firstLine="400" w:firstLineChars="200"/>
            <w:textAlignment w:val="auto"/>
          </w:pPr>
          <w:r>
            <w:fldChar w:fldCharType="begin"/>
          </w:r>
          <w:r>
            <w:instrText xml:space="preserve"> HYPERLINK \l _Toc9523 </w:instrText>
          </w:r>
          <w:r>
            <w:fldChar w:fldCharType="separate"/>
          </w:r>
          <w:r>
            <w:rPr>
              <w:rFonts w:hint="eastAsia" w:ascii="仿宋" w:hAnsi="仿宋" w:eastAsia="仿宋"/>
              <w:bCs w:val="0"/>
            </w:rPr>
            <w:t>八、</w:t>
          </w:r>
          <w:r>
            <w:rPr>
              <w:rFonts w:hint="eastAsia" w:ascii="仿宋" w:hAnsi="仿宋" w:eastAsia="仿宋"/>
            </w:rPr>
            <w:t>一</w:t>
          </w:r>
          <w:r>
            <w:rPr>
              <w:rFonts w:hint="eastAsia" w:ascii="仿宋" w:hAnsi="仿宋" w:eastAsia="仿宋"/>
              <w:bCs w:val="0"/>
            </w:rPr>
            <w:t>般公共预算财政拨款基本支出决算表</w:t>
          </w:r>
          <w:r>
            <w:tab/>
          </w:r>
          <w:r>
            <w:fldChar w:fldCharType="begin"/>
          </w:r>
          <w:r>
            <w:instrText xml:space="preserve"> PAGEREF _Toc9523 \h </w:instrText>
          </w:r>
          <w:r>
            <w:fldChar w:fldCharType="separate"/>
          </w:r>
          <w:r>
            <w:t>16</w:t>
          </w:r>
          <w:r>
            <w:fldChar w:fldCharType="end"/>
          </w:r>
          <w:r>
            <w:fldChar w:fldCharType="end"/>
          </w:r>
        </w:p>
        <w:p>
          <w:pPr>
            <w:pStyle w:val="31"/>
            <w:pageBreakBefore w:val="0"/>
            <w:tabs>
              <w:tab w:val="right" w:leader="dot" w:pos="8306"/>
            </w:tabs>
            <w:kinsoku/>
            <w:wordWrap/>
            <w:overflowPunct/>
            <w:topLinePunct w:val="0"/>
            <w:bidi w:val="0"/>
            <w:ind w:firstLine="400" w:firstLineChars="200"/>
            <w:textAlignment w:val="auto"/>
          </w:pPr>
          <w:r>
            <w:fldChar w:fldCharType="begin"/>
          </w:r>
          <w:r>
            <w:instrText xml:space="preserve"> HYPERLINK \l _Toc32550 </w:instrText>
          </w:r>
          <w:r>
            <w:fldChar w:fldCharType="separate"/>
          </w:r>
          <w:r>
            <w:rPr>
              <w:rFonts w:hint="eastAsia" w:ascii="仿宋" w:hAnsi="仿宋" w:eastAsia="仿宋"/>
              <w:bCs w:val="0"/>
            </w:rPr>
            <w:t>九、</w:t>
          </w:r>
          <w:r>
            <w:rPr>
              <w:rFonts w:hint="eastAsia" w:ascii="仿宋" w:hAnsi="仿宋" w:eastAsia="仿宋"/>
            </w:rPr>
            <w:t>一</w:t>
          </w:r>
          <w:r>
            <w:rPr>
              <w:rFonts w:hint="eastAsia" w:ascii="仿宋" w:hAnsi="仿宋" w:eastAsia="仿宋"/>
              <w:bCs w:val="0"/>
            </w:rPr>
            <w:t>般公共预算财政拨款项目支出决算表</w:t>
          </w:r>
          <w:r>
            <w:tab/>
          </w:r>
          <w:r>
            <w:fldChar w:fldCharType="begin"/>
          </w:r>
          <w:r>
            <w:instrText xml:space="preserve"> PAGEREF _Toc32550 \h </w:instrText>
          </w:r>
          <w:r>
            <w:fldChar w:fldCharType="separate"/>
          </w:r>
          <w:r>
            <w:t>16</w:t>
          </w:r>
          <w:r>
            <w:fldChar w:fldCharType="end"/>
          </w:r>
          <w:r>
            <w:fldChar w:fldCharType="end"/>
          </w:r>
        </w:p>
        <w:p>
          <w:pPr>
            <w:pStyle w:val="31"/>
            <w:pageBreakBefore w:val="0"/>
            <w:tabs>
              <w:tab w:val="right" w:leader="dot" w:pos="8306"/>
            </w:tabs>
            <w:kinsoku/>
            <w:wordWrap/>
            <w:overflowPunct/>
            <w:topLinePunct w:val="0"/>
            <w:bidi w:val="0"/>
            <w:ind w:firstLine="400" w:firstLineChars="200"/>
            <w:textAlignment w:val="auto"/>
          </w:pPr>
          <w:r>
            <w:fldChar w:fldCharType="begin"/>
          </w:r>
          <w:r>
            <w:instrText xml:space="preserve"> HYPERLINK \l _Toc15035 </w:instrText>
          </w:r>
          <w:r>
            <w:fldChar w:fldCharType="separate"/>
          </w:r>
          <w:r>
            <w:rPr>
              <w:rFonts w:hint="eastAsia" w:ascii="仿宋" w:hAnsi="仿宋" w:eastAsia="仿宋"/>
              <w:bCs w:val="0"/>
            </w:rPr>
            <w:t>十、</w:t>
          </w:r>
          <w:r>
            <w:rPr>
              <w:rFonts w:hint="eastAsia" w:ascii="仿宋" w:hAnsi="仿宋" w:eastAsia="仿宋"/>
            </w:rPr>
            <w:t>政</w:t>
          </w:r>
          <w:r>
            <w:rPr>
              <w:rFonts w:hint="eastAsia" w:ascii="仿宋" w:hAnsi="仿宋" w:eastAsia="仿宋"/>
              <w:bCs w:val="0"/>
            </w:rPr>
            <w:t>府性基金预算财政拨款收入支出决算表</w:t>
          </w:r>
          <w:r>
            <w:tab/>
          </w:r>
          <w:r>
            <w:fldChar w:fldCharType="begin"/>
          </w:r>
          <w:r>
            <w:instrText xml:space="preserve"> PAGEREF _Toc15035 \h </w:instrText>
          </w:r>
          <w:r>
            <w:fldChar w:fldCharType="separate"/>
          </w:r>
          <w:r>
            <w:t>16</w:t>
          </w:r>
          <w:r>
            <w:fldChar w:fldCharType="end"/>
          </w:r>
          <w:r>
            <w:fldChar w:fldCharType="end"/>
          </w:r>
        </w:p>
        <w:p>
          <w:pPr>
            <w:pStyle w:val="31"/>
            <w:pageBreakBefore w:val="0"/>
            <w:tabs>
              <w:tab w:val="right" w:leader="dot" w:pos="8306"/>
            </w:tabs>
            <w:kinsoku/>
            <w:wordWrap/>
            <w:overflowPunct/>
            <w:topLinePunct w:val="0"/>
            <w:bidi w:val="0"/>
            <w:ind w:firstLine="400" w:firstLineChars="200"/>
            <w:textAlignment w:val="auto"/>
          </w:pPr>
          <w:r>
            <w:fldChar w:fldCharType="begin"/>
          </w:r>
          <w:r>
            <w:instrText xml:space="preserve"> HYPERLINK \l _Toc99 </w:instrText>
          </w:r>
          <w:r>
            <w:fldChar w:fldCharType="separate"/>
          </w:r>
          <w:r>
            <w:rPr>
              <w:rFonts w:hint="eastAsia" w:ascii="仿宋" w:hAnsi="仿宋" w:eastAsia="仿宋"/>
              <w:bCs w:val="0"/>
            </w:rPr>
            <w:t>十一、</w:t>
          </w:r>
          <w:r>
            <w:rPr>
              <w:rFonts w:hint="eastAsia" w:ascii="仿宋" w:hAnsi="仿宋" w:eastAsia="仿宋"/>
            </w:rPr>
            <w:t>国</w:t>
          </w:r>
          <w:r>
            <w:rPr>
              <w:rFonts w:hint="eastAsia" w:ascii="仿宋" w:hAnsi="仿宋" w:eastAsia="仿宋"/>
              <w:bCs w:val="0"/>
            </w:rPr>
            <w:t>有资本经营预算财政拨款收入支出决算表</w:t>
          </w:r>
          <w:r>
            <w:tab/>
          </w:r>
          <w:r>
            <w:fldChar w:fldCharType="begin"/>
          </w:r>
          <w:r>
            <w:instrText xml:space="preserve"> PAGEREF _Toc99 \h </w:instrText>
          </w:r>
          <w:r>
            <w:fldChar w:fldCharType="separate"/>
          </w:r>
          <w:r>
            <w:t>16</w:t>
          </w:r>
          <w:r>
            <w:fldChar w:fldCharType="end"/>
          </w:r>
          <w:r>
            <w:fldChar w:fldCharType="end"/>
          </w:r>
        </w:p>
        <w:p>
          <w:pPr>
            <w:pStyle w:val="31"/>
            <w:pageBreakBefore w:val="0"/>
            <w:tabs>
              <w:tab w:val="right" w:leader="dot" w:pos="8306"/>
            </w:tabs>
            <w:kinsoku/>
            <w:wordWrap/>
            <w:overflowPunct/>
            <w:topLinePunct w:val="0"/>
            <w:bidi w:val="0"/>
            <w:ind w:firstLine="400" w:firstLineChars="200"/>
            <w:textAlignment w:val="auto"/>
          </w:pPr>
          <w:r>
            <w:fldChar w:fldCharType="begin"/>
          </w:r>
          <w:r>
            <w:instrText xml:space="preserve"> HYPERLINK \l _Toc2083 </w:instrText>
          </w:r>
          <w:r>
            <w:fldChar w:fldCharType="separate"/>
          </w:r>
          <w:r>
            <w:rPr>
              <w:rFonts w:hint="eastAsia" w:ascii="仿宋" w:hAnsi="仿宋" w:eastAsia="仿宋"/>
              <w:bCs w:val="0"/>
            </w:rPr>
            <w:t>十二、国有资本经营预算财政拨款支出决算表</w:t>
          </w:r>
          <w:r>
            <w:tab/>
          </w:r>
          <w:r>
            <w:fldChar w:fldCharType="begin"/>
          </w:r>
          <w:r>
            <w:instrText xml:space="preserve"> PAGEREF _Toc2083 \h </w:instrText>
          </w:r>
          <w:r>
            <w:fldChar w:fldCharType="separate"/>
          </w:r>
          <w:r>
            <w:t>16</w:t>
          </w:r>
          <w:r>
            <w:fldChar w:fldCharType="end"/>
          </w:r>
          <w:r>
            <w:fldChar w:fldCharType="end"/>
          </w:r>
        </w:p>
        <w:p>
          <w:pPr>
            <w:pStyle w:val="31"/>
            <w:pageBreakBefore w:val="0"/>
            <w:tabs>
              <w:tab w:val="right" w:leader="dot" w:pos="8306"/>
            </w:tabs>
            <w:kinsoku/>
            <w:wordWrap/>
            <w:overflowPunct/>
            <w:topLinePunct w:val="0"/>
            <w:bidi w:val="0"/>
            <w:ind w:firstLine="400" w:firstLineChars="200"/>
            <w:textAlignment w:val="auto"/>
          </w:pPr>
          <w:r>
            <w:fldChar w:fldCharType="begin"/>
          </w:r>
          <w:r>
            <w:instrText xml:space="preserve"> HYPERLINK \l _Toc24809 </w:instrText>
          </w:r>
          <w:r>
            <w:fldChar w:fldCharType="separate"/>
          </w:r>
          <w:r>
            <w:rPr>
              <w:rFonts w:hint="eastAsia" w:ascii="仿宋" w:hAnsi="仿宋" w:eastAsia="仿宋"/>
              <w:bCs w:val="0"/>
            </w:rPr>
            <w:t>十三、财政拨款“三公”经费支出决算表</w:t>
          </w:r>
          <w:r>
            <w:tab/>
          </w:r>
          <w:r>
            <w:fldChar w:fldCharType="begin"/>
          </w:r>
          <w:r>
            <w:instrText xml:space="preserve"> PAGEREF _Toc24809 \h </w:instrText>
          </w:r>
          <w:r>
            <w:fldChar w:fldCharType="separate"/>
          </w:r>
          <w:r>
            <w:t>16</w:t>
          </w:r>
          <w:r>
            <w:fldChar w:fldCharType="end"/>
          </w:r>
          <w:r>
            <w:fldChar w:fldCharType="end"/>
          </w:r>
        </w:p>
        <w:p>
          <w:pPr>
            <w:pageBreakBefore w:val="0"/>
            <w:kinsoku/>
            <w:wordWrap/>
            <w:overflowPunct/>
            <w:topLinePunct w:val="0"/>
            <w:bidi w:val="0"/>
            <w:ind w:firstLine="422" w:firstLineChars="200"/>
            <w:textAlignment w:val="auto"/>
            <w:rPr>
              <w:rFonts w:ascii="Times New Roman" w:hAnsi="Times New Roman" w:eastAsia="宋体" w:cs="Times New Roman"/>
              <w:b/>
              <w:kern w:val="2"/>
              <w:sz w:val="21"/>
              <w:szCs w:val="24"/>
              <w:lang w:val="en-US" w:eastAsia="zh-CN" w:bidi="ar-SA"/>
            </w:rPr>
            <w:sectPr>
              <w:footerReference r:id="rId5" w:type="first"/>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pPr>
          <w:r>
            <w:rPr>
              <w:b/>
            </w:rPr>
            <w:fldChar w:fldCharType="end"/>
          </w:r>
        </w:p>
      </w:sdtContent>
    </w:sdt>
    <w:p>
      <w:pPr>
        <w:pStyle w:val="3"/>
        <w:pageBreakBefore w:val="0"/>
        <w:kinsoku/>
        <w:wordWrap/>
        <w:overflowPunct/>
        <w:topLinePunct w:val="0"/>
        <w:bidi w:val="0"/>
        <w:jc w:val="center"/>
        <w:textAlignment w:val="auto"/>
        <w:rPr>
          <w:rStyle w:val="24"/>
          <w:rFonts w:ascii="黑体" w:hAnsi="黑体" w:eastAsia="黑体"/>
          <w:b/>
          <w:bCs w:val="0"/>
        </w:rPr>
      </w:pPr>
      <w:bookmarkStart w:id="14" w:name="_Toc15396599"/>
      <w:bookmarkStart w:id="15" w:name="_Toc15377196"/>
      <w:bookmarkStart w:id="16" w:name="_Toc10287"/>
      <w:r>
        <w:rPr>
          <w:rFonts w:hint="eastAsia" w:ascii="黑体" w:hAnsi="黑体" w:eastAsia="黑体"/>
          <w:b w:val="0"/>
        </w:rPr>
        <w:t>第一部分 单位</w:t>
      </w:r>
      <w:r>
        <w:rPr>
          <w:rStyle w:val="24"/>
          <w:rFonts w:hint="eastAsia" w:ascii="黑体" w:hAnsi="黑体" w:eastAsia="黑体"/>
          <w:b w:val="0"/>
          <w:bCs w:val="0"/>
        </w:rPr>
        <w:t>概况</w:t>
      </w:r>
      <w:bookmarkEnd w:id="14"/>
      <w:bookmarkEnd w:id="15"/>
      <w:bookmarkEnd w:id="16"/>
    </w:p>
    <w:p>
      <w:pPr>
        <w:pageBreakBefore w:val="0"/>
        <w:widowControl/>
        <w:kinsoku/>
        <w:wordWrap/>
        <w:overflowPunct/>
        <w:topLinePunct w:val="0"/>
        <w:bidi w:val="0"/>
        <w:ind w:firstLine="640" w:firstLineChars="200"/>
        <w:jc w:val="left"/>
        <w:textAlignment w:val="auto"/>
        <w:rPr>
          <w:rFonts w:ascii="黑体" w:eastAsia="黑体"/>
          <w:sz w:val="32"/>
          <w:szCs w:val="32"/>
        </w:rPr>
      </w:pPr>
    </w:p>
    <w:p>
      <w:pPr>
        <w:pStyle w:val="4"/>
        <w:pageBreakBefore w:val="0"/>
        <w:numPr>
          <w:ilvl w:val="0"/>
          <w:numId w:val="1"/>
        </w:numPr>
        <w:kinsoku/>
        <w:wordWrap/>
        <w:overflowPunct/>
        <w:topLinePunct w:val="0"/>
        <w:bidi w:val="0"/>
        <w:ind w:firstLine="640" w:firstLineChars="200"/>
        <w:textAlignment w:val="auto"/>
        <w:rPr>
          <w:rStyle w:val="25"/>
          <w:rFonts w:ascii="黑体" w:hAnsi="黑体" w:eastAsia="黑体"/>
          <w:b w:val="0"/>
          <w:bCs w:val="0"/>
        </w:rPr>
      </w:pPr>
      <w:bookmarkStart w:id="17" w:name="_Toc443"/>
      <w:bookmarkStart w:id="18" w:name="_Toc15396600"/>
      <w:bookmarkStart w:id="19" w:name="_Toc15377197"/>
      <w:r>
        <w:rPr>
          <w:rStyle w:val="25"/>
          <w:rFonts w:hint="eastAsia" w:ascii="黑体" w:hAnsi="黑体" w:eastAsia="黑体"/>
          <w:b w:val="0"/>
          <w:bCs w:val="0"/>
        </w:rPr>
        <w:t>主要职责</w:t>
      </w:r>
      <w:bookmarkEnd w:id="17"/>
    </w:p>
    <w:p>
      <w:pPr>
        <w:pageBreakBefore w:val="0"/>
        <w:kinsoku/>
        <w:wordWrap/>
        <w:overflowPunct/>
        <w:topLinePunct w:val="0"/>
        <w:bidi w:val="0"/>
        <w:ind w:firstLine="420" w:firstLineChars="200"/>
        <w:textAlignment w:val="auto"/>
        <w:rPr>
          <w:rFonts w:ascii="仿宋_GB2312" w:eastAsia="仿宋_GB2312"/>
          <w:sz w:val="32"/>
          <w:szCs w:val="32"/>
        </w:rPr>
      </w:pPr>
      <w:r>
        <w:rPr>
          <w:rFonts w:hint="eastAsia" w:hAnsi="宋体"/>
        </w:rPr>
        <w:sym w:font="Wingdings" w:char="F081"/>
      </w:r>
      <w:r>
        <w:rPr>
          <w:rFonts w:hint="eastAsia" w:ascii="仿宋_GB2312" w:eastAsia="仿宋_GB2312"/>
          <w:sz w:val="32"/>
          <w:szCs w:val="32"/>
        </w:rPr>
        <w:t>负责施动物疫病的监测、预警、预报、实验室检测、实验室诊断、流行病学调查、疫情报告。</w:t>
      </w:r>
    </w:p>
    <w:p>
      <w:pPr>
        <w:pageBreakBefore w:val="0"/>
        <w:kinsoku/>
        <w:wordWrap/>
        <w:overflowPunct/>
        <w:topLinePunct w:val="0"/>
        <w:bidi w:val="0"/>
        <w:ind w:firstLine="420" w:firstLineChars="200"/>
        <w:textAlignment w:val="auto"/>
        <w:rPr>
          <w:rFonts w:ascii="仿宋_GB2312" w:eastAsia="仿宋_GB2312"/>
          <w:sz w:val="32"/>
          <w:szCs w:val="32"/>
        </w:rPr>
      </w:pPr>
      <w:r>
        <w:rPr>
          <w:rFonts w:hint="eastAsia"/>
        </w:rPr>
        <w:sym w:font="Wingdings" w:char="F082"/>
      </w:r>
      <w:r>
        <w:rPr>
          <w:rFonts w:hint="eastAsia" w:ascii="仿宋_GB2312" w:eastAsia="仿宋_GB2312"/>
          <w:sz w:val="32"/>
          <w:szCs w:val="32"/>
        </w:rPr>
        <w:t>提出重大动物疫病防控技术方案。</w:t>
      </w:r>
    </w:p>
    <w:p>
      <w:pPr>
        <w:pageBreakBefore w:val="0"/>
        <w:kinsoku/>
        <w:wordWrap/>
        <w:overflowPunct/>
        <w:topLinePunct w:val="0"/>
        <w:bidi w:val="0"/>
        <w:ind w:firstLine="420" w:firstLineChars="200"/>
        <w:textAlignment w:val="auto"/>
        <w:rPr>
          <w:rFonts w:ascii="仿宋_GB2312" w:eastAsia="仿宋_GB2312"/>
          <w:sz w:val="32"/>
          <w:szCs w:val="32"/>
        </w:rPr>
      </w:pPr>
      <w:r>
        <w:rPr>
          <w:rFonts w:hint="eastAsia"/>
        </w:rPr>
        <w:sym w:font="Wingdings" w:char="F083"/>
      </w:r>
      <w:r>
        <w:rPr>
          <w:rFonts w:hint="eastAsia" w:ascii="仿宋_GB2312" w:eastAsia="仿宋_GB2312"/>
          <w:sz w:val="32"/>
          <w:szCs w:val="32"/>
        </w:rPr>
        <w:t>动物疫病预防的技术指导、技术培训、科普宣传。</w:t>
      </w:r>
    </w:p>
    <w:p>
      <w:pPr>
        <w:pageBreakBefore w:val="0"/>
        <w:kinsoku/>
        <w:wordWrap/>
        <w:overflowPunct/>
        <w:topLinePunct w:val="0"/>
        <w:bidi w:val="0"/>
        <w:ind w:firstLine="320" w:firstLineChars="100"/>
        <w:textAlignment w:val="auto"/>
        <w:rPr>
          <w:rFonts w:ascii="仿宋_GB2312" w:eastAsia="仿宋_GB2312"/>
          <w:sz w:val="32"/>
          <w:szCs w:val="32"/>
        </w:rPr>
      </w:pPr>
      <w:r>
        <w:rPr>
          <w:rFonts w:hint="eastAsia" w:ascii="仿宋_GB2312" w:hAnsi="仿宋_GB2312" w:eastAsia="仿宋_GB2312" w:cs="仿宋_GB2312"/>
          <w:sz w:val="32"/>
          <w:szCs w:val="32"/>
        </w:rPr>
        <w:t>④</w:t>
      </w:r>
      <w:r>
        <w:rPr>
          <w:rFonts w:hint="eastAsia" w:ascii="仿宋_GB2312" w:eastAsia="仿宋_GB2312"/>
          <w:sz w:val="32"/>
          <w:szCs w:val="32"/>
        </w:rPr>
        <w:t>承担动物产品安全相关技术检测工作。</w:t>
      </w:r>
    </w:p>
    <w:p>
      <w:pPr>
        <w:pageBreakBefore w:val="0"/>
        <w:kinsoku/>
        <w:wordWrap/>
        <w:overflowPunct/>
        <w:topLinePunct w:val="0"/>
        <w:bidi w:val="0"/>
        <w:ind w:firstLine="420" w:firstLineChars="200"/>
        <w:textAlignment w:val="auto"/>
      </w:pPr>
    </w:p>
    <w:p>
      <w:pPr>
        <w:pStyle w:val="4"/>
        <w:pageBreakBefore w:val="0"/>
        <w:kinsoku/>
        <w:wordWrap/>
        <w:overflowPunct/>
        <w:topLinePunct w:val="0"/>
        <w:bidi w:val="0"/>
        <w:ind w:firstLine="640" w:firstLineChars="200"/>
        <w:textAlignment w:val="auto"/>
        <w:rPr>
          <w:rFonts w:ascii="黑体" w:hAnsi="黑体" w:eastAsia="黑体"/>
          <w:b w:val="0"/>
        </w:rPr>
      </w:pPr>
      <w:bookmarkStart w:id="20" w:name="_Toc21760"/>
      <w:r>
        <w:rPr>
          <w:rFonts w:hint="eastAsia" w:ascii="黑体" w:hAnsi="黑体" w:eastAsia="黑体"/>
          <w:b w:val="0"/>
        </w:rPr>
        <w:t>二、机构设置</w:t>
      </w:r>
      <w:bookmarkEnd w:id="20"/>
    </w:p>
    <w:bookmarkEnd w:id="18"/>
    <w:bookmarkEnd w:id="19"/>
    <w:p>
      <w:pPr>
        <w:pageBreakBefore w:val="0"/>
        <w:kinsoku/>
        <w:wordWrap/>
        <w:overflowPunct/>
        <w:topLinePunct w:val="0"/>
        <w:bidi w:val="0"/>
        <w:ind w:firstLine="640" w:firstLineChars="200"/>
        <w:textAlignment w:val="auto"/>
        <w:rPr>
          <w:rFonts w:ascii="仿宋_GB2312" w:eastAsia="仿宋_GB2312"/>
          <w:sz w:val="32"/>
          <w:szCs w:val="32"/>
        </w:rPr>
      </w:pPr>
      <w:r>
        <w:rPr>
          <w:rFonts w:hint="eastAsia" w:ascii="仿宋_GB2312" w:eastAsia="仿宋_GB2312"/>
          <w:sz w:val="32"/>
          <w:szCs w:val="32"/>
        </w:rPr>
        <w:t>攀枝花市西区动物疫病预防控制中心属于攀枝花市西区农业农村和交通运输局二级单位，为事业一类单位，无内设机构。</w:t>
      </w:r>
    </w:p>
    <w:p>
      <w:pPr>
        <w:pageBreakBefore w:val="0"/>
        <w:widowControl/>
        <w:kinsoku/>
        <w:wordWrap/>
        <w:overflowPunct/>
        <w:topLinePunct w:val="0"/>
        <w:bidi w:val="0"/>
        <w:ind w:firstLine="640" w:firstLineChars="200"/>
        <w:jc w:val="left"/>
        <w:textAlignment w:val="auto"/>
        <w:rPr>
          <w:rFonts w:ascii="仿宋" w:hAnsi="仿宋" w:eastAsia="仿宋"/>
          <w:kern w:val="0"/>
          <w:sz w:val="32"/>
          <w:szCs w:val="32"/>
        </w:rPr>
      </w:pPr>
    </w:p>
    <w:p>
      <w:pPr>
        <w:pStyle w:val="3"/>
        <w:pageBreakBefore w:val="0"/>
        <w:kinsoku/>
        <w:wordWrap/>
        <w:overflowPunct/>
        <w:topLinePunct w:val="0"/>
        <w:bidi w:val="0"/>
        <w:ind w:right="440" w:firstLine="880" w:firstLineChars="200"/>
        <w:jc w:val="center"/>
        <w:textAlignment w:val="auto"/>
        <w:outlineLvl w:val="9"/>
        <w:rPr>
          <w:rFonts w:ascii="黑体" w:hAnsi="黑体" w:eastAsia="黑体"/>
          <w:b w:val="0"/>
        </w:rPr>
      </w:pPr>
      <w:bookmarkStart w:id="21" w:name="_Toc15377204"/>
      <w:bookmarkStart w:id="22" w:name="_Toc15396602"/>
    </w:p>
    <w:p>
      <w:pPr>
        <w:pStyle w:val="3"/>
        <w:pageBreakBefore w:val="0"/>
        <w:kinsoku/>
        <w:wordWrap/>
        <w:overflowPunct/>
        <w:topLinePunct w:val="0"/>
        <w:bidi w:val="0"/>
        <w:ind w:right="440" w:firstLine="880" w:firstLineChars="200"/>
        <w:jc w:val="center"/>
        <w:textAlignment w:val="auto"/>
        <w:outlineLvl w:val="9"/>
        <w:rPr>
          <w:rFonts w:ascii="黑体" w:hAnsi="黑体" w:eastAsia="黑体"/>
          <w:b w:val="0"/>
        </w:rPr>
      </w:pPr>
    </w:p>
    <w:p>
      <w:pPr>
        <w:pageBreakBefore w:val="0"/>
        <w:kinsoku/>
        <w:wordWrap/>
        <w:overflowPunct/>
        <w:topLinePunct w:val="0"/>
        <w:bidi w:val="0"/>
        <w:ind w:firstLine="420" w:firstLineChars="200"/>
        <w:textAlignment w:val="auto"/>
      </w:pPr>
    </w:p>
    <w:p>
      <w:pPr>
        <w:pStyle w:val="3"/>
        <w:pageBreakBefore w:val="0"/>
        <w:kinsoku/>
        <w:wordWrap/>
        <w:overflowPunct/>
        <w:topLinePunct w:val="0"/>
        <w:bidi w:val="0"/>
        <w:ind w:right="440"/>
        <w:jc w:val="center"/>
        <w:textAlignment w:val="auto"/>
        <w:rPr>
          <w:rStyle w:val="24"/>
          <w:rFonts w:ascii="黑体" w:hAnsi="黑体" w:eastAsia="黑体"/>
          <w:b w:val="0"/>
          <w:bCs/>
        </w:rPr>
      </w:pPr>
      <w:bookmarkStart w:id="23" w:name="_Toc32160"/>
      <w:r>
        <w:rPr>
          <w:rFonts w:hint="eastAsia" w:ascii="黑体" w:hAnsi="黑体" w:eastAsia="黑体"/>
          <w:b w:val="0"/>
        </w:rPr>
        <w:t>第二部分 2022年度</w:t>
      </w:r>
      <w:r>
        <w:rPr>
          <w:rStyle w:val="24"/>
          <w:rFonts w:hint="eastAsia" w:ascii="黑体" w:hAnsi="黑体" w:eastAsia="黑体"/>
          <w:b w:val="0"/>
          <w:bCs/>
        </w:rPr>
        <w:t>单位决算情况说明</w:t>
      </w:r>
      <w:bookmarkEnd w:id="21"/>
      <w:bookmarkEnd w:id="22"/>
      <w:bookmarkEnd w:id="23"/>
    </w:p>
    <w:p>
      <w:pPr>
        <w:pStyle w:val="23"/>
        <w:pageBreakBefore w:val="0"/>
        <w:numPr>
          <w:ilvl w:val="0"/>
          <w:numId w:val="0"/>
        </w:numPr>
        <w:kinsoku/>
        <w:wordWrap/>
        <w:overflowPunct/>
        <w:topLinePunct w:val="0"/>
        <w:bidi w:val="0"/>
        <w:spacing w:line="600" w:lineRule="exact"/>
        <w:textAlignment w:val="auto"/>
        <w:outlineLvl w:val="1"/>
        <w:rPr>
          <w:rFonts w:hint="eastAsia" w:ascii="黑体" w:hAnsi="黑体" w:eastAsia="黑体"/>
          <w:sz w:val="32"/>
          <w:szCs w:val="32"/>
        </w:rPr>
      </w:pPr>
      <w:bookmarkStart w:id="24" w:name="_Toc15396603"/>
      <w:bookmarkStart w:id="25" w:name="_Toc15377205"/>
      <w:bookmarkStart w:id="26" w:name="_Toc5602"/>
    </w:p>
    <w:p>
      <w:pPr>
        <w:pStyle w:val="2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5"/>
          <w:rFonts w:hint="eastAsia" w:ascii="黑体" w:hAnsi="黑体" w:eastAsia="黑体"/>
          <w:b w:val="0"/>
        </w:rPr>
      </w:pPr>
      <w:r>
        <w:rPr>
          <w:rFonts w:hint="eastAsia" w:ascii="黑体" w:hAnsi="黑体" w:eastAsia="黑体"/>
          <w:sz w:val="32"/>
          <w:szCs w:val="32"/>
          <w:lang w:eastAsia="zh-CN"/>
        </w:rPr>
        <w:t>一、</w:t>
      </w:r>
      <w:r>
        <w:rPr>
          <w:rFonts w:hint="eastAsia" w:ascii="黑体" w:hAnsi="黑体" w:eastAsia="黑体"/>
          <w:sz w:val="32"/>
          <w:szCs w:val="32"/>
        </w:rPr>
        <w:t>收</w:t>
      </w:r>
      <w:r>
        <w:rPr>
          <w:rStyle w:val="25"/>
          <w:rFonts w:hint="eastAsia" w:ascii="黑体" w:hAnsi="黑体" w:eastAsia="黑体"/>
          <w:b w:val="0"/>
        </w:rPr>
        <w:t>入支出决算总体情况说明</w:t>
      </w:r>
      <w:bookmarkEnd w:id="24"/>
      <w:bookmarkEnd w:id="25"/>
      <w:bookmarkEnd w:id="26"/>
    </w:p>
    <w:p>
      <w:pPr>
        <w:pStyle w:val="2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ascii="仿宋" w:hAnsi="仿宋" w:eastAsia="仿宋"/>
          <w:sz w:val="32"/>
          <w:szCs w:val="32"/>
        </w:rPr>
      </w:pPr>
      <w:r>
        <w:rPr>
          <w:rFonts w:hint="eastAsia" w:ascii="仿宋" w:hAnsi="仿宋" w:eastAsia="仿宋"/>
          <w:sz w:val="32"/>
          <w:szCs w:val="32"/>
        </w:rPr>
        <w:t>2022年度收、支总计163.43万元。与2021年相比，收、支总计各增加13.76万元，增长9</w:t>
      </w:r>
      <w:r>
        <w:rPr>
          <w:rFonts w:ascii="仿宋" w:hAnsi="仿宋" w:eastAsia="仿宋"/>
          <w:sz w:val="32"/>
          <w:szCs w:val="32"/>
        </w:rPr>
        <w:t>%</w:t>
      </w:r>
      <w:r>
        <w:rPr>
          <w:rFonts w:hint="eastAsia" w:ascii="仿宋" w:hAnsi="仿宋" w:eastAsia="仿宋"/>
          <w:sz w:val="32"/>
          <w:szCs w:val="32"/>
        </w:rPr>
        <w:t>。主要变动原因是2022年增加2人。</w:t>
      </w:r>
    </w:p>
    <w:p>
      <w:pPr>
        <w:pageBreakBefore w:val="0"/>
        <w:kinsoku/>
        <w:wordWrap/>
        <w:overflowPunct/>
        <w:topLinePunct w:val="0"/>
        <w:bidi w:val="0"/>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pStyle w:val="2"/>
        <w:pageBreakBefore w:val="0"/>
        <w:kinsoku/>
        <w:wordWrap/>
        <w:overflowPunct/>
        <w:topLinePunct w:val="0"/>
        <w:bidi w:val="0"/>
        <w:spacing w:before="93"/>
        <w:ind w:firstLine="600" w:firstLineChars="200"/>
        <w:textAlignment w:val="auto"/>
      </w:pPr>
      <w:r>
        <w:drawing>
          <wp:inline distT="0" distB="0" distL="0" distR="0">
            <wp:extent cx="2809875" cy="1676400"/>
            <wp:effectExtent l="19050" t="0" r="9525"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3"/>
        <w:pageBreakBefore w:val="0"/>
        <w:numPr>
          <w:ilvl w:val="0"/>
          <w:numId w:val="0"/>
        </w:numPr>
        <w:kinsoku/>
        <w:wordWrap/>
        <w:overflowPunct/>
        <w:topLinePunct w:val="0"/>
        <w:bidi w:val="0"/>
        <w:spacing w:line="600" w:lineRule="exact"/>
        <w:ind w:firstLine="640" w:firstLineChars="200"/>
        <w:textAlignment w:val="auto"/>
        <w:outlineLvl w:val="1"/>
        <w:rPr>
          <w:rStyle w:val="25"/>
          <w:rFonts w:ascii="黑体" w:hAnsi="黑体" w:eastAsia="黑体"/>
          <w:b w:val="0"/>
        </w:rPr>
      </w:pPr>
      <w:bookmarkStart w:id="27" w:name="_Toc15396604"/>
      <w:bookmarkStart w:id="28" w:name="_Toc15377206"/>
      <w:bookmarkStart w:id="29" w:name="_Toc27242"/>
      <w:r>
        <w:rPr>
          <w:rFonts w:hint="eastAsia" w:ascii="黑体" w:hAnsi="黑体" w:eastAsia="黑体"/>
          <w:sz w:val="32"/>
          <w:szCs w:val="32"/>
          <w:lang w:eastAsia="zh-CN"/>
        </w:rPr>
        <w:t>二、</w:t>
      </w:r>
      <w:r>
        <w:rPr>
          <w:rFonts w:hint="eastAsia" w:ascii="黑体" w:hAnsi="黑体" w:eastAsia="黑体"/>
          <w:sz w:val="32"/>
          <w:szCs w:val="32"/>
        </w:rPr>
        <w:t>收</w:t>
      </w:r>
      <w:r>
        <w:rPr>
          <w:rStyle w:val="25"/>
          <w:rFonts w:hint="eastAsia" w:ascii="黑体" w:hAnsi="黑体" w:eastAsia="黑体"/>
          <w:b w:val="0"/>
        </w:rPr>
        <w:t>入决算情况说明</w:t>
      </w:r>
      <w:bookmarkEnd w:id="27"/>
      <w:bookmarkEnd w:id="28"/>
      <w:bookmarkEnd w:id="29"/>
    </w:p>
    <w:p>
      <w:pPr>
        <w:pageBreakBefore w:val="0"/>
        <w:kinsoku/>
        <w:wordWrap/>
        <w:overflowPunct/>
        <w:topLinePunct w:val="0"/>
        <w:bidi w:val="0"/>
        <w:spacing w:line="600" w:lineRule="exact"/>
        <w:ind w:firstLine="640" w:firstLineChars="200"/>
        <w:textAlignment w:val="auto"/>
        <w:outlineLvl w:val="1"/>
        <w:rPr>
          <w:rFonts w:ascii="仿宋" w:hAnsi="仿宋" w:eastAsia="仿宋"/>
          <w:sz w:val="32"/>
          <w:szCs w:val="32"/>
        </w:rPr>
      </w:pPr>
      <w:bookmarkStart w:id="30" w:name="_Toc23005"/>
      <w:r>
        <w:rPr>
          <w:rFonts w:ascii="仿宋" w:hAnsi="仿宋" w:eastAsia="仿宋"/>
          <w:sz w:val="32"/>
          <w:szCs w:val="32"/>
        </w:rPr>
        <w:t>20</w:t>
      </w:r>
      <w:r>
        <w:rPr>
          <w:rFonts w:hint="eastAsia" w:ascii="仿宋" w:hAnsi="仿宋" w:eastAsia="仿宋"/>
          <w:sz w:val="32"/>
          <w:szCs w:val="32"/>
        </w:rPr>
        <w:t>22年本年收入合计163.43万元，其中：一般公共预算财政拨款收入163.43万元，占100</w:t>
      </w:r>
      <w:r>
        <w:rPr>
          <w:rFonts w:ascii="仿宋" w:hAnsi="仿宋" w:eastAsia="仿宋"/>
          <w:sz w:val="32"/>
          <w:szCs w:val="32"/>
        </w:rPr>
        <w:t>%</w:t>
      </w:r>
      <w:r>
        <w:rPr>
          <w:rFonts w:hint="eastAsia" w:ascii="仿宋" w:hAnsi="仿宋" w:eastAsia="仿宋"/>
          <w:sz w:val="32"/>
          <w:szCs w:val="32"/>
        </w:rPr>
        <w:t>；政府性基金预算财政拨款收入0万元，占0</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；事业收入0万元，占0</w:t>
      </w:r>
      <w:r>
        <w:rPr>
          <w:rFonts w:ascii="仿宋" w:hAnsi="仿宋" w:eastAsia="仿宋"/>
          <w:sz w:val="32"/>
          <w:szCs w:val="32"/>
        </w:rPr>
        <w:t>%</w:t>
      </w:r>
      <w:r>
        <w:rPr>
          <w:rFonts w:hint="eastAsia" w:ascii="仿宋" w:hAnsi="仿宋" w:eastAsia="仿宋"/>
          <w:sz w:val="32"/>
          <w:szCs w:val="32"/>
        </w:rPr>
        <w:t>；经营收入0万元，占0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；其他收入0万元，占0</w:t>
      </w:r>
      <w:r>
        <w:rPr>
          <w:rFonts w:ascii="仿宋" w:hAnsi="仿宋" w:eastAsia="仿宋"/>
          <w:sz w:val="32"/>
          <w:szCs w:val="32"/>
        </w:rPr>
        <w:t>%</w:t>
      </w:r>
      <w:r>
        <w:rPr>
          <w:rFonts w:hint="eastAsia" w:ascii="仿宋" w:hAnsi="仿宋" w:eastAsia="仿宋"/>
          <w:sz w:val="32"/>
          <w:szCs w:val="32"/>
        </w:rPr>
        <w:t>。</w:t>
      </w:r>
      <w:bookmarkEnd w:id="30"/>
    </w:p>
    <w:p>
      <w:pPr>
        <w:pageBreakBefore w:val="0"/>
        <w:kinsoku/>
        <w:wordWrap/>
        <w:overflowPunct/>
        <w:topLinePunct w:val="0"/>
        <w:bidi w:val="0"/>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（图2：收入决算结构图）（饼状图）</w:t>
      </w:r>
    </w:p>
    <w:p>
      <w:pPr>
        <w:pStyle w:val="2"/>
        <w:pageBreakBefore w:val="0"/>
        <w:kinsoku/>
        <w:wordWrap/>
        <w:overflowPunct/>
        <w:topLinePunct w:val="0"/>
        <w:bidi w:val="0"/>
        <w:spacing w:before="93"/>
        <w:ind w:firstLine="600" w:firstLineChars="200"/>
        <w:textAlignment w:val="auto"/>
      </w:pPr>
    </w:p>
    <w:p>
      <w:pPr>
        <w:pStyle w:val="2"/>
        <w:pageBreakBefore w:val="0"/>
        <w:kinsoku/>
        <w:wordWrap/>
        <w:overflowPunct/>
        <w:topLinePunct w:val="0"/>
        <w:bidi w:val="0"/>
        <w:spacing w:before="93"/>
        <w:ind w:firstLine="600" w:firstLineChars="200"/>
        <w:textAlignment w:val="auto"/>
      </w:pPr>
      <w:r>
        <w:drawing>
          <wp:inline distT="0" distB="0" distL="0" distR="0">
            <wp:extent cx="3048000" cy="2105025"/>
            <wp:effectExtent l="19050" t="0" r="19050" b="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23"/>
        <w:pageBreakBefore w:val="0"/>
        <w:numPr>
          <w:ilvl w:val="0"/>
          <w:numId w:val="0"/>
        </w:numPr>
        <w:kinsoku/>
        <w:wordWrap/>
        <w:overflowPunct/>
        <w:topLinePunct w:val="0"/>
        <w:bidi w:val="0"/>
        <w:spacing w:line="600" w:lineRule="exact"/>
        <w:ind w:leftChars="200" w:firstLine="320" w:firstLineChars="100"/>
        <w:textAlignment w:val="auto"/>
        <w:outlineLvl w:val="1"/>
        <w:rPr>
          <w:rStyle w:val="25"/>
          <w:rFonts w:ascii="黑体" w:hAnsi="黑体" w:eastAsia="黑体"/>
          <w:b w:val="0"/>
        </w:rPr>
      </w:pPr>
      <w:bookmarkStart w:id="31" w:name="_Toc15396605"/>
      <w:bookmarkStart w:id="32" w:name="_Toc4270"/>
      <w:bookmarkStart w:id="33" w:name="_Toc15377207"/>
      <w:r>
        <w:rPr>
          <w:rFonts w:hint="eastAsia" w:ascii="黑体" w:hAnsi="黑体" w:eastAsia="黑体"/>
          <w:sz w:val="32"/>
          <w:szCs w:val="32"/>
          <w:lang w:eastAsia="zh-CN"/>
        </w:rPr>
        <w:t>三、</w:t>
      </w:r>
      <w:r>
        <w:rPr>
          <w:rFonts w:hint="eastAsia" w:ascii="黑体" w:hAnsi="黑体" w:eastAsia="黑体"/>
          <w:sz w:val="32"/>
          <w:szCs w:val="32"/>
        </w:rPr>
        <w:t>支</w:t>
      </w:r>
      <w:r>
        <w:rPr>
          <w:rStyle w:val="25"/>
          <w:rFonts w:hint="eastAsia" w:ascii="黑体" w:hAnsi="黑体" w:eastAsia="黑体"/>
          <w:b w:val="0"/>
        </w:rPr>
        <w:t>出决算情况说明</w:t>
      </w:r>
      <w:bookmarkEnd w:id="31"/>
      <w:bookmarkEnd w:id="32"/>
      <w:bookmarkEnd w:id="33"/>
    </w:p>
    <w:p>
      <w:pPr>
        <w:pageBreakBefore w:val="0"/>
        <w:kinsoku/>
        <w:wordWrap/>
        <w:overflowPunct/>
        <w:topLinePunct w:val="0"/>
        <w:bidi w:val="0"/>
        <w:spacing w:line="600" w:lineRule="exact"/>
        <w:ind w:firstLine="640" w:firstLineChars="200"/>
        <w:textAlignment w:val="auto"/>
        <w:outlineLvl w:val="1"/>
        <w:rPr>
          <w:rFonts w:ascii="仿宋" w:hAnsi="仿宋" w:eastAsia="仿宋"/>
          <w:sz w:val="32"/>
          <w:szCs w:val="32"/>
        </w:rPr>
      </w:pPr>
      <w:bookmarkStart w:id="34" w:name="_Toc12114"/>
      <w:r>
        <w:rPr>
          <w:rFonts w:ascii="仿宋" w:hAnsi="仿宋" w:eastAsia="仿宋"/>
          <w:sz w:val="32"/>
          <w:szCs w:val="32"/>
        </w:rPr>
        <w:t>20</w:t>
      </w:r>
      <w:r>
        <w:rPr>
          <w:rFonts w:hint="eastAsia" w:ascii="仿宋" w:hAnsi="仿宋" w:eastAsia="仿宋"/>
          <w:sz w:val="32"/>
          <w:szCs w:val="32"/>
        </w:rPr>
        <w:t>22年本年支出合计163.43万元，其中：基本支出131.6万元，占80.5</w:t>
      </w:r>
      <w:r>
        <w:rPr>
          <w:rFonts w:ascii="仿宋" w:hAnsi="仿宋" w:eastAsia="仿宋"/>
          <w:sz w:val="32"/>
          <w:szCs w:val="32"/>
        </w:rPr>
        <w:t>%</w:t>
      </w:r>
      <w:r>
        <w:rPr>
          <w:rFonts w:hint="eastAsia" w:ascii="仿宋" w:hAnsi="仿宋" w:eastAsia="仿宋"/>
          <w:sz w:val="32"/>
          <w:szCs w:val="32"/>
        </w:rPr>
        <w:t>；项目支出31.8万元，占19.5</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bookmarkEnd w:id="34"/>
    </w:p>
    <w:p>
      <w:pPr>
        <w:pageBreakBefore w:val="0"/>
        <w:kinsoku/>
        <w:wordWrap/>
        <w:overflowPunct/>
        <w:topLinePunct w:val="0"/>
        <w:bidi w:val="0"/>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（图3：支出决算结构图）（饼状图）</w:t>
      </w:r>
    </w:p>
    <w:p>
      <w:pPr>
        <w:pStyle w:val="2"/>
        <w:pageBreakBefore w:val="0"/>
        <w:kinsoku/>
        <w:wordWrap/>
        <w:overflowPunct/>
        <w:topLinePunct w:val="0"/>
        <w:bidi w:val="0"/>
        <w:spacing w:before="93"/>
        <w:ind w:firstLine="600" w:firstLineChars="200"/>
        <w:textAlignment w:val="auto"/>
      </w:pPr>
      <w:r>
        <w:drawing>
          <wp:inline distT="0" distB="0" distL="0" distR="0">
            <wp:extent cx="2714625" cy="1952625"/>
            <wp:effectExtent l="19050" t="0" r="9525"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ageBreakBefore w:val="0"/>
        <w:kinsoku/>
        <w:wordWrap/>
        <w:overflowPunct/>
        <w:topLinePunct w:val="0"/>
        <w:bidi w:val="0"/>
        <w:spacing w:line="600" w:lineRule="exact"/>
        <w:ind w:firstLine="640" w:firstLineChars="200"/>
        <w:textAlignment w:val="auto"/>
        <w:outlineLvl w:val="1"/>
        <w:rPr>
          <w:rStyle w:val="25"/>
          <w:rFonts w:ascii="黑体" w:hAnsi="黑体" w:eastAsia="黑体"/>
          <w:b w:val="0"/>
        </w:rPr>
      </w:pPr>
      <w:bookmarkStart w:id="35" w:name="_Toc15396606"/>
      <w:bookmarkStart w:id="36" w:name="_Toc15377208"/>
      <w:bookmarkStart w:id="37" w:name="_Toc30440"/>
      <w:r>
        <w:rPr>
          <w:rFonts w:hint="eastAsia" w:ascii="黑体" w:hAnsi="黑体" w:eastAsia="黑体"/>
          <w:sz w:val="32"/>
          <w:szCs w:val="32"/>
        </w:rPr>
        <w:t>四、财</w:t>
      </w:r>
      <w:r>
        <w:rPr>
          <w:rStyle w:val="25"/>
          <w:rFonts w:hint="eastAsia" w:ascii="黑体" w:hAnsi="黑体" w:eastAsia="黑体"/>
          <w:b w:val="0"/>
        </w:rPr>
        <w:t>政拨款收入支出决算总体情况说明</w:t>
      </w:r>
      <w:bookmarkEnd w:id="35"/>
      <w:bookmarkEnd w:id="36"/>
      <w:bookmarkEnd w:id="37"/>
    </w:p>
    <w:p>
      <w:pPr>
        <w:pageBreakBefore w:val="0"/>
        <w:kinsoku/>
        <w:wordWrap/>
        <w:overflowPunct/>
        <w:topLinePunct w:val="0"/>
        <w:bidi w:val="0"/>
        <w:spacing w:line="600" w:lineRule="exact"/>
        <w:ind w:firstLine="640" w:firstLineChars="200"/>
        <w:textAlignment w:val="auto"/>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22年财政拨款收、支总计163.43万元。与</w:t>
      </w:r>
      <w:r>
        <w:rPr>
          <w:rFonts w:ascii="仿宋" w:hAnsi="仿宋" w:eastAsia="仿宋"/>
          <w:sz w:val="32"/>
          <w:szCs w:val="32"/>
        </w:rPr>
        <w:t>20</w:t>
      </w:r>
      <w:r>
        <w:rPr>
          <w:rFonts w:hint="eastAsia" w:ascii="仿宋" w:hAnsi="仿宋" w:eastAsia="仿宋"/>
          <w:sz w:val="32"/>
          <w:szCs w:val="32"/>
        </w:rPr>
        <w:t>21年相比，财政拨款收、支总计各增加13.76万元，增长9</w:t>
      </w:r>
      <w:r>
        <w:rPr>
          <w:rFonts w:ascii="仿宋" w:hAnsi="仿宋" w:eastAsia="仿宋"/>
          <w:sz w:val="32"/>
          <w:szCs w:val="32"/>
        </w:rPr>
        <w:t>%</w:t>
      </w:r>
      <w:r>
        <w:rPr>
          <w:rFonts w:hint="eastAsia" w:ascii="仿宋" w:hAnsi="仿宋" w:eastAsia="仿宋"/>
          <w:sz w:val="32"/>
          <w:szCs w:val="32"/>
        </w:rPr>
        <w:t>。主要变动原因是2022年增加2人。</w:t>
      </w:r>
    </w:p>
    <w:p>
      <w:pPr>
        <w:pageBreakBefore w:val="0"/>
        <w:kinsoku/>
        <w:wordWrap/>
        <w:overflowPunct/>
        <w:topLinePunct w:val="0"/>
        <w:bidi w:val="0"/>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（图4：财政拨款收、支决算总计变动情况）（柱状图）</w:t>
      </w:r>
    </w:p>
    <w:p>
      <w:pPr>
        <w:pStyle w:val="2"/>
        <w:pageBreakBefore w:val="0"/>
        <w:kinsoku/>
        <w:wordWrap/>
        <w:overflowPunct/>
        <w:topLinePunct w:val="0"/>
        <w:bidi w:val="0"/>
        <w:spacing w:before="93"/>
        <w:ind w:firstLine="600" w:firstLineChars="200"/>
        <w:textAlignment w:val="auto"/>
      </w:pPr>
      <w:r>
        <w:drawing>
          <wp:inline distT="0" distB="0" distL="0" distR="0">
            <wp:extent cx="3124200" cy="1895475"/>
            <wp:effectExtent l="19050" t="0" r="19050" b="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ageBreakBefore w:val="0"/>
        <w:kinsoku/>
        <w:wordWrap/>
        <w:overflowPunct/>
        <w:topLinePunct w:val="0"/>
        <w:bidi w:val="0"/>
        <w:spacing w:line="600" w:lineRule="exact"/>
        <w:ind w:firstLine="640" w:firstLineChars="200"/>
        <w:textAlignment w:val="auto"/>
        <w:outlineLvl w:val="1"/>
        <w:rPr>
          <w:rStyle w:val="25"/>
          <w:rFonts w:ascii="黑体" w:hAnsi="黑体" w:eastAsia="黑体"/>
          <w:b w:val="0"/>
        </w:rPr>
      </w:pPr>
      <w:bookmarkStart w:id="38" w:name="_Toc15377209"/>
      <w:bookmarkStart w:id="39" w:name="_Toc27729"/>
      <w:bookmarkStart w:id="40" w:name="_Toc15396607"/>
      <w:r>
        <w:rPr>
          <w:rFonts w:hint="eastAsia" w:ascii="黑体" w:hAnsi="黑体" w:eastAsia="黑体"/>
          <w:sz w:val="32"/>
          <w:szCs w:val="32"/>
        </w:rPr>
        <w:t>五、</w:t>
      </w:r>
      <w:r>
        <w:rPr>
          <w:rFonts w:hint="eastAsia" w:ascii="黑体" w:hAnsi="黑体" w:eastAsia="黑体"/>
          <w:b/>
          <w:sz w:val="32"/>
          <w:szCs w:val="32"/>
        </w:rPr>
        <w:t>一</w:t>
      </w:r>
      <w:r>
        <w:rPr>
          <w:rStyle w:val="25"/>
          <w:rFonts w:hint="eastAsia" w:ascii="黑体" w:hAnsi="黑体" w:eastAsia="黑体"/>
          <w:b w:val="0"/>
        </w:rPr>
        <w:t>般公共预算财政拨款支出决算情况说明</w:t>
      </w:r>
      <w:bookmarkEnd w:id="38"/>
      <w:bookmarkEnd w:id="39"/>
      <w:bookmarkEnd w:id="40"/>
    </w:p>
    <w:p>
      <w:pPr>
        <w:pageBreakBefore w:val="0"/>
        <w:kinsoku/>
        <w:wordWrap/>
        <w:overflowPunct/>
        <w:topLinePunct w:val="0"/>
        <w:bidi w:val="0"/>
        <w:spacing w:line="600" w:lineRule="exact"/>
        <w:ind w:firstLine="643" w:firstLineChars="200"/>
        <w:textAlignment w:val="auto"/>
        <w:outlineLvl w:val="2"/>
        <w:rPr>
          <w:rFonts w:ascii="仿宋" w:hAnsi="仿宋" w:eastAsia="仿宋"/>
          <w:b/>
          <w:sz w:val="32"/>
          <w:szCs w:val="32"/>
        </w:rPr>
      </w:pPr>
      <w:bookmarkStart w:id="41" w:name="_Toc15377210"/>
      <w:r>
        <w:rPr>
          <w:rFonts w:hint="eastAsia" w:ascii="仿宋" w:hAnsi="仿宋" w:eastAsia="仿宋"/>
          <w:b/>
          <w:sz w:val="32"/>
          <w:szCs w:val="32"/>
        </w:rPr>
        <w:t>（一）一般公共预算财政拨款支出决算总体情况</w:t>
      </w:r>
      <w:bookmarkEnd w:id="41"/>
    </w:p>
    <w:p>
      <w:pPr>
        <w:pageBreakBefore w:val="0"/>
        <w:kinsoku/>
        <w:wordWrap/>
        <w:overflowPunct/>
        <w:topLinePunct w:val="0"/>
        <w:bidi w:val="0"/>
        <w:spacing w:line="600" w:lineRule="exact"/>
        <w:ind w:firstLine="640" w:firstLineChars="200"/>
        <w:textAlignment w:val="auto"/>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22年一般公共预算财政拨款支出163.43万元，占本年支出合计的100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21年相比，一般公共预算财政拨款支出增加14.25万元，增长9.6</w:t>
      </w:r>
      <w:r>
        <w:rPr>
          <w:rFonts w:ascii="仿宋" w:hAnsi="仿宋" w:eastAsia="仿宋"/>
          <w:sz w:val="32"/>
          <w:szCs w:val="32"/>
        </w:rPr>
        <w:t>%</w:t>
      </w:r>
      <w:r>
        <w:rPr>
          <w:rFonts w:hint="eastAsia" w:ascii="仿宋" w:hAnsi="仿宋" w:eastAsia="仿宋"/>
          <w:sz w:val="32"/>
          <w:szCs w:val="32"/>
        </w:rPr>
        <w:t>。主要变动原因是2022年增加2人。</w:t>
      </w:r>
    </w:p>
    <w:p>
      <w:pPr>
        <w:pageBreakBefore w:val="0"/>
        <w:kinsoku/>
        <w:wordWrap/>
        <w:overflowPunct/>
        <w:topLinePunct w:val="0"/>
        <w:bidi w:val="0"/>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（图5：一般公共预算财政拨款支出决算变动情况）（柱状图）</w:t>
      </w:r>
    </w:p>
    <w:p>
      <w:pPr>
        <w:pStyle w:val="2"/>
        <w:pageBreakBefore w:val="0"/>
        <w:kinsoku/>
        <w:wordWrap/>
        <w:overflowPunct/>
        <w:topLinePunct w:val="0"/>
        <w:bidi w:val="0"/>
        <w:spacing w:before="93"/>
        <w:ind w:firstLine="600" w:firstLineChars="200"/>
        <w:textAlignment w:val="auto"/>
      </w:pPr>
      <w:r>
        <w:drawing>
          <wp:inline distT="0" distB="0" distL="0" distR="0">
            <wp:extent cx="3705225" cy="2200275"/>
            <wp:effectExtent l="19050" t="0" r="9525" b="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2"/>
        <w:pageBreakBefore w:val="0"/>
        <w:kinsoku/>
        <w:wordWrap/>
        <w:overflowPunct/>
        <w:topLinePunct w:val="0"/>
        <w:bidi w:val="0"/>
        <w:spacing w:before="93"/>
        <w:ind w:firstLine="600" w:firstLineChars="200"/>
        <w:textAlignment w:val="auto"/>
      </w:pPr>
    </w:p>
    <w:p>
      <w:pPr>
        <w:pageBreakBefore w:val="0"/>
        <w:kinsoku/>
        <w:wordWrap/>
        <w:overflowPunct/>
        <w:topLinePunct w:val="0"/>
        <w:bidi w:val="0"/>
        <w:spacing w:line="600" w:lineRule="exact"/>
        <w:ind w:firstLine="643" w:firstLineChars="200"/>
        <w:textAlignment w:val="auto"/>
        <w:outlineLvl w:val="2"/>
        <w:rPr>
          <w:rFonts w:ascii="仿宋" w:hAnsi="仿宋" w:eastAsia="仿宋"/>
          <w:b/>
          <w:sz w:val="32"/>
          <w:szCs w:val="32"/>
        </w:rPr>
      </w:pPr>
      <w:bookmarkStart w:id="42" w:name="_Toc15377211"/>
      <w:r>
        <w:rPr>
          <w:rFonts w:hint="eastAsia" w:ascii="仿宋" w:hAnsi="仿宋" w:eastAsia="仿宋"/>
          <w:b/>
          <w:sz w:val="32"/>
          <w:szCs w:val="32"/>
        </w:rPr>
        <w:t>（二）一般公共预算财政拨款支出决算结构情况</w:t>
      </w:r>
      <w:bookmarkEnd w:id="42"/>
    </w:p>
    <w:p>
      <w:pPr>
        <w:pageBreakBefore w:val="0"/>
        <w:kinsoku/>
        <w:wordWrap/>
        <w:overflowPunct/>
        <w:topLinePunct w:val="0"/>
        <w:bidi w:val="0"/>
        <w:spacing w:line="600" w:lineRule="exact"/>
        <w:ind w:firstLine="640" w:firstLineChars="200"/>
        <w:textAlignment w:val="auto"/>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22年一般公共预算财政拨款支出163.43万元，主要用于以下方面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支出0</w:t>
      </w:r>
      <w:r>
        <w:rPr>
          <w:rFonts w:hint="eastAsia" w:ascii="仿宋" w:hAnsi="仿宋" w:eastAsia="仿宋"/>
          <w:sz w:val="32"/>
          <w:szCs w:val="32"/>
        </w:rPr>
        <w:t>万元，占0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教育支出0</w:t>
      </w:r>
      <w:r>
        <w:rPr>
          <w:rFonts w:hint="eastAsia" w:ascii="仿宋" w:hAnsi="仿宋" w:eastAsia="仿宋"/>
          <w:sz w:val="32"/>
          <w:szCs w:val="32"/>
        </w:rPr>
        <w:t>万元，占0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科学技术</w:t>
      </w:r>
      <w:r>
        <w:rPr>
          <w:rFonts w:hint="eastAsia" w:ascii="仿宋" w:hAnsi="仿宋" w:eastAsia="仿宋"/>
          <w:b/>
          <w:bCs/>
          <w:sz w:val="32"/>
          <w:szCs w:val="32"/>
        </w:rPr>
        <w:t>支出0</w:t>
      </w:r>
      <w:r>
        <w:rPr>
          <w:rFonts w:hint="eastAsia" w:ascii="仿宋" w:hAnsi="仿宋" w:eastAsia="仿宋"/>
          <w:sz w:val="32"/>
          <w:szCs w:val="32"/>
        </w:rPr>
        <w:t>万元，占0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文化旅游体育与传媒支出0万元，占0</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支出11.05</w:t>
      </w:r>
      <w:r>
        <w:rPr>
          <w:rFonts w:hint="eastAsia" w:ascii="仿宋" w:hAnsi="仿宋" w:eastAsia="仿宋"/>
          <w:sz w:val="32"/>
          <w:szCs w:val="32"/>
        </w:rPr>
        <w:t>万元，占6.8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卫生健康支出7.16</w:t>
      </w:r>
      <w:r>
        <w:rPr>
          <w:rFonts w:hint="eastAsia" w:ascii="仿宋" w:hAnsi="仿宋" w:eastAsia="仿宋"/>
          <w:sz w:val="32"/>
          <w:szCs w:val="32"/>
        </w:rPr>
        <w:t>万元，占4.4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住房保障支出10.76</w:t>
      </w:r>
      <w:r>
        <w:rPr>
          <w:rFonts w:hint="eastAsia" w:ascii="仿宋" w:hAnsi="仿宋" w:eastAsia="仿宋"/>
          <w:sz w:val="32"/>
          <w:szCs w:val="32"/>
        </w:rPr>
        <w:t>万元，占6.6</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农林水支出</w:t>
      </w:r>
      <w:r>
        <w:rPr>
          <w:rFonts w:hint="eastAsia" w:ascii="仿宋" w:hAnsi="仿宋" w:eastAsia="仿宋"/>
          <w:sz w:val="32"/>
          <w:szCs w:val="32"/>
        </w:rPr>
        <w:t>134.44万元，占82.2%</w:t>
      </w:r>
    </w:p>
    <w:p>
      <w:pPr>
        <w:pageBreakBefore w:val="0"/>
        <w:kinsoku/>
        <w:wordWrap/>
        <w:overflowPunct/>
        <w:topLinePunct w:val="0"/>
        <w:bidi w:val="0"/>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（图6：一般公共预算财政拨款支出决算结构）（饼状图）</w:t>
      </w:r>
    </w:p>
    <w:p>
      <w:pPr>
        <w:pStyle w:val="2"/>
        <w:pageBreakBefore w:val="0"/>
        <w:kinsoku/>
        <w:wordWrap/>
        <w:overflowPunct/>
        <w:topLinePunct w:val="0"/>
        <w:bidi w:val="0"/>
        <w:spacing w:before="93"/>
        <w:ind w:firstLine="600" w:firstLineChars="200"/>
        <w:textAlignment w:val="auto"/>
      </w:pPr>
      <w:r>
        <w:drawing>
          <wp:inline distT="0" distB="0" distL="0" distR="0">
            <wp:extent cx="3286125" cy="1962150"/>
            <wp:effectExtent l="19050" t="0" r="9525" b="0"/>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2"/>
        <w:pageBreakBefore w:val="0"/>
        <w:kinsoku/>
        <w:wordWrap/>
        <w:overflowPunct/>
        <w:topLinePunct w:val="0"/>
        <w:bidi w:val="0"/>
        <w:spacing w:before="93"/>
        <w:ind w:firstLine="600" w:firstLineChars="200"/>
        <w:textAlignment w:val="auto"/>
      </w:pPr>
    </w:p>
    <w:p>
      <w:pPr>
        <w:pageBreakBefore w:val="0"/>
        <w:kinsoku/>
        <w:wordWrap/>
        <w:overflowPunct/>
        <w:topLinePunct w:val="0"/>
        <w:bidi w:val="0"/>
        <w:spacing w:line="600" w:lineRule="exact"/>
        <w:ind w:firstLine="643" w:firstLineChars="200"/>
        <w:textAlignment w:val="auto"/>
        <w:outlineLvl w:val="2"/>
        <w:rPr>
          <w:rFonts w:ascii="仿宋" w:hAnsi="仿宋" w:eastAsia="仿宋"/>
          <w:b/>
          <w:sz w:val="32"/>
          <w:szCs w:val="32"/>
        </w:rPr>
      </w:pPr>
      <w:bookmarkStart w:id="43" w:name="_Toc15377212"/>
      <w:r>
        <w:rPr>
          <w:rFonts w:hint="eastAsia" w:ascii="仿宋" w:hAnsi="仿宋" w:eastAsia="仿宋"/>
          <w:b/>
          <w:sz w:val="32"/>
          <w:szCs w:val="32"/>
        </w:rPr>
        <w:t>（三）一般公共预算财政拨款支出决算具体情况</w:t>
      </w:r>
      <w:bookmarkEnd w:id="43"/>
    </w:p>
    <w:p>
      <w:pPr>
        <w:pageBreakBefore w:val="0"/>
        <w:kinsoku/>
        <w:wordWrap/>
        <w:overflowPunct/>
        <w:topLinePunct w:val="0"/>
        <w:bidi w:val="0"/>
        <w:spacing w:line="600" w:lineRule="exact"/>
        <w:ind w:firstLine="643" w:firstLineChars="200"/>
        <w:textAlignment w:val="auto"/>
        <w:outlineLvl w:val="2"/>
        <w:rPr>
          <w:rFonts w:ascii="仿宋" w:hAnsi="仿宋" w:eastAsia="仿宋"/>
          <w:b/>
          <w:bCs/>
          <w:sz w:val="32"/>
          <w:szCs w:val="32"/>
        </w:rPr>
      </w:pPr>
      <w:bookmarkStart w:id="44" w:name="_Toc15378460"/>
      <w:bookmarkStart w:id="45" w:name="_Toc15377213"/>
      <w:bookmarkStart w:id="46" w:name="_Toc15377444"/>
      <w:r>
        <w:rPr>
          <w:rFonts w:hint="eastAsia" w:ascii="仿宋" w:hAnsi="仿宋" w:eastAsia="仿宋"/>
          <w:b/>
          <w:sz w:val="32"/>
          <w:szCs w:val="32"/>
        </w:rPr>
        <w:t>2022年一般公共预算支出决算数为163.43万元</w:t>
      </w:r>
      <w:r>
        <w:rPr>
          <w:rFonts w:hint="eastAsia" w:ascii="仿宋" w:hAnsi="仿宋" w:eastAsia="仿宋"/>
          <w:sz w:val="32"/>
          <w:szCs w:val="32"/>
        </w:rPr>
        <w:t>，</w:t>
      </w:r>
      <w:r>
        <w:rPr>
          <w:rStyle w:val="14"/>
          <w:rFonts w:hint="eastAsia" w:ascii="仿宋" w:hAnsi="仿宋" w:eastAsia="仿宋"/>
          <w:bCs/>
          <w:sz w:val="32"/>
          <w:szCs w:val="32"/>
        </w:rPr>
        <w:t>完成预算100</w:t>
      </w:r>
      <w:r>
        <w:rPr>
          <w:rStyle w:val="14"/>
          <w:rFonts w:ascii="仿宋" w:hAnsi="仿宋" w:eastAsia="仿宋"/>
          <w:bCs/>
          <w:sz w:val="32"/>
          <w:szCs w:val="32"/>
        </w:rPr>
        <w:t>%</w:t>
      </w:r>
      <w:r>
        <w:rPr>
          <w:rStyle w:val="14"/>
          <w:rFonts w:hint="eastAsia" w:ascii="仿宋" w:hAnsi="仿宋" w:eastAsia="仿宋"/>
          <w:bCs/>
          <w:sz w:val="32"/>
          <w:szCs w:val="32"/>
        </w:rPr>
        <w:t>。其中：</w:t>
      </w:r>
      <w:bookmarkEnd w:id="44"/>
      <w:bookmarkEnd w:id="45"/>
      <w:bookmarkEnd w:id="46"/>
    </w:p>
    <w:p>
      <w:pPr>
        <w:pageBreakBefore w:val="0"/>
        <w:kinsoku/>
        <w:wordWrap/>
        <w:overflowPunct/>
        <w:topLinePunct w:val="0"/>
        <w:bidi w:val="0"/>
        <w:spacing w:line="600" w:lineRule="exact"/>
        <w:ind w:firstLine="643" w:firstLineChars="200"/>
        <w:textAlignment w:val="auto"/>
        <w:rPr>
          <w:rFonts w:ascii="仿宋" w:hAnsi="仿宋" w:eastAsia="仿宋"/>
          <w:b/>
          <w:sz w:val="32"/>
          <w:szCs w:val="32"/>
        </w:rPr>
      </w:pPr>
      <w:r>
        <w:rPr>
          <w:rStyle w:val="14"/>
          <w:rFonts w:ascii="仿宋" w:hAnsi="仿宋" w:eastAsia="仿宋"/>
          <w:bCs/>
          <w:sz w:val="32"/>
          <w:szCs w:val="32"/>
        </w:rPr>
        <w:t>1.</w:t>
      </w:r>
      <w:r>
        <w:rPr>
          <w:rStyle w:val="14"/>
          <w:rFonts w:hint="eastAsia" w:ascii="仿宋" w:hAnsi="仿宋" w:eastAsia="仿宋"/>
          <w:bCs/>
          <w:sz w:val="32"/>
          <w:szCs w:val="32"/>
        </w:rPr>
        <w:t>一般公共服务（类）0（款）0（项）</w:t>
      </w:r>
      <w:r>
        <w:rPr>
          <w:rStyle w:val="14"/>
          <w:rFonts w:ascii="仿宋" w:hAnsi="仿宋" w:eastAsia="仿宋"/>
          <w:bCs/>
          <w:sz w:val="32"/>
          <w:szCs w:val="32"/>
        </w:rPr>
        <w:t>:</w:t>
      </w:r>
      <w:r>
        <w:rPr>
          <w:rStyle w:val="14"/>
          <w:rFonts w:hint="eastAsia" w:ascii="仿宋" w:hAnsi="仿宋" w:eastAsia="仿宋"/>
          <w:b w:val="0"/>
          <w:bCs/>
          <w:sz w:val="32"/>
          <w:szCs w:val="32"/>
        </w:rPr>
        <w:t>支出决算为0万元，完成预算0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w:t>
      </w:r>
    </w:p>
    <w:p>
      <w:pPr>
        <w:pageBreakBefore w:val="0"/>
        <w:kinsoku/>
        <w:wordWrap/>
        <w:overflowPunct/>
        <w:topLinePunct w:val="0"/>
        <w:bidi w:val="0"/>
        <w:spacing w:line="600" w:lineRule="exact"/>
        <w:ind w:firstLine="643" w:firstLineChars="200"/>
        <w:textAlignment w:val="auto"/>
        <w:rPr>
          <w:rFonts w:ascii="仿宋" w:hAnsi="仿宋" w:eastAsia="仿宋"/>
          <w:b/>
          <w:sz w:val="32"/>
          <w:szCs w:val="32"/>
        </w:rPr>
      </w:pPr>
      <w:r>
        <w:rPr>
          <w:rStyle w:val="14"/>
          <w:rFonts w:ascii="仿宋" w:hAnsi="仿宋" w:eastAsia="仿宋"/>
          <w:bCs/>
          <w:sz w:val="32"/>
          <w:szCs w:val="32"/>
        </w:rPr>
        <w:t>2.</w:t>
      </w:r>
      <w:r>
        <w:rPr>
          <w:rStyle w:val="14"/>
          <w:rFonts w:hint="eastAsia" w:ascii="仿宋" w:hAnsi="仿宋" w:eastAsia="仿宋"/>
          <w:bCs/>
          <w:sz w:val="32"/>
          <w:szCs w:val="32"/>
        </w:rPr>
        <w:t>教育（类）0（款）0（项）</w:t>
      </w:r>
      <w:r>
        <w:rPr>
          <w:rStyle w:val="14"/>
          <w:rFonts w:ascii="仿宋" w:hAnsi="仿宋" w:eastAsia="仿宋"/>
          <w:bCs/>
          <w:sz w:val="32"/>
          <w:szCs w:val="32"/>
        </w:rPr>
        <w:t>:</w:t>
      </w:r>
      <w:r>
        <w:rPr>
          <w:rStyle w:val="14"/>
          <w:rFonts w:hint="eastAsia" w:ascii="仿宋" w:hAnsi="仿宋" w:eastAsia="仿宋"/>
          <w:b w:val="0"/>
          <w:bCs/>
          <w:sz w:val="32"/>
          <w:szCs w:val="32"/>
        </w:rPr>
        <w:t>支出决算为0万元，完成预算0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w:t>
      </w:r>
    </w:p>
    <w:p>
      <w:pPr>
        <w:pageBreakBefore w:val="0"/>
        <w:kinsoku/>
        <w:wordWrap/>
        <w:overflowPunct/>
        <w:topLinePunct w:val="0"/>
        <w:bidi w:val="0"/>
        <w:spacing w:line="600" w:lineRule="exact"/>
        <w:ind w:firstLine="643" w:firstLineChars="200"/>
        <w:textAlignment w:val="auto"/>
        <w:rPr>
          <w:rFonts w:ascii="仿宋" w:hAnsi="仿宋" w:eastAsia="仿宋"/>
          <w:b/>
          <w:sz w:val="32"/>
          <w:szCs w:val="32"/>
        </w:rPr>
      </w:pPr>
      <w:r>
        <w:rPr>
          <w:rStyle w:val="14"/>
          <w:rFonts w:ascii="仿宋" w:hAnsi="仿宋" w:eastAsia="仿宋"/>
          <w:bCs/>
          <w:sz w:val="32"/>
          <w:szCs w:val="32"/>
        </w:rPr>
        <w:t>3.</w:t>
      </w:r>
      <w:r>
        <w:rPr>
          <w:rStyle w:val="14"/>
          <w:rFonts w:hint="eastAsia" w:ascii="仿宋" w:hAnsi="仿宋" w:eastAsia="仿宋"/>
          <w:bCs/>
          <w:sz w:val="32"/>
          <w:szCs w:val="32"/>
        </w:rPr>
        <w:t>科学技术（类）0（款）0（项）</w:t>
      </w:r>
      <w:r>
        <w:rPr>
          <w:rStyle w:val="14"/>
          <w:rFonts w:ascii="仿宋" w:hAnsi="仿宋" w:eastAsia="仿宋"/>
          <w:bCs/>
          <w:sz w:val="32"/>
          <w:szCs w:val="32"/>
        </w:rPr>
        <w:t>:</w:t>
      </w:r>
      <w:r>
        <w:rPr>
          <w:rStyle w:val="14"/>
          <w:rFonts w:hint="eastAsia" w:ascii="仿宋" w:hAnsi="仿宋" w:eastAsia="仿宋"/>
          <w:b w:val="0"/>
          <w:bCs/>
          <w:sz w:val="32"/>
          <w:szCs w:val="32"/>
        </w:rPr>
        <w:t>支出决算为0万元，完成预算0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w:t>
      </w:r>
    </w:p>
    <w:p>
      <w:pPr>
        <w:pageBreakBefore w:val="0"/>
        <w:kinsoku/>
        <w:wordWrap/>
        <w:overflowPunct/>
        <w:topLinePunct w:val="0"/>
        <w:bidi w:val="0"/>
        <w:spacing w:line="600" w:lineRule="exact"/>
        <w:ind w:firstLine="643" w:firstLineChars="200"/>
        <w:textAlignment w:val="auto"/>
        <w:rPr>
          <w:rFonts w:ascii="仿宋" w:hAnsi="仿宋" w:eastAsia="仿宋"/>
          <w:b/>
          <w:sz w:val="32"/>
          <w:szCs w:val="32"/>
        </w:rPr>
      </w:pPr>
      <w:r>
        <w:rPr>
          <w:rStyle w:val="14"/>
          <w:rFonts w:ascii="仿宋" w:hAnsi="仿宋" w:eastAsia="仿宋"/>
          <w:bCs/>
          <w:sz w:val="32"/>
          <w:szCs w:val="32"/>
        </w:rPr>
        <w:t>4.</w:t>
      </w:r>
      <w:r>
        <w:rPr>
          <w:rStyle w:val="14"/>
          <w:rFonts w:hint="eastAsia" w:ascii="仿宋" w:hAnsi="仿宋" w:eastAsia="仿宋"/>
          <w:bCs/>
          <w:sz w:val="32"/>
          <w:szCs w:val="32"/>
        </w:rPr>
        <w:t>文化旅游体育与传媒（类）0（款）0（项）</w:t>
      </w:r>
      <w:r>
        <w:rPr>
          <w:rStyle w:val="14"/>
          <w:rFonts w:ascii="仿宋" w:hAnsi="仿宋" w:eastAsia="仿宋"/>
          <w:bCs/>
          <w:sz w:val="32"/>
          <w:szCs w:val="32"/>
        </w:rPr>
        <w:t>:</w:t>
      </w:r>
      <w:r>
        <w:rPr>
          <w:rStyle w:val="14"/>
          <w:rFonts w:hint="eastAsia" w:ascii="仿宋" w:hAnsi="仿宋" w:eastAsia="仿宋"/>
          <w:b w:val="0"/>
          <w:bCs/>
          <w:sz w:val="32"/>
          <w:szCs w:val="32"/>
        </w:rPr>
        <w:t>支出决算为0万元，完成预算0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w:t>
      </w:r>
    </w:p>
    <w:p>
      <w:pPr>
        <w:pageBreakBefore w:val="0"/>
        <w:kinsoku/>
        <w:wordWrap/>
        <w:overflowPunct/>
        <w:topLinePunct w:val="0"/>
        <w:bidi w:val="0"/>
        <w:spacing w:line="600" w:lineRule="exact"/>
        <w:ind w:firstLine="643" w:firstLineChars="200"/>
        <w:textAlignment w:val="auto"/>
        <w:rPr>
          <w:rStyle w:val="14"/>
          <w:rFonts w:ascii="仿宋" w:hAnsi="仿宋" w:eastAsia="仿宋"/>
          <w:bCs/>
          <w:sz w:val="32"/>
          <w:szCs w:val="32"/>
        </w:rPr>
      </w:pPr>
      <w:r>
        <w:rPr>
          <w:rStyle w:val="14"/>
          <w:rFonts w:ascii="仿宋" w:hAnsi="仿宋" w:eastAsia="仿宋"/>
          <w:bCs/>
          <w:sz w:val="32"/>
          <w:szCs w:val="32"/>
        </w:rPr>
        <w:t>5.</w:t>
      </w:r>
      <w:r>
        <w:rPr>
          <w:rStyle w:val="14"/>
          <w:rFonts w:hint="eastAsia" w:ascii="仿宋" w:hAnsi="仿宋" w:eastAsia="仿宋"/>
          <w:bCs/>
          <w:sz w:val="32"/>
          <w:szCs w:val="32"/>
        </w:rPr>
        <w:t xml:space="preserve"> 社会保障和就业（类）行政事业单位养老支出（款）</w:t>
      </w:r>
    </w:p>
    <w:p>
      <w:pPr>
        <w:pageBreakBefore w:val="0"/>
        <w:kinsoku/>
        <w:wordWrap/>
        <w:overflowPunct/>
        <w:topLinePunct w:val="0"/>
        <w:bidi w:val="0"/>
        <w:spacing w:line="600" w:lineRule="exact"/>
        <w:ind w:firstLine="643" w:firstLineChars="200"/>
        <w:textAlignment w:val="auto"/>
        <w:rPr>
          <w:rStyle w:val="14"/>
          <w:rFonts w:ascii="仿宋" w:hAnsi="仿宋" w:eastAsia="仿宋"/>
          <w:b w:val="0"/>
          <w:bCs/>
          <w:sz w:val="32"/>
          <w:szCs w:val="32"/>
        </w:rPr>
      </w:pPr>
      <w:r>
        <w:rPr>
          <w:rStyle w:val="14"/>
          <w:rFonts w:ascii="仿宋" w:hAnsi="仿宋" w:eastAsia="仿宋"/>
          <w:bCs/>
          <w:sz w:val="32"/>
          <w:szCs w:val="32"/>
        </w:rPr>
        <w:t>事业单位离退休</w:t>
      </w:r>
      <w:r>
        <w:rPr>
          <w:rStyle w:val="14"/>
          <w:rFonts w:hint="eastAsia" w:ascii="仿宋" w:hAnsi="仿宋" w:eastAsia="仿宋"/>
          <w:bCs/>
          <w:sz w:val="32"/>
          <w:szCs w:val="32"/>
        </w:rPr>
        <w:t>（项）</w:t>
      </w:r>
      <w:r>
        <w:rPr>
          <w:rStyle w:val="14"/>
          <w:rFonts w:ascii="仿宋" w:hAnsi="仿宋" w:eastAsia="仿宋"/>
          <w:bCs/>
          <w:sz w:val="32"/>
          <w:szCs w:val="32"/>
        </w:rPr>
        <w:t>:</w:t>
      </w:r>
      <w:r>
        <w:rPr>
          <w:rStyle w:val="14"/>
          <w:rFonts w:hint="eastAsia" w:ascii="仿宋" w:hAnsi="仿宋" w:eastAsia="仿宋"/>
          <w:b w:val="0"/>
          <w:bCs/>
          <w:sz w:val="32"/>
          <w:szCs w:val="32"/>
        </w:rPr>
        <w:t>支出决算为1.6万元，完成预算100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w:t>
      </w:r>
    </w:p>
    <w:p>
      <w:pPr>
        <w:pageBreakBefore w:val="0"/>
        <w:kinsoku/>
        <w:wordWrap/>
        <w:overflowPunct/>
        <w:topLinePunct w:val="0"/>
        <w:bidi w:val="0"/>
        <w:spacing w:line="600" w:lineRule="exact"/>
        <w:ind w:firstLine="643" w:firstLineChars="200"/>
        <w:textAlignment w:val="auto"/>
        <w:rPr>
          <w:rStyle w:val="14"/>
          <w:rFonts w:ascii="仿宋" w:hAnsi="仿宋" w:eastAsia="仿宋"/>
          <w:bCs/>
          <w:sz w:val="32"/>
          <w:szCs w:val="32"/>
        </w:rPr>
      </w:pPr>
      <w:r>
        <w:rPr>
          <w:rStyle w:val="14"/>
          <w:rFonts w:hint="eastAsia" w:ascii="仿宋" w:hAnsi="仿宋" w:eastAsia="仿宋"/>
          <w:bCs/>
          <w:sz w:val="32"/>
          <w:szCs w:val="32"/>
        </w:rPr>
        <w:t>社会保障和就业（类）行政事业单位养老支出（款）</w:t>
      </w:r>
    </w:p>
    <w:p>
      <w:pPr>
        <w:pStyle w:val="2"/>
        <w:pageBreakBefore w:val="0"/>
        <w:kinsoku/>
        <w:wordWrap/>
        <w:overflowPunct/>
        <w:topLinePunct w:val="0"/>
        <w:bidi w:val="0"/>
        <w:spacing w:before="93"/>
        <w:ind w:firstLine="643" w:firstLineChars="200"/>
        <w:textAlignment w:val="auto"/>
        <w:rPr>
          <w:rFonts w:ascii="仿宋" w:hAnsi="仿宋" w:eastAsia="仿宋"/>
          <w:bCs/>
          <w:sz w:val="32"/>
          <w:szCs w:val="32"/>
        </w:rPr>
      </w:pPr>
      <w:r>
        <w:rPr>
          <w:rStyle w:val="14"/>
          <w:rFonts w:ascii="仿宋" w:hAnsi="仿宋" w:eastAsia="仿宋"/>
          <w:bCs/>
          <w:sz w:val="32"/>
          <w:szCs w:val="32"/>
        </w:rPr>
        <w:t>机关事业单位基本养老保险缴费支出</w:t>
      </w:r>
      <w:r>
        <w:rPr>
          <w:rStyle w:val="14"/>
          <w:rFonts w:hint="eastAsia" w:ascii="仿宋" w:hAnsi="仿宋" w:eastAsia="仿宋"/>
          <w:bCs/>
          <w:sz w:val="32"/>
          <w:szCs w:val="32"/>
        </w:rPr>
        <w:t>（项）</w:t>
      </w:r>
      <w:r>
        <w:rPr>
          <w:rStyle w:val="14"/>
          <w:rFonts w:ascii="仿宋" w:hAnsi="仿宋" w:eastAsia="仿宋"/>
          <w:bCs/>
          <w:sz w:val="32"/>
          <w:szCs w:val="32"/>
        </w:rPr>
        <w:t>:</w:t>
      </w:r>
      <w:r>
        <w:rPr>
          <w:rStyle w:val="14"/>
          <w:rFonts w:hint="eastAsia" w:ascii="仿宋" w:hAnsi="仿宋" w:eastAsia="仿宋"/>
          <w:b w:val="0"/>
          <w:bCs/>
          <w:sz w:val="32"/>
          <w:szCs w:val="32"/>
        </w:rPr>
        <w:t>支出决算为9.45万元，完成预算100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w:t>
      </w:r>
    </w:p>
    <w:p>
      <w:pPr>
        <w:pageBreakBefore w:val="0"/>
        <w:kinsoku/>
        <w:wordWrap/>
        <w:overflowPunct/>
        <w:topLinePunct w:val="0"/>
        <w:bidi w:val="0"/>
        <w:spacing w:line="600" w:lineRule="exact"/>
        <w:ind w:firstLine="643" w:firstLineChars="200"/>
        <w:textAlignment w:val="auto"/>
        <w:rPr>
          <w:rStyle w:val="14"/>
          <w:rFonts w:ascii="仿宋" w:hAnsi="仿宋" w:eastAsia="仿宋"/>
          <w:b w:val="0"/>
          <w:bCs/>
          <w:sz w:val="32"/>
          <w:szCs w:val="32"/>
        </w:rPr>
      </w:pPr>
      <w:r>
        <w:rPr>
          <w:rStyle w:val="14"/>
          <w:rFonts w:ascii="仿宋" w:hAnsi="仿宋" w:eastAsia="仿宋"/>
          <w:bCs/>
          <w:sz w:val="32"/>
          <w:szCs w:val="32"/>
        </w:rPr>
        <w:t>6.</w:t>
      </w:r>
      <w:r>
        <w:rPr>
          <w:rFonts w:hint="eastAsia" w:ascii="仿宋" w:hAnsi="仿宋" w:eastAsia="仿宋"/>
          <w:b/>
          <w:bCs/>
          <w:sz w:val="32"/>
          <w:szCs w:val="32"/>
        </w:rPr>
        <w:t xml:space="preserve"> 卫生健康</w:t>
      </w:r>
      <w:r>
        <w:rPr>
          <w:rStyle w:val="14"/>
          <w:rFonts w:hint="eastAsia" w:ascii="仿宋" w:hAnsi="仿宋" w:eastAsia="仿宋"/>
          <w:bCs/>
          <w:sz w:val="32"/>
          <w:szCs w:val="32"/>
        </w:rPr>
        <w:t>（类）行政事业单位医疗（款）事业单位医疗（项）</w:t>
      </w:r>
      <w:r>
        <w:rPr>
          <w:rStyle w:val="14"/>
          <w:rFonts w:ascii="仿宋" w:hAnsi="仿宋" w:eastAsia="仿宋"/>
          <w:bCs/>
          <w:sz w:val="32"/>
          <w:szCs w:val="32"/>
        </w:rPr>
        <w:t>:</w:t>
      </w:r>
      <w:r>
        <w:rPr>
          <w:rStyle w:val="14"/>
          <w:rFonts w:hint="eastAsia" w:ascii="仿宋" w:hAnsi="仿宋" w:eastAsia="仿宋"/>
          <w:b w:val="0"/>
          <w:bCs/>
          <w:sz w:val="32"/>
          <w:szCs w:val="32"/>
        </w:rPr>
        <w:t>支出决算为6.4万元，完成预算100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w:t>
      </w:r>
    </w:p>
    <w:p>
      <w:pPr>
        <w:pStyle w:val="2"/>
        <w:pageBreakBefore w:val="0"/>
        <w:kinsoku/>
        <w:wordWrap/>
        <w:overflowPunct/>
        <w:topLinePunct w:val="0"/>
        <w:bidi w:val="0"/>
        <w:spacing w:before="93"/>
        <w:ind w:firstLine="643" w:firstLineChars="200"/>
        <w:textAlignment w:val="auto"/>
        <w:rPr>
          <w:rStyle w:val="14"/>
          <w:rFonts w:hint="eastAsia" w:ascii="仿宋" w:hAnsi="仿宋" w:eastAsia="仿宋"/>
          <w:b w:val="0"/>
          <w:bCs/>
          <w:sz w:val="32"/>
          <w:szCs w:val="32"/>
        </w:rPr>
      </w:pPr>
      <w:r>
        <w:rPr>
          <w:rFonts w:hint="eastAsia" w:ascii="仿宋" w:hAnsi="仿宋" w:eastAsia="仿宋"/>
          <w:b/>
          <w:bCs/>
          <w:sz w:val="32"/>
          <w:szCs w:val="32"/>
        </w:rPr>
        <w:t>卫生健康</w:t>
      </w:r>
      <w:r>
        <w:rPr>
          <w:rStyle w:val="14"/>
          <w:rFonts w:hint="eastAsia" w:ascii="仿宋" w:hAnsi="仿宋" w:eastAsia="仿宋"/>
          <w:bCs/>
          <w:sz w:val="32"/>
          <w:szCs w:val="32"/>
        </w:rPr>
        <w:t>（类）行政事业单位医疗（款）其他行政事业单位医疗支出（项）</w:t>
      </w:r>
      <w:r>
        <w:rPr>
          <w:rStyle w:val="14"/>
          <w:rFonts w:ascii="仿宋" w:hAnsi="仿宋" w:eastAsia="仿宋"/>
          <w:bCs/>
          <w:sz w:val="32"/>
          <w:szCs w:val="32"/>
        </w:rPr>
        <w:t>:</w:t>
      </w:r>
      <w:r>
        <w:rPr>
          <w:rStyle w:val="14"/>
          <w:rFonts w:hint="eastAsia" w:ascii="仿宋" w:hAnsi="仿宋" w:eastAsia="仿宋"/>
          <w:b w:val="0"/>
          <w:bCs/>
          <w:sz w:val="32"/>
          <w:szCs w:val="32"/>
        </w:rPr>
        <w:t>支出决算为0.75万元，完成预算100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w:t>
      </w:r>
    </w:p>
    <w:p>
      <w:pPr>
        <w:pageBreakBefore w:val="0"/>
        <w:kinsoku/>
        <w:wordWrap/>
        <w:overflowPunct/>
        <w:topLinePunct w:val="0"/>
        <w:bidi w:val="0"/>
        <w:spacing w:line="600" w:lineRule="exact"/>
        <w:ind w:firstLine="643" w:firstLineChars="200"/>
        <w:textAlignment w:val="auto"/>
        <w:rPr>
          <w:rStyle w:val="14"/>
          <w:rFonts w:ascii="仿宋" w:hAnsi="仿宋" w:eastAsia="仿宋"/>
          <w:bCs/>
          <w:sz w:val="32"/>
          <w:szCs w:val="32"/>
        </w:rPr>
      </w:pPr>
      <w:r>
        <w:rPr>
          <w:rFonts w:hint="eastAsia" w:ascii="仿宋" w:hAnsi="仿宋" w:eastAsia="仿宋"/>
          <w:b/>
          <w:bCs/>
          <w:sz w:val="32"/>
          <w:szCs w:val="32"/>
        </w:rPr>
        <w:t>7.农林水支出（类）农业农村（款）事业运行（项）：</w:t>
      </w:r>
      <w:r>
        <w:rPr>
          <w:rStyle w:val="14"/>
          <w:rFonts w:hint="eastAsia" w:ascii="仿宋" w:hAnsi="仿宋" w:eastAsia="仿宋"/>
          <w:b w:val="0"/>
          <w:bCs/>
          <w:sz w:val="32"/>
          <w:szCs w:val="32"/>
        </w:rPr>
        <w:t>支出决算为102.61万元，完成预算100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w:t>
      </w:r>
    </w:p>
    <w:p>
      <w:pPr>
        <w:pageBreakBefore w:val="0"/>
        <w:kinsoku/>
        <w:wordWrap/>
        <w:overflowPunct/>
        <w:topLinePunct w:val="0"/>
        <w:bidi w:val="0"/>
        <w:spacing w:line="600" w:lineRule="exact"/>
        <w:ind w:firstLine="640" w:firstLineChars="200"/>
        <w:textAlignment w:val="auto"/>
        <w:rPr>
          <w:rFonts w:hint="eastAsia" w:ascii="仿宋" w:hAnsi="仿宋" w:eastAsia="仿宋"/>
          <w:b/>
          <w:bCs/>
          <w:sz w:val="32"/>
          <w:szCs w:val="32"/>
        </w:rPr>
      </w:pPr>
      <w:r>
        <w:rPr>
          <w:rFonts w:hint="eastAsia" w:ascii="仿宋_GB2312" w:eastAsia="仿宋_GB2312"/>
          <w:sz w:val="32"/>
          <w:szCs w:val="32"/>
        </w:rPr>
        <w:t>农林水（类）农业农村（款）病虫害控制（项）：支出决算为0.58万元，完成预算100%，决算数等于预算数。</w:t>
      </w:r>
    </w:p>
    <w:p>
      <w:pPr>
        <w:pageBreakBefore w:val="0"/>
        <w:kinsoku/>
        <w:wordWrap/>
        <w:overflowPunct/>
        <w:topLinePunct w:val="0"/>
        <w:bidi w:val="0"/>
        <w:spacing w:line="600" w:lineRule="exact"/>
        <w:ind w:firstLine="643" w:firstLineChars="200"/>
        <w:textAlignment w:val="auto"/>
        <w:rPr>
          <w:rStyle w:val="14"/>
          <w:rFonts w:ascii="仿宋" w:hAnsi="仿宋" w:eastAsia="仿宋"/>
          <w:bCs/>
          <w:sz w:val="32"/>
          <w:szCs w:val="32"/>
        </w:rPr>
      </w:pPr>
      <w:r>
        <w:rPr>
          <w:rFonts w:hint="eastAsia" w:ascii="仿宋" w:hAnsi="仿宋" w:eastAsia="仿宋"/>
          <w:b/>
          <w:bCs/>
          <w:sz w:val="32"/>
          <w:szCs w:val="32"/>
        </w:rPr>
        <w:t>农林水支出（类）农业农村（款）其他农业农村支出（项）：</w:t>
      </w:r>
      <w:r>
        <w:rPr>
          <w:rStyle w:val="14"/>
          <w:rFonts w:hint="eastAsia" w:ascii="仿宋" w:hAnsi="仿宋" w:eastAsia="仿宋"/>
          <w:b w:val="0"/>
          <w:bCs/>
          <w:sz w:val="32"/>
          <w:szCs w:val="32"/>
        </w:rPr>
        <w:t>支出决算为31.25万元，完成预算100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w:t>
      </w:r>
    </w:p>
    <w:p>
      <w:pPr>
        <w:pageBreakBefore w:val="0"/>
        <w:tabs>
          <w:tab w:val="right" w:pos="8306"/>
        </w:tabs>
        <w:kinsoku/>
        <w:wordWrap/>
        <w:overflowPunct/>
        <w:topLinePunct w:val="0"/>
        <w:bidi w:val="0"/>
        <w:spacing w:line="600" w:lineRule="exact"/>
        <w:ind w:firstLine="640" w:firstLineChars="200"/>
        <w:textAlignment w:val="auto"/>
        <w:outlineLvl w:val="1"/>
        <w:rPr>
          <w:rStyle w:val="25"/>
        </w:rPr>
      </w:pPr>
      <w:bookmarkStart w:id="47" w:name="_Toc15377214"/>
      <w:bookmarkStart w:id="48" w:name="_Toc32460"/>
      <w:bookmarkStart w:id="49"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5"/>
          <w:rFonts w:hint="eastAsia" w:ascii="黑体" w:hAnsi="黑体" w:eastAsia="黑体"/>
          <w:b w:val="0"/>
        </w:rPr>
        <w:t>般公共预算财政拨款基本支出决算情况说明</w:t>
      </w:r>
      <w:bookmarkEnd w:id="47"/>
      <w:bookmarkEnd w:id="48"/>
      <w:bookmarkEnd w:id="49"/>
      <w:r>
        <w:rPr>
          <w:rStyle w:val="25"/>
          <w:rFonts w:ascii="黑体" w:hAnsi="黑体" w:eastAsia="黑体"/>
          <w:b w:val="0"/>
        </w:rPr>
        <w:tab/>
      </w:r>
    </w:p>
    <w:p>
      <w:pPr>
        <w:pageBreakBefore w:val="0"/>
        <w:kinsoku/>
        <w:wordWrap/>
        <w:overflowPunct/>
        <w:topLinePunct w:val="0"/>
        <w:bidi w:val="0"/>
        <w:spacing w:line="600" w:lineRule="exact"/>
        <w:ind w:firstLine="640" w:firstLineChars="200"/>
        <w:textAlignment w:val="auto"/>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22年一般公共预算财政拨款基本支出131.5万元，其中：</w:t>
      </w:r>
    </w:p>
    <w:p>
      <w:pPr>
        <w:pageBreakBefore w:val="0"/>
        <w:kinsoku/>
        <w:wordWrap/>
        <w:overflowPunct/>
        <w:topLinePunct w:val="0"/>
        <w:bidi w:val="0"/>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人员经费125.04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pageBreakBefore w:val="0"/>
        <w:kinsoku/>
        <w:wordWrap/>
        <w:overflowPunct/>
        <w:topLinePunct w:val="0"/>
        <w:bidi w:val="0"/>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公用经费4.9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pageBreakBefore w:val="0"/>
        <w:kinsoku/>
        <w:wordWrap/>
        <w:overflowPunct/>
        <w:topLinePunct w:val="0"/>
        <w:bidi w:val="0"/>
        <w:spacing w:line="600" w:lineRule="exact"/>
        <w:ind w:firstLine="640" w:firstLineChars="200"/>
        <w:textAlignment w:val="auto"/>
        <w:outlineLvl w:val="1"/>
        <w:rPr>
          <w:rStyle w:val="25"/>
          <w:rFonts w:ascii="黑体" w:hAnsi="黑体" w:eastAsia="黑体"/>
          <w:b w:val="0"/>
        </w:rPr>
      </w:pPr>
      <w:bookmarkStart w:id="50" w:name="_Toc15396609"/>
      <w:bookmarkStart w:id="51" w:name="_Toc15377215"/>
      <w:bookmarkStart w:id="52" w:name="_Toc14888"/>
      <w:r>
        <w:rPr>
          <w:rFonts w:hint="eastAsia" w:ascii="黑体" w:eastAsia="黑体"/>
          <w:sz w:val="32"/>
          <w:szCs w:val="32"/>
        </w:rPr>
        <w:t>七、</w:t>
      </w:r>
      <w:r>
        <w:rPr>
          <w:rStyle w:val="25"/>
          <w:rFonts w:hint="eastAsia" w:ascii="黑体" w:hAnsi="黑体" w:eastAsia="黑体"/>
          <w:b w:val="0"/>
        </w:rPr>
        <w:t>财政拨款</w:t>
      </w:r>
      <w:r>
        <w:rPr>
          <w:rStyle w:val="25"/>
          <w:rFonts w:hint="eastAsia" w:ascii="黑体" w:hAnsi="黑体" w:eastAsia="黑体"/>
        </w:rPr>
        <w:t>“</w:t>
      </w:r>
      <w:r>
        <w:rPr>
          <w:rStyle w:val="25"/>
          <w:rFonts w:hint="eastAsia" w:ascii="黑体" w:hAnsi="黑体" w:eastAsia="黑体"/>
          <w:b w:val="0"/>
        </w:rPr>
        <w:t>三公”经费支出决算情况说明</w:t>
      </w:r>
      <w:bookmarkEnd w:id="50"/>
      <w:bookmarkEnd w:id="51"/>
      <w:bookmarkEnd w:id="52"/>
    </w:p>
    <w:p>
      <w:pPr>
        <w:pageBreakBefore w:val="0"/>
        <w:kinsoku/>
        <w:wordWrap/>
        <w:overflowPunct/>
        <w:topLinePunct w:val="0"/>
        <w:bidi w:val="0"/>
        <w:spacing w:line="600" w:lineRule="exact"/>
        <w:ind w:firstLine="643" w:firstLineChars="200"/>
        <w:textAlignment w:val="auto"/>
        <w:outlineLvl w:val="2"/>
        <w:rPr>
          <w:rFonts w:ascii="仿宋" w:hAnsi="仿宋" w:eastAsia="仿宋"/>
          <w:b/>
          <w:sz w:val="32"/>
          <w:szCs w:val="32"/>
        </w:rPr>
      </w:pPr>
      <w:bookmarkStart w:id="53" w:name="_Toc15377216"/>
      <w:r>
        <w:rPr>
          <w:rFonts w:hint="eastAsia" w:ascii="仿宋" w:hAnsi="仿宋" w:eastAsia="仿宋"/>
          <w:b/>
          <w:sz w:val="32"/>
          <w:szCs w:val="32"/>
        </w:rPr>
        <w:t>（一）“三公”经费财政拨款支出决算总体情况说明</w:t>
      </w:r>
      <w:bookmarkEnd w:id="53"/>
    </w:p>
    <w:p>
      <w:pPr>
        <w:pageBreakBefore w:val="0"/>
        <w:kinsoku/>
        <w:wordWrap/>
        <w:overflowPunct/>
        <w:topLinePunct w:val="0"/>
        <w:bidi w:val="0"/>
        <w:spacing w:line="600" w:lineRule="exact"/>
        <w:ind w:firstLine="640" w:firstLineChars="200"/>
        <w:textAlignment w:val="auto"/>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22年“三公”经费财政拨款支出决算为0.72万元，完成预算100</w:t>
      </w:r>
      <w:r>
        <w:rPr>
          <w:rFonts w:ascii="仿宋" w:hAnsi="仿宋" w:eastAsia="仿宋"/>
          <w:sz w:val="32"/>
          <w:szCs w:val="32"/>
        </w:rPr>
        <w:t>%</w:t>
      </w:r>
      <w:r>
        <w:rPr>
          <w:rFonts w:hint="eastAsia" w:ascii="仿宋" w:hAnsi="仿宋" w:eastAsia="仿宋"/>
          <w:sz w:val="32"/>
          <w:szCs w:val="32"/>
        </w:rPr>
        <w:t>，较上年减少2.08万元，下降74%。决算数与预算数持平。</w:t>
      </w:r>
    </w:p>
    <w:p>
      <w:pPr>
        <w:pageBreakBefore w:val="0"/>
        <w:kinsoku/>
        <w:wordWrap/>
        <w:overflowPunct/>
        <w:topLinePunct w:val="0"/>
        <w:bidi w:val="0"/>
        <w:spacing w:line="600" w:lineRule="exact"/>
        <w:ind w:firstLine="643" w:firstLineChars="200"/>
        <w:textAlignment w:val="auto"/>
        <w:outlineLvl w:val="2"/>
        <w:rPr>
          <w:rFonts w:ascii="仿宋" w:hAnsi="仿宋" w:eastAsia="仿宋"/>
          <w:b/>
          <w:sz w:val="32"/>
          <w:szCs w:val="32"/>
        </w:rPr>
      </w:pPr>
      <w:bookmarkStart w:id="54" w:name="_Toc15377217"/>
      <w:r>
        <w:rPr>
          <w:rFonts w:hint="eastAsia" w:ascii="仿宋" w:hAnsi="仿宋" w:eastAsia="仿宋"/>
          <w:b/>
          <w:sz w:val="32"/>
          <w:szCs w:val="32"/>
        </w:rPr>
        <w:t>（二）“三公”经费财政拨款支出决算具体情况说明</w:t>
      </w:r>
      <w:bookmarkEnd w:id="54"/>
    </w:p>
    <w:p>
      <w:pPr>
        <w:pageBreakBefore w:val="0"/>
        <w:kinsoku/>
        <w:wordWrap/>
        <w:overflowPunct/>
        <w:topLinePunct w:val="0"/>
        <w:bidi w:val="0"/>
        <w:spacing w:line="600" w:lineRule="exact"/>
        <w:ind w:firstLine="640" w:firstLineChars="200"/>
        <w:textAlignment w:val="auto"/>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；公务用车购置及运行维护费支出决算0.63万元，占87.5</w:t>
      </w:r>
      <w:r>
        <w:rPr>
          <w:rFonts w:ascii="仿宋" w:hAnsi="仿宋" w:eastAsia="仿宋"/>
          <w:sz w:val="32"/>
          <w:szCs w:val="32"/>
        </w:rPr>
        <w:t>%</w:t>
      </w:r>
      <w:r>
        <w:rPr>
          <w:rFonts w:hint="eastAsia" w:ascii="仿宋" w:hAnsi="仿宋" w:eastAsia="仿宋"/>
          <w:sz w:val="32"/>
          <w:szCs w:val="32"/>
        </w:rPr>
        <w:t>；公务接待费支出决算0.09万元，占12.5</w:t>
      </w:r>
      <w:r>
        <w:rPr>
          <w:rFonts w:ascii="仿宋" w:hAnsi="仿宋" w:eastAsia="仿宋"/>
          <w:sz w:val="32"/>
          <w:szCs w:val="32"/>
        </w:rPr>
        <w:t>%</w:t>
      </w:r>
      <w:r>
        <w:rPr>
          <w:rFonts w:hint="eastAsia" w:ascii="仿宋" w:hAnsi="仿宋" w:eastAsia="仿宋"/>
          <w:sz w:val="32"/>
          <w:szCs w:val="32"/>
        </w:rPr>
        <w:t>。具体情况如下：</w:t>
      </w:r>
    </w:p>
    <w:p>
      <w:pPr>
        <w:pageBreakBefore w:val="0"/>
        <w:kinsoku/>
        <w:wordWrap/>
        <w:overflowPunct/>
        <w:topLinePunct w:val="0"/>
        <w:bidi w:val="0"/>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（图7：“三公”经费财政拨款支出结构）（饼状图）</w:t>
      </w:r>
    </w:p>
    <w:p>
      <w:pPr>
        <w:pStyle w:val="2"/>
        <w:pageBreakBefore w:val="0"/>
        <w:kinsoku/>
        <w:wordWrap/>
        <w:overflowPunct/>
        <w:topLinePunct w:val="0"/>
        <w:bidi w:val="0"/>
        <w:spacing w:before="93"/>
        <w:ind w:firstLine="600" w:firstLineChars="200"/>
        <w:textAlignment w:val="auto"/>
      </w:pPr>
      <w:r>
        <w:drawing>
          <wp:inline distT="0" distB="0" distL="0" distR="0">
            <wp:extent cx="3019425" cy="2009775"/>
            <wp:effectExtent l="19050" t="0" r="9525" b="0"/>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ageBreakBefore w:val="0"/>
        <w:kinsoku/>
        <w:wordWrap/>
        <w:overflowPunct/>
        <w:topLinePunct w:val="0"/>
        <w:bidi w:val="0"/>
        <w:spacing w:line="600" w:lineRule="exact"/>
        <w:ind w:firstLine="643" w:firstLineChars="200"/>
        <w:textAlignment w:val="auto"/>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因公出国（境）经费支出0</w:t>
      </w:r>
      <w:r>
        <w:rPr>
          <w:rFonts w:hint="eastAsia" w:ascii="仿宋_GB2312" w:eastAsia="仿宋_GB2312"/>
          <w:sz w:val="32"/>
          <w:szCs w:val="32"/>
        </w:rPr>
        <w:t>万元，</w:t>
      </w:r>
      <w:r>
        <w:rPr>
          <w:rStyle w:val="14"/>
          <w:rFonts w:hint="eastAsia" w:ascii="仿宋" w:hAnsi="仿宋" w:eastAsia="仿宋"/>
          <w:b w:val="0"/>
          <w:bCs/>
          <w:sz w:val="32"/>
          <w:szCs w:val="32"/>
        </w:rPr>
        <w:t>完成预算0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全年安排因公出国（境）团组0次，出国（境）0人。因公出国（境）支出决算比</w:t>
      </w:r>
      <w:r>
        <w:rPr>
          <w:rFonts w:ascii="仿宋_GB2312" w:eastAsia="仿宋_GB2312"/>
          <w:sz w:val="32"/>
          <w:szCs w:val="32"/>
        </w:rPr>
        <w:t>20</w:t>
      </w:r>
      <w:r>
        <w:rPr>
          <w:rFonts w:hint="eastAsia" w:ascii="仿宋_GB2312" w:eastAsia="仿宋_GB2312"/>
          <w:sz w:val="32"/>
          <w:szCs w:val="32"/>
        </w:rPr>
        <w:t>21年增加0万元，增长0</w:t>
      </w:r>
      <w:r>
        <w:rPr>
          <w:rFonts w:ascii="仿宋_GB2312" w:eastAsia="仿宋_GB2312"/>
          <w:sz w:val="32"/>
          <w:szCs w:val="32"/>
        </w:rPr>
        <w:t>%</w:t>
      </w:r>
      <w:r>
        <w:rPr>
          <w:rFonts w:hint="eastAsia" w:ascii="仿宋_GB2312" w:eastAsia="仿宋_GB2312"/>
          <w:sz w:val="32"/>
          <w:szCs w:val="32"/>
        </w:rPr>
        <w:t>。主要原因为无此预算。</w:t>
      </w:r>
    </w:p>
    <w:p>
      <w:pPr>
        <w:pageBreakBefore w:val="0"/>
        <w:kinsoku/>
        <w:wordWrap/>
        <w:overflowPunct/>
        <w:topLinePunct w:val="0"/>
        <w:bidi w:val="0"/>
        <w:spacing w:line="600" w:lineRule="exact"/>
        <w:ind w:firstLine="643" w:firstLineChars="200"/>
        <w:textAlignment w:val="auto"/>
        <w:rPr>
          <w:rFonts w:ascii="仿宋_GB2312" w:eastAsia="仿宋_GB2312"/>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公务用车购置及运行维护费支出0.63</w:t>
      </w:r>
      <w:r>
        <w:rPr>
          <w:rFonts w:hint="eastAsia" w:ascii="仿宋_GB2312" w:eastAsia="仿宋_GB2312"/>
          <w:sz w:val="32"/>
          <w:szCs w:val="32"/>
        </w:rPr>
        <w:t>万元,</w:t>
      </w:r>
      <w:r>
        <w:rPr>
          <w:rStyle w:val="14"/>
          <w:rFonts w:hint="eastAsia" w:ascii="仿宋" w:hAnsi="仿宋" w:eastAsia="仿宋"/>
          <w:b w:val="0"/>
          <w:bCs/>
          <w:sz w:val="32"/>
          <w:szCs w:val="32"/>
        </w:rPr>
        <w:t>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21年减少2.07万元，下降77</w:t>
      </w:r>
      <w:r>
        <w:rPr>
          <w:rFonts w:ascii="仿宋_GB2312" w:eastAsia="仿宋_GB2312"/>
          <w:sz w:val="32"/>
          <w:szCs w:val="32"/>
        </w:rPr>
        <w:t>%</w:t>
      </w:r>
      <w:r>
        <w:rPr>
          <w:rFonts w:hint="eastAsia" w:ascii="仿宋_GB2312" w:eastAsia="仿宋_GB2312"/>
          <w:sz w:val="32"/>
          <w:szCs w:val="32"/>
        </w:rPr>
        <w:t>。主要原因是减少一台车辆预算。</w:t>
      </w:r>
    </w:p>
    <w:p>
      <w:pPr>
        <w:pageBreakBefore w:val="0"/>
        <w:kinsoku/>
        <w:wordWrap/>
        <w:overflowPunct/>
        <w:topLinePunct w:val="0"/>
        <w:bidi w:val="0"/>
        <w:spacing w:line="600" w:lineRule="exact"/>
        <w:ind w:firstLine="640" w:firstLineChars="200"/>
        <w:textAlignment w:val="auto"/>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公务用车购置支出0</w:t>
      </w:r>
      <w:r>
        <w:rPr>
          <w:rFonts w:hint="eastAsia" w:ascii="仿宋_GB2312" w:eastAsia="仿宋_GB2312"/>
          <w:sz w:val="32"/>
          <w:szCs w:val="32"/>
        </w:rPr>
        <w:t>万元。全年按规定更新购置公务用车0辆，其中：轿车0辆、金额0万元，越野车0辆、金额0万元，载客汽车0辆、金额0万元。截至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月底，单位共有公务用车1辆，其中：轿车1辆、越野车0辆、载客汽车0辆。</w:t>
      </w:r>
    </w:p>
    <w:p>
      <w:pPr>
        <w:pageBreakBefore w:val="0"/>
        <w:kinsoku/>
        <w:wordWrap/>
        <w:overflowPunct/>
        <w:topLinePunct w:val="0"/>
        <w:bidi w:val="0"/>
        <w:spacing w:line="600" w:lineRule="exact"/>
        <w:ind w:firstLine="643" w:firstLineChars="200"/>
        <w:textAlignment w:val="auto"/>
        <w:rPr>
          <w:rFonts w:ascii="仿宋_GB2312" w:eastAsia="仿宋_GB2312"/>
          <w:sz w:val="32"/>
          <w:szCs w:val="32"/>
        </w:rPr>
      </w:pPr>
      <w:r>
        <w:rPr>
          <w:rFonts w:hint="eastAsia" w:ascii="仿宋_GB2312" w:eastAsia="仿宋_GB2312"/>
          <w:b/>
          <w:sz w:val="32"/>
          <w:szCs w:val="32"/>
        </w:rPr>
        <w:t>公务用车运行维护费支出0.63</w:t>
      </w:r>
      <w:r>
        <w:rPr>
          <w:rFonts w:hint="eastAsia" w:ascii="仿宋_GB2312" w:eastAsia="仿宋_GB2312"/>
          <w:sz w:val="32"/>
          <w:szCs w:val="32"/>
        </w:rPr>
        <w:t>万元。主要用于</w:t>
      </w:r>
      <w:r>
        <w:rPr>
          <w:rFonts w:ascii="仿宋_GB2312" w:eastAsia="仿宋_GB2312"/>
          <w:sz w:val="32"/>
          <w:szCs w:val="32"/>
        </w:rPr>
        <w:t>动物疫病预防控制工作</w:t>
      </w:r>
      <w:r>
        <w:rPr>
          <w:rFonts w:hint="eastAsia" w:ascii="仿宋_GB2312" w:eastAsia="仿宋_GB2312"/>
          <w:sz w:val="32"/>
          <w:szCs w:val="32"/>
        </w:rPr>
        <w:t>等所需的公务用车燃料费、维修费、过路过桥费、保险费等支出。</w:t>
      </w:r>
    </w:p>
    <w:p>
      <w:pPr>
        <w:pageBreakBefore w:val="0"/>
        <w:kinsoku/>
        <w:wordWrap/>
        <w:overflowPunct/>
        <w:topLinePunct w:val="0"/>
        <w:bidi w:val="0"/>
        <w:spacing w:line="600" w:lineRule="exact"/>
        <w:ind w:firstLine="643" w:firstLineChars="200"/>
        <w:textAlignment w:val="auto"/>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公务接待费支出0.09</w:t>
      </w:r>
      <w:r>
        <w:rPr>
          <w:rFonts w:hint="eastAsia" w:ascii="仿宋_GB2312" w:eastAsia="仿宋_GB2312"/>
          <w:sz w:val="32"/>
          <w:szCs w:val="32"/>
        </w:rPr>
        <w:t>万元，</w:t>
      </w:r>
      <w:r>
        <w:rPr>
          <w:rStyle w:val="14"/>
          <w:rFonts w:hint="eastAsia" w:ascii="仿宋" w:hAnsi="仿宋" w:eastAsia="仿宋"/>
          <w:b w:val="0"/>
          <w:bCs/>
          <w:sz w:val="32"/>
          <w:szCs w:val="32"/>
        </w:rPr>
        <w:t>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21年减少0.05万元，下降35</w:t>
      </w:r>
      <w:r>
        <w:rPr>
          <w:rFonts w:ascii="仿宋_GB2312" w:eastAsia="仿宋_GB2312"/>
          <w:sz w:val="32"/>
          <w:szCs w:val="32"/>
        </w:rPr>
        <w:t>%</w:t>
      </w:r>
      <w:r>
        <w:rPr>
          <w:rFonts w:hint="eastAsia" w:ascii="仿宋_GB2312" w:eastAsia="仿宋_GB2312"/>
          <w:sz w:val="32"/>
          <w:szCs w:val="32"/>
        </w:rPr>
        <w:t>。主要原因是公务接待费下调以及严控公务接待。其中：</w:t>
      </w:r>
    </w:p>
    <w:p>
      <w:pPr>
        <w:pageBreakBefore w:val="0"/>
        <w:kinsoku/>
        <w:wordWrap/>
        <w:overflowPunct/>
        <w:topLinePunct w:val="0"/>
        <w:bidi w:val="0"/>
        <w:spacing w:line="600" w:lineRule="exact"/>
        <w:ind w:firstLine="643" w:firstLineChars="200"/>
        <w:textAlignment w:val="auto"/>
        <w:rPr>
          <w:rFonts w:ascii="仿宋_GB2312" w:eastAsia="仿宋_GB2312"/>
          <w:sz w:val="32"/>
          <w:szCs w:val="32"/>
        </w:rPr>
      </w:pPr>
      <w:r>
        <w:rPr>
          <w:rFonts w:hint="eastAsia" w:ascii="仿宋" w:hAnsi="仿宋" w:eastAsia="仿宋"/>
          <w:b/>
          <w:sz w:val="32"/>
          <w:szCs w:val="32"/>
        </w:rPr>
        <w:t>国内公务接待支出0.09</w:t>
      </w:r>
      <w:r>
        <w:rPr>
          <w:rFonts w:hint="eastAsia" w:ascii="仿宋_GB2312" w:eastAsia="仿宋_GB2312"/>
          <w:sz w:val="32"/>
          <w:szCs w:val="32"/>
        </w:rPr>
        <w:t>万元，主要用于动物疫病春秋两季检查交流餐费。国内公务接待2批次，9人次（不包括陪同人员），共计支出0.09万元，具体内容包括：动物疫病防控检查餐费0.05万元，屠宰场非洲猪瘟环境样品抽样餐费0.04万元。</w:t>
      </w:r>
    </w:p>
    <w:p>
      <w:pPr>
        <w:pageBreakBefore w:val="0"/>
        <w:kinsoku/>
        <w:wordWrap/>
        <w:overflowPunct/>
        <w:topLinePunct w:val="0"/>
        <w:bidi w:val="0"/>
        <w:spacing w:line="600" w:lineRule="exact"/>
        <w:ind w:firstLine="643" w:firstLineChars="200"/>
        <w:textAlignment w:val="auto"/>
        <w:rPr>
          <w:rFonts w:hint="eastAsia" w:ascii="仿宋_GB2312" w:eastAsia="仿宋_GB2312"/>
          <w:sz w:val="32"/>
          <w:szCs w:val="32"/>
        </w:rPr>
      </w:pPr>
      <w:r>
        <w:rPr>
          <w:rFonts w:hint="eastAsia" w:ascii="仿宋" w:hAnsi="仿宋" w:eastAsia="仿宋"/>
          <w:b/>
          <w:sz w:val="32"/>
          <w:szCs w:val="32"/>
        </w:rPr>
        <w:t>外事接待支出0</w:t>
      </w:r>
      <w:r>
        <w:rPr>
          <w:rFonts w:hint="eastAsia" w:ascii="仿宋_GB2312" w:eastAsia="仿宋_GB2312"/>
          <w:sz w:val="32"/>
          <w:szCs w:val="32"/>
        </w:rPr>
        <w:t>万元。</w:t>
      </w:r>
    </w:p>
    <w:p>
      <w:pPr>
        <w:pageBreakBefore w:val="0"/>
        <w:kinsoku/>
        <w:wordWrap/>
        <w:overflowPunct/>
        <w:topLinePunct w:val="0"/>
        <w:bidi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外事接待0批次，0人次（不包括陪同人员），共计支出0万元。</w:t>
      </w:r>
      <w:bookmarkStart w:id="55" w:name="_Toc15396610"/>
      <w:bookmarkStart w:id="56" w:name="_Toc15377218"/>
    </w:p>
    <w:p>
      <w:pPr>
        <w:pageBreakBefore w:val="0"/>
        <w:kinsoku/>
        <w:wordWrap/>
        <w:overflowPunct/>
        <w:topLinePunct w:val="0"/>
        <w:bidi w:val="0"/>
        <w:spacing w:line="600" w:lineRule="exact"/>
        <w:ind w:firstLine="640" w:firstLineChars="200"/>
        <w:textAlignment w:val="auto"/>
        <w:outlineLvl w:val="1"/>
        <w:rPr>
          <w:rStyle w:val="25"/>
          <w:rFonts w:ascii="黑体" w:hAnsi="黑体" w:eastAsia="黑体"/>
        </w:rPr>
      </w:pPr>
      <w:bookmarkStart w:id="57" w:name="_Toc3802"/>
      <w:r>
        <w:rPr>
          <w:rFonts w:hint="eastAsia" w:ascii="黑体" w:eastAsia="黑体"/>
          <w:sz w:val="32"/>
          <w:szCs w:val="32"/>
        </w:rPr>
        <w:t>八、</w:t>
      </w:r>
      <w:r>
        <w:rPr>
          <w:rStyle w:val="25"/>
          <w:rFonts w:hint="eastAsia" w:ascii="黑体" w:hAnsi="黑体" w:eastAsia="黑体"/>
          <w:b w:val="0"/>
        </w:rPr>
        <w:t>政府性基金预算支出决算情况说明</w:t>
      </w:r>
      <w:bookmarkEnd w:id="55"/>
      <w:bookmarkEnd w:id="56"/>
      <w:bookmarkEnd w:id="57"/>
    </w:p>
    <w:p>
      <w:pPr>
        <w:pageBreakBefore w:val="0"/>
        <w:kinsoku/>
        <w:wordWrap/>
        <w:overflowPunct/>
        <w:topLinePunct w:val="0"/>
        <w:bidi w:val="0"/>
        <w:spacing w:line="600" w:lineRule="exact"/>
        <w:ind w:firstLine="640" w:firstLineChars="200"/>
        <w:textAlignment w:val="auto"/>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22年政府性基金预算财政拨款支出0万元。</w:t>
      </w:r>
    </w:p>
    <w:p>
      <w:pPr>
        <w:pageBreakBefore w:val="0"/>
        <w:numPr>
          <w:ilvl w:val="0"/>
          <w:numId w:val="2"/>
        </w:numPr>
        <w:kinsoku/>
        <w:wordWrap/>
        <w:overflowPunct/>
        <w:topLinePunct w:val="0"/>
        <w:bidi w:val="0"/>
        <w:spacing w:line="600" w:lineRule="exact"/>
        <w:ind w:firstLine="640" w:firstLineChars="200"/>
        <w:textAlignment w:val="auto"/>
        <w:outlineLvl w:val="1"/>
        <w:rPr>
          <w:rStyle w:val="25"/>
          <w:rFonts w:ascii="黑体" w:hAnsi="黑体" w:eastAsia="黑体"/>
          <w:b w:val="0"/>
        </w:rPr>
      </w:pPr>
      <w:bookmarkStart w:id="58" w:name="_Toc15377219"/>
      <w:bookmarkStart w:id="59" w:name="_Toc7906"/>
      <w:bookmarkStart w:id="60" w:name="_Toc15396611"/>
      <w:r>
        <w:rPr>
          <w:rStyle w:val="25"/>
          <w:rFonts w:hint="eastAsia" w:ascii="黑体" w:hAnsi="黑体" w:eastAsia="黑体"/>
          <w:b w:val="0"/>
        </w:rPr>
        <w:t>国有资本经营预算支出决算情况说明</w:t>
      </w:r>
      <w:bookmarkEnd w:id="58"/>
      <w:bookmarkEnd w:id="59"/>
      <w:bookmarkEnd w:id="60"/>
    </w:p>
    <w:p>
      <w:pPr>
        <w:pageBreakBefore w:val="0"/>
        <w:kinsoku/>
        <w:wordWrap/>
        <w:overflowPunct/>
        <w:topLinePunct w:val="0"/>
        <w:bidi w:val="0"/>
        <w:spacing w:line="600" w:lineRule="exact"/>
        <w:ind w:firstLine="640" w:firstLineChars="200"/>
        <w:textAlignment w:val="auto"/>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22年国有资本经营预算财政拨款支出0万元。</w:t>
      </w:r>
    </w:p>
    <w:p>
      <w:pPr>
        <w:pageBreakBefore w:val="0"/>
        <w:numPr>
          <w:ilvl w:val="0"/>
          <w:numId w:val="2"/>
        </w:numPr>
        <w:kinsoku/>
        <w:wordWrap/>
        <w:overflowPunct/>
        <w:topLinePunct w:val="0"/>
        <w:bidi w:val="0"/>
        <w:spacing w:line="600" w:lineRule="exact"/>
        <w:ind w:firstLine="640" w:firstLineChars="200"/>
        <w:textAlignment w:val="auto"/>
        <w:outlineLvl w:val="1"/>
        <w:rPr>
          <w:rStyle w:val="25"/>
          <w:rFonts w:ascii="黑体" w:hAnsi="黑体" w:eastAsia="黑体"/>
          <w:b w:val="0"/>
        </w:rPr>
      </w:pPr>
      <w:bookmarkStart w:id="61" w:name="_Toc7456"/>
      <w:bookmarkStart w:id="62" w:name="_Toc15377221"/>
      <w:bookmarkStart w:id="63" w:name="_Toc15396612"/>
      <w:r>
        <w:rPr>
          <w:rStyle w:val="25"/>
          <w:rFonts w:hint="eastAsia" w:ascii="黑体" w:hAnsi="黑体" w:eastAsia="黑体"/>
          <w:b w:val="0"/>
        </w:rPr>
        <w:t>其他重要事项的情况说明</w:t>
      </w:r>
      <w:bookmarkEnd w:id="61"/>
      <w:bookmarkEnd w:id="62"/>
      <w:bookmarkEnd w:id="63"/>
    </w:p>
    <w:p>
      <w:pPr>
        <w:pageBreakBefore w:val="0"/>
        <w:kinsoku/>
        <w:wordWrap/>
        <w:overflowPunct/>
        <w:topLinePunct w:val="0"/>
        <w:bidi w:val="0"/>
        <w:spacing w:line="600" w:lineRule="exact"/>
        <w:ind w:firstLine="643" w:firstLineChars="200"/>
        <w:textAlignment w:val="auto"/>
        <w:outlineLvl w:val="2"/>
        <w:rPr>
          <w:rFonts w:ascii="仿宋" w:hAnsi="仿宋" w:eastAsia="仿宋"/>
          <w:sz w:val="32"/>
          <w:szCs w:val="32"/>
        </w:rPr>
      </w:pPr>
      <w:bookmarkStart w:id="64" w:name="_Toc15377222"/>
      <w:r>
        <w:rPr>
          <w:rFonts w:hint="eastAsia" w:ascii="仿宋" w:hAnsi="仿宋" w:eastAsia="仿宋"/>
          <w:b/>
          <w:sz w:val="32"/>
          <w:szCs w:val="32"/>
        </w:rPr>
        <w:t>（一）机关运行经费支出情况</w:t>
      </w:r>
      <w:bookmarkEnd w:id="64"/>
    </w:p>
    <w:p>
      <w:pPr>
        <w:pageBreakBefore w:val="0"/>
        <w:kinsoku/>
        <w:wordWrap/>
        <w:overflowPunct/>
        <w:topLinePunct w:val="0"/>
        <w:bidi w:val="0"/>
        <w:spacing w:line="600" w:lineRule="exact"/>
        <w:ind w:firstLine="640" w:firstLineChars="200"/>
        <w:textAlignment w:val="auto"/>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22年，攀枝花市西区动物疫病预防控制中心机关运行经费支出0万元，与</w:t>
      </w:r>
      <w:r>
        <w:rPr>
          <w:rFonts w:ascii="仿宋_GB2312" w:eastAsia="仿宋_GB2312"/>
          <w:sz w:val="32"/>
          <w:szCs w:val="32"/>
        </w:rPr>
        <w:t>20</w:t>
      </w:r>
      <w:r>
        <w:rPr>
          <w:rFonts w:hint="eastAsia" w:ascii="仿宋_GB2312" w:eastAsia="仿宋_GB2312"/>
          <w:sz w:val="32"/>
          <w:szCs w:val="32"/>
        </w:rPr>
        <w:t>21年决算数持平。主要原因是事业单位无机关运行经费。</w:t>
      </w:r>
    </w:p>
    <w:p>
      <w:pPr>
        <w:pageBreakBefore w:val="0"/>
        <w:kinsoku/>
        <w:wordWrap/>
        <w:overflowPunct/>
        <w:topLinePunct w:val="0"/>
        <w:autoSpaceDE w:val="0"/>
        <w:autoSpaceDN w:val="0"/>
        <w:bidi w:val="0"/>
        <w:adjustRightInd w:val="0"/>
        <w:spacing w:line="600" w:lineRule="exact"/>
        <w:ind w:firstLine="643" w:firstLineChars="200"/>
        <w:jc w:val="left"/>
        <w:textAlignment w:val="auto"/>
        <w:outlineLvl w:val="2"/>
        <w:rPr>
          <w:rFonts w:ascii="仿宋" w:hAnsi="仿宋" w:eastAsia="仿宋"/>
          <w:b/>
          <w:sz w:val="32"/>
          <w:szCs w:val="32"/>
        </w:rPr>
      </w:pPr>
      <w:bookmarkStart w:id="65" w:name="_Toc15377223"/>
      <w:r>
        <w:rPr>
          <w:rFonts w:hint="eastAsia" w:ascii="仿宋" w:hAnsi="仿宋" w:eastAsia="仿宋"/>
          <w:b/>
          <w:sz w:val="32"/>
          <w:szCs w:val="32"/>
        </w:rPr>
        <w:t>（二）政府采购支出情况</w:t>
      </w:r>
      <w:bookmarkEnd w:id="65"/>
      <w:bookmarkStart w:id="102" w:name="_GoBack"/>
      <w:bookmarkEnd w:id="102"/>
    </w:p>
    <w:p>
      <w:pPr>
        <w:pageBreakBefore w:val="0"/>
        <w:kinsoku/>
        <w:wordWrap/>
        <w:overflowPunct/>
        <w:topLinePunct w:val="0"/>
        <w:bidi w:val="0"/>
        <w:spacing w:line="600" w:lineRule="exact"/>
        <w:ind w:firstLine="640" w:firstLineChars="200"/>
        <w:textAlignment w:val="auto"/>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22年，攀枝花市西区动物疫病预防控制中心政府采购支出总额0万元，其中：政府采购货物支出0万元、政府采购工程支出0万元、政府采购服务支出0万元。授予中小企业合同金额0万元，占政府采购支出总额的0</w:t>
      </w:r>
      <w:r>
        <w:rPr>
          <w:rFonts w:ascii="仿宋_GB2312" w:eastAsia="仿宋_GB2312"/>
          <w:sz w:val="32"/>
          <w:szCs w:val="32"/>
        </w:rPr>
        <w:t>%</w:t>
      </w:r>
      <w:r>
        <w:rPr>
          <w:rFonts w:hint="eastAsia" w:ascii="仿宋_GB2312" w:eastAsia="仿宋_GB2312"/>
          <w:sz w:val="32"/>
          <w:szCs w:val="32"/>
        </w:rPr>
        <w:t>，其中：授予小微企业合同金额0万元，占政府采购支出总额的0</w:t>
      </w:r>
      <w:r>
        <w:rPr>
          <w:rFonts w:ascii="仿宋_GB2312" w:eastAsia="仿宋_GB2312"/>
          <w:sz w:val="32"/>
          <w:szCs w:val="32"/>
        </w:rPr>
        <w:t>%</w:t>
      </w:r>
      <w:r>
        <w:rPr>
          <w:rFonts w:hint="eastAsia" w:ascii="仿宋_GB2312" w:eastAsia="仿宋_GB2312"/>
          <w:sz w:val="32"/>
          <w:szCs w:val="32"/>
        </w:rPr>
        <w:t>。</w:t>
      </w:r>
    </w:p>
    <w:p>
      <w:pPr>
        <w:pageBreakBefore w:val="0"/>
        <w:kinsoku/>
        <w:wordWrap/>
        <w:overflowPunct/>
        <w:topLinePunct w:val="0"/>
        <w:autoSpaceDE w:val="0"/>
        <w:autoSpaceDN w:val="0"/>
        <w:bidi w:val="0"/>
        <w:adjustRightInd w:val="0"/>
        <w:spacing w:line="600" w:lineRule="exact"/>
        <w:ind w:firstLine="643" w:firstLineChars="200"/>
        <w:jc w:val="left"/>
        <w:textAlignment w:val="auto"/>
        <w:outlineLvl w:val="2"/>
        <w:rPr>
          <w:rFonts w:ascii="仿宋" w:hAnsi="仿宋" w:eastAsia="仿宋"/>
          <w:b/>
          <w:sz w:val="32"/>
          <w:szCs w:val="32"/>
        </w:rPr>
      </w:pPr>
      <w:bookmarkStart w:id="66" w:name="_Toc15377224"/>
      <w:r>
        <w:rPr>
          <w:rFonts w:hint="eastAsia" w:ascii="仿宋" w:hAnsi="仿宋" w:eastAsia="仿宋"/>
          <w:b/>
          <w:sz w:val="32"/>
          <w:szCs w:val="32"/>
        </w:rPr>
        <w:t>（三）国有资产占有使用情况</w:t>
      </w:r>
      <w:bookmarkEnd w:id="66"/>
    </w:p>
    <w:p>
      <w:pPr>
        <w:pageBreakBefore w:val="0"/>
        <w:kinsoku/>
        <w:wordWrap/>
        <w:overflowPunct/>
        <w:topLinePunct w:val="0"/>
        <w:autoSpaceDE w:val="0"/>
        <w:autoSpaceDN w:val="0"/>
        <w:bidi w:val="0"/>
        <w:adjustRightInd w:val="0"/>
        <w:spacing w:line="60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日，攀枝花市西区动物疫病预防控制中心共有车辆1辆，其中：主要领导干部用车0辆、机要通信用车0辆、应急保障用车0辆、其他用车1辆，其他用车主要是用于动物疫病预防控制工作。单价</w:t>
      </w:r>
      <w:r>
        <w:rPr>
          <w:rFonts w:ascii="仿宋_GB2312" w:eastAsia="仿宋_GB2312"/>
          <w:sz w:val="32"/>
          <w:szCs w:val="32"/>
        </w:rPr>
        <w:t>100</w:t>
      </w:r>
      <w:r>
        <w:rPr>
          <w:rFonts w:hint="eastAsia" w:ascii="仿宋_GB2312" w:eastAsia="仿宋_GB2312"/>
          <w:sz w:val="32"/>
          <w:szCs w:val="32"/>
        </w:rPr>
        <w:t>万元以上专用设备0台（套）。</w:t>
      </w:r>
    </w:p>
    <w:p>
      <w:pPr>
        <w:pageBreakBefore w:val="0"/>
        <w:kinsoku/>
        <w:wordWrap/>
        <w:overflowPunct/>
        <w:topLinePunct w:val="0"/>
        <w:autoSpaceDE w:val="0"/>
        <w:autoSpaceDN w:val="0"/>
        <w:bidi w:val="0"/>
        <w:adjustRightInd w:val="0"/>
        <w:spacing w:line="600" w:lineRule="exact"/>
        <w:ind w:firstLine="643" w:firstLineChars="200"/>
        <w:jc w:val="left"/>
        <w:textAlignment w:val="auto"/>
        <w:outlineLvl w:val="2"/>
        <w:rPr>
          <w:rFonts w:ascii="仿宋" w:hAnsi="仿宋" w:eastAsia="仿宋"/>
          <w:b/>
          <w:sz w:val="32"/>
          <w:szCs w:val="32"/>
        </w:rPr>
      </w:pPr>
      <w:r>
        <w:rPr>
          <w:rFonts w:hint="eastAsia" w:ascii="仿宋" w:hAnsi="仿宋" w:eastAsia="仿宋"/>
          <w:b/>
          <w:sz w:val="32"/>
          <w:szCs w:val="32"/>
        </w:rPr>
        <w:t>（四）预算绩效管理情况</w:t>
      </w:r>
    </w:p>
    <w:p>
      <w:pPr>
        <w:pStyle w:val="2"/>
        <w:pageBreakBefore w:val="0"/>
        <w:kinsoku/>
        <w:wordWrap/>
        <w:overflowPunct/>
        <w:topLinePunct w:val="0"/>
        <w:bidi w:val="0"/>
        <w:spacing w:before="93"/>
        <w:ind w:firstLine="640" w:firstLineChars="200"/>
        <w:textAlignment w:val="auto"/>
        <w:rPr>
          <w:highlight w:val="yellow"/>
        </w:rPr>
      </w:pPr>
      <w:r>
        <w:rPr>
          <w:rFonts w:hint="eastAsia" w:hAnsi="仿宋_GB2312" w:cs="仿宋_GB2312"/>
          <w:sz w:val="32"/>
          <w:szCs w:val="32"/>
        </w:rPr>
        <w:t>根据预算绩效管理要求，本单位在2022年度预算编制阶段，组织对</w:t>
      </w:r>
      <w:r>
        <w:rPr>
          <w:rFonts w:hint="eastAsia" w:hAnsi="仿宋_GB2312" w:cs="仿宋_GB2312"/>
          <w:sz w:val="32"/>
          <w:szCs w:val="32"/>
          <w:lang w:val="en-US" w:eastAsia="zh-CN"/>
        </w:rPr>
        <w:t>0</w:t>
      </w:r>
      <w:r>
        <w:rPr>
          <w:rFonts w:hint="eastAsia" w:hAnsi="仿宋_GB2312" w:cs="仿宋_GB2312"/>
          <w:sz w:val="32"/>
          <w:szCs w:val="32"/>
        </w:rPr>
        <w:t>项目（项目名称）等</w:t>
      </w:r>
      <w:r>
        <w:rPr>
          <w:rFonts w:hint="eastAsia" w:hAnsi="仿宋_GB2312" w:cs="仿宋_GB2312"/>
          <w:sz w:val="32"/>
          <w:szCs w:val="32"/>
          <w:lang w:val="en-US" w:eastAsia="zh-CN"/>
        </w:rPr>
        <w:t>0</w:t>
      </w:r>
      <w:r>
        <w:rPr>
          <w:rFonts w:hint="eastAsia" w:hAnsi="仿宋_GB2312" w:cs="仿宋_GB2312"/>
          <w:sz w:val="32"/>
          <w:szCs w:val="32"/>
        </w:rPr>
        <w:t>个项目开展了预算事前绩效评估，对</w:t>
      </w:r>
      <w:r>
        <w:rPr>
          <w:rFonts w:hint="eastAsia" w:hAnsi="仿宋_GB2312" w:cs="仿宋_GB2312"/>
          <w:sz w:val="32"/>
          <w:szCs w:val="32"/>
          <w:lang w:val="en-US" w:eastAsia="zh-CN"/>
        </w:rPr>
        <w:t>0</w:t>
      </w:r>
      <w:r>
        <w:rPr>
          <w:rFonts w:hint="eastAsia" w:hAnsi="仿宋_GB2312" w:cs="仿宋_GB2312"/>
          <w:sz w:val="32"/>
          <w:szCs w:val="32"/>
        </w:rPr>
        <w:t>个项目编制了绩效目标，预算执行过程中，选取</w:t>
      </w:r>
      <w:r>
        <w:rPr>
          <w:rFonts w:hint="eastAsia" w:hAnsi="仿宋_GB2312" w:cs="仿宋_GB2312"/>
          <w:sz w:val="32"/>
          <w:szCs w:val="32"/>
          <w:lang w:val="en-US" w:eastAsia="zh-CN"/>
        </w:rPr>
        <w:t>0</w:t>
      </w:r>
      <w:r>
        <w:rPr>
          <w:rFonts w:hint="eastAsia" w:hAnsi="仿宋_GB2312" w:cs="仿宋_GB2312"/>
          <w:sz w:val="32"/>
          <w:szCs w:val="32"/>
        </w:rPr>
        <w:t>个项目开展绩效监控，组织对</w:t>
      </w:r>
      <w:r>
        <w:rPr>
          <w:rFonts w:hint="eastAsia" w:hAnsi="仿宋_GB2312" w:cs="仿宋_GB2312"/>
          <w:sz w:val="32"/>
          <w:szCs w:val="32"/>
          <w:lang w:val="en-US" w:eastAsia="zh-CN"/>
        </w:rPr>
        <w:t>0</w:t>
      </w:r>
      <w:r>
        <w:rPr>
          <w:rFonts w:hint="eastAsia" w:hAnsi="仿宋_GB2312" w:cs="仿宋_GB2312"/>
          <w:sz w:val="32"/>
          <w:szCs w:val="32"/>
        </w:rPr>
        <w:t>个项目开展绩效自评，绩效自评表详见第四部分附件。</w:t>
      </w:r>
    </w:p>
    <w:p>
      <w:pPr>
        <w:pageBreakBefore w:val="0"/>
        <w:widowControl/>
        <w:kinsoku/>
        <w:wordWrap/>
        <w:overflowPunct/>
        <w:topLinePunct w:val="0"/>
        <w:bidi w:val="0"/>
        <w:ind w:firstLine="643" w:firstLineChars="200"/>
        <w:jc w:val="left"/>
        <w:textAlignment w:val="auto"/>
        <w:rPr>
          <w:rFonts w:ascii="仿宋_GB2312" w:eastAsia="仿宋_GB2312"/>
          <w:b/>
          <w:sz w:val="32"/>
          <w:szCs w:val="32"/>
        </w:rPr>
      </w:pPr>
      <w:r>
        <w:rPr>
          <w:rFonts w:ascii="仿宋_GB2312" w:eastAsia="仿宋_GB2312"/>
          <w:b/>
          <w:sz w:val="32"/>
          <w:szCs w:val="32"/>
        </w:rPr>
        <w:br w:type="page"/>
      </w:r>
    </w:p>
    <w:p>
      <w:pPr>
        <w:pageBreakBefore w:val="0"/>
        <w:numPr>
          <w:ilvl w:val="0"/>
          <w:numId w:val="3"/>
        </w:numPr>
        <w:tabs>
          <w:tab w:val="left" w:pos="413"/>
        </w:tabs>
        <w:kinsoku/>
        <w:wordWrap/>
        <w:overflowPunct/>
        <w:topLinePunct w:val="0"/>
        <w:bidi w:val="0"/>
        <w:spacing w:line="600" w:lineRule="exact"/>
        <w:ind w:firstLine="880" w:firstLineChars="200"/>
        <w:jc w:val="center"/>
        <w:textAlignment w:val="auto"/>
        <w:outlineLvl w:val="0"/>
        <w:rPr>
          <w:rStyle w:val="24"/>
          <w:rFonts w:ascii="黑体" w:hAnsi="黑体" w:eastAsia="黑体"/>
          <w:b w:val="0"/>
        </w:rPr>
      </w:pPr>
      <w:bookmarkStart w:id="67" w:name="_Toc15377225"/>
      <w:bookmarkStart w:id="68" w:name="_Toc19801"/>
      <w:bookmarkStart w:id="69" w:name="_Toc15396613"/>
      <w:r>
        <w:rPr>
          <w:rFonts w:hint="eastAsia" w:ascii="黑体" w:hAnsi="黑体" w:eastAsia="黑体"/>
          <w:sz w:val="44"/>
          <w:szCs w:val="44"/>
        </w:rPr>
        <w:t>名</w:t>
      </w:r>
      <w:r>
        <w:rPr>
          <w:rStyle w:val="24"/>
          <w:rFonts w:hint="eastAsia" w:ascii="黑体" w:hAnsi="黑体" w:eastAsia="黑体"/>
          <w:b w:val="0"/>
        </w:rPr>
        <w:t>词解释</w:t>
      </w:r>
      <w:bookmarkEnd w:id="67"/>
      <w:bookmarkEnd w:id="68"/>
      <w:bookmarkEnd w:id="69"/>
    </w:p>
    <w:p>
      <w:pPr>
        <w:pageBreakBefore w:val="0"/>
        <w:kinsoku/>
        <w:wordWrap/>
        <w:overflowPunct/>
        <w:topLinePunct w:val="0"/>
        <w:bidi w:val="0"/>
        <w:spacing w:line="600" w:lineRule="exact"/>
        <w:ind w:firstLine="883" w:firstLineChars="200"/>
        <w:jc w:val="left"/>
        <w:textAlignment w:val="auto"/>
        <w:rPr>
          <w:rFonts w:ascii="宋体"/>
          <w:b/>
          <w:sz w:val="44"/>
          <w:szCs w:val="44"/>
        </w:rPr>
      </w:pPr>
    </w:p>
    <w:p>
      <w:pPr>
        <w:pStyle w:val="22"/>
        <w:pageBreakBefore w:val="0"/>
        <w:kinsoku/>
        <w:wordWrap/>
        <w:overflowPunct/>
        <w:topLinePunct w:val="0"/>
        <w:bidi w:val="0"/>
        <w:spacing w:line="560" w:lineRule="exact"/>
        <w:ind w:firstLine="640" w:firstLineChars="200"/>
        <w:textAlignment w:val="auto"/>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2"/>
        <w:pageBreakBefore w:val="0"/>
        <w:kinsoku/>
        <w:wordWrap/>
        <w:overflowPunct/>
        <w:topLinePunct w:val="0"/>
        <w:bidi w:val="0"/>
        <w:spacing w:line="560" w:lineRule="exact"/>
        <w:ind w:firstLine="640" w:firstLineChars="200"/>
        <w:textAlignment w:val="auto"/>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pPr>
        <w:pStyle w:val="22"/>
        <w:pageBreakBefore w:val="0"/>
        <w:kinsoku/>
        <w:wordWrap/>
        <w:overflowPunct/>
        <w:topLinePunct w:val="0"/>
        <w:bidi w:val="0"/>
        <w:spacing w:line="560" w:lineRule="exact"/>
        <w:ind w:firstLine="640" w:firstLineChars="200"/>
        <w:textAlignment w:val="auto"/>
        <w:rPr>
          <w:rFonts w:hint="eastAsia"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pPr>
        <w:pStyle w:val="22"/>
        <w:pageBreakBefore w:val="0"/>
        <w:kinsoku/>
        <w:wordWrap/>
        <w:overflowPunct/>
        <w:topLinePunct w:val="0"/>
        <w:bidi w:val="0"/>
        <w:spacing w:line="560" w:lineRule="exact"/>
        <w:ind w:firstLine="640" w:firstLineChars="200"/>
        <w:textAlignment w:val="auto"/>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w:t>
      </w:r>
    </w:p>
    <w:p>
      <w:pPr>
        <w:pStyle w:val="22"/>
        <w:pageBreakBefore w:val="0"/>
        <w:kinsoku/>
        <w:wordWrap/>
        <w:overflowPunct/>
        <w:topLinePunct w:val="0"/>
        <w:bidi w:val="0"/>
        <w:spacing w:line="560" w:lineRule="exact"/>
        <w:ind w:firstLine="640" w:firstLineChars="200"/>
        <w:textAlignment w:val="auto"/>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使用非财政拨款结余：指事业单位使用以前年度积累的非财政拨款结余弥补当年收支差额的金额。</w:t>
      </w:r>
    </w:p>
    <w:p>
      <w:pPr>
        <w:pStyle w:val="22"/>
        <w:pageBreakBefore w:val="0"/>
        <w:kinsoku/>
        <w:wordWrap/>
        <w:overflowPunct/>
        <w:topLinePunct w:val="0"/>
        <w:bidi w:val="0"/>
        <w:spacing w:line="560" w:lineRule="exact"/>
        <w:ind w:firstLine="640" w:firstLineChars="200"/>
        <w:textAlignment w:val="auto"/>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p>
    <w:p>
      <w:pPr>
        <w:pStyle w:val="22"/>
        <w:pageBreakBefore w:val="0"/>
        <w:kinsoku/>
        <w:wordWrap/>
        <w:overflowPunct/>
        <w:topLinePunct w:val="0"/>
        <w:bidi w:val="0"/>
        <w:spacing w:line="560" w:lineRule="exact"/>
        <w:ind w:firstLine="640" w:firstLineChars="200"/>
        <w:textAlignment w:val="auto"/>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22"/>
        <w:pageBreakBefore w:val="0"/>
        <w:kinsoku/>
        <w:wordWrap/>
        <w:overflowPunct/>
        <w:topLinePunct w:val="0"/>
        <w:bidi w:val="0"/>
        <w:spacing w:line="560" w:lineRule="exact"/>
        <w:ind w:firstLine="640" w:firstLineChars="200"/>
        <w:textAlignment w:val="auto"/>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pPr>
        <w:pageBreakBefore w:val="0"/>
        <w:kinsoku/>
        <w:wordWrap/>
        <w:overflowPunct/>
        <w:topLinePunct w:val="0"/>
        <w:bidi w:val="0"/>
        <w:spacing w:line="600" w:lineRule="exact"/>
        <w:ind w:firstLine="640" w:firstLineChars="200"/>
        <w:textAlignment w:val="auto"/>
        <w:rPr>
          <w:rStyle w:val="14"/>
          <w:rFonts w:ascii="仿宋_GB2312" w:hAnsi="仿宋" w:eastAsia="仿宋_GB2312"/>
          <w:b w:val="0"/>
          <w:bCs/>
          <w:sz w:val="32"/>
          <w:szCs w:val="32"/>
        </w:rPr>
      </w:pPr>
      <w:r>
        <w:rPr>
          <w:rFonts w:hint="eastAsia" w:ascii="仿宋_GB2312" w:eastAsia="仿宋_GB2312"/>
          <w:sz w:val="32"/>
          <w:szCs w:val="32"/>
        </w:rPr>
        <w:t>9</w:t>
      </w:r>
      <w:r>
        <w:rPr>
          <w:rFonts w:ascii="仿宋_GB2312" w:eastAsia="仿宋_GB2312"/>
          <w:sz w:val="32"/>
          <w:szCs w:val="32"/>
        </w:rPr>
        <w:t>.</w:t>
      </w:r>
      <w:r>
        <w:rPr>
          <w:rStyle w:val="14"/>
          <w:rFonts w:hint="eastAsia" w:ascii="仿宋_GB2312" w:hAnsi="仿宋" w:eastAsia="仿宋_GB2312"/>
          <w:b w:val="0"/>
          <w:bCs/>
          <w:sz w:val="32"/>
          <w:szCs w:val="32"/>
        </w:rPr>
        <w:t xml:space="preserve"> 社会保障和就业（类）行政事业单位养老支出（款）</w:t>
      </w:r>
    </w:p>
    <w:p>
      <w:pPr>
        <w:pageBreakBefore w:val="0"/>
        <w:kinsoku/>
        <w:wordWrap/>
        <w:overflowPunct/>
        <w:topLinePunct w:val="0"/>
        <w:bidi w:val="0"/>
        <w:ind w:firstLine="640" w:firstLineChars="200"/>
        <w:textAlignment w:val="auto"/>
        <w:rPr>
          <w:rFonts w:ascii="仿宋_GB2312" w:eastAsia="仿宋_GB2312"/>
          <w:sz w:val="32"/>
          <w:szCs w:val="32"/>
        </w:rPr>
      </w:pPr>
      <w:r>
        <w:rPr>
          <w:rStyle w:val="14"/>
          <w:rFonts w:hint="eastAsia" w:ascii="仿宋_GB2312" w:hAnsi="仿宋" w:eastAsia="仿宋_GB2312"/>
          <w:b w:val="0"/>
          <w:bCs/>
          <w:sz w:val="32"/>
          <w:szCs w:val="32"/>
        </w:rPr>
        <w:t>事业单位离退休（项）</w:t>
      </w:r>
      <w:r>
        <w:rPr>
          <w:rFonts w:hint="eastAsia" w:ascii="仿宋_GB2312" w:eastAsia="仿宋_GB2312"/>
          <w:sz w:val="32"/>
          <w:szCs w:val="32"/>
        </w:rPr>
        <w:t>：指事业单位退休人员支出费用。</w:t>
      </w:r>
    </w:p>
    <w:p>
      <w:pPr>
        <w:pageBreakBefore w:val="0"/>
        <w:kinsoku/>
        <w:wordWrap/>
        <w:overflowPunct/>
        <w:topLinePunct w:val="0"/>
        <w:bidi w:val="0"/>
        <w:spacing w:line="600" w:lineRule="exact"/>
        <w:ind w:firstLine="640" w:firstLineChars="200"/>
        <w:textAlignment w:val="auto"/>
        <w:rPr>
          <w:rStyle w:val="14"/>
          <w:rFonts w:ascii="仿宋_GB2312" w:hAnsi="仿宋" w:eastAsia="仿宋_GB2312"/>
          <w:b w:val="0"/>
          <w:bCs/>
          <w:sz w:val="32"/>
          <w:szCs w:val="32"/>
        </w:rPr>
      </w:pPr>
      <w:r>
        <w:rPr>
          <w:rStyle w:val="14"/>
          <w:rFonts w:hint="eastAsia" w:ascii="仿宋_GB2312" w:hAnsi="仿宋" w:eastAsia="仿宋_GB2312"/>
          <w:b w:val="0"/>
          <w:bCs/>
          <w:sz w:val="32"/>
          <w:szCs w:val="32"/>
        </w:rPr>
        <w:t>社会保障和就业（类）行政事业单位养老支出（款）</w:t>
      </w:r>
    </w:p>
    <w:p>
      <w:pPr>
        <w:pStyle w:val="2"/>
        <w:pageBreakBefore w:val="0"/>
        <w:kinsoku/>
        <w:wordWrap/>
        <w:overflowPunct/>
        <w:topLinePunct w:val="0"/>
        <w:bidi w:val="0"/>
        <w:spacing w:before="93"/>
        <w:ind w:firstLine="640" w:firstLineChars="200"/>
        <w:textAlignment w:val="auto"/>
      </w:pPr>
      <w:r>
        <w:rPr>
          <w:rStyle w:val="14"/>
          <w:rFonts w:hint="eastAsia" w:hAnsi="仿宋"/>
          <w:b w:val="0"/>
          <w:bCs/>
          <w:sz w:val="32"/>
          <w:szCs w:val="32"/>
        </w:rPr>
        <w:t>机关事业单位基本养老保险缴费支出（项）</w:t>
      </w:r>
      <w:r>
        <w:rPr>
          <w:rFonts w:hint="eastAsia"/>
        </w:rPr>
        <w:t>：指行政事业单位缴纳在职人员养老保险单位部分支出。</w:t>
      </w:r>
    </w:p>
    <w:p>
      <w:pPr>
        <w:pageBreakBefore w:val="0"/>
        <w:kinsoku/>
        <w:wordWrap/>
        <w:overflowPunct/>
        <w:topLinePunct w:val="0"/>
        <w:bidi w:val="0"/>
        <w:spacing w:line="600" w:lineRule="exact"/>
        <w:ind w:firstLine="640" w:firstLineChars="200"/>
        <w:textAlignment w:val="auto"/>
        <w:rPr>
          <w:rStyle w:val="14"/>
          <w:rFonts w:ascii="仿宋_GB2312" w:hAnsi="仿宋" w:eastAsia="仿宋_GB2312"/>
          <w:b w:val="0"/>
          <w:bCs/>
          <w:sz w:val="32"/>
          <w:szCs w:val="32"/>
        </w:rPr>
      </w:pPr>
      <w:r>
        <w:rPr>
          <w:rFonts w:ascii="仿宋_GB2312" w:eastAsia="仿宋_GB2312"/>
          <w:sz w:val="32"/>
          <w:szCs w:val="32"/>
        </w:rPr>
        <w:t>1</w:t>
      </w:r>
      <w:r>
        <w:rPr>
          <w:rFonts w:hint="eastAsia" w:ascii="仿宋_GB2312" w:eastAsia="仿宋_GB2312"/>
          <w:sz w:val="32"/>
          <w:szCs w:val="32"/>
        </w:rPr>
        <w:t>0</w:t>
      </w:r>
      <w:r>
        <w:rPr>
          <w:rFonts w:ascii="仿宋_GB2312" w:eastAsia="仿宋_GB2312"/>
          <w:sz w:val="32"/>
          <w:szCs w:val="32"/>
        </w:rPr>
        <w:t>.</w:t>
      </w:r>
      <w:r>
        <w:rPr>
          <w:rFonts w:hint="eastAsia" w:ascii="仿宋_GB2312" w:hAnsi="仿宋" w:eastAsia="仿宋_GB2312"/>
          <w:bCs/>
          <w:sz w:val="32"/>
          <w:szCs w:val="32"/>
        </w:rPr>
        <w:t>卫生健康</w:t>
      </w:r>
      <w:r>
        <w:rPr>
          <w:rStyle w:val="14"/>
          <w:rFonts w:hint="eastAsia" w:ascii="仿宋_GB2312" w:hAnsi="仿宋" w:eastAsia="仿宋_GB2312"/>
          <w:b w:val="0"/>
          <w:bCs/>
          <w:sz w:val="32"/>
          <w:szCs w:val="32"/>
        </w:rPr>
        <w:t>（类）行政事业单位医疗（款）事业单位医疗（项）:指事业单位缴纳在职人员医疗保险单位部分支出。</w:t>
      </w:r>
    </w:p>
    <w:p>
      <w:pPr>
        <w:pageBreakBefore w:val="0"/>
        <w:kinsoku/>
        <w:wordWrap/>
        <w:overflowPunct/>
        <w:topLinePunct w:val="0"/>
        <w:bidi w:val="0"/>
        <w:ind w:firstLine="640" w:firstLineChars="200"/>
        <w:textAlignment w:val="auto"/>
        <w:rPr>
          <w:rFonts w:ascii="仿宋_GB2312" w:eastAsia="仿宋_GB2312"/>
          <w:sz w:val="32"/>
          <w:szCs w:val="32"/>
        </w:rPr>
      </w:pPr>
      <w:r>
        <w:rPr>
          <w:rFonts w:hint="eastAsia" w:hAnsi="仿宋"/>
          <w:bCs/>
          <w:sz w:val="32"/>
          <w:szCs w:val="32"/>
        </w:rPr>
        <w:t>卫生健康</w:t>
      </w:r>
      <w:r>
        <w:rPr>
          <w:rStyle w:val="14"/>
          <w:rFonts w:hint="eastAsia" w:hAnsi="仿宋"/>
          <w:b w:val="0"/>
          <w:bCs/>
          <w:sz w:val="32"/>
          <w:szCs w:val="32"/>
        </w:rPr>
        <w:t>（类）行政事业单位医疗（款）</w:t>
      </w:r>
      <w:r>
        <w:rPr>
          <w:rStyle w:val="14"/>
          <w:rFonts w:hint="eastAsia" w:ascii="仿宋" w:hAnsi="仿宋" w:eastAsia="仿宋"/>
          <w:bCs/>
          <w:sz w:val="32"/>
          <w:szCs w:val="32"/>
        </w:rPr>
        <w:t>其他行政事业单位医疗支出</w:t>
      </w:r>
      <w:r>
        <w:rPr>
          <w:rStyle w:val="14"/>
          <w:rFonts w:hint="eastAsia" w:hAnsi="仿宋"/>
          <w:b w:val="0"/>
          <w:bCs/>
          <w:sz w:val="32"/>
          <w:szCs w:val="32"/>
        </w:rPr>
        <w:t>（项）:</w:t>
      </w:r>
      <w:r>
        <w:rPr>
          <w:rStyle w:val="14"/>
          <w:rFonts w:hint="eastAsia" w:ascii="仿宋" w:hAnsi="仿宋" w:eastAsia="仿宋"/>
          <w:b w:val="0"/>
          <w:bCs/>
          <w:sz w:val="32"/>
          <w:szCs w:val="32"/>
        </w:rPr>
        <w:t>指行政事业单位缴纳在职人员医疗补助部分。</w:t>
      </w:r>
    </w:p>
    <w:p>
      <w:pPr>
        <w:pageBreakBefore w:val="0"/>
        <w:kinsoku/>
        <w:wordWrap/>
        <w:overflowPunct/>
        <w:topLinePunct w:val="0"/>
        <w:bidi w:val="0"/>
        <w:spacing w:line="600" w:lineRule="exact"/>
        <w:ind w:firstLine="640" w:firstLineChars="200"/>
        <w:textAlignment w:val="auto"/>
        <w:rPr>
          <w:rStyle w:val="14"/>
          <w:rFonts w:ascii="仿宋" w:hAnsi="仿宋" w:eastAsia="仿宋"/>
          <w:bCs/>
          <w:sz w:val="32"/>
          <w:szCs w:val="32"/>
        </w:rPr>
      </w:pPr>
      <w:r>
        <w:rPr>
          <w:rFonts w:ascii="仿宋_GB2312" w:eastAsia="仿宋_GB2312"/>
          <w:sz w:val="32"/>
          <w:szCs w:val="32"/>
        </w:rPr>
        <w:t>1</w:t>
      </w:r>
      <w:r>
        <w:rPr>
          <w:rFonts w:hint="eastAsia" w:ascii="仿宋_GB2312" w:eastAsia="仿宋_GB2312"/>
          <w:sz w:val="32"/>
          <w:szCs w:val="32"/>
        </w:rPr>
        <w:t>1</w:t>
      </w:r>
      <w:r>
        <w:rPr>
          <w:rFonts w:ascii="仿宋_GB2312" w:eastAsia="仿宋_GB2312"/>
          <w:sz w:val="32"/>
          <w:szCs w:val="32"/>
        </w:rPr>
        <w:t>.</w:t>
      </w:r>
      <w:r>
        <w:rPr>
          <w:rFonts w:hint="eastAsia" w:ascii="仿宋" w:hAnsi="仿宋" w:eastAsia="仿宋"/>
          <w:b/>
          <w:bCs/>
          <w:sz w:val="32"/>
          <w:szCs w:val="32"/>
        </w:rPr>
        <w:t>农林水支出（类）农业农村（款）事业运行（项）：</w:t>
      </w:r>
      <w:r>
        <w:rPr>
          <w:rStyle w:val="14"/>
          <w:rFonts w:hint="eastAsia" w:ascii="仿宋" w:hAnsi="仿宋" w:eastAsia="仿宋"/>
          <w:b w:val="0"/>
          <w:bCs/>
          <w:sz w:val="32"/>
          <w:szCs w:val="32"/>
        </w:rPr>
        <w:t>指事业单位基本支出。</w:t>
      </w:r>
    </w:p>
    <w:p>
      <w:pPr>
        <w:pageBreakBefore w:val="0"/>
        <w:kinsoku/>
        <w:wordWrap/>
        <w:overflowPunct/>
        <w:topLinePunct w:val="0"/>
        <w:bidi w:val="0"/>
        <w:spacing w:line="600" w:lineRule="exact"/>
        <w:ind w:firstLine="643" w:firstLineChars="200"/>
        <w:textAlignment w:val="auto"/>
        <w:rPr>
          <w:rStyle w:val="14"/>
          <w:rFonts w:ascii="仿宋" w:hAnsi="仿宋" w:eastAsia="仿宋"/>
          <w:bCs/>
          <w:sz w:val="32"/>
          <w:szCs w:val="32"/>
        </w:rPr>
      </w:pPr>
      <w:r>
        <w:rPr>
          <w:rFonts w:hint="eastAsia" w:ascii="仿宋" w:hAnsi="仿宋" w:eastAsia="仿宋"/>
          <w:b/>
          <w:bCs/>
          <w:sz w:val="32"/>
          <w:szCs w:val="32"/>
        </w:rPr>
        <w:t>农林水支出（类）农业农村（款）其他农业农村支出（项）：</w:t>
      </w:r>
      <w:r>
        <w:rPr>
          <w:rStyle w:val="14"/>
          <w:rFonts w:hint="eastAsia" w:ascii="仿宋" w:hAnsi="仿宋" w:eastAsia="仿宋"/>
          <w:b w:val="0"/>
          <w:bCs/>
          <w:sz w:val="32"/>
          <w:szCs w:val="32"/>
        </w:rPr>
        <w:t>指</w:t>
      </w:r>
      <w:r>
        <w:rPr>
          <w:rFonts w:hint="eastAsia" w:ascii="仿宋_GB2312" w:eastAsia="仿宋_GB2312"/>
          <w:sz w:val="32"/>
          <w:szCs w:val="32"/>
        </w:rPr>
        <w:t>动物疫病预防控制项目经费</w:t>
      </w:r>
      <w:r>
        <w:rPr>
          <w:rStyle w:val="14"/>
          <w:rFonts w:hint="eastAsia" w:ascii="仿宋" w:hAnsi="仿宋" w:eastAsia="仿宋"/>
          <w:b w:val="0"/>
          <w:bCs/>
          <w:sz w:val="32"/>
          <w:szCs w:val="32"/>
        </w:rPr>
        <w:t>。</w:t>
      </w:r>
    </w:p>
    <w:p>
      <w:pPr>
        <w:pageBreakBefore w:val="0"/>
        <w:kinsoku/>
        <w:wordWrap/>
        <w:overflowPunct/>
        <w:topLinePunct w:val="0"/>
        <w:bidi w:val="0"/>
        <w:ind w:firstLine="640" w:firstLineChars="200"/>
        <w:textAlignment w:val="auto"/>
        <w:rPr>
          <w:rFonts w:ascii="仿宋_GB2312" w:eastAsia="仿宋_GB2312"/>
          <w:sz w:val="32"/>
          <w:szCs w:val="32"/>
        </w:rPr>
      </w:pPr>
      <w:r>
        <w:rPr>
          <w:rFonts w:hint="eastAsia" w:ascii="仿宋_GB2312" w:eastAsia="仿宋_GB2312"/>
          <w:sz w:val="32"/>
          <w:szCs w:val="32"/>
        </w:rPr>
        <w:t>农林水（类）农业农村（款）病虫害控制（项）：指动物疫病预防控制项目经费。</w:t>
      </w:r>
    </w:p>
    <w:p>
      <w:pPr>
        <w:pageBreakBefore w:val="0"/>
        <w:kinsoku/>
        <w:wordWrap/>
        <w:overflowPunct/>
        <w:topLinePunct w:val="0"/>
        <w:bidi w:val="0"/>
        <w:ind w:firstLine="640" w:firstLineChars="200"/>
        <w:textAlignment w:val="auto"/>
        <w:rPr>
          <w:rFonts w:ascii="仿宋_GB2312" w:eastAsia="仿宋_GB2312"/>
          <w:sz w:val="32"/>
          <w:szCs w:val="32"/>
        </w:rPr>
      </w:pPr>
      <w:r>
        <w:rPr>
          <w:rFonts w:hint="eastAsia" w:ascii="仿宋_GB2312" w:eastAsia="仿宋_GB2312"/>
          <w:sz w:val="32"/>
          <w:szCs w:val="32"/>
        </w:rPr>
        <w:t>12</w:t>
      </w:r>
      <w:r>
        <w:rPr>
          <w:rFonts w:ascii="仿宋_GB2312" w:eastAsia="仿宋_GB2312"/>
          <w:sz w:val="32"/>
          <w:szCs w:val="32"/>
        </w:rPr>
        <w:t>.</w:t>
      </w:r>
      <w:r>
        <w:rPr>
          <w:rFonts w:hint="eastAsia" w:ascii="仿宋_GB2312" w:eastAsia="仿宋_GB2312"/>
          <w:sz w:val="32"/>
          <w:szCs w:val="32"/>
        </w:rPr>
        <w:t>住房保障支出（类）住房改革支出（款）住房公积金（项）：指行政事业单位缴纳在职人员公积金单位部分。</w:t>
      </w:r>
    </w:p>
    <w:p>
      <w:pPr>
        <w:pageBreakBefore w:val="0"/>
        <w:kinsoku/>
        <w:wordWrap/>
        <w:overflowPunct/>
        <w:topLinePunct w:val="0"/>
        <w:bidi w:val="0"/>
        <w:ind w:firstLine="640" w:firstLineChars="200"/>
        <w:textAlignment w:val="auto"/>
        <w:rPr>
          <w:rFonts w:ascii="仿宋_GB2312" w:eastAsia="仿宋_GB2312"/>
          <w:sz w:val="32"/>
          <w:szCs w:val="32"/>
        </w:rPr>
      </w:pPr>
      <w:r>
        <w:rPr>
          <w:rFonts w:hint="eastAsia" w:ascii="仿宋_GB2312" w:eastAsia="仿宋_GB2312"/>
          <w:sz w:val="32"/>
          <w:szCs w:val="32"/>
        </w:rPr>
        <w:t>13</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pageBreakBefore w:val="0"/>
        <w:kinsoku/>
        <w:wordWrap/>
        <w:overflowPunct/>
        <w:topLinePunct w:val="0"/>
        <w:bidi w:val="0"/>
        <w:ind w:firstLine="640" w:firstLineChars="200"/>
        <w:textAlignment w:val="auto"/>
        <w:rPr>
          <w:rFonts w:ascii="仿宋_GB2312" w:eastAsia="仿宋_GB2312"/>
          <w:sz w:val="32"/>
          <w:szCs w:val="32"/>
        </w:rPr>
      </w:pPr>
      <w:r>
        <w:rPr>
          <w:rFonts w:hint="eastAsia" w:ascii="仿宋_GB2312" w:eastAsia="仿宋_GB2312"/>
          <w:sz w:val="32"/>
          <w:szCs w:val="32"/>
        </w:rPr>
        <w:t>14</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p>
    <w:p>
      <w:pPr>
        <w:pageBreakBefore w:val="0"/>
        <w:kinsoku/>
        <w:wordWrap/>
        <w:overflowPunct/>
        <w:topLinePunct w:val="0"/>
        <w:bidi w:val="0"/>
        <w:ind w:firstLine="640" w:firstLineChars="200"/>
        <w:textAlignment w:val="auto"/>
        <w:rPr>
          <w:rFonts w:ascii="仿宋_GB2312" w:eastAsia="仿宋_GB2312"/>
          <w:sz w:val="32"/>
          <w:szCs w:val="32"/>
        </w:rPr>
      </w:pPr>
      <w:r>
        <w:rPr>
          <w:rFonts w:hint="eastAsia" w:ascii="仿宋_GB2312" w:eastAsia="仿宋_GB2312"/>
          <w:sz w:val="32"/>
          <w:szCs w:val="32"/>
        </w:rPr>
        <w:t>15</w:t>
      </w:r>
      <w:r>
        <w:rPr>
          <w:rFonts w:ascii="仿宋_GB2312" w:eastAsia="仿宋_GB2312"/>
          <w:sz w:val="32"/>
          <w:szCs w:val="32"/>
        </w:rPr>
        <w:t>.</w:t>
      </w:r>
      <w:r>
        <w:rPr>
          <w:rFonts w:hint="eastAsia" w:ascii="仿宋_GB2312" w:eastAsia="仿宋_GB2312"/>
          <w:sz w:val="32"/>
          <w:szCs w:val="32"/>
        </w:rPr>
        <w:t>经营支出：指事业单位在专业业务活动及其辅助活动之外开展非独立核算经营活动发生的支出。</w:t>
      </w:r>
    </w:p>
    <w:p>
      <w:pPr>
        <w:pStyle w:val="22"/>
        <w:pageBreakBefore w:val="0"/>
        <w:kinsoku/>
        <w:wordWrap/>
        <w:overflowPunct/>
        <w:topLinePunct w:val="0"/>
        <w:bidi w:val="0"/>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16</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pageBreakBefore w:val="0"/>
        <w:kinsoku/>
        <w:wordWrap/>
        <w:overflowPunct/>
        <w:topLinePunct w:val="0"/>
        <w:bidi w:val="0"/>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17</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pageBreakBefore w:val="0"/>
        <w:kinsoku/>
        <w:wordWrap/>
        <w:overflowPunct/>
        <w:topLinePunct w:val="0"/>
        <w:bidi w:val="0"/>
        <w:spacing w:line="560" w:lineRule="exact"/>
        <w:ind w:firstLine="640" w:firstLineChars="200"/>
        <w:textAlignment w:val="auto"/>
        <w:rPr>
          <w:rFonts w:ascii="仿宋_GB2312" w:eastAsia="仿宋_GB2312" w:cs="黑体"/>
          <w:color w:val="auto"/>
          <w:sz w:val="32"/>
          <w:szCs w:val="32"/>
        </w:rPr>
      </w:pPr>
    </w:p>
    <w:p>
      <w:pPr>
        <w:pageBreakBefore w:val="0"/>
        <w:kinsoku/>
        <w:wordWrap/>
        <w:overflowPunct/>
        <w:topLinePunct w:val="0"/>
        <w:bidi w:val="0"/>
        <w:spacing w:line="600" w:lineRule="exact"/>
        <w:jc w:val="center"/>
        <w:textAlignment w:val="auto"/>
        <w:outlineLvl w:val="0"/>
        <w:rPr>
          <w:rStyle w:val="24"/>
          <w:rFonts w:ascii="黑体" w:hAnsi="黑体" w:eastAsia="黑体"/>
          <w:b w:val="0"/>
        </w:rPr>
      </w:pPr>
      <w:bookmarkStart w:id="70" w:name="_Toc15377226"/>
      <w:r>
        <w:rPr>
          <w:rFonts w:ascii="宋体"/>
          <w:b/>
          <w:sz w:val="44"/>
          <w:szCs w:val="44"/>
        </w:rPr>
        <w:br w:type="page"/>
      </w:r>
      <w:bookmarkStart w:id="71" w:name="_Toc15396614"/>
      <w:bookmarkStart w:id="72" w:name="_Toc23048"/>
      <w:r>
        <w:rPr>
          <w:rFonts w:hint="eastAsia" w:ascii="黑体" w:hAnsi="黑体" w:eastAsia="黑体"/>
          <w:sz w:val="44"/>
          <w:szCs w:val="44"/>
        </w:rPr>
        <w:t>第</w:t>
      </w:r>
      <w:r>
        <w:rPr>
          <w:rStyle w:val="24"/>
          <w:rFonts w:hint="eastAsia" w:ascii="黑体" w:hAnsi="黑体" w:eastAsia="黑体"/>
          <w:b w:val="0"/>
        </w:rPr>
        <w:t>四部分 附件</w:t>
      </w:r>
      <w:bookmarkEnd w:id="71"/>
      <w:bookmarkEnd w:id="72"/>
    </w:p>
    <w:p>
      <w:pPr>
        <w:pageBreakBefore w:val="0"/>
        <w:kinsoku/>
        <w:wordWrap/>
        <w:overflowPunct/>
        <w:topLinePunct w:val="0"/>
        <w:bidi w:val="0"/>
        <w:spacing w:line="600" w:lineRule="exact"/>
        <w:jc w:val="both"/>
        <w:textAlignment w:val="auto"/>
        <w:outlineLvl w:val="0"/>
        <w:rPr>
          <w:rFonts w:hint="eastAsia" w:ascii="宋体" w:hAnsi="宋体" w:cs="宋体"/>
          <w:kern w:val="0"/>
          <w:sz w:val="32"/>
          <w:szCs w:val="32"/>
        </w:rPr>
      </w:pPr>
      <w:bookmarkStart w:id="73" w:name="_Toc16729"/>
      <w:bookmarkStart w:id="74" w:name="_Toc15396618"/>
    </w:p>
    <w:p>
      <w:pPr>
        <w:pageBreakBefore w:val="0"/>
        <w:kinsoku/>
        <w:wordWrap/>
        <w:overflowPunct/>
        <w:topLinePunct w:val="0"/>
        <w:bidi w:val="0"/>
        <w:spacing w:line="600" w:lineRule="exact"/>
        <w:ind w:firstLine="640" w:firstLineChars="200"/>
        <w:jc w:val="both"/>
        <w:textAlignment w:val="auto"/>
        <w:outlineLvl w:val="0"/>
        <w:rPr>
          <w:rFonts w:ascii="宋体" w:hAnsi="宋体" w:cs="宋体"/>
          <w:kern w:val="0"/>
          <w:sz w:val="32"/>
          <w:szCs w:val="32"/>
        </w:rPr>
      </w:pPr>
      <w:r>
        <w:rPr>
          <w:rFonts w:hint="eastAsia" w:ascii="宋体" w:hAnsi="宋体" w:cs="宋体"/>
          <w:kern w:val="0"/>
          <w:sz w:val="32"/>
          <w:szCs w:val="32"/>
        </w:rPr>
        <w:t>部门预算项目支出绩效自评表（2022年度）见附件</w:t>
      </w:r>
      <w:bookmarkEnd w:id="73"/>
    </w:p>
    <w:p>
      <w:pPr>
        <w:pageBreakBefore w:val="0"/>
        <w:kinsoku/>
        <w:wordWrap/>
        <w:overflowPunct/>
        <w:topLinePunct w:val="0"/>
        <w:bidi w:val="0"/>
        <w:spacing w:line="600" w:lineRule="exact"/>
        <w:ind w:firstLine="640" w:firstLineChars="200"/>
        <w:jc w:val="left"/>
        <w:textAlignment w:val="auto"/>
        <w:outlineLvl w:val="9"/>
        <w:rPr>
          <w:rFonts w:ascii="仿宋_GB2312" w:hAnsi="Calibri" w:eastAsia="仿宋_GB2312" w:cs="仿宋"/>
          <w:kern w:val="0"/>
          <w:sz w:val="32"/>
          <w:szCs w:val="32"/>
        </w:rPr>
      </w:pPr>
    </w:p>
    <w:p>
      <w:pPr>
        <w:pStyle w:val="2"/>
        <w:pageBreakBefore w:val="0"/>
        <w:kinsoku/>
        <w:wordWrap/>
        <w:overflowPunct/>
        <w:topLinePunct w:val="0"/>
        <w:bidi w:val="0"/>
        <w:spacing w:before="93"/>
        <w:ind w:firstLine="640" w:firstLineChars="200"/>
        <w:textAlignment w:val="auto"/>
        <w:rPr>
          <w:rFonts w:hAnsi="Calibri" w:cs="仿宋"/>
          <w:sz w:val="32"/>
          <w:szCs w:val="32"/>
        </w:rPr>
      </w:pPr>
    </w:p>
    <w:p>
      <w:pPr>
        <w:pStyle w:val="2"/>
        <w:pageBreakBefore w:val="0"/>
        <w:kinsoku/>
        <w:wordWrap/>
        <w:overflowPunct/>
        <w:topLinePunct w:val="0"/>
        <w:bidi w:val="0"/>
        <w:spacing w:before="93"/>
        <w:ind w:firstLine="640" w:firstLineChars="200"/>
        <w:textAlignment w:val="auto"/>
        <w:rPr>
          <w:rFonts w:hAnsi="Calibri" w:cs="仿宋"/>
          <w:sz w:val="32"/>
          <w:szCs w:val="32"/>
        </w:rPr>
      </w:pPr>
    </w:p>
    <w:p>
      <w:pPr>
        <w:pStyle w:val="2"/>
        <w:pageBreakBefore w:val="0"/>
        <w:kinsoku/>
        <w:wordWrap/>
        <w:overflowPunct/>
        <w:topLinePunct w:val="0"/>
        <w:bidi w:val="0"/>
        <w:spacing w:before="93"/>
        <w:ind w:firstLine="640" w:firstLineChars="200"/>
        <w:textAlignment w:val="auto"/>
        <w:rPr>
          <w:rFonts w:hAnsi="Calibri" w:cs="仿宋"/>
          <w:sz w:val="32"/>
          <w:szCs w:val="32"/>
        </w:rPr>
      </w:pPr>
    </w:p>
    <w:p>
      <w:pPr>
        <w:pStyle w:val="2"/>
        <w:pageBreakBefore w:val="0"/>
        <w:kinsoku/>
        <w:wordWrap/>
        <w:overflowPunct/>
        <w:topLinePunct w:val="0"/>
        <w:bidi w:val="0"/>
        <w:spacing w:before="93"/>
        <w:ind w:firstLine="640" w:firstLineChars="200"/>
        <w:textAlignment w:val="auto"/>
        <w:rPr>
          <w:rFonts w:hAnsi="Calibri" w:cs="仿宋"/>
          <w:sz w:val="32"/>
          <w:szCs w:val="32"/>
        </w:rPr>
      </w:pPr>
    </w:p>
    <w:p>
      <w:pPr>
        <w:pStyle w:val="2"/>
        <w:pageBreakBefore w:val="0"/>
        <w:kinsoku/>
        <w:wordWrap/>
        <w:overflowPunct/>
        <w:topLinePunct w:val="0"/>
        <w:bidi w:val="0"/>
        <w:spacing w:before="93"/>
        <w:ind w:firstLine="640" w:firstLineChars="200"/>
        <w:textAlignment w:val="auto"/>
        <w:rPr>
          <w:rFonts w:hAnsi="Calibri" w:cs="仿宋"/>
          <w:sz w:val="32"/>
          <w:szCs w:val="32"/>
        </w:rPr>
      </w:pPr>
    </w:p>
    <w:p>
      <w:pPr>
        <w:pStyle w:val="2"/>
        <w:pageBreakBefore w:val="0"/>
        <w:kinsoku/>
        <w:wordWrap/>
        <w:overflowPunct/>
        <w:topLinePunct w:val="0"/>
        <w:bidi w:val="0"/>
        <w:spacing w:before="93"/>
        <w:ind w:firstLine="640" w:firstLineChars="200"/>
        <w:textAlignment w:val="auto"/>
        <w:rPr>
          <w:rFonts w:hAnsi="Calibri" w:cs="仿宋"/>
          <w:sz w:val="32"/>
          <w:szCs w:val="32"/>
        </w:rPr>
      </w:pPr>
    </w:p>
    <w:p>
      <w:pPr>
        <w:pStyle w:val="2"/>
        <w:pageBreakBefore w:val="0"/>
        <w:kinsoku/>
        <w:wordWrap/>
        <w:overflowPunct/>
        <w:topLinePunct w:val="0"/>
        <w:bidi w:val="0"/>
        <w:spacing w:before="93"/>
        <w:ind w:firstLine="640" w:firstLineChars="200"/>
        <w:textAlignment w:val="auto"/>
        <w:rPr>
          <w:rFonts w:hAnsi="Calibri" w:cs="仿宋"/>
          <w:sz w:val="32"/>
          <w:szCs w:val="32"/>
        </w:rPr>
      </w:pPr>
    </w:p>
    <w:p>
      <w:pPr>
        <w:pStyle w:val="2"/>
        <w:pageBreakBefore w:val="0"/>
        <w:kinsoku/>
        <w:wordWrap/>
        <w:overflowPunct/>
        <w:topLinePunct w:val="0"/>
        <w:bidi w:val="0"/>
        <w:spacing w:before="93"/>
        <w:ind w:firstLine="640" w:firstLineChars="200"/>
        <w:textAlignment w:val="auto"/>
        <w:rPr>
          <w:rFonts w:hAnsi="Calibri" w:cs="仿宋"/>
          <w:sz w:val="32"/>
          <w:szCs w:val="32"/>
        </w:rPr>
      </w:pPr>
    </w:p>
    <w:p>
      <w:pPr>
        <w:pStyle w:val="2"/>
        <w:pageBreakBefore w:val="0"/>
        <w:kinsoku/>
        <w:wordWrap/>
        <w:overflowPunct/>
        <w:topLinePunct w:val="0"/>
        <w:bidi w:val="0"/>
        <w:spacing w:before="93"/>
        <w:ind w:firstLine="640" w:firstLineChars="200"/>
        <w:textAlignment w:val="auto"/>
        <w:rPr>
          <w:rFonts w:hAnsi="Calibri" w:cs="仿宋"/>
          <w:sz w:val="32"/>
          <w:szCs w:val="32"/>
        </w:rPr>
      </w:pPr>
    </w:p>
    <w:p>
      <w:pPr>
        <w:pStyle w:val="2"/>
        <w:pageBreakBefore w:val="0"/>
        <w:kinsoku/>
        <w:wordWrap/>
        <w:overflowPunct/>
        <w:topLinePunct w:val="0"/>
        <w:bidi w:val="0"/>
        <w:spacing w:before="93"/>
        <w:ind w:firstLine="640" w:firstLineChars="200"/>
        <w:textAlignment w:val="auto"/>
        <w:rPr>
          <w:rFonts w:hAnsi="Calibri" w:cs="仿宋"/>
          <w:sz w:val="32"/>
          <w:szCs w:val="32"/>
        </w:rPr>
      </w:pPr>
    </w:p>
    <w:p>
      <w:pPr>
        <w:pStyle w:val="2"/>
        <w:pageBreakBefore w:val="0"/>
        <w:kinsoku/>
        <w:wordWrap/>
        <w:overflowPunct/>
        <w:topLinePunct w:val="0"/>
        <w:bidi w:val="0"/>
        <w:spacing w:before="93"/>
        <w:ind w:firstLine="640" w:firstLineChars="200"/>
        <w:textAlignment w:val="auto"/>
        <w:rPr>
          <w:rFonts w:hAnsi="Calibri" w:cs="仿宋"/>
          <w:sz w:val="32"/>
          <w:szCs w:val="32"/>
        </w:rPr>
      </w:pPr>
    </w:p>
    <w:p>
      <w:pPr>
        <w:pStyle w:val="2"/>
        <w:pageBreakBefore w:val="0"/>
        <w:kinsoku/>
        <w:wordWrap/>
        <w:overflowPunct/>
        <w:topLinePunct w:val="0"/>
        <w:bidi w:val="0"/>
        <w:spacing w:before="93"/>
        <w:ind w:firstLine="640" w:firstLineChars="200"/>
        <w:textAlignment w:val="auto"/>
        <w:rPr>
          <w:rFonts w:hAnsi="Calibri" w:cs="仿宋"/>
          <w:sz w:val="32"/>
          <w:szCs w:val="32"/>
        </w:rPr>
      </w:pPr>
    </w:p>
    <w:p>
      <w:pPr>
        <w:pageBreakBefore w:val="0"/>
        <w:kinsoku/>
        <w:wordWrap/>
        <w:overflowPunct/>
        <w:topLinePunct w:val="0"/>
        <w:bidi w:val="0"/>
        <w:spacing w:line="600" w:lineRule="exact"/>
        <w:jc w:val="center"/>
        <w:textAlignment w:val="auto"/>
        <w:outlineLvl w:val="0"/>
        <w:rPr>
          <w:rFonts w:ascii="仿宋" w:hAnsi="仿宋" w:eastAsia="仿宋"/>
        </w:rPr>
      </w:pPr>
      <w:bookmarkStart w:id="75" w:name="_Toc14436"/>
      <w:r>
        <w:rPr>
          <w:rFonts w:hint="eastAsia" w:ascii="黑体" w:hAnsi="黑体" w:eastAsia="黑体"/>
          <w:sz w:val="44"/>
          <w:szCs w:val="44"/>
        </w:rPr>
        <w:t>第</w:t>
      </w:r>
      <w:r>
        <w:rPr>
          <w:rStyle w:val="24"/>
          <w:rFonts w:hint="eastAsia" w:ascii="黑体" w:hAnsi="黑体" w:eastAsia="黑体"/>
          <w:b w:val="0"/>
        </w:rPr>
        <w:t>五部分 附表</w:t>
      </w:r>
      <w:bookmarkEnd w:id="70"/>
      <w:bookmarkEnd w:id="74"/>
      <w:bookmarkEnd w:id="75"/>
      <w:bookmarkStart w:id="76" w:name="_Toc15396619"/>
    </w:p>
    <w:p>
      <w:pPr>
        <w:pStyle w:val="4"/>
        <w:pageBreakBefore w:val="0"/>
        <w:kinsoku/>
        <w:wordWrap/>
        <w:overflowPunct/>
        <w:topLinePunct w:val="0"/>
        <w:bidi w:val="0"/>
        <w:ind w:firstLine="640" w:firstLineChars="200"/>
        <w:textAlignment w:val="auto"/>
        <w:rPr>
          <w:rFonts w:ascii="仿宋" w:hAnsi="仿宋" w:eastAsia="仿宋"/>
        </w:rPr>
      </w:pPr>
      <w:bookmarkStart w:id="77" w:name="_Toc26243"/>
      <w:r>
        <w:rPr>
          <w:rFonts w:hint="eastAsia" w:ascii="仿宋" w:hAnsi="仿宋" w:eastAsia="仿宋"/>
          <w:b w:val="0"/>
        </w:rPr>
        <w:t>一、收</w:t>
      </w:r>
      <w:r>
        <w:rPr>
          <w:rStyle w:val="25"/>
          <w:rFonts w:hint="eastAsia" w:ascii="仿宋" w:hAnsi="仿宋" w:eastAsia="仿宋"/>
          <w:b w:val="0"/>
          <w:bCs w:val="0"/>
        </w:rPr>
        <w:t>入支出决算总表</w:t>
      </w:r>
      <w:bookmarkEnd w:id="76"/>
      <w:bookmarkEnd w:id="77"/>
    </w:p>
    <w:p>
      <w:pPr>
        <w:pStyle w:val="4"/>
        <w:pageBreakBefore w:val="0"/>
        <w:kinsoku/>
        <w:wordWrap/>
        <w:overflowPunct/>
        <w:topLinePunct w:val="0"/>
        <w:bidi w:val="0"/>
        <w:ind w:firstLine="640" w:firstLineChars="200"/>
        <w:textAlignment w:val="auto"/>
        <w:rPr>
          <w:rFonts w:ascii="仿宋" w:hAnsi="仿宋" w:eastAsia="仿宋"/>
        </w:rPr>
      </w:pPr>
      <w:bookmarkStart w:id="78" w:name="_Toc15396620"/>
      <w:bookmarkStart w:id="79" w:name="_Toc31058"/>
      <w:r>
        <w:rPr>
          <w:rFonts w:hint="eastAsia" w:ascii="仿宋" w:hAnsi="仿宋" w:eastAsia="仿宋"/>
          <w:b w:val="0"/>
        </w:rPr>
        <w:t>二、收</w:t>
      </w:r>
      <w:r>
        <w:rPr>
          <w:rStyle w:val="25"/>
          <w:rFonts w:hint="eastAsia" w:ascii="仿宋" w:hAnsi="仿宋" w:eastAsia="仿宋"/>
          <w:b w:val="0"/>
          <w:bCs w:val="0"/>
        </w:rPr>
        <w:t>入决算表</w:t>
      </w:r>
      <w:bookmarkEnd w:id="78"/>
      <w:bookmarkEnd w:id="79"/>
    </w:p>
    <w:p>
      <w:pPr>
        <w:pStyle w:val="4"/>
        <w:pageBreakBefore w:val="0"/>
        <w:kinsoku/>
        <w:wordWrap/>
        <w:overflowPunct/>
        <w:topLinePunct w:val="0"/>
        <w:bidi w:val="0"/>
        <w:ind w:firstLine="640" w:firstLineChars="200"/>
        <w:textAlignment w:val="auto"/>
        <w:rPr>
          <w:rFonts w:ascii="仿宋" w:hAnsi="仿宋" w:eastAsia="仿宋"/>
        </w:rPr>
      </w:pPr>
      <w:bookmarkStart w:id="80" w:name="_Toc15396621"/>
      <w:bookmarkStart w:id="81" w:name="_Toc24588"/>
      <w:r>
        <w:rPr>
          <w:rStyle w:val="25"/>
          <w:rFonts w:hint="eastAsia" w:ascii="仿宋" w:hAnsi="仿宋" w:eastAsia="仿宋"/>
          <w:b w:val="0"/>
          <w:bCs w:val="0"/>
        </w:rPr>
        <w:t>三、</w:t>
      </w:r>
      <w:r>
        <w:rPr>
          <w:rFonts w:hint="eastAsia" w:ascii="仿宋" w:hAnsi="仿宋" w:eastAsia="仿宋"/>
          <w:b w:val="0"/>
        </w:rPr>
        <w:t>支</w:t>
      </w:r>
      <w:r>
        <w:rPr>
          <w:rStyle w:val="25"/>
          <w:rFonts w:hint="eastAsia" w:ascii="仿宋" w:hAnsi="仿宋" w:eastAsia="仿宋"/>
          <w:b w:val="0"/>
          <w:bCs w:val="0"/>
        </w:rPr>
        <w:t>出决算表</w:t>
      </w:r>
      <w:bookmarkEnd w:id="80"/>
      <w:bookmarkEnd w:id="81"/>
    </w:p>
    <w:p>
      <w:pPr>
        <w:pStyle w:val="4"/>
        <w:pageBreakBefore w:val="0"/>
        <w:kinsoku/>
        <w:wordWrap/>
        <w:overflowPunct/>
        <w:topLinePunct w:val="0"/>
        <w:bidi w:val="0"/>
        <w:ind w:firstLine="640" w:firstLineChars="200"/>
        <w:textAlignment w:val="auto"/>
        <w:rPr>
          <w:rFonts w:ascii="仿宋" w:hAnsi="仿宋" w:eastAsia="仿宋"/>
          <w:b w:val="0"/>
        </w:rPr>
      </w:pPr>
      <w:bookmarkStart w:id="82" w:name="_Toc15396622"/>
      <w:bookmarkStart w:id="83" w:name="_Toc10843"/>
      <w:r>
        <w:rPr>
          <w:rStyle w:val="25"/>
          <w:rFonts w:hint="eastAsia" w:ascii="仿宋" w:hAnsi="仿宋" w:eastAsia="仿宋"/>
          <w:b w:val="0"/>
          <w:bCs w:val="0"/>
        </w:rPr>
        <w:t>四、</w:t>
      </w:r>
      <w:r>
        <w:rPr>
          <w:rFonts w:hint="eastAsia" w:ascii="仿宋" w:hAnsi="仿宋" w:eastAsia="仿宋"/>
          <w:b w:val="0"/>
        </w:rPr>
        <w:t>财</w:t>
      </w:r>
      <w:r>
        <w:rPr>
          <w:rStyle w:val="25"/>
          <w:rFonts w:hint="eastAsia" w:ascii="仿宋" w:hAnsi="仿宋" w:eastAsia="仿宋"/>
          <w:b w:val="0"/>
          <w:bCs w:val="0"/>
        </w:rPr>
        <w:t>政拨款收入支出决算总表</w:t>
      </w:r>
      <w:bookmarkEnd w:id="82"/>
      <w:bookmarkEnd w:id="83"/>
    </w:p>
    <w:p>
      <w:pPr>
        <w:pStyle w:val="4"/>
        <w:pageBreakBefore w:val="0"/>
        <w:kinsoku/>
        <w:wordWrap/>
        <w:overflowPunct/>
        <w:topLinePunct w:val="0"/>
        <w:bidi w:val="0"/>
        <w:ind w:firstLine="640" w:firstLineChars="200"/>
        <w:textAlignment w:val="auto"/>
        <w:rPr>
          <w:rStyle w:val="25"/>
          <w:rFonts w:ascii="仿宋" w:hAnsi="仿宋" w:eastAsia="仿宋"/>
          <w:b w:val="0"/>
          <w:bCs w:val="0"/>
        </w:rPr>
      </w:pPr>
      <w:bookmarkStart w:id="84" w:name="_Toc15396623"/>
      <w:bookmarkStart w:id="85" w:name="_Toc31782"/>
      <w:r>
        <w:rPr>
          <w:rStyle w:val="25"/>
          <w:rFonts w:hint="eastAsia" w:ascii="仿宋" w:hAnsi="仿宋" w:eastAsia="仿宋"/>
          <w:b w:val="0"/>
          <w:bCs w:val="0"/>
        </w:rPr>
        <w:t>五、</w:t>
      </w:r>
      <w:r>
        <w:rPr>
          <w:rFonts w:hint="eastAsia" w:ascii="仿宋" w:hAnsi="仿宋" w:eastAsia="仿宋"/>
          <w:b w:val="0"/>
        </w:rPr>
        <w:t>财</w:t>
      </w:r>
      <w:r>
        <w:rPr>
          <w:rStyle w:val="25"/>
          <w:rFonts w:hint="eastAsia" w:ascii="仿宋" w:hAnsi="仿宋" w:eastAsia="仿宋"/>
          <w:b w:val="0"/>
          <w:bCs w:val="0"/>
        </w:rPr>
        <w:t>政拨款支出决算明细表</w:t>
      </w:r>
      <w:bookmarkEnd w:id="84"/>
      <w:bookmarkEnd w:id="85"/>
      <w:bookmarkStart w:id="86" w:name="_Toc15396624"/>
    </w:p>
    <w:p>
      <w:pPr>
        <w:pStyle w:val="4"/>
        <w:pageBreakBefore w:val="0"/>
        <w:kinsoku/>
        <w:wordWrap/>
        <w:overflowPunct/>
        <w:topLinePunct w:val="0"/>
        <w:bidi w:val="0"/>
        <w:ind w:firstLine="640" w:firstLineChars="200"/>
        <w:textAlignment w:val="auto"/>
        <w:rPr>
          <w:rFonts w:ascii="仿宋" w:hAnsi="仿宋" w:eastAsia="仿宋"/>
        </w:rPr>
      </w:pPr>
      <w:bookmarkStart w:id="87" w:name="_Toc12302"/>
      <w:r>
        <w:rPr>
          <w:rStyle w:val="25"/>
          <w:rFonts w:hint="eastAsia" w:ascii="仿宋" w:hAnsi="仿宋" w:eastAsia="仿宋"/>
          <w:b w:val="0"/>
          <w:bCs w:val="0"/>
        </w:rPr>
        <w:t>六、</w:t>
      </w:r>
      <w:r>
        <w:rPr>
          <w:rFonts w:hint="eastAsia" w:ascii="仿宋" w:hAnsi="仿宋" w:eastAsia="仿宋"/>
          <w:b w:val="0"/>
        </w:rPr>
        <w:t>一</w:t>
      </w:r>
      <w:r>
        <w:rPr>
          <w:rStyle w:val="25"/>
          <w:rFonts w:hint="eastAsia" w:ascii="仿宋" w:hAnsi="仿宋" w:eastAsia="仿宋"/>
          <w:b w:val="0"/>
          <w:bCs w:val="0"/>
        </w:rPr>
        <w:t>般公共预算财政拨款支出决算表</w:t>
      </w:r>
      <w:bookmarkEnd w:id="86"/>
      <w:bookmarkEnd w:id="87"/>
    </w:p>
    <w:p>
      <w:pPr>
        <w:pStyle w:val="4"/>
        <w:pageBreakBefore w:val="0"/>
        <w:kinsoku/>
        <w:wordWrap/>
        <w:overflowPunct/>
        <w:topLinePunct w:val="0"/>
        <w:bidi w:val="0"/>
        <w:ind w:firstLine="640" w:firstLineChars="200"/>
        <w:textAlignment w:val="auto"/>
        <w:rPr>
          <w:rFonts w:ascii="仿宋" w:hAnsi="仿宋" w:eastAsia="仿宋"/>
        </w:rPr>
      </w:pPr>
      <w:bookmarkStart w:id="88" w:name="_Toc9774"/>
      <w:bookmarkStart w:id="89" w:name="_Toc15396625"/>
      <w:r>
        <w:rPr>
          <w:rStyle w:val="25"/>
          <w:rFonts w:hint="eastAsia" w:ascii="仿宋" w:hAnsi="仿宋" w:eastAsia="仿宋"/>
          <w:b w:val="0"/>
          <w:bCs w:val="0"/>
        </w:rPr>
        <w:t>七、</w:t>
      </w:r>
      <w:r>
        <w:rPr>
          <w:rFonts w:hint="eastAsia" w:ascii="仿宋" w:hAnsi="仿宋" w:eastAsia="仿宋"/>
          <w:b w:val="0"/>
        </w:rPr>
        <w:t>一</w:t>
      </w:r>
      <w:r>
        <w:rPr>
          <w:rStyle w:val="25"/>
          <w:rFonts w:hint="eastAsia" w:ascii="仿宋" w:hAnsi="仿宋" w:eastAsia="仿宋"/>
          <w:b w:val="0"/>
          <w:bCs w:val="0"/>
        </w:rPr>
        <w:t>般公共预算财政拨款支出决算明细表</w:t>
      </w:r>
      <w:bookmarkEnd w:id="88"/>
      <w:bookmarkEnd w:id="89"/>
    </w:p>
    <w:p>
      <w:pPr>
        <w:pStyle w:val="4"/>
        <w:pageBreakBefore w:val="0"/>
        <w:kinsoku/>
        <w:wordWrap/>
        <w:overflowPunct/>
        <w:topLinePunct w:val="0"/>
        <w:bidi w:val="0"/>
        <w:ind w:firstLine="640" w:firstLineChars="200"/>
        <w:textAlignment w:val="auto"/>
        <w:rPr>
          <w:rFonts w:ascii="仿宋" w:hAnsi="仿宋" w:eastAsia="仿宋"/>
        </w:rPr>
      </w:pPr>
      <w:bookmarkStart w:id="90" w:name="_Toc15396626"/>
      <w:bookmarkStart w:id="91" w:name="_Toc9523"/>
      <w:r>
        <w:rPr>
          <w:rStyle w:val="25"/>
          <w:rFonts w:hint="eastAsia" w:ascii="仿宋" w:hAnsi="仿宋" w:eastAsia="仿宋"/>
          <w:b w:val="0"/>
          <w:bCs w:val="0"/>
        </w:rPr>
        <w:t>八、</w:t>
      </w:r>
      <w:r>
        <w:rPr>
          <w:rFonts w:hint="eastAsia" w:ascii="仿宋" w:hAnsi="仿宋" w:eastAsia="仿宋"/>
          <w:b w:val="0"/>
        </w:rPr>
        <w:t>一</w:t>
      </w:r>
      <w:r>
        <w:rPr>
          <w:rStyle w:val="25"/>
          <w:rFonts w:hint="eastAsia" w:ascii="仿宋" w:hAnsi="仿宋" w:eastAsia="仿宋"/>
          <w:b w:val="0"/>
          <w:bCs w:val="0"/>
        </w:rPr>
        <w:t>般公共预算财政拨款基本支出决算表</w:t>
      </w:r>
      <w:bookmarkEnd w:id="90"/>
      <w:bookmarkEnd w:id="91"/>
    </w:p>
    <w:p>
      <w:pPr>
        <w:pStyle w:val="4"/>
        <w:pageBreakBefore w:val="0"/>
        <w:kinsoku/>
        <w:wordWrap/>
        <w:overflowPunct/>
        <w:topLinePunct w:val="0"/>
        <w:bidi w:val="0"/>
        <w:ind w:firstLine="640" w:firstLineChars="200"/>
        <w:textAlignment w:val="auto"/>
        <w:rPr>
          <w:rFonts w:ascii="仿宋" w:hAnsi="仿宋" w:eastAsia="仿宋"/>
        </w:rPr>
      </w:pPr>
      <w:bookmarkStart w:id="92" w:name="_Toc32550"/>
      <w:bookmarkStart w:id="93" w:name="_Toc15396627"/>
      <w:r>
        <w:rPr>
          <w:rStyle w:val="25"/>
          <w:rFonts w:hint="eastAsia" w:ascii="仿宋" w:hAnsi="仿宋" w:eastAsia="仿宋"/>
          <w:b w:val="0"/>
          <w:bCs w:val="0"/>
        </w:rPr>
        <w:t>九、</w:t>
      </w:r>
      <w:r>
        <w:rPr>
          <w:rFonts w:hint="eastAsia" w:ascii="仿宋" w:hAnsi="仿宋" w:eastAsia="仿宋"/>
          <w:b w:val="0"/>
        </w:rPr>
        <w:t>一</w:t>
      </w:r>
      <w:r>
        <w:rPr>
          <w:rStyle w:val="25"/>
          <w:rFonts w:hint="eastAsia" w:ascii="仿宋" w:hAnsi="仿宋" w:eastAsia="仿宋"/>
          <w:b w:val="0"/>
          <w:bCs w:val="0"/>
        </w:rPr>
        <w:t>般公共预算财政拨款项目支出决算表</w:t>
      </w:r>
      <w:bookmarkEnd w:id="92"/>
      <w:bookmarkEnd w:id="93"/>
    </w:p>
    <w:p>
      <w:pPr>
        <w:pStyle w:val="4"/>
        <w:pageBreakBefore w:val="0"/>
        <w:kinsoku/>
        <w:wordWrap/>
        <w:overflowPunct/>
        <w:topLinePunct w:val="0"/>
        <w:bidi w:val="0"/>
        <w:ind w:firstLine="640" w:firstLineChars="200"/>
        <w:textAlignment w:val="auto"/>
        <w:rPr>
          <w:rFonts w:ascii="仿宋" w:hAnsi="仿宋" w:eastAsia="仿宋"/>
        </w:rPr>
      </w:pPr>
      <w:bookmarkStart w:id="94" w:name="_Toc15396628"/>
      <w:bookmarkStart w:id="95" w:name="_Toc15035"/>
      <w:r>
        <w:rPr>
          <w:rStyle w:val="25"/>
          <w:rFonts w:hint="eastAsia" w:ascii="仿宋" w:hAnsi="仿宋" w:eastAsia="仿宋"/>
          <w:b w:val="0"/>
          <w:bCs w:val="0"/>
        </w:rPr>
        <w:t>十、</w:t>
      </w:r>
      <w:bookmarkEnd w:id="94"/>
      <w:r>
        <w:rPr>
          <w:rFonts w:hint="eastAsia" w:ascii="仿宋" w:hAnsi="仿宋" w:eastAsia="仿宋"/>
          <w:b w:val="0"/>
        </w:rPr>
        <w:t>政</w:t>
      </w:r>
      <w:r>
        <w:rPr>
          <w:rStyle w:val="25"/>
          <w:rFonts w:hint="eastAsia" w:ascii="仿宋" w:hAnsi="仿宋" w:eastAsia="仿宋"/>
          <w:b w:val="0"/>
          <w:bCs w:val="0"/>
        </w:rPr>
        <w:t>府性基金预算财政拨款收入支出决算表</w:t>
      </w:r>
      <w:bookmarkEnd w:id="95"/>
    </w:p>
    <w:p>
      <w:pPr>
        <w:pStyle w:val="4"/>
        <w:pageBreakBefore w:val="0"/>
        <w:kinsoku/>
        <w:wordWrap/>
        <w:overflowPunct/>
        <w:topLinePunct w:val="0"/>
        <w:bidi w:val="0"/>
        <w:ind w:firstLine="640" w:firstLineChars="200"/>
        <w:textAlignment w:val="auto"/>
        <w:rPr>
          <w:rFonts w:ascii="仿宋" w:hAnsi="仿宋" w:eastAsia="仿宋"/>
        </w:rPr>
      </w:pPr>
      <w:bookmarkStart w:id="96" w:name="_Toc15396629"/>
      <w:bookmarkStart w:id="97" w:name="_Toc99"/>
      <w:r>
        <w:rPr>
          <w:rStyle w:val="25"/>
          <w:rFonts w:hint="eastAsia" w:ascii="仿宋" w:hAnsi="仿宋" w:eastAsia="仿宋"/>
          <w:b w:val="0"/>
          <w:bCs w:val="0"/>
        </w:rPr>
        <w:t>十一、</w:t>
      </w:r>
      <w:bookmarkEnd w:id="96"/>
      <w:r>
        <w:rPr>
          <w:rFonts w:hint="eastAsia" w:ascii="仿宋" w:hAnsi="仿宋" w:eastAsia="仿宋"/>
          <w:b w:val="0"/>
        </w:rPr>
        <w:t>国</w:t>
      </w:r>
      <w:r>
        <w:rPr>
          <w:rStyle w:val="25"/>
          <w:rFonts w:hint="eastAsia" w:ascii="仿宋" w:hAnsi="仿宋" w:eastAsia="仿宋"/>
          <w:b w:val="0"/>
          <w:bCs w:val="0"/>
        </w:rPr>
        <w:t>有资本经营预算财政拨款收入支出决算表</w:t>
      </w:r>
      <w:bookmarkEnd w:id="97"/>
    </w:p>
    <w:p>
      <w:pPr>
        <w:pStyle w:val="4"/>
        <w:pageBreakBefore w:val="0"/>
        <w:kinsoku/>
        <w:wordWrap/>
        <w:overflowPunct/>
        <w:topLinePunct w:val="0"/>
        <w:bidi w:val="0"/>
        <w:ind w:firstLine="640" w:firstLineChars="200"/>
        <w:textAlignment w:val="auto"/>
        <w:rPr>
          <w:rFonts w:ascii="仿宋" w:hAnsi="仿宋" w:eastAsia="仿宋"/>
        </w:rPr>
      </w:pPr>
      <w:bookmarkStart w:id="98" w:name="_Toc15396630"/>
      <w:bookmarkStart w:id="99" w:name="_Toc2083"/>
      <w:r>
        <w:rPr>
          <w:rStyle w:val="25"/>
          <w:rFonts w:hint="eastAsia" w:ascii="仿宋" w:hAnsi="仿宋" w:eastAsia="仿宋"/>
          <w:b w:val="0"/>
          <w:bCs w:val="0"/>
        </w:rPr>
        <w:t>十二、</w:t>
      </w:r>
      <w:bookmarkEnd w:id="98"/>
      <w:r>
        <w:rPr>
          <w:rStyle w:val="25"/>
          <w:rFonts w:hint="eastAsia" w:ascii="仿宋" w:hAnsi="仿宋" w:eastAsia="仿宋"/>
          <w:b w:val="0"/>
          <w:bCs w:val="0"/>
        </w:rPr>
        <w:t>国有资本经营预算财政拨款支出决算表</w:t>
      </w:r>
      <w:bookmarkEnd w:id="99"/>
    </w:p>
    <w:p>
      <w:pPr>
        <w:pStyle w:val="4"/>
        <w:pageBreakBefore w:val="0"/>
        <w:kinsoku/>
        <w:wordWrap/>
        <w:overflowPunct/>
        <w:topLinePunct w:val="0"/>
        <w:bidi w:val="0"/>
        <w:ind w:firstLine="640" w:firstLineChars="200"/>
        <w:textAlignment w:val="auto"/>
        <w:rPr>
          <w:rFonts w:eastAsia="仿宋"/>
        </w:rPr>
      </w:pPr>
      <w:bookmarkStart w:id="100" w:name="_Toc15396631"/>
      <w:bookmarkStart w:id="101" w:name="_Toc24809"/>
      <w:r>
        <w:rPr>
          <w:rStyle w:val="25"/>
          <w:rFonts w:hint="eastAsia" w:ascii="仿宋" w:hAnsi="仿宋" w:eastAsia="仿宋"/>
          <w:b w:val="0"/>
          <w:bCs w:val="0"/>
        </w:rPr>
        <w:t>十三、</w:t>
      </w:r>
      <w:bookmarkEnd w:id="100"/>
      <w:r>
        <w:rPr>
          <w:rStyle w:val="25"/>
          <w:rFonts w:hint="eastAsia" w:ascii="仿宋" w:hAnsi="仿宋" w:eastAsia="仿宋"/>
          <w:b w:val="0"/>
          <w:bCs w:val="0"/>
        </w:rPr>
        <w:t>财政拨款“三公”经费支出决算表</w:t>
      </w:r>
      <w:bookmarkEnd w:id="101"/>
    </w:p>
    <w:sectPr>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1994781956"/>
                </w:sdtPr>
                <w:sdtContent>
                  <w:p>
                    <w:pPr>
                      <w:pStyle w:val="8"/>
                      <w:jc w:val="center"/>
                    </w:pPr>
                    <w:r>
                      <w:fldChar w:fldCharType="begin"/>
                    </w:r>
                    <w:r>
                      <w:instrText xml:space="preserve">PAGE   \* MERGEFORMAT</w:instrText>
                    </w:r>
                    <w:r>
                      <w:fldChar w:fldCharType="separate"/>
                    </w:r>
                    <w:r>
                      <w:rPr>
                        <w:lang w:val="zh-CN"/>
                      </w:rPr>
                      <w:t>12</w:t>
                    </w:r>
                    <w:r>
                      <w:fldChar w:fldCharType="end"/>
                    </w:r>
                  </w:p>
                </w:sdtContent>
              </w:sdt>
              <w:p>
                <w:pPr>
                  <w:pStyle w:val="2"/>
                </w:pPr>
              </w:p>
            </w:txbxContent>
          </v:textbox>
        </v:shape>
      </w:pic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3074" o:spid="_x0000_s307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3818A09A"/>
    <w:multiLevelType w:val="singleLevel"/>
    <w:tmpl w:val="3818A09A"/>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Q2ZWExMDIwMTAyNTlkY2I3MDQ0MGE2NzkwYzQ5NGQifQ=="/>
  </w:docVars>
  <w:rsids>
    <w:rsidRoot w:val="00F1361C"/>
    <w:rsid w:val="000222C6"/>
    <w:rsid w:val="0002549F"/>
    <w:rsid w:val="00036DB9"/>
    <w:rsid w:val="000468DB"/>
    <w:rsid w:val="0006487A"/>
    <w:rsid w:val="00065F8F"/>
    <w:rsid w:val="00070A43"/>
    <w:rsid w:val="000768F2"/>
    <w:rsid w:val="000909DC"/>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0F3D30"/>
    <w:rsid w:val="00114E9B"/>
    <w:rsid w:val="00123991"/>
    <w:rsid w:val="00127866"/>
    <w:rsid w:val="00142216"/>
    <w:rsid w:val="00144D6A"/>
    <w:rsid w:val="0014729F"/>
    <w:rsid w:val="00157BAB"/>
    <w:rsid w:val="001654D1"/>
    <w:rsid w:val="00166E95"/>
    <w:rsid w:val="00174518"/>
    <w:rsid w:val="0017481C"/>
    <w:rsid w:val="001760AA"/>
    <w:rsid w:val="0018106D"/>
    <w:rsid w:val="001877A7"/>
    <w:rsid w:val="00191536"/>
    <w:rsid w:val="00196687"/>
    <w:rsid w:val="001C0962"/>
    <w:rsid w:val="001D59B3"/>
    <w:rsid w:val="001D7531"/>
    <w:rsid w:val="001E737D"/>
    <w:rsid w:val="001F0592"/>
    <w:rsid w:val="001F7506"/>
    <w:rsid w:val="002006CD"/>
    <w:rsid w:val="00202B36"/>
    <w:rsid w:val="00204B7A"/>
    <w:rsid w:val="00204CDE"/>
    <w:rsid w:val="0021101A"/>
    <w:rsid w:val="00220536"/>
    <w:rsid w:val="00235629"/>
    <w:rsid w:val="00260950"/>
    <w:rsid w:val="00260C38"/>
    <w:rsid w:val="00260C9E"/>
    <w:rsid w:val="002616C0"/>
    <w:rsid w:val="00265372"/>
    <w:rsid w:val="002662AA"/>
    <w:rsid w:val="00280496"/>
    <w:rsid w:val="00294DC9"/>
    <w:rsid w:val="00295495"/>
    <w:rsid w:val="002A31DE"/>
    <w:rsid w:val="002B2613"/>
    <w:rsid w:val="002D6D05"/>
    <w:rsid w:val="002F1818"/>
    <w:rsid w:val="002F567B"/>
    <w:rsid w:val="003216A9"/>
    <w:rsid w:val="00335A74"/>
    <w:rsid w:val="003423BC"/>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03E3"/>
    <w:rsid w:val="00434489"/>
    <w:rsid w:val="00437085"/>
    <w:rsid w:val="00443880"/>
    <w:rsid w:val="004464F4"/>
    <w:rsid w:val="00464B39"/>
    <w:rsid w:val="00471401"/>
    <w:rsid w:val="00473F31"/>
    <w:rsid w:val="0048263A"/>
    <w:rsid w:val="00485945"/>
    <w:rsid w:val="00487E5D"/>
    <w:rsid w:val="004A711F"/>
    <w:rsid w:val="004B199D"/>
    <w:rsid w:val="004B4690"/>
    <w:rsid w:val="004E081D"/>
    <w:rsid w:val="004E0A2D"/>
    <w:rsid w:val="004E206B"/>
    <w:rsid w:val="004E5108"/>
    <w:rsid w:val="004E6DF7"/>
    <w:rsid w:val="004F0FBD"/>
    <w:rsid w:val="00505A47"/>
    <w:rsid w:val="00512FDA"/>
    <w:rsid w:val="00520DA0"/>
    <w:rsid w:val="005576E3"/>
    <w:rsid w:val="005664BB"/>
    <w:rsid w:val="00566FFA"/>
    <w:rsid w:val="0057481D"/>
    <w:rsid w:val="0058486E"/>
    <w:rsid w:val="00585B33"/>
    <w:rsid w:val="0059014D"/>
    <w:rsid w:val="005A049A"/>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7D7"/>
    <w:rsid w:val="006748A4"/>
    <w:rsid w:val="00681A31"/>
    <w:rsid w:val="00683E73"/>
    <w:rsid w:val="006A3141"/>
    <w:rsid w:val="006A5E34"/>
    <w:rsid w:val="006B2422"/>
    <w:rsid w:val="006B2B9A"/>
    <w:rsid w:val="006C1937"/>
    <w:rsid w:val="006D687B"/>
    <w:rsid w:val="006F020C"/>
    <w:rsid w:val="007127B7"/>
    <w:rsid w:val="0071798E"/>
    <w:rsid w:val="00717BFD"/>
    <w:rsid w:val="007337A0"/>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D70BC"/>
    <w:rsid w:val="007E23B0"/>
    <w:rsid w:val="007E23E5"/>
    <w:rsid w:val="007F1991"/>
    <w:rsid w:val="007F2C2F"/>
    <w:rsid w:val="007F55FC"/>
    <w:rsid w:val="007F5665"/>
    <w:rsid w:val="00800112"/>
    <w:rsid w:val="00813348"/>
    <w:rsid w:val="008253BB"/>
    <w:rsid w:val="0083706E"/>
    <w:rsid w:val="008408F6"/>
    <w:rsid w:val="008423A5"/>
    <w:rsid w:val="008460DF"/>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4D18"/>
    <w:rsid w:val="00935C98"/>
    <w:rsid w:val="00946945"/>
    <w:rsid w:val="00951248"/>
    <w:rsid w:val="0095152F"/>
    <w:rsid w:val="00954C49"/>
    <w:rsid w:val="00955E37"/>
    <w:rsid w:val="009641D5"/>
    <w:rsid w:val="0097099F"/>
    <w:rsid w:val="00971997"/>
    <w:rsid w:val="00971FFC"/>
    <w:rsid w:val="00980214"/>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35860"/>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12A4"/>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2571D"/>
    <w:rsid w:val="00C30364"/>
    <w:rsid w:val="00C33E72"/>
    <w:rsid w:val="00C354B2"/>
    <w:rsid w:val="00C35554"/>
    <w:rsid w:val="00C42709"/>
    <w:rsid w:val="00C533CC"/>
    <w:rsid w:val="00C5751C"/>
    <w:rsid w:val="00C61BFC"/>
    <w:rsid w:val="00C62B85"/>
    <w:rsid w:val="00C65438"/>
    <w:rsid w:val="00C7524A"/>
    <w:rsid w:val="00C8466D"/>
    <w:rsid w:val="00C87FD8"/>
    <w:rsid w:val="00C91381"/>
    <w:rsid w:val="00C91CBB"/>
    <w:rsid w:val="00CB4E70"/>
    <w:rsid w:val="00CC09B6"/>
    <w:rsid w:val="00CC666F"/>
    <w:rsid w:val="00CD1E3F"/>
    <w:rsid w:val="00CE44F6"/>
    <w:rsid w:val="00CE49DA"/>
    <w:rsid w:val="00CE7B61"/>
    <w:rsid w:val="00D00095"/>
    <w:rsid w:val="00D114F0"/>
    <w:rsid w:val="00D1786F"/>
    <w:rsid w:val="00D20620"/>
    <w:rsid w:val="00D254F7"/>
    <w:rsid w:val="00D26091"/>
    <w:rsid w:val="00D2685C"/>
    <w:rsid w:val="00D34E7C"/>
    <w:rsid w:val="00D35489"/>
    <w:rsid w:val="00D36AFE"/>
    <w:rsid w:val="00D51276"/>
    <w:rsid w:val="00D52D4C"/>
    <w:rsid w:val="00D7035F"/>
    <w:rsid w:val="00DA634F"/>
    <w:rsid w:val="00DA65AC"/>
    <w:rsid w:val="00DA6CE5"/>
    <w:rsid w:val="00DB1913"/>
    <w:rsid w:val="00DC410D"/>
    <w:rsid w:val="00DC5A81"/>
    <w:rsid w:val="00DC68CA"/>
    <w:rsid w:val="00DC7CBA"/>
    <w:rsid w:val="00DD1D1B"/>
    <w:rsid w:val="00DD73B7"/>
    <w:rsid w:val="00DF28BC"/>
    <w:rsid w:val="00DF34B9"/>
    <w:rsid w:val="00DF4AAD"/>
    <w:rsid w:val="00E01053"/>
    <w:rsid w:val="00E07ACF"/>
    <w:rsid w:val="00E331A1"/>
    <w:rsid w:val="00E33202"/>
    <w:rsid w:val="00E336A9"/>
    <w:rsid w:val="00E472B1"/>
    <w:rsid w:val="00E50624"/>
    <w:rsid w:val="00E568DF"/>
    <w:rsid w:val="00E64269"/>
    <w:rsid w:val="00E82267"/>
    <w:rsid w:val="00E853CE"/>
    <w:rsid w:val="00E867B6"/>
    <w:rsid w:val="00EA010F"/>
    <w:rsid w:val="00EA6D89"/>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53D82"/>
    <w:rsid w:val="00F602DF"/>
    <w:rsid w:val="00F754A1"/>
    <w:rsid w:val="00F81FD9"/>
    <w:rsid w:val="00F841AA"/>
    <w:rsid w:val="00F84A94"/>
    <w:rsid w:val="00F87E96"/>
    <w:rsid w:val="00FA23E8"/>
    <w:rsid w:val="00FB294A"/>
    <w:rsid w:val="00FD3CC1"/>
    <w:rsid w:val="00FE0BC9"/>
    <w:rsid w:val="00FE63D1"/>
    <w:rsid w:val="00FF1E02"/>
    <w:rsid w:val="00FF30B4"/>
    <w:rsid w:val="053A62B5"/>
    <w:rsid w:val="05D112B4"/>
    <w:rsid w:val="0A2032A3"/>
    <w:rsid w:val="0B8A37D8"/>
    <w:rsid w:val="10434A83"/>
    <w:rsid w:val="10C055FF"/>
    <w:rsid w:val="118107EC"/>
    <w:rsid w:val="11DD6519"/>
    <w:rsid w:val="126A484E"/>
    <w:rsid w:val="16BB723D"/>
    <w:rsid w:val="18015F3F"/>
    <w:rsid w:val="1BE8440E"/>
    <w:rsid w:val="1D155CEE"/>
    <w:rsid w:val="20F57F95"/>
    <w:rsid w:val="240371BF"/>
    <w:rsid w:val="25711CC6"/>
    <w:rsid w:val="25C741E6"/>
    <w:rsid w:val="27842671"/>
    <w:rsid w:val="29FD04D3"/>
    <w:rsid w:val="2ABE7A3E"/>
    <w:rsid w:val="2CA234A8"/>
    <w:rsid w:val="2EFA178C"/>
    <w:rsid w:val="30B46D73"/>
    <w:rsid w:val="319F7F4E"/>
    <w:rsid w:val="383D272C"/>
    <w:rsid w:val="39AE70AB"/>
    <w:rsid w:val="3C0C0783"/>
    <w:rsid w:val="3F9F3A96"/>
    <w:rsid w:val="48BF60AB"/>
    <w:rsid w:val="493C27E9"/>
    <w:rsid w:val="496F39ED"/>
    <w:rsid w:val="49FF41D3"/>
    <w:rsid w:val="4BE068DB"/>
    <w:rsid w:val="4BF6002B"/>
    <w:rsid w:val="4ECE2238"/>
    <w:rsid w:val="51DB4B86"/>
    <w:rsid w:val="55333C3E"/>
    <w:rsid w:val="5DA40963"/>
    <w:rsid w:val="64CA39A1"/>
    <w:rsid w:val="69630ADE"/>
    <w:rsid w:val="6C4A05C8"/>
    <w:rsid w:val="6CEF03F8"/>
    <w:rsid w:val="6D3B1A89"/>
    <w:rsid w:val="71BF4EC2"/>
    <w:rsid w:val="72734D90"/>
    <w:rsid w:val="7412278C"/>
    <w:rsid w:val="79E7B28D"/>
    <w:rsid w:val="7F9F20EE"/>
    <w:rsid w:val="9E3A10E2"/>
    <w:rsid w:val="F2E1F9D4"/>
    <w:rsid w:val="F788081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0">
    <w:name w:val="WPSOffice手动目录 1"/>
    <w:uiPriority w:val="0"/>
    <w:pPr>
      <w:ind w:leftChars="0"/>
    </w:pPr>
    <w:rPr>
      <w:rFonts w:asciiTheme="minorHAnsi" w:hAnsiTheme="minorHAnsi" w:eastAsiaTheme="minorEastAsia" w:cstheme="minorBidi"/>
      <w:sz w:val="20"/>
      <w:szCs w:val="20"/>
    </w:rPr>
  </w:style>
  <w:style w:type="paragraph" w:customStyle="1" w:styleId="31">
    <w:name w:val="WPSOffice手动目录 2"/>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invertIfNegative val="0"/>
          <c:dLbls>
            <c:delete val="1"/>
          </c:dLbls>
          <c:cat>
            <c:multiLvlStrRef>
              <c:f>Sheet1!$C$6:$E$7</c:f>
              <c:multiLvlStrCache>
                <c:ptCount val="2"/>
                <c:lvl>
                  <c:pt idx="0">
                    <c:v>149.67万元</c:v>
                  </c:pt>
                  <c:pt idx="1">
                    <c:v>163.43万元</c:v>
                  </c:pt>
                </c:lvl>
                <c:lvl>
                  <c:pt idx="0">
                    <c:v>收、支总计</c:v>
                  </c:pt>
                  <c:pt idx="1">
                    <c:v>收、支总计</c:v>
                  </c:pt>
                </c:lvl>
                <c:lvl>
                  <c:pt idx="0">
                    <c:v>2021年</c:v>
                  </c:pt>
                  <c:pt idx="1">
                    <c:v>2022年</c:v>
                  </c:pt>
                </c:lvl>
              </c:multiLvlStrCache>
            </c:multiLvlStrRef>
          </c:cat>
          <c:val>
            <c:numRef>
              <c:f>Sheet1!$F$6:$F$7</c:f>
              <c:numCache>
                <c:formatCode>0%</c:formatCode>
                <c:ptCount val="2"/>
                <c:pt idx="0">
                  <c:v>1</c:v>
                </c:pt>
                <c:pt idx="1">
                  <c:v>1.09</c:v>
                </c:pt>
              </c:numCache>
            </c:numRef>
          </c:val>
        </c:ser>
        <c:dLbls>
          <c:showLegendKey val="0"/>
          <c:showVal val="0"/>
          <c:showCatName val="0"/>
          <c:showSerName val="0"/>
          <c:showPercent val="0"/>
          <c:showBubbleSize val="0"/>
        </c:dLbls>
        <c:gapWidth val="150"/>
        <c:overlap val="100"/>
        <c:axId val="98189696"/>
        <c:axId val="98191232"/>
      </c:barChart>
      <c:catAx>
        <c:axId val="9818969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8191232"/>
        <c:crosses val="autoZero"/>
        <c:auto val="1"/>
        <c:lblAlgn val="ctr"/>
        <c:lblOffset val="100"/>
        <c:noMultiLvlLbl val="0"/>
      </c:catAx>
      <c:valAx>
        <c:axId val="98191232"/>
        <c:scaling>
          <c:orientation val="minMax"/>
        </c:scaling>
        <c:delete val="0"/>
        <c:axPos val="l"/>
        <c:majorGridlines/>
        <c:numFmt formatCode="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8189696"/>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multiLvlStrRef>
              <c:f>Sheet1!$F$14:$G$15</c:f>
              <c:multiLvlStrCache>
                <c:ptCount val="2"/>
                <c:lvl>
                  <c:pt idx="0">
                    <c:v>163.43万元</c:v>
                  </c:pt>
                  <c:pt idx="1">
                    <c:v>163.43万元</c:v>
                  </c:pt>
                </c:lvl>
                <c:lvl>
                  <c:pt idx="0">
                    <c:v>2022年收入总计</c:v>
                  </c:pt>
                  <c:pt idx="1">
                    <c:v>其中：一般公共预算财政拨款</c:v>
                  </c:pt>
                </c:lvl>
              </c:multiLvlStrCache>
            </c:multiLvlStrRef>
          </c:cat>
          <c:val>
            <c:numRef>
              <c:f>Sheet1!$H$14:$H$15</c:f>
              <c:numCache>
                <c:formatCode>General</c:formatCode>
                <c:ptCount val="2"/>
                <c:pt idx="1" c:formatCode="0%">
                  <c:v>1</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multiLvlStrRef>
              <c:f>Sheet1!$D$14:$E$16</c:f>
              <c:multiLvlStrCache>
                <c:ptCount val="3"/>
                <c:lvl>
                  <c:pt idx="0">
                    <c:v>163.43万元</c:v>
                  </c:pt>
                  <c:pt idx="1">
                    <c:v>131.6万元</c:v>
                  </c:pt>
                  <c:pt idx="2">
                    <c:v>31.8万元</c:v>
                  </c:pt>
                </c:lvl>
                <c:lvl>
                  <c:pt idx="0">
                    <c:v>2022年支出总计</c:v>
                  </c:pt>
                  <c:pt idx="1">
                    <c:v>其中：基本支出</c:v>
                  </c:pt>
                  <c:pt idx="2">
                    <c:v>      项目支出</c:v>
                  </c:pt>
                </c:lvl>
              </c:multiLvlStrCache>
            </c:multiLvlStrRef>
          </c:cat>
          <c:val>
            <c:numRef>
              <c:f>Sheet1!$F$14:$F$16</c:f>
              <c:numCache>
                <c:formatCode>General</c:formatCode>
                <c:ptCount val="3"/>
                <c:pt idx="1" c:formatCode="0.00%">
                  <c:v>0.805</c:v>
                </c:pt>
                <c:pt idx="2" c:formatCode="0.00%">
                  <c:v>0.195</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invertIfNegative val="0"/>
          <c:dLbls>
            <c:delete val="1"/>
          </c:dLbls>
          <c:cat>
            <c:multiLvlStrRef>
              <c:f>Sheet1!$E$13:$G$14</c:f>
              <c:multiLvlStrCache>
                <c:ptCount val="2"/>
                <c:lvl>
                  <c:pt idx="0">
                    <c:v>149.67万元</c:v>
                  </c:pt>
                  <c:pt idx="1">
                    <c:v>163.43万元</c:v>
                  </c:pt>
                </c:lvl>
                <c:lvl>
                  <c:pt idx="0">
                    <c:v>财政拨款收、支决算总计</c:v>
                  </c:pt>
                  <c:pt idx="1">
                    <c:v>财政拨款收、支决算总计</c:v>
                  </c:pt>
                </c:lvl>
                <c:lvl>
                  <c:pt idx="0">
                    <c:v>2021年</c:v>
                  </c:pt>
                  <c:pt idx="1">
                    <c:v>2022年</c:v>
                  </c:pt>
                </c:lvl>
              </c:multiLvlStrCache>
            </c:multiLvlStrRef>
          </c:cat>
          <c:val>
            <c:numRef>
              <c:f>Sheet1!$H$13:$H$14</c:f>
              <c:numCache>
                <c:formatCode>0%</c:formatCode>
                <c:ptCount val="2"/>
                <c:pt idx="0">
                  <c:v>1</c:v>
                </c:pt>
                <c:pt idx="1">
                  <c:v>1.09</c:v>
                </c:pt>
              </c:numCache>
            </c:numRef>
          </c:val>
        </c:ser>
        <c:dLbls>
          <c:showLegendKey val="0"/>
          <c:showVal val="0"/>
          <c:showCatName val="0"/>
          <c:showSerName val="0"/>
          <c:showPercent val="0"/>
          <c:showBubbleSize val="0"/>
        </c:dLbls>
        <c:gapWidth val="150"/>
        <c:overlap val="100"/>
        <c:axId val="138233728"/>
        <c:axId val="138244480"/>
      </c:barChart>
      <c:catAx>
        <c:axId val="13823372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8244480"/>
        <c:crosses val="autoZero"/>
        <c:auto val="1"/>
        <c:lblAlgn val="ctr"/>
        <c:lblOffset val="100"/>
        <c:noMultiLvlLbl val="0"/>
      </c:catAx>
      <c:valAx>
        <c:axId val="138244480"/>
        <c:scaling>
          <c:orientation val="minMax"/>
        </c:scaling>
        <c:delete val="0"/>
        <c:axPos val="l"/>
        <c:majorGridlines/>
        <c:numFmt formatCode="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8233728"/>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multiLvlStrRef>
              <c:f>Sheet1!$F$14:$H$15</c:f>
              <c:multiLvlStrCache>
                <c:ptCount val="2"/>
                <c:lvl>
                  <c:pt idx="0">
                    <c:v>149.18万元</c:v>
                  </c:pt>
                  <c:pt idx="1">
                    <c:v>163.43万元</c:v>
                  </c:pt>
                </c:lvl>
                <c:lvl>
                  <c:pt idx="0">
                    <c:v>一般公共预算财政拨款支出</c:v>
                  </c:pt>
                  <c:pt idx="1">
                    <c:v>一般公共预算财政拨款支出</c:v>
                  </c:pt>
                </c:lvl>
                <c:lvl>
                  <c:pt idx="0">
                    <c:v>2021年</c:v>
                  </c:pt>
                  <c:pt idx="1">
                    <c:v>2022年</c:v>
                  </c:pt>
                </c:lvl>
              </c:multiLvlStrCache>
            </c:multiLvlStrRef>
          </c:cat>
          <c:val>
            <c:numRef>
              <c:f>Sheet1!$I$14:$I$15</c:f>
              <c:numCache>
                <c:formatCode>0%</c:formatCode>
                <c:ptCount val="2"/>
                <c:pt idx="0">
                  <c:v>1</c:v>
                </c:pt>
                <c:pt idx="1" c:formatCode="0.00%">
                  <c:v>1.096</c:v>
                </c:pt>
              </c:numCache>
            </c:numRef>
          </c:val>
        </c:ser>
        <c:dLbls>
          <c:showLegendKey val="0"/>
          <c:showVal val="1"/>
          <c:showCatName val="0"/>
          <c:showSerName val="0"/>
          <c:showPercent val="0"/>
          <c:showBubbleSize val="0"/>
        </c:dLbls>
        <c:gapWidth val="150"/>
        <c:overlap val="100"/>
        <c:axId val="163830016"/>
        <c:axId val="179817856"/>
      </c:barChart>
      <c:catAx>
        <c:axId val="16383001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9817856"/>
        <c:crosses val="autoZero"/>
        <c:auto val="1"/>
        <c:lblAlgn val="ctr"/>
        <c:lblOffset val="100"/>
        <c:noMultiLvlLbl val="0"/>
      </c:catAx>
      <c:valAx>
        <c:axId val="179817856"/>
        <c:scaling>
          <c:orientation val="minMax"/>
        </c:scaling>
        <c:delete val="0"/>
        <c:axPos val="l"/>
        <c:majorGridlines/>
        <c:numFmt formatCode="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3830016"/>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Pt>
            <c:idx val="2"/>
            <c:bubble3D val="0"/>
          </c:dPt>
          <c:dPt>
            <c:idx val="3"/>
            <c:bubble3D val="0"/>
          </c:dPt>
          <c:dPt>
            <c:idx val="4"/>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multiLvlStrRef>
              <c:f>Sheet1!$F$12:$G$16</c:f>
              <c:multiLvlStrCache>
                <c:ptCount val="5"/>
                <c:lvl>
                  <c:pt idx="0">
                    <c:v>163.43万元</c:v>
                  </c:pt>
                  <c:pt idx="1">
                    <c:v>11.05万元</c:v>
                  </c:pt>
                  <c:pt idx="2">
                    <c:v>7.16万元</c:v>
                  </c:pt>
                  <c:pt idx="3">
                    <c:v>10.76万元</c:v>
                  </c:pt>
                  <c:pt idx="4">
                    <c:v>134.44万元</c:v>
                  </c:pt>
                </c:lvl>
                <c:lvl>
                  <c:pt idx="0">
                    <c:v>2022年一般公共预算财政拨款支出总计</c:v>
                  </c:pt>
                  <c:pt idx="1">
                    <c:v>其中：社会保障和就业支出</c:v>
                  </c:pt>
                  <c:pt idx="2">
                    <c:v>  卫生健康支出</c:v>
                  </c:pt>
                  <c:pt idx="3">
                    <c:v>  住房保障支出</c:v>
                  </c:pt>
                  <c:pt idx="4">
                    <c:v>  农林水支出</c:v>
                  </c:pt>
                </c:lvl>
              </c:multiLvlStrCache>
            </c:multiLvlStrRef>
          </c:cat>
          <c:val>
            <c:numRef>
              <c:f>Sheet1!$H$12:$H$16</c:f>
              <c:numCache>
                <c:formatCode>General</c:formatCode>
                <c:ptCount val="5"/>
                <c:pt idx="1" c:formatCode="0.00%">
                  <c:v>0.068</c:v>
                </c:pt>
                <c:pt idx="2" c:formatCode="0.00%">
                  <c:v>0.044</c:v>
                </c:pt>
                <c:pt idx="3" c:formatCode="0.00%">
                  <c:v>0.066</c:v>
                </c:pt>
                <c:pt idx="4" c:formatCode="0.00%">
                  <c:v>0.822</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7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multiLvlStrRef>
              <c:f>Sheet1!$E$12:$F$14</c:f>
              <c:multiLvlStrCache>
                <c:ptCount val="3"/>
                <c:lvl>
                  <c:pt idx="1">
                    <c:v>0.63万元</c:v>
                  </c:pt>
                  <c:pt idx="2">
                    <c:v>0.09万元</c:v>
                  </c:pt>
                </c:lvl>
                <c:lvl>
                  <c:pt idx="0">
                    <c:v>2022年“三公”经费支出</c:v>
                  </c:pt>
                  <c:pt idx="1">
                    <c:v>其中：公车运行维护费支出</c:v>
                  </c:pt>
                  <c:pt idx="2">
                    <c:v>公务接待费</c:v>
                  </c:pt>
                </c:lvl>
              </c:multiLvlStrCache>
            </c:multiLvlStrRef>
          </c:cat>
          <c:val>
            <c:numRef>
              <c:f>Sheet1!$G$12:$G$14</c:f>
              <c:numCache>
                <c:formatCode>General</c:formatCode>
                <c:ptCount val="3"/>
                <c:pt idx="1" c:formatCode="0.00%">
                  <c:v>0.875</c:v>
                </c:pt>
                <c:pt idx="2" c:formatCode="0.00%">
                  <c:v>0.125</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textRotate="1"/>
    <customShpInfo spid="_x0000_s3074"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48063A-B18B-4CB4-BC6D-3495F186926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19</Pages>
  <Words>949</Words>
  <Characters>5413</Characters>
  <Lines>45</Lines>
  <Paragraphs>12</Paragraphs>
  <TotalTime>11</TotalTime>
  <ScaleCrop>false</ScaleCrop>
  <LinksUpToDate>false</LinksUpToDate>
  <CharactersWithSpaces>6350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lenovo</cp:lastModifiedBy>
  <cp:lastPrinted>2023-07-31T02:35:00Z</cp:lastPrinted>
  <dcterms:modified xsi:type="dcterms:W3CDTF">2023-11-01T04:53:26Z</dcterms:modified>
  <dc:title>四川省***</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46250A3C7F81477E9398D00FE0508E05_12</vt:lpwstr>
  </property>
</Properties>
</file>