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78441"/>
      <w:bookmarkStart w:id="2" w:name="_Toc15396597"/>
      <w:bookmarkStart w:id="3" w:name="_Toc15396475"/>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5"/>
      <w:bookmarkStart w:id="6" w:name="_Toc15306268"/>
      <w:bookmarkStart w:id="7" w:name="_Toc15396598"/>
      <w:bookmarkStart w:id="8" w:name="_Toc15396476"/>
      <w:bookmarkStart w:id="9" w:name="_Toc15377194"/>
      <w:bookmarkStart w:id="10" w:name="_Toc15378442"/>
      <w:bookmarkStart w:id="11" w:name="_Toc15377426"/>
      <w:r>
        <w:rPr>
          <w:rFonts w:hint="eastAsia" w:ascii="方正小标宋简体" w:hAnsi="方正小标宋简体" w:eastAsia="方正小标宋简体" w:cs="方正小标宋简体"/>
          <w:sz w:val="72"/>
          <w:szCs w:val="72"/>
        </w:rPr>
        <w:t>攀枝花市西区残疾人联合会部门决算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公开时间：2023年9月23日</w:t>
      </w:r>
    </w:p>
    <w:p/>
    <w:p>
      <w:pPr>
        <w:pStyle w:val="13"/>
        <w:adjustRightInd w:val="0"/>
        <w:snapToGrid w:val="0"/>
        <w:spacing w:before="0" w:line="440" w:lineRule="exact"/>
        <w:jc w:val="left"/>
        <w:rPr>
          <w:rFonts w:cstheme="minorBidi"/>
          <w:sz w:val="24"/>
          <w:szCs w:val="24"/>
        </w:rPr>
      </w:pPr>
      <w:r>
        <w:rPr>
          <w:rFonts w:hint="eastAsia"/>
          <w:sz w:val="24"/>
        </w:rPr>
        <w:t>第一部分部门概况</w:t>
      </w:r>
      <w:r>
        <w:rPr>
          <w:rFonts w:cstheme="minorBidi"/>
          <w:sz w:val="24"/>
          <w:szCs w:val="24"/>
        </w:rPr>
        <w:tab/>
      </w:r>
      <w:r>
        <w:rPr>
          <w:rFonts w:hint="eastAsia" w:cstheme="minorBidi"/>
          <w:sz w:val="24"/>
          <w:szCs w:val="24"/>
        </w:rPr>
        <w:t>4</w:t>
      </w:r>
    </w:p>
    <w:p>
      <w:pPr>
        <w:pStyle w:val="14"/>
        <w:adjustRightInd w:val="0"/>
        <w:snapToGrid w:val="0"/>
        <w:spacing w:line="440" w:lineRule="exact"/>
        <w:jc w:val="left"/>
        <w:rPr>
          <w:rFonts w:ascii="仿宋" w:hAnsi="仿宋" w:eastAsia="仿宋"/>
          <w:sz w:val="24"/>
        </w:rPr>
      </w:pPr>
      <w:r>
        <w:rPr>
          <w:rFonts w:hint="eastAsia"/>
          <w:sz w:val="24"/>
        </w:rPr>
        <w:t>一、部门职责</w:t>
      </w:r>
      <w:r>
        <w:rPr>
          <w:rFonts w:cstheme="minorBidi"/>
          <w:sz w:val="24"/>
        </w:rPr>
        <w:tab/>
      </w:r>
      <w:r>
        <w:rPr>
          <w:rFonts w:hint="eastAsia" w:cstheme="minorBidi"/>
          <w:sz w:val="24"/>
        </w:rPr>
        <w:t>4</w:t>
      </w:r>
    </w:p>
    <w:p>
      <w:pPr>
        <w:pStyle w:val="14"/>
        <w:adjustRightInd w:val="0"/>
        <w:snapToGrid w:val="0"/>
        <w:spacing w:line="440" w:lineRule="exact"/>
        <w:jc w:val="left"/>
        <w:rPr>
          <w:rFonts w:ascii="仿宋" w:hAnsi="仿宋" w:eastAsia="仿宋" w:cstheme="minorBidi"/>
          <w:sz w:val="24"/>
        </w:rPr>
      </w:pPr>
      <w:r>
        <w:rPr>
          <w:rFonts w:hint="eastAsia"/>
          <w:sz w:val="24"/>
        </w:rPr>
        <w:t>二、机构设置</w:t>
      </w:r>
      <w:r>
        <w:rPr>
          <w:rFonts w:cstheme="minorBidi"/>
          <w:sz w:val="24"/>
        </w:rPr>
        <w:tab/>
      </w:r>
      <w:r>
        <w:rPr>
          <w:rFonts w:hint="eastAsia" w:cstheme="minorBidi"/>
          <w:sz w:val="24"/>
        </w:rPr>
        <w:t>5</w:t>
      </w:r>
    </w:p>
    <w:p>
      <w:pPr>
        <w:pStyle w:val="13"/>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rPr>
        <w:tab/>
      </w:r>
      <w:r>
        <w:rPr>
          <w:rFonts w:hint="eastAsia" w:cstheme="minorBidi"/>
          <w:sz w:val="24"/>
        </w:rPr>
        <w:t>6</w:t>
      </w:r>
    </w:p>
    <w:p>
      <w:pPr>
        <w:pStyle w:val="14"/>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6</w:t>
      </w:r>
    </w:p>
    <w:p>
      <w:pPr>
        <w:pStyle w:val="14"/>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6</w:t>
      </w:r>
    </w:p>
    <w:p>
      <w:pPr>
        <w:pStyle w:val="14"/>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7</w:t>
      </w:r>
    </w:p>
    <w:p>
      <w:pPr>
        <w:pStyle w:val="14"/>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rPr>
        <w:t>7</w:t>
      </w:r>
    </w:p>
    <w:p>
      <w:pPr>
        <w:pStyle w:val="14"/>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8</w:t>
      </w:r>
    </w:p>
    <w:p>
      <w:pPr>
        <w:pStyle w:val="14"/>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11</w:t>
      </w:r>
    </w:p>
    <w:p>
      <w:pPr>
        <w:pStyle w:val="14"/>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11</w:t>
      </w:r>
    </w:p>
    <w:p>
      <w:pPr>
        <w:pStyle w:val="14"/>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rPr>
        <w:t>12</w:t>
      </w:r>
    </w:p>
    <w:p>
      <w:pPr>
        <w:pStyle w:val="14"/>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rPr>
        <w:t>12</w:t>
      </w:r>
    </w:p>
    <w:p>
      <w:pPr>
        <w:pStyle w:val="13"/>
        <w:adjustRightInd w:val="0"/>
        <w:snapToGrid w:val="0"/>
        <w:spacing w:before="0" w:line="440" w:lineRule="exact"/>
        <w:jc w:val="left"/>
        <w:rPr>
          <w:rFonts w:asciiTheme="minorEastAsia" w:hAnsiTheme="minorEastAsia" w:eastAsiaTheme="minorEastAsia" w:cstheme="minorEastAsia"/>
          <w:sz w:val="24"/>
        </w:rPr>
      </w:pPr>
      <w:r>
        <w:rPr>
          <w:rStyle w:val="19"/>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cstheme="minorBidi"/>
          <w:sz w:val="24"/>
          <w:szCs w:val="24"/>
        </w:rPr>
        <w:tab/>
      </w:r>
      <w:r>
        <w:rPr>
          <w:rFonts w:hint="eastAsia" w:cstheme="minorBidi"/>
          <w:sz w:val="24"/>
          <w:szCs w:val="24"/>
        </w:rPr>
        <w:t>13</w:t>
      </w:r>
    </w:p>
    <w:p>
      <w:pPr>
        <w:pStyle w:val="13"/>
        <w:adjustRightInd w:val="0"/>
        <w:snapToGrid w:val="0"/>
        <w:spacing w:before="0" w:line="440" w:lineRule="exact"/>
        <w:jc w:val="left"/>
        <w:rPr>
          <w:rFonts w:cstheme="minorBidi"/>
          <w:sz w:val="24"/>
          <w:szCs w:val="24"/>
        </w:rPr>
      </w:pPr>
      <w:r>
        <w:rPr>
          <w:rFonts w:hint="eastAsia"/>
          <w:sz w:val="24"/>
        </w:rPr>
        <w:t>第三部分名词解释</w:t>
      </w:r>
      <w:r>
        <w:rPr>
          <w:rFonts w:cstheme="minorBidi"/>
          <w:sz w:val="24"/>
        </w:rPr>
        <w:tab/>
      </w:r>
      <w:r>
        <w:rPr>
          <w:rFonts w:hint="eastAsia" w:cstheme="minorBidi"/>
          <w:sz w:val="24"/>
        </w:rPr>
        <w:t>15</w:t>
      </w:r>
    </w:p>
    <w:p>
      <w:pPr>
        <w:pStyle w:val="13"/>
        <w:adjustRightInd w:val="0"/>
        <w:snapToGrid w:val="0"/>
        <w:spacing w:before="0" w:line="440" w:lineRule="exact"/>
        <w:jc w:val="left"/>
        <w:rPr>
          <w:rFonts w:cstheme="minorBidi"/>
          <w:sz w:val="24"/>
          <w:szCs w:val="24"/>
        </w:rPr>
      </w:pPr>
      <w:r>
        <w:rPr>
          <w:rFonts w:hint="eastAsia"/>
          <w:sz w:val="24"/>
        </w:rPr>
        <w:t>第四部分附件</w:t>
      </w:r>
      <w:r>
        <w:rPr>
          <w:rFonts w:cstheme="minorBidi"/>
          <w:sz w:val="24"/>
        </w:rPr>
        <w:tab/>
      </w:r>
      <w:r>
        <w:rPr>
          <w:rFonts w:hint="eastAsia" w:cstheme="minorBidi"/>
          <w:sz w:val="24"/>
        </w:rPr>
        <w:t>19</w:t>
      </w:r>
    </w:p>
    <w:p>
      <w:pPr>
        <w:pStyle w:val="13"/>
        <w:adjustRightInd w:val="0"/>
        <w:snapToGrid w:val="0"/>
        <w:spacing w:before="0" w:line="440" w:lineRule="exact"/>
        <w:jc w:val="left"/>
        <w:rPr>
          <w:rFonts w:cstheme="minorBidi"/>
          <w:sz w:val="24"/>
          <w:szCs w:val="24"/>
        </w:rPr>
      </w:pPr>
      <w:r>
        <w:rPr>
          <w:rFonts w:hint="eastAsia"/>
          <w:sz w:val="24"/>
        </w:rPr>
        <w:t>第五部分附表</w:t>
      </w:r>
      <w:r>
        <w:rPr>
          <w:rFonts w:cstheme="minorBidi"/>
          <w:sz w:val="24"/>
        </w:rPr>
        <w:tab/>
      </w:r>
      <w:r>
        <w:rPr>
          <w:rFonts w:hint="eastAsia" w:cstheme="minorBidi"/>
          <w:sz w:val="24"/>
        </w:rPr>
        <w:t>31</w:t>
      </w:r>
    </w:p>
    <w:p>
      <w:pPr>
        <w:pStyle w:val="14"/>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rPr>
        <w:t>31</w:t>
      </w:r>
    </w:p>
    <w:p>
      <w:pPr>
        <w:pStyle w:val="14"/>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rPr>
        <w:t>31</w:t>
      </w:r>
    </w:p>
    <w:p>
      <w:pPr>
        <w:pStyle w:val="14"/>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rPr>
        <w:t>31</w:t>
      </w:r>
    </w:p>
    <w:p>
      <w:pPr>
        <w:pStyle w:val="14"/>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rPr>
        <w:t>31</w:t>
      </w:r>
    </w:p>
    <w:p>
      <w:pPr>
        <w:pStyle w:val="14"/>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rPr>
        <w:t>31</w:t>
      </w:r>
    </w:p>
    <w:p>
      <w:pPr>
        <w:pStyle w:val="14"/>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rPr>
        <w:t>31</w:t>
      </w:r>
    </w:p>
    <w:p>
      <w:pPr>
        <w:pStyle w:val="14"/>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rPr>
        <w:t>31</w:t>
      </w:r>
    </w:p>
    <w:p>
      <w:pPr>
        <w:pStyle w:val="14"/>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rPr>
        <w:t>31</w:t>
      </w:r>
    </w:p>
    <w:p>
      <w:pPr>
        <w:pStyle w:val="14"/>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rPr>
        <w:t>31</w:t>
      </w:r>
    </w:p>
    <w:p>
      <w:pPr>
        <w:pStyle w:val="14"/>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rPr>
        <w:t>31</w:t>
      </w:r>
    </w:p>
    <w:p>
      <w:pPr>
        <w:pStyle w:val="14"/>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rPr>
        <w:t>31</w:t>
      </w:r>
    </w:p>
    <w:p>
      <w:pPr>
        <w:pStyle w:val="14"/>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rPr>
        <w:t>31</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r>
        <w:rPr>
          <w:rFonts w:cstheme="minorBidi"/>
          <w:sz w:val="24"/>
        </w:rPr>
        <w:tab/>
      </w:r>
      <w:r>
        <w:rPr>
          <w:rFonts w:hint="eastAsia" w:cstheme="minorBidi"/>
          <w:sz w:val="24"/>
        </w:rPr>
        <w:t>31</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Fonts w:ascii="黑体" w:hAnsi="黑体" w:eastAsia="黑体"/>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pStyle w:val="4"/>
        <w:numPr>
          <w:ilvl w:val="0"/>
          <w:numId w:val="1"/>
        </w:numPr>
        <w:rPr>
          <w:rFonts w:ascii="黑体" w:hAnsi="黑体" w:eastAsia="黑体"/>
          <w:b w:val="0"/>
        </w:rPr>
      </w:pPr>
      <w:r>
        <w:rPr>
          <w:rFonts w:hint="eastAsia" w:ascii="黑体" w:hAnsi="黑体" w:eastAsia="黑体"/>
          <w:b w:val="0"/>
        </w:rPr>
        <w:t>部门职责</w:t>
      </w:r>
    </w:p>
    <w:p>
      <w:pPr>
        <w:ind w:firstLine="800" w:firstLineChars="250"/>
        <w:rPr>
          <w:rFonts w:ascii="仿宋" w:hAnsi="仿宋" w:eastAsia="仿宋"/>
          <w:sz w:val="32"/>
          <w:szCs w:val="32"/>
        </w:rPr>
      </w:pPr>
      <w:r>
        <w:rPr>
          <w:rFonts w:hint="eastAsia" w:ascii="仿宋" w:hAnsi="仿宋" w:eastAsia="仿宋"/>
          <w:sz w:val="32"/>
          <w:szCs w:val="32"/>
        </w:rPr>
        <w:t>（1）听取残疾人意见，反映残疾人要求，维护残疾人的合法权益，为残疾人服务;（</w:t>
      </w:r>
      <w:r>
        <w:rPr>
          <w:rFonts w:ascii="仿宋" w:hAnsi="仿宋" w:eastAsia="仿宋"/>
          <w:sz w:val="32"/>
          <w:szCs w:val="32"/>
        </w:rPr>
        <w:t>2</w:t>
      </w:r>
      <w:r>
        <w:rPr>
          <w:rFonts w:hint="eastAsia" w:ascii="仿宋" w:hAnsi="仿宋" w:eastAsia="仿宋"/>
          <w:sz w:val="32"/>
          <w:szCs w:val="32"/>
        </w:rPr>
        <w:t>）教育残疾人遵纪守法，履行应尽的义务，发扬乐观进取的精神，自尊、自信、自强、自立，为社会主义贡献力量;(</w:t>
      </w:r>
      <w:r>
        <w:rPr>
          <w:rFonts w:ascii="仿宋" w:hAnsi="仿宋" w:eastAsia="仿宋"/>
          <w:sz w:val="32"/>
          <w:szCs w:val="32"/>
        </w:rPr>
        <w:t>3</w:t>
      </w:r>
      <w:r>
        <w:rPr>
          <w:rFonts w:hint="eastAsia" w:ascii="仿宋" w:hAnsi="仿宋" w:eastAsia="仿宋"/>
          <w:sz w:val="32"/>
          <w:szCs w:val="32"/>
        </w:rPr>
        <w:t>)弘扬人道主义，宣传残疾人事业，沟通政府、社会与残疾人之间的联系，动员全社会理解、尊重、关心、帮助残疾人;(</w:t>
      </w:r>
      <w:r>
        <w:rPr>
          <w:rFonts w:ascii="仿宋" w:hAnsi="仿宋" w:eastAsia="仿宋"/>
          <w:sz w:val="32"/>
          <w:szCs w:val="32"/>
        </w:rPr>
        <w:t>4</w:t>
      </w:r>
      <w:r>
        <w:rPr>
          <w:rFonts w:hint="eastAsia" w:ascii="仿宋" w:hAnsi="仿宋" w:eastAsia="仿宋"/>
          <w:sz w:val="32"/>
          <w:szCs w:val="32"/>
        </w:rPr>
        <w:t>)开展残疾人康复、扶贫、劳动就业、职业培训、文化体育、福利、服务、无障碍设施和残疾预防工作，创造良好的社会环境和条件，扶助残疾人平等参与社会生活;(</w:t>
      </w:r>
      <w:r>
        <w:rPr>
          <w:rFonts w:ascii="仿宋" w:hAnsi="仿宋" w:eastAsia="仿宋"/>
          <w:sz w:val="32"/>
          <w:szCs w:val="32"/>
        </w:rPr>
        <w:t>5</w:t>
      </w:r>
      <w:r>
        <w:rPr>
          <w:rFonts w:hint="eastAsia" w:ascii="仿宋" w:hAnsi="仿宋" w:eastAsia="仿宋"/>
          <w:sz w:val="32"/>
          <w:szCs w:val="32"/>
        </w:rPr>
        <w:t>)协助政府研究、制定和实施残疾人政策、规划和计划；调查、掌握残疾人状况，向政府提出决策建议，并组织实施;(</w:t>
      </w:r>
      <w:r>
        <w:rPr>
          <w:rFonts w:ascii="仿宋" w:hAnsi="仿宋" w:eastAsia="仿宋"/>
          <w:sz w:val="32"/>
          <w:szCs w:val="32"/>
        </w:rPr>
        <w:t>6</w:t>
      </w:r>
      <w:r>
        <w:rPr>
          <w:rFonts w:hint="eastAsia" w:ascii="仿宋" w:hAnsi="仿宋" w:eastAsia="仿宋"/>
          <w:sz w:val="32"/>
          <w:szCs w:val="32"/>
        </w:rPr>
        <w:t>)负责培训街办（镇）及企、事业单位残联组织负责人;(</w:t>
      </w:r>
      <w:r>
        <w:rPr>
          <w:rFonts w:ascii="仿宋" w:hAnsi="仿宋" w:eastAsia="仿宋"/>
          <w:sz w:val="32"/>
          <w:szCs w:val="32"/>
        </w:rPr>
        <w:t>7</w:t>
      </w:r>
      <w:r>
        <w:rPr>
          <w:rFonts w:hint="eastAsia" w:ascii="仿宋" w:hAnsi="仿宋" w:eastAsia="仿宋"/>
          <w:sz w:val="32"/>
          <w:szCs w:val="32"/>
        </w:rPr>
        <w:t>)承担区政府残疾人工作协调委员会的日常工作，履行综合、组织、协调和服务的职责;(</w:t>
      </w:r>
      <w:r>
        <w:rPr>
          <w:rFonts w:ascii="仿宋" w:hAnsi="仿宋" w:eastAsia="仿宋"/>
          <w:sz w:val="32"/>
          <w:szCs w:val="32"/>
        </w:rPr>
        <w:t>8</w:t>
      </w:r>
      <w:r>
        <w:rPr>
          <w:rFonts w:hint="eastAsia" w:ascii="仿宋" w:hAnsi="仿宋" w:eastAsia="仿宋"/>
          <w:sz w:val="32"/>
          <w:szCs w:val="32"/>
        </w:rPr>
        <w:t>)全面组织实施按比例安置残疾人就业，负责收取、管理和使用残疾人就业保障金工作，会同有关部门制定并监督实施残疾人社会福利生产的扶持保护政策;(</w:t>
      </w:r>
      <w:r>
        <w:rPr>
          <w:rFonts w:ascii="仿宋" w:hAnsi="仿宋" w:eastAsia="仿宋"/>
          <w:sz w:val="32"/>
          <w:szCs w:val="32"/>
        </w:rPr>
        <w:t>9</w:t>
      </w:r>
      <w:r>
        <w:rPr>
          <w:rFonts w:hint="eastAsia" w:ascii="仿宋" w:hAnsi="仿宋" w:eastAsia="仿宋"/>
          <w:sz w:val="32"/>
          <w:szCs w:val="32"/>
        </w:rPr>
        <w:t>)统筹开展为残疾人事业的捐赠活动;(</w:t>
      </w:r>
      <w:r>
        <w:rPr>
          <w:rFonts w:ascii="仿宋" w:hAnsi="仿宋" w:eastAsia="仿宋"/>
          <w:sz w:val="32"/>
          <w:szCs w:val="32"/>
        </w:rPr>
        <w:t>10</w:t>
      </w:r>
      <w:r>
        <w:rPr>
          <w:rFonts w:hint="eastAsia" w:ascii="仿宋" w:hAnsi="仿宋" w:eastAsia="仿宋"/>
          <w:sz w:val="32"/>
          <w:szCs w:val="32"/>
        </w:rPr>
        <w:t>)开展残疾人对外交流与合作事业;(</w:t>
      </w:r>
      <w:r>
        <w:rPr>
          <w:rFonts w:ascii="仿宋" w:hAnsi="仿宋" w:eastAsia="仿宋"/>
          <w:sz w:val="32"/>
          <w:szCs w:val="32"/>
        </w:rPr>
        <w:t>11</w:t>
      </w:r>
      <w:r>
        <w:rPr>
          <w:rFonts w:hint="eastAsia" w:ascii="仿宋" w:hAnsi="仿宋" w:eastAsia="仿宋"/>
          <w:sz w:val="32"/>
          <w:szCs w:val="32"/>
        </w:rPr>
        <w:t>)指导和管理各类残疾人社团组织;(</w:t>
      </w:r>
      <w:r>
        <w:rPr>
          <w:rFonts w:ascii="仿宋" w:hAnsi="仿宋" w:eastAsia="仿宋"/>
          <w:sz w:val="32"/>
          <w:szCs w:val="32"/>
        </w:rPr>
        <w:t>12</w:t>
      </w:r>
      <w:r>
        <w:rPr>
          <w:rFonts w:hint="eastAsia" w:ascii="仿宋" w:hAnsi="仿宋" w:eastAsia="仿宋"/>
          <w:sz w:val="32"/>
          <w:szCs w:val="32"/>
        </w:rPr>
        <w:t>)核发辖区残疾人的《残疾人证》。</w:t>
      </w:r>
    </w:p>
    <w:p>
      <w:pPr>
        <w:pStyle w:val="4"/>
        <w:rPr>
          <w:rStyle w:val="31"/>
          <w:b w:val="0"/>
          <w:bCs w:val="0"/>
        </w:rPr>
      </w:pPr>
      <w:bookmarkStart w:id="14" w:name="_Toc15396601"/>
      <w:bookmarkStart w:id="15" w:name="_Toc15377200"/>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4"/>
      <w:bookmarkEnd w:id="15"/>
    </w:p>
    <w:p>
      <w:pPr>
        <w:ind w:firstLine="800" w:firstLineChars="250"/>
        <w:rPr>
          <w:rFonts w:ascii="仿宋" w:hAnsi="仿宋" w:eastAsia="仿宋"/>
          <w:sz w:val="32"/>
          <w:szCs w:val="32"/>
        </w:rPr>
      </w:pPr>
      <w:r>
        <w:rPr>
          <w:rFonts w:hint="eastAsia" w:ascii="仿宋" w:hAnsi="仿宋" w:eastAsia="仿宋"/>
          <w:sz w:val="32"/>
          <w:szCs w:val="32"/>
        </w:rPr>
        <w:t>西区残疾人联合会下属二级预算单位0个，其中行政单位0个，参照公务员法管理的事业单位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2"/>
        <w:adjustRightInd w:val="0"/>
        <w:snapToGrid w:val="0"/>
        <w:spacing w:before="93" w:line="600" w:lineRule="exact"/>
        <w:ind w:firstLine="640" w:firstLineChars="200"/>
        <w:rPr>
          <w:rFonts w:ascii="仿宋" w:hAnsi="仿宋" w:eastAsia="仿宋"/>
          <w:sz w:val="32"/>
          <w:szCs w:val="32"/>
        </w:rPr>
      </w:pPr>
      <w:r>
        <w:rPr>
          <w:rFonts w:hint="eastAsia" w:ascii="仿宋" w:hAnsi="仿宋" w:eastAsia="仿宋"/>
          <w:sz w:val="32"/>
          <w:szCs w:val="32"/>
        </w:rPr>
        <w:t>纳入西区残疾人联合会2022年度部门决算编制范围的二级预算单位无。</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0"/>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30"/>
          <w:rFonts w:hint="eastAsia" w:ascii="黑体" w:hAnsi="黑体" w:eastAsia="黑体"/>
          <w:b w:val="0"/>
          <w:bCs/>
        </w:rPr>
        <w:t>部门决算情况说明</w:t>
      </w:r>
      <w:bookmarkEnd w:id="16"/>
      <w:bookmarkEnd w:id="17"/>
    </w:p>
    <w:p/>
    <w:p>
      <w:pPr>
        <w:pStyle w:val="29"/>
        <w:numPr>
          <w:ilvl w:val="0"/>
          <w:numId w:val="2"/>
        </w:numPr>
        <w:spacing w:line="600" w:lineRule="exact"/>
        <w:ind w:firstLineChars="0"/>
        <w:outlineLvl w:val="1"/>
        <w:rPr>
          <w:rStyle w:val="31"/>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1"/>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2022年度收、支总计393.04万元。与2021年相比，收、支总计各增加143.57万元，增长36.52</w:t>
      </w:r>
      <w:r>
        <w:rPr>
          <w:rFonts w:ascii="仿宋" w:hAnsi="仿宋" w:eastAsia="仿宋"/>
          <w:sz w:val="32"/>
          <w:szCs w:val="32"/>
        </w:rPr>
        <w:t>%</w:t>
      </w:r>
      <w:r>
        <w:rPr>
          <w:rFonts w:hint="eastAsia" w:ascii="仿宋" w:hAnsi="仿宋" w:eastAsia="仿宋"/>
          <w:sz w:val="32"/>
          <w:szCs w:val="32"/>
        </w:rPr>
        <w:t>。主要变动原因是增加了残疾人康复、就业扶贫项目支出。</w:t>
      </w:r>
    </w:p>
    <w:p>
      <w:pPr>
        <w:widowControl/>
        <w:jc w:val="left"/>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"C:\\Users\\lenovo\\AppData\\Roaming\\Tencent\\Users\\248301485\\QQ\\WinTemp\\RichOle\\Z]UBXG`(@O@2V}~YC~)TBZC.png"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406775" cy="2057400"/>
            <wp:effectExtent l="0" t="0" r="3175"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6"/>
                    <a:stretch>
                      <a:fillRect/>
                    </a:stretch>
                  </pic:blipFill>
                  <pic:spPr>
                    <a:xfrm>
                      <a:off x="0" y="0"/>
                      <a:ext cx="3406775" cy="205740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9"/>
        <w:numPr>
          <w:ilvl w:val="0"/>
          <w:numId w:val="2"/>
        </w:numPr>
        <w:spacing w:line="600" w:lineRule="exact"/>
        <w:ind w:firstLineChars="0"/>
        <w:outlineLvl w:val="1"/>
        <w:rPr>
          <w:rStyle w:val="31"/>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31"/>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22年本年收入合计386.99万元，其中：一般公共预算财政拨款收入348.29万元，占90</w:t>
      </w:r>
      <w:r>
        <w:rPr>
          <w:rFonts w:ascii="仿宋" w:hAnsi="仿宋" w:eastAsia="仿宋"/>
          <w:sz w:val="32"/>
          <w:szCs w:val="32"/>
        </w:rPr>
        <w:t>%</w:t>
      </w:r>
      <w:r>
        <w:rPr>
          <w:rFonts w:hint="eastAsia" w:ascii="仿宋" w:hAnsi="仿宋" w:eastAsia="仿宋"/>
          <w:sz w:val="32"/>
          <w:szCs w:val="32"/>
        </w:rPr>
        <w:t>；政府性基金预算财政拨款收入38.7万元，占10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"C:\\Users\\lenovo\\AppData\\Roaming\\Tencent\\Users\\248301485\\QQ\\WinTemp\\RichOle\\%5PQ1BV1EGGL2DG2T_DYOUN.png"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038475" cy="2179955"/>
            <wp:effectExtent l="0" t="0" r="9525" b="10795"/>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7"/>
                    <a:stretch>
                      <a:fillRect/>
                    </a:stretch>
                  </pic:blipFill>
                  <pic:spPr>
                    <a:xfrm>
                      <a:off x="0" y="0"/>
                      <a:ext cx="3038475" cy="217995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（图2：收入决算结构图）（饼状图）</w:t>
      </w:r>
    </w:p>
    <w:p>
      <w:pPr>
        <w:pStyle w:val="29"/>
        <w:numPr>
          <w:ilvl w:val="0"/>
          <w:numId w:val="2"/>
        </w:numPr>
        <w:spacing w:line="600" w:lineRule="exact"/>
        <w:ind w:firstLineChars="0"/>
        <w:outlineLvl w:val="1"/>
        <w:rPr>
          <w:rStyle w:val="31"/>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31"/>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22年本年支出合计393.04万元，其中：基本支出74.23万元，占18.89</w:t>
      </w:r>
      <w:r>
        <w:rPr>
          <w:rFonts w:ascii="仿宋" w:hAnsi="仿宋" w:eastAsia="仿宋"/>
          <w:sz w:val="32"/>
          <w:szCs w:val="32"/>
        </w:rPr>
        <w:t>%</w:t>
      </w:r>
      <w:r>
        <w:rPr>
          <w:rFonts w:hint="eastAsia" w:ascii="仿宋" w:hAnsi="仿宋" w:eastAsia="仿宋"/>
          <w:sz w:val="32"/>
          <w:szCs w:val="32"/>
        </w:rPr>
        <w:t>；项目支出318.81万元，占81.11</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widowControl/>
        <w:jc w:val="left"/>
        <w:rPr>
          <w:rFonts w:ascii="仿宋" w:hAnsi="仿宋" w:eastAsia="仿宋"/>
          <w:sz w:val="32"/>
          <w:szCs w:val="32"/>
          <w:shd w:val="pct10" w:color="auto" w:fill="FFFFFF"/>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"C:\\Users\\lenovo\\AppData\\Roaming\\Tencent\\Users\\248301485\\QQ\\WinTemp\\RichOle\\Q3HZJ}~FRBA%{8$M@N8BT~F.png"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2686050" cy="2047875"/>
            <wp:effectExtent l="0" t="0" r="0" b="9525"/>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8"/>
                    <a:stretch>
                      <a:fillRect/>
                    </a:stretch>
                  </pic:blipFill>
                  <pic:spPr>
                    <a:xfrm>
                      <a:off x="0" y="0"/>
                      <a:ext cx="2686050" cy="204787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31"/>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22年财政拨款收、支总计393.04万元。与</w:t>
      </w:r>
      <w:r>
        <w:rPr>
          <w:rFonts w:ascii="仿宋" w:hAnsi="仿宋" w:eastAsia="仿宋"/>
          <w:sz w:val="32"/>
          <w:szCs w:val="32"/>
        </w:rPr>
        <w:t>20</w:t>
      </w:r>
      <w:r>
        <w:rPr>
          <w:rFonts w:hint="eastAsia" w:ascii="仿宋" w:hAnsi="仿宋" w:eastAsia="仿宋"/>
          <w:sz w:val="32"/>
          <w:szCs w:val="32"/>
        </w:rPr>
        <w:t>21年相比，财政拨款收、支总计各增加143.57万元，增长36.52</w:t>
      </w:r>
      <w:r>
        <w:rPr>
          <w:rFonts w:ascii="仿宋" w:hAnsi="仿宋" w:eastAsia="仿宋"/>
          <w:sz w:val="32"/>
          <w:szCs w:val="32"/>
        </w:rPr>
        <w:t>%</w:t>
      </w:r>
      <w:r>
        <w:rPr>
          <w:rFonts w:hint="eastAsia" w:ascii="仿宋" w:hAnsi="仿宋" w:eastAsia="仿宋"/>
          <w:sz w:val="32"/>
          <w:szCs w:val="32"/>
        </w:rPr>
        <w:t>。主要变动原因是增加了残疾人康复、就业扶贫项目支出。</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"C:\\Users\\lenovo\\AppData\\Roaming\\Tencent\\Users\\248301485\\QQ\\WinTemp\\RichOle\\2XIXP%[KX$CM305O6BB12[A.png"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382010" cy="2097405"/>
            <wp:effectExtent l="0" t="0" r="8890" b="17145"/>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9"/>
                    <a:stretch>
                      <a:fillRect/>
                    </a:stretch>
                  </pic:blipFill>
                  <pic:spPr>
                    <a:xfrm>
                      <a:off x="0" y="0"/>
                      <a:ext cx="3382010" cy="2097405"/>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31"/>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22年一般公共预算财政拨款支出354.34万元，占本年支出合计的90.15</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21年相比，一般公共预算财政拨款支出增加120.67万元，增长34.05</w:t>
      </w:r>
      <w:r>
        <w:rPr>
          <w:rFonts w:ascii="仿宋" w:hAnsi="仿宋" w:eastAsia="仿宋"/>
          <w:sz w:val="32"/>
          <w:szCs w:val="32"/>
        </w:rPr>
        <w:t>%</w:t>
      </w:r>
      <w:r>
        <w:rPr>
          <w:rFonts w:hint="eastAsia" w:ascii="仿宋" w:hAnsi="仿宋" w:eastAsia="仿宋"/>
          <w:sz w:val="32"/>
          <w:szCs w:val="32"/>
        </w:rPr>
        <w:t>。主要变动原因是增加了残疾人康复、就业扶贫项目支出。</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"C:\\Users\\lenovo\\AppData\\Roaming\\Tencent\\Users\\248301485\\QQ\\WinTemp\\RichOle\\D`Y]8[PEE6)`]875KRNG6DT.png"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3133725" cy="2189480"/>
            <wp:effectExtent l="0" t="0" r="9525" b="1270"/>
            <wp:docPr id="1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56"/>
                    <pic:cNvPicPr>
                      <a:picLocks noChangeAspect="1"/>
                    </pic:cNvPicPr>
                  </pic:nvPicPr>
                  <pic:blipFill>
                    <a:blip r:embed="rId10"/>
                    <a:stretch>
                      <a:fillRect/>
                    </a:stretch>
                  </pic:blipFill>
                  <pic:spPr>
                    <a:xfrm>
                      <a:off x="0" y="0"/>
                      <a:ext cx="3133725" cy="2189480"/>
                    </a:xfrm>
                    <a:prstGeom prst="rect">
                      <a:avLst/>
                    </a:prstGeom>
                    <a:noFill/>
                    <a:ln w="9525">
                      <a:noFill/>
                    </a:ln>
                  </pic:spPr>
                </pic:pic>
              </a:graphicData>
            </a:graphic>
          </wp:inline>
        </w:drawing>
      </w:r>
      <w:r>
        <w:rPr>
          <w:rFonts w:ascii="宋体" w:hAnsi="宋体" w:cs="宋体"/>
          <w:kern w:val="0"/>
          <w:sz w:val="24"/>
        </w:rPr>
        <w:fldChar w:fldCharType="end"/>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22年一般公共预算财政拨款支出354.34万元，主要用于以下方面</w:t>
      </w:r>
      <w:r>
        <w:rPr>
          <w:rFonts w:ascii="仿宋" w:hAnsi="仿宋" w:eastAsia="仿宋"/>
          <w:sz w:val="32"/>
          <w:szCs w:val="32"/>
        </w:rPr>
        <w:t>:</w:t>
      </w:r>
      <w:r>
        <w:rPr>
          <w:rFonts w:hint="eastAsia" w:ascii="仿宋" w:hAnsi="仿宋" w:eastAsia="仿宋"/>
          <w:b/>
          <w:sz w:val="32"/>
          <w:szCs w:val="32"/>
        </w:rPr>
        <w:t>社会保障和就业支出344.45</w:t>
      </w:r>
      <w:r>
        <w:rPr>
          <w:rFonts w:hint="eastAsia" w:ascii="仿宋" w:hAnsi="仿宋" w:eastAsia="仿宋"/>
          <w:sz w:val="32"/>
          <w:szCs w:val="32"/>
        </w:rPr>
        <w:t>万元，占97.21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卫生健康支出4.18</w:t>
      </w:r>
      <w:r>
        <w:rPr>
          <w:rFonts w:hint="eastAsia" w:ascii="仿宋" w:hAnsi="仿宋" w:eastAsia="仿宋"/>
          <w:sz w:val="32"/>
          <w:szCs w:val="32"/>
        </w:rPr>
        <w:t>万元，占1.18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住房保障支出5.7</w:t>
      </w:r>
      <w:r>
        <w:rPr>
          <w:rFonts w:hint="eastAsia" w:ascii="仿宋" w:hAnsi="仿宋" w:eastAsia="仿宋"/>
          <w:sz w:val="32"/>
          <w:szCs w:val="32"/>
        </w:rPr>
        <w:t>万元，占1.61</w:t>
      </w:r>
      <w:r>
        <w:rPr>
          <w:rFonts w:ascii="仿宋" w:hAnsi="仿宋" w:eastAsia="仿宋"/>
          <w:sz w:val="32"/>
          <w:szCs w:val="32"/>
        </w:rPr>
        <w:t>%</w:t>
      </w:r>
      <w:r>
        <w:rPr>
          <w:rFonts w:hint="eastAsia" w:ascii="仿宋" w:hAnsi="仿宋" w:eastAsia="仿宋"/>
          <w:sz w:val="32"/>
          <w:szCs w:val="32"/>
        </w:rPr>
        <w:t>。</w:t>
      </w:r>
    </w:p>
    <w:p>
      <w:pPr>
        <w:widowControl/>
        <w:jc w:val="left"/>
        <w:rPr>
          <w:rFonts w:ascii="仿宋" w:hAnsi="仿宋" w:eastAsia="仿宋"/>
          <w:sz w:val="32"/>
          <w:szCs w:val="32"/>
        </w:rPr>
      </w:pPr>
      <w:r>
        <w:rPr>
          <w:rFonts w:ascii="宋体" w:hAnsi="宋体" w:cs="宋体"/>
          <w:kern w:val="0"/>
          <w:sz w:val="24"/>
        </w:rPr>
        <w:fldChar w:fldCharType="begin"/>
      </w:r>
      <w:r>
        <w:rPr>
          <w:rFonts w:ascii="宋体" w:hAnsi="宋体" w:cs="宋体"/>
          <w:kern w:val="0"/>
          <w:sz w:val="24"/>
        </w:rPr>
        <w:instrText xml:space="preserve">INCLUDEPICTURE \d "C:\\Users\\lenovo\\AppData\\Roaming\\Tencent\\Users\\248301485\\QQ\\WinTemp\\RichOle\\ZS~_~S51{)PHNK4`H3[HH@C.png" \* MERGEFORMATINET </w:instrText>
      </w:r>
      <w:r>
        <w:rPr>
          <w:rFonts w:ascii="宋体" w:hAnsi="宋体" w:cs="宋体"/>
          <w:kern w:val="0"/>
          <w:sz w:val="24"/>
        </w:rPr>
        <w:fldChar w:fldCharType="separate"/>
      </w:r>
      <w:r>
        <w:rPr>
          <w:rFonts w:ascii="宋体" w:hAnsi="宋体" w:cs="宋体"/>
          <w:kern w:val="0"/>
          <w:sz w:val="24"/>
        </w:rPr>
        <w:drawing>
          <wp:inline distT="0" distB="0" distL="114300" distR="114300">
            <wp:extent cx="2674620" cy="2028825"/>
            <wp:effectExtent l="0" t="0" r="11430" b="9525"/>
            <wp:docPr id="1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56"/>
                    <pic:cNvPicPr>
                      <a:picLocks noChangeAspect="1"/>
                    </pic:cNvPicPr>
                  </pic:nvPicPr>
                  <pic:blipFill>
                    <a:blip r:embed="rId11"/>
                    <a:stretch>
                      <a:fillRect/>
                    </a:stretch>
                  </pic:blipFill>
                  <pic:spPr>
                    <a:xfrm>
                      <a:off x="0" y="0"/>
                      <a:ext cx="2674620" cy="2028825"/>
                    </a:xfrm>
                    <a:prstGeom prst="rect">
                      <a:avLst/>
                    </a:prstGeom>
                    <a:noFill/>
                    <a:ln w="9525">
                      <a:noFill/>
                    </a:ln>
                  </pic:spPr>
                </pic:pic>
              </a:graphicData>
            </a:graphic>
          </wp:inline>
        </w:drawing>
      </w:r>
      <w:r>
        <w:rPr>
          <w:rFonts w:ascii="宋体" w:hAnsi="宋体" w:cs="宋体"/>
          <w:kern w:val="0"/>
          <w:sz w:val="24"/>
        </w:rPr>
        <w:fldChar w:fldCharType="end"/>
      </w:r>
      <w:bookmarkStart w:id="67" w:name="_GoBack"/>
      <w:bookmarkEnd w:id="67"/>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2022年一般公共预算支出决算数为354.34</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社会保障和就业支出（类）行政事业单位养老支出（款）行政单位离退休（项）</w:t>
      </w:r>
      <w:r>
        <w:rPr>
          <w:rStyle w:val="17"/>
          <w:rFonts w:ascii="仿宋" w:hAnsi="仿宋" w:eastAsia="仿宋"/>
          <w:bCs/>
          <w:sz w:val="32"/>
          <w:szCs w:val="32"/>
        </w:rPr>
        <w:t>:</w:t>
      </w:r>
      <w:r>
        <w:rPr>
          <w:rStyle w:val="17"/>
          <w:rFonts w:hint="eastAsia" w:ascii="仿宋" w:hAnsi="仿宋" w:eastAsia="仿宋"/>
          <w:b w:val="0"/>
          <w:bCs/>
          <w:sz w:val="32"/>
          <w:szCs w:val="32"/>
        </w:rPr>
        <w:t>支出决算为0.81万元，完成预算100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17"/>
          <w:rFonts w:hint="eastAsia" w:ascii="仿宋" w:hAnsi="仿宋" w:eastAsia="仿宋"/>
          <w:bCs/>
          <w:sz w:val="32"/>
          <w:szCs w:val="32"/>
        </w:rPr>
        <w:t>社会保障和就业支出（类）行政事业单位养老支出（款）机关事业单位基本养老保险缴费支出（项）</w:t>
      </w:r>
      <w:r>
        <w:rPr>
          <w:rStyle w:val="17"/>
          <w:rFonts w:ascii="仿宋" w:hAnsi="仿宋" w:eastAsia="仿宋"/>
          <w:bCs/>
          <w:sz w:val="32"/>
          <w:szCs w:val="32"/>
        </w:rPr>
        <w:t>:</w:t>
      </w:r>
      <w:r>
        <w:rPr>
          <w:rStyle w:val="17"/>
          <w:rFonts w:hint="eastAsia" w:ascii="仿宋" w:hAnsi="仿宋" w:eastAsia="仿宋"/>
          <w:b w:val="0"/>
          <w:bCs/>
          <w:sz w:val="32"/>
          <w:szCs w:val="32"/>
        </w:rPr>
        <w:t>支出决算为4.72万元，完成预算100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bCs/>
          <w:sz w:val="32"/>
          <w:szCs w:val="32"/>
        </w:rPr>
        <w:t>社会保障和就业支出（类）残疾人事业（款）行政运行（项）</w:t>
      </w:r>
      <w:r>
        <w:rPr>
          <w:rStyle w:val="17"/>
          <w:rFonts w:ascii="仿宋" w:hAnsi="仿宋" w:eastAsia="仿宋"/>
          <w:bCs/>
          <w:sz w:val="32"/>
          <w:szCs w:val="32"/>
        </w:rPr>
        <w:t>:</w:t>
      </w:r>
      <w:r>
        <w:rPr>
          <w:rStyle w:val="17"/>
          <w:rFonts w:hint="eastAsia" w:ascii="仿宋" w:hAnsi="仿宋" w:eastAsia="仿宋"/>
          <w:b w:val="0"/>
          <w:bCs/>
          <w:sz w:val="32"/>
          <w:szCs w:val="32"/>
        </w:rPr>
        <w:t>支出决算为48.13万元，完成预算100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Style w:val="17"/>
          <w:rFonts w:hint="eastAsia" w:ascii="仿宋" w:hAnsi="仿宋" w:eastAsia="仿宋"/>
          <w:bCs/>
          <w:sz w:val="32"/>
          <w:szCs w:val="32"/>
        </w:rPr>
        <w:t>社会保障和就业支出（类）残疾人事业（款）残疾人康复（项）</w:t>
      </w:r>
      <w:r>
        <w:rPr>
          <w:rStyle w:val="17"/>
          <w:rFonts w:ascii="仿宋" w:hAnsi="仿宋" w:eastAsia="仿宋"/>
          <w:bCs/>
          <w:sz w:val="32"/>
          <w:szCs w:val="32"/>
        </w:rPr>
        <w:t>:</w:t>
      </w:r>
      <w:r>
        <w:rPr>
          <w:rStyle w:val="17"/>
          <w:rFonts w:hint="eastAsia" w:ascii="仿宋" w:hAnsi="仿宋" w:eastAsia="仿宋"/>
          <w:b w:val="0"/>
          <w:bCs/>
          <w:sz w:val="32"/>
          <w:szCs w:val="32"/>
        </w:rPr>
        <w:t>支出决算为83.24万元，完成预算100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5.</w:t>
      </w:r>
      <w:r>
        <w:rPr>
          <w:rStyle w:val="17"/>
          <w:rFonts w:hint="eastAsia" w:ascii="仿宋" w:hAnsi="仿宋" w:eastAsia="仿宋"/>
          <w:bCs/>
          <w:sz w:val="32"/>
          <w:szCs w:val="32"/>
        </w:rPr>
        <w:t>社会保障和就业（类）残疾人事业（款）残疾人就业（项）</w:t>
      </w:r>
      <w:r>
        <w:rPr>
          <w:rStyle w:val="17"/>
          <w:rFonts w:ascii="仿宋" w:hAnsi="仿宋" w:eastAsia="仿宋"/>
          <w:bCs/>
          <w:sz w:val="32"/>
          <w:szCs w:val="32"/>
        </w:rPr>
        <w:t>:</w:t>
      </w:r>
      <w:r>
        <w:rPr>
          <w:rStyle w:val="17"/>
          <w:rFonts w:hint="eastAsia" w:ascii="仿宋" w:hAnsi="仿宋" w:eastAsia="仿宋"/>
          <w:b w:val="0"/>
          <w:bCs/>
          <w:sz w:val="32"/>
          <w:szCs w:val="32"/>
        </w:rPr>
        <w:t>支出决算为15.1万元，完成预算100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Fonts w:ascii="仿宋" w:hAnsi="仿宋" w:eastAsia="仿宋"/>
          <w:b/>
          <w:sz w:val="32"/>
          <w:szCs w:val="32"/>
        </w:rPr>
      </w:pPr>
      <w:r>
        <w:rPr>
          <w:rStyle w:val="17"/>
          <w:rFonts w:ascii="仿宋" w:hAnsi="仿宋" w:eastAsia="仿宋"/>
          <w:bCs/>
          <w:sz w:val="32"/>
          <w:szCs w:val="32"/>
        </w:rPr>
        <w:t>6.</w:t>
      </w:r>
      <w:r>
        <w:rPr>
          <w:rStyle w:val="17"/>
          <w:rFonts w:hint="eastAsia" w:ascii="仿宋" w:hAnsi="仿宋" w:eastAsia="仿宋"/>
          <w:bCs/>
          <w:sz w:val="32"/>
          <w:szCs w:val="32"/>
        </w:rPr>
        <w:t>社会保障和就业（类）残疾人事业（款）其他残疾人事业支出（项）</w:t>
      </w:r>
      <w:r>
        <w:rPr>
          <w:rStyle w:val="17"/>
          <w:rFonts w:ascii="仿宋" w:hAnsi="仿宋" w:eastAsia="仿宋"/>
          <w:bCs/>
          <w:sz w:val="32"/>
          <w:szCs w:val="32"/>
        </w:rPr>
        <w:t>:</w:t>
      </w:r>
      <w:r>
        <w:rPr>
          <w:rStyle w:val="17"/>
          <w:rFonts w:hint="eastAsia" w:ascii="仿宋" w:hAnsi="仿宋" w:eastAsia="仿宋"/>
          <w:b w:val="0"/>
          <w:bCs/>
          <w:sz w:val="32"/>
          <w:szCs w:val="32"/>
        </w:rPr>
        <w:t>支出决算为192.45万元，完成预算100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7</w:t>
      </w:r>
      <w:r>
        <w:rPr>
          <w:rStyle w:val="17"/>
          <w:rFonts w:ascii="仿宋" w:hAnsi="仿宋" w:eastAsia="仿宋"/>
          <w:bCs/>
          <w:sz w:val="32"/>
          <w:szCs w:val="32"/>
        </w:rPr>
        <w:t>.</w:t>
      </w:r>
      <w:r>
        <w:rPr>
          <w:rStyle w:val="17"/>
          <w:rFonts w:hint="eastAsia" w:ascii="仿宋" w:hAnsi="仿宋" w:eastAsia="仿宋"/>
          <w:bCs/>
          <w:sz w:val="32"/>
          <w:szCs w:val="32"/>
        </w:rPr>
        <w:t>卫生健康支出（类）行政事业单位医疗（款）行政单位医疗（项）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支出决算为3.09万元，完成预算100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pStyle w:val="2"/>
        <w:spacing w:before="93"/>
        <w:rPr>
          <w:rStyle w:val="17"/>
          <w:rFonts w:ascii="仿宋" w:hAnsi="仿宋" w:eastAsia="仿宋"/>
          <w:b w:val="0"/>
          <w:bCs/>
          <w:sz w:val="32"/>
          <w:szCs w:val="32"/>
        </w:rPr>
      </w:pPr>
      <w:r>
        <w:rPr>
          <w:rStyle w:val="17"/>
          <w:rFonts w:hint="eastAsia" w:ascii="仿宋" w:hAnsi="仿宋" w:eastAsia="仿宋"/>
          <w:bCs/>
          <w:sz w:val="32"/>
          <w:szCs w:val="32"/>
        </w:rPr>
        <w:t xml:space="preserve">    8</w:t>
      </w:r>
      <w:r>
        <w:rPr>
          <w:rStyle w:val="17"/>
          <w:rFonts w:ascii="仿宋" w:hAnsi="仿宋" w:eastAsia="仿宋"/>
          <w:bCs/>
          <w:sz w:val="32"/>
          <w:szCs w:val="32"/>
        </w:rPr>
        <w:t>.</w:t>
      </w:r>
      <w:r>
        <w:rPr>
          <w:rStyle w:val="17"/>
          <w:rFonts w:hint="eastAsia" w:ascii="仿宋" w:hAnsi="仿宋" w:eastAsia="仿宋"/>
          <w:bCs/>
          <w:sz w:val="32"/>
          <w:szCs w:val="32"/>
        </w:rPr>
        <w:t>卫生健康支出（类）行政事业单位医疗（款）事业单位医疗（项）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支出决算为0.76万元，完成预算100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pStyle w:val="2"/>
        <w:spacing w:before="93"/>
        <w:rPr>
          <w:rStyle w:val="17"/>
          <w:rFonts w:ascii="仿宋" w:hAnsi="仿宋" w:eastAsia="仿宋"/>
          <w:b w:val="0"/>
          <w:bCs/>
          <w:sz w:val="32"/>
          <w:szCs w:val="32"/>
        </w:rPr>
      </w:pPr>
      <w:r>
        <w:rPr>
          <w:rStyle w:val="17"/>
          <w:rFonts w:hint="eastAsia" w:ascii="仿宋" w:hAnsi="仿宋" w:eastAsia="仿宋"/>
          <w:bCs/>
          <w:sz w:val="32"/>
          <w:szCs w:val="32"/>
        </w:rPr>
        <w:t xml:space="preserve">    9</w:t>
      </w:r>
      <w:r>
        <w:rPr>
          <w:rStyle w:val="17"/>
          <w:rFonts w:ascii="仿宋" w:hAnsi="仿宋" w:eastAsia="仿宋"/>
          <w:bCs/>
          <w:sz w:val="32"/>
          <w:szCs w:val="32"/>
        </w:rPr>
        <w:t>.</w:t>
      </w:r>
      <w:r>
        <w:rPr>
          <w:rStyle w:val="17"/>
          <w:rFonts w:hint="eastAsia" w:ascii="仿宋" w:hAnsi="仿宋" w:eastAsia="仿宋"/>
          <w:bCs/>
          <w:sz w:val="32"/>
          <w:szCs w:val="32"/>
        </w:rPr>
        <w:t>卫生健康支出（类）行政事业单位医疗（款）公务员医疗补助（项）</w:t>
      </w:r>
      <w:r>
        <w:rPr>
          <w:rStyle w:val="17"/>
          <w:rFonts w:ascii="仿宋" w:hAnsi="仿宋" w:eastAsia="仿宋"/>
          <w:bCs/>
          <w:sz w:val="32"/>
          <w:szCs w:val="32"/>
        </w:rPr>
        <w:t>:</w:t>
      </w:r>
      <w:r>
        <w:rPr>
          <w:rStyle w:val="17"/>
          <w:rFonts w:hint="eastAsia" w:ascii="仿宋" w:hAnsi="仿宋" w:eastAsia="仿宋"/>
          <w:b w:val="0"/>
          <w:bCs/>
          <w:sz w:val="32"/>
          <w:szCs w:val="32"/>
        </w:rPr>
        <w:t>支出决算为0.27万元，完成预算100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pStyle w:val="2"/>
        <w:spacing w:before="93"/>
      </w:pPr>
      <w:r>
        <w:rPr>
          <w:rStyle w:val="17"/>
          <w:rFonts w:hint="eastAsia" w:ascii="仿宋" w:hAnsi="仿宋" w:eastAsia="仿宋"/>
          <w:bCs/>
          <w:sz w:val="32"/>
          <w:szCs w:val="32"/>
        </w:rPr>
        <w:t xml:space="preserve">    10</w:t>
      </w:r>
      <w:r>
        <w:rPr>
          <w:rStyle w:val="17"/>
          <w:rFonts w:ascii="仿宋" w:hAnsi="仿宋" w:eastAsia="仿宋"/>
          <w:bCs/>
          <w:sz w:val="32"/>
          <w:szCs w:val="32"/>
        </w:rPr>
        <w:t>.</w:t>
      </w:r>
      <w:r>
        <w:rPr>
          <w:rStyle w:val="17"/>
          <w:rFonts w:hint="eastAsia" w:ascii="仿宋" w:hAnsi="仿宋" w:eastAsia="仿宋"/>
          <w:bCs/>
          <w:sz w:val="32"/>
          <w:szCs w:val="32"/>
        </w:rPr>
        <w:t>卫生健康支出（类）行政事业单位医疗（款）其他行政事业单位医疗支出（项）</w:t>
      </w:r>
      <w:r>
        <w:rPr>
          <w:rStyle w:val="17"/>
          <w:rFonts w:ascii="仿宋" w:hAnsi="仿宋" w:eastAsia="仿宋"/>
          <w:bCs/>
          <w:sz w:val="32"/>
          <w:szCs w:val="32"/>
        </w:rPr>
        <w:t>:</w:t>
      </w:r>
      <w:r>
        <w:rPr>
          <w:rStyle w:val="17"/>
          <w:rFonts w:hint="eastAsia" w:ascii="仿宋" w:hAnsi="仿宋" w:eastAsia="仿宋"/>
          <w:b w:val="0"/>
          <w:bCs/>
          <w:sz w:val="32"/>
          <w:szCs w:val="32"/>
        </w:rPr>
        <w:t>支出决算为0.07万元，完成预算100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rPr>
          <w:rFonts w:ascii="仿宋" w:hAnsi="仿宋" w:eastAsia="仿宋"/>
          <w:b/>
          <w:sz w:val="32"/>
          <w:szCs w:val="32"/>
        </w:rPr>
      </w:pPr>
      <w:r>
        <w:rPr>
          <w:rStyle w:val="17"/>
          <w:rFonts w:hint="eastAsia" w:ascii="仿宋" w:hAnsi="仿宋" w:eastAsia="仿宋"/>
          <w:bCs/>
          <w:sz w:val="32"/>
          <w:szCs w:val="32"/>
        </w:rPr>
        <w:t xml:space="preserve">    11</w:t>
      </w:r>
      <w:r>
        <w:rPr>
          <w:rStyle w:val="17"/>
          <w:rFonts w:ascii="仿宋" w:hAnsi="仿宋" w:eastAsia="仿宋"/>
          <w:bCs/>
          <w:sz w:val="32"/>
          <w:szCs w:val="32"/>
        </w:rPr>
        <w:t>.</w:t>
      </w:r>
      <w:r>
        <w:rPr>
          <w:rStyle w:val="17"/>
          <w:rFonts w:hint="eastAsia" w:ascii="仿宋" w:hAnsi="仿宋" w:eastAsia="仿宋"/>
          <w:bCs/>
          <w:sz w:val="32"/>
          <w:szCs w:val="32"/>
        </w:rPr>
        <w:t>住房保障支出（类）住房改革支出（款）住房公积金（项）</w:t>
      </w:r>
      <w:r>
        <w:rPr>
          <w:rStyle w:val="17"/>
          <w:rFonts w:ascii="仿宋" w:hAnsi="仿宋" w:eastAsia="仿宋"/>
          <w:bCs/>
          <w:sz w:val="32"/>
          <w:szCs w:val="32"/>
        </w:rPr>
        <w:t>:</w:t>
      </w:r>
      <w:r>
        <w:rPr>
          <w:rStyle w:val="17"/>
          <w:rFonts w:hint="eastAsia" w:ascii="仿宋" w:hAnsi="仿宋" w:eastAsia="仿宋"/>
          <w:b w:val="0"/>
          <w:bCs/>
          <w:sz w:val="32"/>
          <w:szCs w:val="32"/>
        </w:rPr>
        <w:t>支出决算为5.7万元，完成预算100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tabs>
          <w:tab w:val="right" w:pos="8306"/>
        </w:tabs>
        <w:spacing w:line="600" w:lineRule="exact"/>
        <w:ind w:firstLine="640"/>
        <w:outlineLvl w:val="1"/>
        <w:rPr>
          <w:rStyle w:val="31"/>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34"/>
      <w:bookmarkEnd w:id="35"/>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22年一般公共预算财政拨款基本支出74.23万元，其中：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人员经费68.85万元，主要包括：基本工资、津贴补贴、奖金、绩效工资、机关事业单位基本养老保险缴费、其他社会保障缴费、其他工资福利支出、生活补助、住房公积金。</w:t>
      </w:r>
      <w:r>
        <w:rPr>
          <w:rFonts w:ascii="仿宋" w:hAnsi="仿宋" w:eastAsia="仿宋"/>
          <w:sz w:val="32"/>
          <w:szCs w:val="32"/>
        </w:rPr>
        <w:br w:type="textWrapping"/>
      </w:r>
      <w:r>
        <w:rPr>
          <w:rFonts w:hint="eastAsia" w:ascii="仿宋" w:hAnsi="仿宋" w:eastAsia="仿宋"/>
          <w:sz w:val="32"/>
          <w:szCs w:val="32"/>
        </w:rPr>
        <w:t>　　公用经费4.56万元，主要包括：办公费、印刷费、邮电费、工会经费、其他交通费。</w:t>
      </w:r>
    </w:p>
    <w:p>
      <w:pPr>
        <w:spacing w:line="600" w:lineRule="exact"/>
        <w:ind w:firstLine="640"/>
        <w:outlineLvl w:val="1"/>
        <w:rPr>
          <w:rStyle w:val="31"/>
          <w:rFonts w:ascii="黑体" w:hAnsi="黑体" w:eastAsia="黑体"/>
          <w:b w:val="0"/>
        </w:rPr>
      </w:pPr>
      <w:bookmarkStart w:id="36" w:name="_Toc15396609"/>
      <w:bookmarkStart w:id="37"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22年“三公”经费财政拨款支出决算为0万元，完成预算0</w:t>
      </w:r>
      <w:r>
        <w:rPr>
          <w:rFonts w:ascii="仿宋" w:hAnsi="仿宋" w:eastAsia="仿宋"/>
          <w:sz w:val="32"/>
          <w:szCs w:val="32"/>
        </w:rPr>
        <w:t>%</w:t>
      </w:r>
      <w:r>
        <w:rPr>
          <w:rFonts w:hint="eastAsia" w:ascii="仿宋" w:hAnsi="仿宋" w:eastAsia="仿宋"/>
          <w:sz w:val="32"/>
          <w:szCs w:val="32"/>
        </w:rPr>
        <w:t>，较上年减少0.18万元，下降100%。决算数与预算数持平的主要原因是2022年无“三公”经费预算。</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Fonts w:hint="eastAsia" w:ascii="仿宋" w:hAnsi="仿宋" w:eastAsia="仿宋"/>
          <w:sz w:val="32"/>
          <w:szCs w:val="32"/>
        </w:rPr>
        <w:t>，完成预算0</w:t>
      </w:r>
      <w:r>
        <w:rPr>
          <w:rFonts w:ascii="仿宋" w:hAnsi="仿宋" w:eastAsia="仿宋"/>
          <w:sz w:val="32"/>
          <w:szCs w:val="32"/>
        </w:rPr>
        <w:t>%</w:t>
      </w:r>
      <w:r>
        <w:rPr>
          <w:rFonts w:hint="eastAsia" w:ascii="仿宋" w:hAnsi="仿宋" w:eastAsia="仿宋"/>
          <w:sz w:val="32"/>
          <w:szCs w:val="32"/>
        </w:rPr>
        <w:t>。全年安排因公出国（境）团组0次，出国（境）0人。</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 w:hAnsi="仿宋" w:eastAsia="仿宋"/>
          <w:sz w:val="32"/>
          <w:szCs w:val="32"/>
        </w:rPr>
        <w:t>全年按规定更新购置公务用车0辆，其中：轿车0辆、金额0万元，越野车0辆、金额0万元，载客汽车0辆、金额0万元。截至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7"/>
          <w:rFonts w:hint="eastAsia" w:ascii="仿宋" w:hAnsi="仿宋" w:eastAsia="仿宋"/>
          <w:b w:val="0"/>
          <w:bCs/>
          <w:sz w:val="32"/>
          <w:szCs w:val="32"/>
        </w:rPr>
        <w:t>完成预算0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其中：</w:t>
      </w:r>
    </w:p>
    <w:p>
      <w:pPr>
        <w:spacing w:line="600" w:lineRule="exact"/>
        <w:ind w:firstLine="640"/>
        <w:rPr>
          <w:rFonts w:ascii="仿宋" w:hAnsi="仿宋" w:eastAsia="仿宋"/>
          <w:sz w:val="32"/>
          <w:szCs w:val="32"/>
        </w:rPr>
      </w:pPr>
      <w:r>
        <w:rPr>
          <w:rFonts w:hint="eastAsia" w:ascii="仿宋" w:hAnsi="仿宋" w:eastAsia="仿宋"/>
          <w:sz w:val="32"/>
          <w:szCs w:val="32"/>
        </w:rPr>
        <w:t>国内公务接待支出0万元。国内公务接待0批次，0人次（不包括陪同人员），共计支出0万元。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外事接待支出0万元。外事接待0批次，0人次（不包括陪同人员），共计支出0万元。</w:t>
      </w:r>
      <w:bookmarkStart w:id="40" w:name="_Toc15396610"/>
      <w:bookmarkStart w:id="41" w:name="_Toc15377218"/>
    </w:p>
    <w:p>
      <w:pPr>
        <w:spacing w:line="600" w:lineRule="exact"/>
        <w:ind w:firstLine="640"/>
        <w:outlineLvl w:val="1"/>
        <w:rPr>
          <w:rStyle w:val="31"/>
          <w:rFonts w:ascii="黑体" w:hAnsi="黑体" w:eastAsia="黑体"/>
        </w:rPr>
      </w:pPr>
      <w:r>
        <w:rPr>
          <w:rFonts w:hint="eastAsia" w:ascii="黑体" w:eastAsia="黑体"/>
          <w:sz w:val="32"/>
          <w:szCs w:val="32"/>
        </w:rPr>
        <w:t>八、</w:t>
      </w:r>
      <w:r>
        <w:rPr>
          <w:rStyle w:val="31"/>
          <w:rFonts w:hint="eastAsia" w:ascii="黑体" w:hAnsi="黑体" w:eastAsia="黑体"/>
          <w:b w:val="0"/>
        </w:rPr>
        <w:t>政府性基金预算支出决算情况说明</w:t>
      </w:r>
      <w:bookmarkEnd w:id="40"/>
      <w:bookmarkEnd w:id="4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22年政府性基金预算财政拨款支出38.7万元。</w:t>
      </w:r>
    </w:p>
    <w:p>
      <w:pPr>
        <w:numPr>
          <w:ilvl w:val="0"/>
          <w:numId w:val="3"/>
        </w:numPr>
        <w:spacing w:line="600" w:lineRule="exact"/>
        <w:ind w:firstLine="640"/>
        <w:outlineLvl w:val="1"/>
        <w:rPr>
          <w:rStyle w:val="31"/>
          <w:rFonts w:ascii="黑体" w:hAnsi="黑体" w:eastAsia="黑体"/>
          <w:b w:val="0"/>
        </w:rPr>
      </w:pPr>
      <w:bookmarkStart w:id="42" w:name="_Toc15377219"/>
      <w:bookmarkStart w:id="43" w:name="_Toc15396611"/>
      <w:r>
        <w:rPr>
          <w:rStyle w:val="31"/>
          <w:rFonts w:hint="eastAsia" w:ascii="黑体" w:hAnsi="黑体" w:eastAsia="黑体"/>
          <w:b w:val="0"/>
        </w:rPr>
        <w:t>国有资本经营预算支出决算情况说明</w:t>
      </w:r>
      <w:bookmarkEnd w:id="42"/>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31"/>
          <w:rFonts w:ascii="黑体" w:hAnsi="黑体" w:eastAsia="黑体"/>
          <w:b w:val="0"/>
        </w:rPr>
      </w:pPr>
      <w:bookmarkStart w:id="44" w:name="_Toc15377221"/>
      <w:bookmarkStart w:id="45" w:name="_Toc15396612"/>
      <w:r>
        <w:rPr>
          <w:rStyle w:val="31"/>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22年，西区残疾人联合会机关运行经费支出4.56万元，比</w:t>
      </w:r>
      <w:r>
        <w:rPr>
          <w:rFonts w:ascii="仿宋" w:hAnsi="仿宋" w:eastAsia="仿宋"/>
          <w:sz w:val="32"/>
          <w:szCs w:val="32"/>
        </w:rPr>
        <w:t>20</w:t>
      </w:r>
      <w:r>
        <w:rPr>
          <w:rFonts w:hint="eastAsia" w:ascii="仿宋" w:hAnsi="仿宋" w:eastAsia="仿宋"/>
          <w:sz w:val="32"/>
          <w:szCs w:val="32"/>
        </w:rPr>
        <w:t>21年减少0.19万元，下降4.17</w:t>
      </w:r>
      <w:r>
        <w:rPr>
          <w:rFonts w:ascii="仿宋" w:hAnsi="仿宋" w:eastAsia="仿宋"/>
          <w:sz w:val="32"/>
          <w:szCs w:val="32"/>
        </w:rPr>
        <w:t>%</w:t>
      </w:r>
      <w:r>
        <w:rPr>
          <w:rFonts w:hint="eastAsia" w:ascii="仿宋" w:hAnsi="仿宋" w:eastAsia="仿宋"/>
          <w:sz w:val="32"/>
          <w:szCs w:val="32"/>
        </w:rPr>
        <w:t>。主要原因是</w:t>
      </w:r>
      <w:r>
        <w:rPr>
          <w:rFonts w:ascii="仿宋" w:hAnsi="仿宋" w:eastAsia="仿宋"/>
          <w:sz w:val="32"/>
          <w:szCs w:val="32"/>
        </w:rPr>
        <w:t>节约经费开支</w:t>
      </w:r>
      <w:r>
        <w:rPr>
          <w:rFonts w:hint="eastAsia" w:ascii="仿宋" w:hAnsi="仿宋" w:eastAsia="仿宋"/>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22年，西区残疾人联合会政府采购支出总额0万元，其中：政府采购货物支出0万元、政府采购工程支出0万元、政府采购服务支出0万元。授予中小企业合同金额0万元，占政府采购支出总额的0</w:t>
      </w:r>
      <w:r>
        <w:rPr>
          <w:rFonts w:ascii="仿宋" w:hAnsi="仿宋" w:eastAsia="仿宋"/>
          <w:sz w:val="32"/>
          <w:szCs w:val="32"/>
        </w:rPr>
        <w:t>%</w:t>
      </w:r>
      <w:r>
        <w:rPr>
          <w:rFonts w:hint="eastAsia" w:ascii="仿宋" w:hAnsi="仿宋" w:eastAsia="仿宋"/>
          <w:sz w:val="32"/>
          <w:szCs w:val="32"/>
        </w:rPr>
        <w:t>，其中：授予小微企业合同金额0万元，占政府采购支出总额的0</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spacing w:line="600" w:lineRule="exact"/>
        <w:ind w:firstLine="64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22年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日，西区残疾人联合会共有车辆0辆，其中：主要领导干部用车0辆、机要通信用车0辆、应急保障用车0辆、其他用车0辆。单价</w:t>
      </w:r>
      <w:r>
        <w:rPr>
          <w:rFonts w:ascii="仿宋" w:hAnsi="仿宋" w:eastAsia="仿宋"/>
          <w:sz w:val="32"/>
          <w:szCs w:val="32"/>
        </w:rPr>
        <w:t>100</w:t>
      </w:r>
      <w:r>
        <w:rPr>
          <w:rFonts w:hint="eastAsia" w:ascii="仿宋" w:hAnsi="仿宋" w:eastAsia="仿宋"/>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 w:hAnsi="仿宋" w:eastAsia="仿宋"/>
          <w:sz w:val="32"/>
          <w:szCs w:val="32"/>
        </w:rPr>
        <w:t>根据预算绩效管理要求，本部门在2022年度预算编制阶段，组织对</w:t>
      </w:r>
      <w:r>
        <w:rPr>
          <w:rFonts w:ascii="仿宋" w:hAnsi="仿宋" w:eastAsia="仿宋"/>
          <w:sz w:val="32"/>
          <w:szCs w:val="32"/>
        </w:rPr>
        <w:t>组织对带薪年休假经费、住房公积金、在职医疗补助等</w:t>
      </w:r>
      <w:r>
        <w:rPr>
          <w:rFonts w:hint="eastAsia" w:ascii="仿宋" w:hAnsi="仿宋" w:eastAsia="仿宋"/>
          <w:sz w:val="32"/>
          <w:szCs w:val="32"/>
        </w:rPr>
        <w:t>41个项目开展了预算事前绩效评估，对41个项目编制了绩效目标，预算执行过程中，选取41个项目开展绩效监控。</w:t>
      </w:r>
    </w:p>
    <w:p>
      <w:pPr>
        <w:spacing w:line="600" w:lineRule="exact"/>
        <w:ind w:firstLine="640"/>
        <w:rPr>
          <w:rFonts w:ascii="仿宋_GB2312" w:eastAsia="仿宋_GB2312"/>
          <w:b/>
          <w:sz w:val="32"/>
          <w:szCs w:val="32"/>
        </w:rPr>
      </w:pPr>
      <w:r>
        <w:rPr>
          <w:rFonts w:hint="eastAsia" w:ascii="仿宋" w:hAnsi="仿宋" w:eastAsia="仿宋"/>
          <w:sz w:val="32"/>
          <w:szCs w:val="32"/>
        </w:rPr>
        <w:t>组织对2022年度一般公共预算、政府性基金预算全面开展绩效自评，形成</w:t>
      </w:r>
      <w:r>
        <w:rPr>
          <w:rFonts w:ascii="仿宋" w:hAnsi="仿宋" w:eastAsia="仿宋"/>
          <w:sz w:val="32"/>
          <w:szCs w:val="32"/>
        </w:rPr>
        <w:t>攀枝花市</w:t>
      </w:r>
      <w:r>
        <w:rPr>
          <w:rFonts w:hint="eastAsia" w:ascii="仿宋" w:hAnsi="仿宋" w:eastAsia="仿宋"/>
          <w:sz w:val="32"/>
          <w:szCs w:val="32"/>
        </w:rPr>
        <w:t>西区</w:t>
      </w:r>
      <w:r>
        <w:rPr>
          <w:rFonts w:ascii="仿宋" w:hAnsi="仿宋" w:eastAsia="仿宋"/>
          <w:sz w:val="32"/>
          <w:szCs w:val="32"/>
        </w:rPr>
        <w:t>残疾人联合会部门整体</w:t>
      </w:r>
      <w:r>
        <w:rPr>
          <w:rFonts w:hint="eastAsia" w:ascii="仿宋" w:hAnsi="仿宋" w:eastAsia="仿宋"/>
          <w:sz w:val="32"/>
          <w:szCs w:val="32"/>
        </w:rPr>
        <w:t>部门整体（含部门预算项目）绩效自评报告、残疾人事业发展补助资金项目预算执行过程中，选取1个项目开展绩效监控专项预算项目绩效自评报告。形成1个30万元以上的项目绩效自评报告。</w:t>
      </w: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30"/>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30"/>
          <w:rFonts w:hint="eastAsia" w:ascii="黑体" w:hAnsi="黑体" w:eastAsia="黑体"/>
          <w:b w:val="0"/>
        </w:rPr>
        <w:t>词解释</w:t>
      </w:r>
      <w:bookmarkEnd w:id="49"/>
      <w:bookmarkEnd w:id="50"/>
    </w:p>
    <w:p>
      <w:pPr>
        <w:spacing w:line="600" w:lineRule="exact"/>
        <w:jc w:val="left"/>
        <w:rPr>
          <w:rFonts w:ascii="宋体"/>
          <w:b/>
          <w:sz w:val="44"/>
          <w:szCs w:val="44"/>
        </w:rPr>
      </w:pPr>
    </w:p>
    <w:p>
      <w:pPr>
        <w:pStyle w:val="28"/>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1.</w:t>
      </w:r>
      <w:r>
        <w:rPr>
          <w:rFonts w:hint="eastAsia" w:hAnsi="仿宋" w:cs="Times New Roman"/>
          <w:color w:val="auto"/>
          <w:kern w:val="2"/>
          <w:sz w:val="32"/>
          <w:szCs w:val="32"/>
        </w:rPr>
        <w:t>财政拨款收入：指单位从同级财政部门取得的财政预算资金。</w:t>
      </w:r>
    </w:p>
    <w:p>
      <w:pPr>
        <w:pStyle w:val="28"/>
        <w:spacing w:line="560" w:lineRule="exact"/>
        <w:ind w:firstLine="640" w:firstLineChars="200"/>
        <w:rPr>
          <w:rFonts w:hint="eastAsia" w:hAnsi="仿宋" w:cs="Times New Roman"/>
          <w:color w:val="auto"/>
          <w:kern w:val="2"/>
          <w:sz w:val="32"/>
          <w:szCs w:val="32"/>
        </w:rPr>
      </w:pPr>
      <w:r>
        <w:rPr>
          <w:rFonts w:hAnsi="仿宋" w:cs="Times New Roman"/>
          <w:color w:val="auto"/>
          <w:kern w:val="2"/>
          <w:sz w:val="32"/>
          <w:szCs w:val="32"/>
        </w:rPr>
        <w:t>2.</w:t>
      </w:r>
      <w:r>
        <w:rPr>
          <w:rFonts w:hint="eastAsia" w:hAnsi="仿宋" w:cs="Times New Roman"/>
          <w:color w:val="auto"/>
          <w:kern w:val="2"/>
          <w:sz w:val="32"/>
          <w:szCs w:val="32"/>
        </w:rPr>
        <w:t>事业收入：指事业单位开展专业业务活动及辅助活动取得的收入。</w:t>
      </w:r>
    </w:p>
    <w:p>
      <w:pPr>
        <w:pStyle w:val="28"/>
        <w:spacing w:line="560" w:lineRule="exact"/>
        <w:ind w:firstLine="640" w:firstLineChars="200"/>
        <w:rPr>
          <w:rFonts w:hint="eastAsia" w:hAnsi="仿宋" w:cs="Times New Roman"/>
          <w:color w:val="auto"/>
          <w:kern w:val="2"/>
          <w:sz w:val="32"/>
          <w:szCs w:val="32"/>
        </w:rPr>
      </w:pPr>
      <w:r>
        <w:rPr>
          <w:rFonts w:hAnsi="仿宋" w:cs="Times New Roman"/>
          <w:color w:val="auto"/>
          <w:kern w:val="2"/>
          <w:sz w:val="32"/>
          <w:szCs w:val="32"/>
        </w:rPr>
        <w:t>3.</w:t>
      </w:r>
      <w:r>
        <w:rPr>
          <w:rFonts w:hint="eastAsia" w:hAnsi="仿宋" w:cs="Times New Roman"/>
          <w:color w:val="auto"/>
          <w:kern w:val="2"/>
          <w:sz w:val="32"/>
          <w:szCs w:val="32"/>
        </w:rPr>
        <w:t>经营收入：指事业单位在专业业务活动及其辅助活动之外开展非独立核算经营活动取得的收入。</w:t>
      </w:r>
    </w:p>
    <w:p>
      <w:pPr>
        <w:pStyle w:val="28"/>
        <w:spacing w:line="560" w:lineRule="exact"/>
        <w:ind w:firstLine="640" w:firstLineChars="200"/>
        <w:rPr>
          <w:rFonts w:hint="eastAsia" w:hAnsi="仿宋" w:cs="Times New Roman"/>
          <w:color w:val="auto"/>
          <w:kern w:val="2"/>
          <w:sz w:val="32"/>
          <w:szCs w:val="32"/>
        </w:rPr>
      </w:pPr>
      <w:r>
        <w:rPr>
          <w:rFonts w:hAnsi="仿宋" w:cs="Times New Roman"/>
          <w:color w:val="auto"/>
          <w:kern w:val="2"/>
          <w:sz w:val="32"/>
          <w:szCs w:val="32"/>
        </w:rPr>
        <w:t>4.</w:t>
      </w:r>
      <w:r>
        <w:rPr>
          <w:rFonts w:hint="eastAsia" w:hAnsi="仿宋" w:cs="Times New Roman"/>
          <w:color w:val="auto"/>
          <w:kern w:val="2"/>
          <w:sz w:val="32"/>
          <w:szCs w:val="32"/>
        </w:rPr>
        <w:t>其他收入：指单位取得的除上述收入以外的各项收入。</w:t>
      </w:r>
    </w:p>
    <w:p>
      <w:pPr>
        <w:pStyle w:val="28"/>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5.</w:t>
      </w:r>
      <w:r>
        <w:rPr>
          <w:rFonts w:hint="eastAsia" w:hAnsi="仿宋" w:cs="Times New Roman"/>
          <w:color w:val="auto"/>
          <w:kern w:val="2"/>
          <w:sz w:val="32"/>
          <w:szCs w:val="32"/>
        </w:rPr>
        <w:t>使用非财政拨款结余：指事业单位使用以前年度积累的非财政拨款结余弥补当年收支差额的金额。</w:t>
      </w:r>
    </w:p>
    <w:p>
      <w:pPr>
        <w:pStyle w:val="28"/>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6.</w:t>
      </w:r>
      <w:r>
        <w:rPr>
          <w:rFonts w:hint="eastAsia" w:hAnsi="仿宋" w:cs="Times New Roman"/>
          <w:color w:val="auto"/>
          <w:kern w:val="2"/>
          <w:sz w:val="32"/>
          <w:szCs w:val="32"/>
        </w:rPr>
        <w:t>年初结转和结余：指以前年度尚未完成、结转到本年按有关规定继续使用的资金。</w:t>
      </w:r>
    </w:p>
    <w:p>
      <w:pPr>
        <w:pStyle w:val="28"/>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7.</w:t>
      </w:r>
      <w:r>
        <w:rPr>
          <w:rFonts w:hint="eastAsia" w:hAnsi="仿宋" w:cs="Times New Roman"/>
          <w:color w:val="auto"/>
          <w:kern w:val="2"/>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hAnsi="仿宋" w:cs="Times New Roman"/>
          <w:color w:val="auto"/>
          <w:kern w:val="2"/>
          <w:sz w:val="32"/>
          <w:szCs w:val="32"/>
        </w:rPr>
      </w:pPr>
      <w:r>
        <w:rPr>
          <w:rFonts w:hAnsi="仿宋" w:cs="Times New Roman"/>
          <w:color w:val="auto"/>
          <w:kern w:val="2"/>
          <w:sz w:val="32"/>
          <w:szCs w:val="32"/>
        </w:rPr>
        <w:t>8</w:t>
      </w:r>
      <w:r>
        <w:rPr>
          <w:rFonts w:hint="eastAsia" w:hAnsi="仿宋" w:cs="Times New Roman"/>
          <w:color w:val="auto"/>
          <w:kern w:val="2"/>
          <w:sz w:val="32"/>
          <w:szCs w:val="32"/>
        </w:rPr>
        <w:t>.年末结转和结余：指单位按有关规定结转到下年或以后年度继续使用的资金。</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社会保障和就业支出（类）行政事业单位养老支出（款）行政单位离退休（项）：指行政单位（包括实行公务员管理的事业单位）开支的离退休支出。</w:t>
      </w:r>
    </w:p>
    <w:p>
      <w:pPr>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社会保障和就业支出（类）行政事业单位养老支出（款）机关事业单位基本养老保险缴费支出（项）：指机关事业单位实施养老保险制度有单位缴纳的基本养老保险费支出。</w:t>
      </w:r>
    </w:p>
    <w:p>
      <w:pPr>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社会保障和就业支出（类）残疾人事业（款）行政运行（项）：指行政单位（包括实行公务员管理的事业单位）的基本支出。</w:t>
      </w:r>
    </w:p>
    <w:p>
      <w:pPr>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社会保障和就业支出（类）残疾人事业（款）残疾人康复（项）：指</w:t>
      </w:r>
      <w:r>
        <w:rPr>
          <w:rFonts w:ascii="仿宋" w:hAnsi="仿宋" w:eastAsia="仿宋"/>
          <w:sz w:val="32"/>
          <w:szCs w:val="32"/>
        </w:rPr>
        <w:t>残疾人联合会用于残疾人康复方面的支出</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社会保障和就业支出（类）残疾人事业（款）残疾人就业（项）：指残疾人联合会用于残疾人就业方面的支出。</w:t>
      </w:r>
    </w:p>
    <w:p>
      <w:pPr>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社会保障和就业支出（类）残疾人事业（款）其他残疾人事业支出（项）：指除上述项目以外其他用于残疾人事业方面的支出。</w:t>
      </w:r>
    </w:p>
    <w:p>
      <w:pPr>
        <w:ind w:firstLine="640" w:firstLineChars="200"/>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卫生健康支出（类）行政事业单位医疗（款）行政单位医疗（项）：指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ascii="仿宋" w:hAnsi="仿宋" w:eastAsia="仿宋"/>
          <w:sz w:val="32"/>
          <w:szCs w:val="32"/>
        </w:rPr>
      </w:pPr>
      <w:r>
        <w:rPr>
          <w:rFonts w:ascii="仿宋" w:hAnsi="仿宋" w:eastAsia="仿宋"/>
          <w:sz w:val="32"/>
          <w:szCs w:val="32"/>
        </w:rPr>
        <w:t>16.</w:t>
      </w:r>
      <w:r>
        <w:rPr>
          <w:rFonts w:hint="eastAsia" w:ascii="仿宋" w:hAnsi="仿宋" w:eastAsia="仿宋"/>
          <w:sz w:val="32"/>
          <w:szCs w:val="32"/>
        </w:rPr>
        <w:t>卫生健康支出（类）行政事业单位医疗（款）事业单位医疗（项）：指财政部门安排的事业单位基本医疗保险缴费经费，未参加医疗保险的事业单位的公费医疗经费，按国家规定享受离休人员待遇的医疗经费。</w:t>
      </w:r>
    </w:p>
    <w:p>
      <w:pPr>
        <w:ind w:firstLine="640" w:firstLineChars="200"/>
        <w:rPr>
          <w:rFonts w:ascii="仿宋" w:hAnsi="仿宋" w:eastAsia="仿宋"/>
          <w:sz w:val="32"/>
          <w:szCs w:val="32"/>
        </w:rPr>
      </w:pPr>
      <w:r>
        <w:rPr>
          <w:rFonts w:ascii="仿宋" w:hAnsi="仿宋" w:eastAsia="仿宋"/>
          <w:sz w:val="32"/>
          <w:szCs w:val="32"/>
        </w:rPr>
        <w:t>17.</w:t>
      </w:r>
      <w:r>
        <w:rPr>
          <w:rFonts w:hint="eastAsia" w:ascii="仿宋" w:hAnsi="仿宋" w:eastAsia="仿宋"/>
          <w:sz w:val="32"/>
          <w:szCs w:val="32"/>
        </w:rPr>
        <w:t>卫生健康支出支出（类）行政事业单位医疗支出（款）公务员医疗补助：反映财政部门安排的公务员医疗补助经费。</w:t>
      </w:r>
    </w:p>
    <w:p>
      <w:pPr>
        <w:ind w:firstLine="640" w:firstLineChars="200"/>
        <w:rPr>
          <w:rFonts w:ascii="仿宋" w:hAnsi="仿宋" w:eastAsia="仿宋"/>
          <w:sz w:val="32"/>
          <w:szCs w:val="32"/>
        </w:rPr>
      </w:pPr>
      <w:r>
        <w:rPr>
          <w:rFonts w:ascii="仿宋" w:hAnsi="仿宋" w:eastAsia="仿宋"/>
          <w:sz w:val="32"/>
          <w:szCs w:val="32"/>
        </w:rPr>
        <w:t>18.</w:t>
      </w:r>
      <w:r>
        <w:rPr>
          <w:rFonts w:hint="eastAsia" w:ascii="仿宋" w:hAnsi="仿宋" w:eastAsia="仿宋"/>
          <w:sz w:val="32"/>
          <w:szCs w:val="32"/>
        </w:rPr>
        <w:t>卫生健康支出支出（类）行政事业单位医疗支出（款）其他行政事业单位医疗支出（项）：指除上述项目以外的其他用于行政事业单位医疗方面的支出。</w:t>
      </w:r>
    </w:p>
    <w:p>
      <w:pPr>
        <w:ind w:firstLine="640" w:firstLineChars="200"/>
        <w:rPr>
          <w:rFonts w:ascii="仿宋" w:hAnsi="仿宋" w:eastAsia="仿宋"/>
          <w:sz w:val="32"/>
          <w:szCs w:val="32"/>
        </w:rPr>
      </w:pPr>
      <w:r>
        <w:rPr>
          <w:rFonts w:ascii="仿宋" w:hAnsi="仿宋" w:eastAsia="仿宋"/>
          <w:sz w:val="32"/>
          <w:szCs w:val="32"/>
        </w:rPr>
        <w:t>19.</w:t>
      </w:r>
      <w:r>
        <w:rPr>
          <w:rFonts w:hint="eastAsia" w:ascii="仿宋" w:hAnsi="仿宋" w:eastAsia="仿宋"/>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其他支出（类）彩票公益金安排的支出（款）用于社会福利的彩票公益金支出（项）：指用于社会福利和社会救助的彩票公益金支出。</w:t>
      </w:r>
    </w:p>
    <w:p>
      <w:pPr>
        <w:ind w:firstLine="640" w:firstLineChars="200"/>
        <w:rPr>
          <w:rFonts w:ascii="仿宋" w:hAnsi="仿宋" w:eastAsia="仿宋"/>
          <w:sz w:val="32"/>
          <w:szCs w:val="32"/>
        </w:rPr>
      </w:pPr>
      <w:r>
        <w:rPr>
          <w:rFonts w:ascii="仿宋" w:hAnsi="仿宋" w:eastAsia="仿宋"/>
          <w:sz w:val="32"/>
          <w:szCs w:val="32"/>
        </w:rPr>
        <w:t>21.</w:t>
      </w:r>
      <w:r>
        <w:rPr>
          <w:rFonts w:hint="eastAsia" w:ascii="仿宋" w:hAnsi="仿宋" w:eastAsia="仿宋"/>
          <w:sz w:val="32"/>
          <w:szCs w:val="32"/>
        </w:rPr>
        <w:t>其他支出（类）彩票公益金安排的支出（款）用于体育事业的彩票公益金支出（项）：指用于体育事业的彩票公益金支出。</w:t>
      </w:r>
    </w:p>
    <w:p>
      <w:pPr>
        <w:ind w:firstLine="640" w:firstLineChars="200"/>
        <w:rPr>
          <w:rFonts w:ascii="仿宋" w:hAnsi="仿宋" w:eastAsia="仿宋"/>
          <w:sz w:val="32"/>
          <w:szCs w:val="32"/>
        </w:rPr>
      </w:pPr>
      <w:r>
        <w:rPr>
          <w:rFonts w:ascii="仿宋" w:hAnsi="仿宋" w:eastAsia="仿宋"/>
          <w:sz w:val="32"/>
          <w:szCs w:val="32"/>
        </w:rPr>
        <w:t>22.</w:t>
      </w:r>
      <w:r>
        <w:rPr>
          <w:rFonts w:hint="eastAsia" w:ascii="仿宋" w:hAnsi="仿宋" w:eastAsia="仿宋"/>
          <w:sz w:val="32"/>
          <w:szCs w:val="32"/>
        </w:rPr>
        <w:t>其他支出（类）彩票公益金安排的支出（款）用于残疾人事业的彩票公益金支出（项）：指用于残疾人事业的彩票公益金支出。</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基本支出：指为保障机构正常运转、完成日常工作任务而发生的人员支出和公用支出。</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项目支出：指在基本支出之外为完成特定行政任务和事业发展目标所发生的支出。</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经营支出：指事业单位在专业业务活动及其辅助活动之外开展非独立核算经营活动发生的支出。</w:t>
      </w:r>
    </w:p>
    <w:p>
      <w:pPr>
        <w:pStyle w:val="28"/>
        <w:spacing w:line="560" w:lineRule="exact"/>
        <w:ind w:firstLine="640" w:firstLineChars="200"/>
        <w:rPr>
          <w:rFonts w:hAnsi="仿宋" w:cs="Times New Roman"/>
          <w:color w:val="auto"/>
          <w:kern w:val="2"/>
          <w:sz w:val="32"/>
          <w:szCs w:val="32"/>
        </w:rPr>
      </w:pPr>
      <w:r>
        <w:rPr>
          <w:rFonts w:hint="eastAsia" w:hAnsi="仿宋" w:cs="Times New Roman"/>
          <w:color w:val="auto"/>
          <w:kern w:val="2"/>
          <w:sz w:val="32"/>
          <w:szCs w:val="32"/>
        </w:rPr>
        <w:t>26</w:t>
      </w:r>
      <w:r>
        <w:rPr>
          <w:rFonts w:hAnsi="仿宋" w:cs="Times New Roman"/>
          <w:color w:val="auto"/>
          <w:kern w:val="2"/>
          <w:sz w:val="32"/>
          <w:szCs w:val="32"/>
        </w:rPr>
        <w:t>.</w:t>
      </w:r>
      <w:r>
        <w:rPr>
          <w:rFonts w:hint="eastAsia" w:hAnsi="仿宋" w:cs="Times New Roman"/>
          <w:color w:val="auto"/>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Style w:val="30"/>
          <w:rFonts w:ascii="黑体" w:hAnsi="黑体" w:eastAsia="黑体"/>
          <w:b w:val="0"/>
        </w:rPr>
      </w:pPr>
      <w:r>
        <w:rPr>
          <w:rFonts w:hint="eastAsia" w:hAnsi="仿宋" w:cs="Times New Roman"/>
          <w:color w:val="auto"/>
          <w:kern w:val="2"/>
          <w:sz w:val="32"/>
          <w:szCs w:val="32"/>
        </w:rPr>
        <w:t>27</w:t>
      </w:r>
      <w:r>
        <w:rPr>
          <w:rFonts w:hAnsi="仿宋" w:cs="Times New Roman"/>
          <w:color w:val="auto"/>
          <w:kern w:val="2"/>
          <w:sz w:val="32"/>
          <w:szCs w:val="32"/>
        </w:rPr>
        <w:t>.</w:t>
      </w:r>
      <w:r>
        <w:rPr>
          <w:rFonts w:hint="eastAsia" w:hAnsi="仿宋" w:cs="Times New Roman"/>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30"/>
          <w:rFonts w:hint="eastAsia" w:ascii="黑体" w:hAnsi="黑体" w:eastAsia="黑体"/>
          <w:b w:val="0"/>
        </w:rPr>
        <w:t>四部分 附件</w:t>
      </w:r>
      <w:bookmarkEnd w:id="52"/>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2023年区级部门整体绩效评价报告</w:t>
      </w:r>
    </w:p>
    <w:p>
      <w:pPr>
        <w:widowControl/>
        <w:spacing w:line="560" w:lineRule="exact"/>
        <w:contextualSpacing/>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（报告范围包括机关和下属单位）</w:t>
      </w:r>
    </w:p>
    <w:p>
      <w:pPr>
        <w:widowControl/>
        <w:numPr>
          <w:ilvl w:val="0"/>
          <w:numId w:val="5"/>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adjustRightInd w:val="0"/>
        <w:snapToGrid w:val="0"/>
        <w:spacing w:line="560" w:lineRule="exact"/>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 xml:space="preserve">   （一）机构组成。</w:t>
      </w:r>
    </w:p>
    <w:p>
      <w:pPr>
        <w:pStyle w:val="28"/>
        <w:spacing w:line="560" w:lineRule="exact"/>
        <w:ind w:firstLine="480" w:firstLineChars="200"/>
      </w:pPr>
      <w:r>
        <w:rPr>
          <w:rFonts w:hint="eastAsia"/>
        </w:rPr>
        <w:t xml:space="preserve"> </w:t>
      </w:r>
      <w:r>
        <w:rPr>
          <w:rFonts w:hint="eastAsia" w:hAnsi="仿宋" w:cs="Times New Roman"/>
          <w:color w:val="auto"/>
          <w:kern w:val="2"/>
          <w:sz w:val="32"/>
          <w:szCs w:val="32"/>
        </w:rPr>
        <w:t>西区残联人联合会无内设机构，无下属单位。</w:t>
      </w:r>
    </w:p>
    <w:p>
      <w:pPr>
        <w:widowControl/>
        <w:adjustRightInd w:val="0"/>
        <w:snapToGrid w:val="0"/>
        <w:spacing w:line="560" w:lineRule="exact"/>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rPr>
        <w:t xml:space="preserve">    （二）</w:t>
      </w:r>
      <w:r>
        <w:rPr>
          <w:rFonts w:hint="eastAsia" w:ascii="楷体_GB2312" w:hAnsi="楷体_GB2312" w:eastAsia="楷体_GB2312" w:cs="楷体_GB2312"/>
          <w:b/>
          <w:bCs/>
          <w:kern w:val="0"/>
          <w:sz w:val="32"/>
          <w:szCs w:val="32"/>
          <w:shd w:val="clear" w:color="auto" w:fill="FFFFFF"/>
          <w:lang w:val="zh-CN"/>
        </w:rPr>
        <w:t>机构职能和人员概况。</w:t>
      </w:r>
    </w:p>
    <w:p>
      <w:pPr>
        <w:pStyle w:val="2"/>
        <w:spacing w:before="93"/>
        <w:ind w:firstLine="600"/>
        <w:rPr>
          <w:rFonts w:hint="eastAsia" w:ascii="仿宋" w:hAnsi="仿宋" w:eastAsia="仿宋"/>
          <w:kern w:val="2"/>
          <w:sz w:val="32"/>
          <w:szCs w:val="32"/>
        </w:rPr>
      </w:pPr>
      <w:r>
        <w:rPr>
          <w:rFonts w:hint="eastAsia" w:ascii="仿宋" w:hAnsi="仿宋" w:eastAsia="仿宋"/>
          <w:kern w:val="2"/>
          <w:sz w:val="32"/>
          <w:szCs w:val="32"/>
        </w:rPr>
        <w:t>1、西区残联人联合会职能职责：听取残疾人意见，反映残疾人意见，反映残疾人要求，维护残疾人的合法权益，为残疾人服务，开展残疾人康复、扶贫、劳动就业、职业培训、文化体育、服务、无障碍设施和残疾预防工作，创造良好的社会环境和条件，扶助残疾人平等参与社会生活。承担区政府残疾人工作协调委员会的日常工作，履行综合、组织、协调和服务的职责；核发辖区残疾人的《残疾人证》；承办区委、区政府和市残联交办的其他事项。</w:t>
      </w:r>
    </w:p>
    <w:p>
      <w:pPr>
        <w:pStyle w:val="2"/>
        <w:spacing w:before="93"/>
        <w:ind w:firstLine="600"/>
        <w:rPr>
          <w:rFonts w:ascii="仿宋" w:hAnsi="仿宋" w:eastAsia="仿宋"/>
          <w:kern w:val="2"/>
          <w:sz w:val="32"/>
          <w:szCs w:val="32"/>
        </w:rPr>
      </w:pPr>
      <w:r>
        <w:rPr>
          <w:rFonts w:hint="eastAsia" w:ascii="仿宋" w:hAnsi="仿宋" w:eastAsia="仿宋"/>
          <w:kern w:val="2"/>
          <w:sz w:val="32"/>
          <w:szCs w:val="32"/>
        </w:rPr>
        <w:t>2、本单位有参公编制2人，事业编制1人，临聘编制1人。实际在岗参公3人，事业1人，临聘在编1人，退休1人。聘请量服工作人员3人。</w:t>
      </w:r>
    </w:p>
    <w:p>
      <w:pPr>
        <w:widowControl/>
        <w:adjustRightInd w:val="0"/>
        <w:snapToGrid w:val="0"/>
        <w:spacing w:line="560" w:lineRule="exact"/>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 xml:space="preserve">   （三）年度主要工作任务。</w:t>
      </w:r>
    </w:p>
    <w:p>
      <w:pPr>
        <w:pStyle w:val="2"/>
        <w:spacing w:before="93"/>
      </w:pPr>
      <w:r>
        <w:rPr>
          <w:rFonts w:hint="eastAsia" w:ascii="Times New Roman"/>
          <w:sz w:val="32"/>
          <w:szCs w:val="32"/>
        </w:rPr>
        <w:t xml:space="preserve">    </w:t>
      </w:r>
      <w:r>
        <w:rPr>
          <w:rFonts w:hint="eastAsia" w:ascii="仿宋" w:hAnsi="仿宋" w:eastAsia="仿宋"/>
          <w:kern w:val="2"/>
          <w:sz w:val="32"/>
          <w:szCs w:val="32"/>
        </w:rPr>
        <w:t>继续开展残疾人“量体裁衣”式服务工作，在残疾人帮扶救助方面预计为贫困残疾人家庭实施无障碍改造50 户，开展残疾人实用技术培训50人，为义务教育阶段残疾人学生上学发放生活补助等。在残疾人康复方面为残疾人发放基本生活辅具；为脑瘫儿童提供免费康复救助，为贫困精神病患者提供免费服药救助和一次性住院救助；为贫困精神智力及重度残疾人提供居家托养服务等。</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（四）部门整体支出绩效目标。</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2022年西区残联全面履行基本民生保障职责、维护残疾人的合法权益、开展残疾人康复、扶贫、劳动就业、职业培训、文化体育、服务、无障碍设施和残疾预防工作，项目绩效完成较好,保障了民生工程的顺利推进，已完成年度职能目标任务。</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2022年度，年初结转资金6.04万元，当年财政拨款收入386.99万元，收入合计393.04万元。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2022年我单位财政拨款支出</w:t>
      </w:r>
      <w:r>
        <w:rPr>
          <w:rFonts w:hint="eastAsia" w:ascii="仿宋" w:hAnsi="仿宋" w:eastAsia="仿宋"/>
          <w:sz w:val="32"/>
          <w:szCs w:val="32"/>
        </w:rPr>
        <w:t>393.04</w:t>
      </w:r>
      <w:r>
        <w:rPr>
          <w:rFonts w:ascii="仿宋" w:hAnsi="仿宋" w:eastAsia="仿宋"/>
          <w:sz w:val="32"/>
          <w:szCs w:val="32"/>
        </w:rPr>
        <w:t>万元，基本支出使用</w:t>
      </w:r>
      <w:r>
        <w:rPr>
          <w:rFonts w:hint="eastAsia" w:ascii="仿宋" w:hAnsi="仿宋" w:eastAsia="仿宋"/>
          <w:sz w:val="32"/>
          <w:szCs w:val="32"/>
        </w:rPr>
        <w:t>74.23</w:t>
      </w:r>
      <w:r>
        <w:rPr>
          <w:rFonts w:ascii="仿宋" w:hAnsi="仿宋" w:eastAsia="仿宋"/>
          <w:sz w:val="32"/>
          <w:szCs w:val="32"/>
        </w:rPr>
        <w:t>万元，其中：人员经费支出</w:t>
      </w:r>
      <w:r>
        <w:rPr>
          <w:rFonts w:hint="eastAsia" w:ascii="仿宋" w:hAnsi="仿宋" w:eastAsia="仿宋"/>
          <w:sz w:val="32"/>
          <w:szCs w:val="32"/>
        </w:rPr>
        <w:t>68.85</w:t>
      </w:r>
      <w:r>
        <w:rPr>
          <w:rFonts w:ascii="仿宋" w:hAnsi="仿宋" w:eastAsia="仿宋"/>
          <w:sz w:val="32"/>
          <w:szCs w:val="32"/>
        </w:rPr>
        <w:t>万元，日常公用经费支出</w:t>
      </w:r>
      <w:r>
        <w:rPr>
          <w:rFonts w:hint="eastAsia" w:ascii="仿宋" w:hAnsi="仿宋" w:eastAsia="仿宋"/>
          <w:sz w:val="32"/>
          <w:szCs w:val="32"/>
        </w:rPr>
        <w:t>4.56</w:t>
      </w:r>
      <w:r>
        <w:rPr>
          <w:rFonts w:ascii="仿宋" w:hAnsi="仿宋" w:eastAsia="仿宋"/>
          <w:sz w:val="32"/>
          <w:szCs w:val="32"/>
        </w:rPr>
        <w:t>万元；2022年项目支出使用</w:t>
      </w:r>
      <w:r>
        <w:rPr>
          <w:rFonts w:hint="eastAsia" w:ascii="仿宋" w:hAnsi="仿宋" w:eastAsia="仿宋"/>
          <w:sz w:val="32"/>
          <w:szCs w:val="32"/>
        </w:rPr>
        <w:t>318.81</w:t>
      </w:r>
      <w:r>
        <w:rPr>
          <w:rFonts w:ascii="仿宋" w:hAnsi="仿宋" w:eastAsia="仿宋"/>
          <w:sz w:val="32"/>
          <w:szCs w:val="32"/>
        </w:rPr>
        <w:t>万元</w:t>
      </w:r>
      <w:r>
        <w:rPr>
          <w:rFonts w:hint="eastAsia" w:ascii="仿宋" w:hAnsi="仿宋" w:eastAsia="仿宋"/>
          <w:sz w:val="32"/>
          <w:szCs w:val="32"/>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 w:eastAsia="仿宋_GB2312"/>
          <w:sz w:val="32"/>
          <w:szCs w:val="32"/>
        </w:rPr>
        <w:t>3.部门总体结</w:t>
      </w:r>
      <w:r>
        <w:rPr>
          <w:rFonts w:hint="eastAsia" w:ascii="仿宋_GB2312" w:hAnsi="仿宋_GB2312" w:eastAsia="仿宋_GB2312" w:cs="仿宋_GB2312"/>
          <w:kern w:val="0"/>
          <w:sz w:val="32"/>
          <w:szCs w:val="32"/>
          <w:shd w:val="clear" w:color="auto" w:fill="FFFFFF"/>
        </w:rPr>
        <w:t>转结余情况</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2022年年末无结转和结余。</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全年财政拨款收入</w:t>
      </w:r>
      <w:r>
        <w:rPr>
          <w:rFonts w:hint="eastAsia" w:ascii="仿宋" w:hAnsi="仿宋" w:eastAsia="仿宋"/>
          <w:sz w:val="32"/>
          <w:szCs w:val="32"/>
        </w:rPr>
        <w:t>386.99</w:t>
      </w:r>
      <w:r>
        <w:rPr>
          <w:rFonts w:ascii="仿宋" w:hAnsi="仿宋" w:eastAsia="仿宋"/>
          <w:sz w:val="32"/>
          <w:szCs w:val="32"/>
        </w:rPr>
        <w:t>万元，年初结转</w:t>
      </w:r>
      <w:r>
        <w:rPr>
          <w:rFonts w:hint="eastAsia" w:ascii="仿宋" w:hAnsi="仿宋" w:eastAsia="仿宋"/>
          <w:sz w:val="32"/>
          <w:szCs w:val="32"/>
        </w:rPr>
        <w:t>6.04</w:t>
      </w:r>
      <w:r>
        <w:rPr>
          <w:rFonts w:ascii="仿宋" w:hAnsi="仿宋" w:eastAsia="仿宋"/>
          <w:sz w:val="32"/>
          <w:szCs w:val="32"/>
        </w:rPr>
        <w:t>万元，收入合计</w:t>
      </w:r>
      <w:r>
        <w:rPr>
          <w:rFonts w:hint="eastAsia" w:ascii="仿宋" w:hAnsi="仿宋" w:eastAsia="仿宋"/>
          <w:sz w:val="32"/>
          <w:szCs w:val="32"/>
        </w:rPr>
        <w:t>393.04</w:t>
      </w:r>
      <w:r>
        <w:rPr>
          <w:rFonts w:ascii="仿宋" w:hAnsi="仿宋" w:eastAsia="仿宋"/>
          <w:sz w:val="32"/>
          <w:szCs w:val="32"/>
        </w:rPr>
        <w:t>万元。</w:t>
      </w:r>
    </w:p>
    <w:p>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(1)</w:t>
      </w:r>
      <w:r>
        <w:rPr>
          <w:rFonts w:eastAsia="仿宋_GB2312"/>
          <w:color w:val="000000"/>
          <w:kern w:val="0"/>
          <w:sz w:val="32"/>
          <w:szCs w:val="32"/>
          <w:shd w:val="clear" w:color="auto" w:fill="FFFFFF"/>
          <w:lang w:val="zh-CN"/>
        </w:rPr>
        <w:t>基本支出收入情况。</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2022年我单位基本支出财政拨款收入</w:t>
      </w:r>
      <w:r>
        <w:rPr>
          <w:rFonts w:hint="eastAsia" w:ascii="仿宋" w:hAnsi="仿宋" w:eastAsia="仿宋"/>
          <w:sz w:val="32"/>
          <w:szCs w:val="32"/>
        </w:rPr>
        <w:t>74.23</w:t>
      </w:r>
      <w:r>
        <w:rPr>
          <w:rFonts w:ascii="仿宋" w:hAnsi="仿宋" w:eastAsia="仿宋"/>
          <w:sz w:val="32"/>
          <w:szCs w:val="32"/>
        </w:rPr>
        <w:t>万元。其中：人员经费收入</w:t>
      </w:r>
      <w:r>
        <w:rPr>
          <w:rFonts w:hint="eastAsia" w:ascii="仿宋" w:hAnsi="仿宋" w:eastAsia="仿宋"/>
          <w:sz w:val="32"/>
          <w:szCs w:val="32"/>
        </w:rPr>
        <w:t>68.85</w:t>
      </w:r>
      <w:r>
        <w:rPr>
          <w:rFonts w:ascii="仿宋" w:hAnsi="仿宋" w:eastAsia="仿宋"/>
          <w:sz w:val="32"/>
          <w:szCs w:val="32"/>
        </w:rPr>
        <w:t>万元，占92.7</w:t>
      </w:r>
      <w:r>
        <w:rPr>
          <w:rFonts w:hint="eastAsia" w:ascii="仿宋" w:hAnsi="仿宋" w:eastAsia="仿宋"/>
          <w:sz w:val="32"/>
          <w:szCs w:val="32"/>
        </w:rPr>
        <w:t>5</w:t>
      </w:r>
      <w:r>
        <w:rPr>
          <w:rFonts w:ascii="仿宋" w:hAnsi="仿宋" w:eastAsia="仿宋"/>
          <w:sz w:val="32"/>
          <w:szCs w:val="32"/>
        </w:rPr>
        <w:t>%；日常公用经费收入</w:t>
      </w:r>
      <w:r>
        <w:rPr>
          <w:rFonts w:hint="eastAsia" w:ascii="仿宋" w:hAnsi="仿宋" w:eastAsia="仿宋"/>
          <w:sz w:val="32"/>
          <w:szCs w:val="32"/>
        </w:rPr>
        <w:t>4.56</w:t>
      </w:r>
      <w:r>
        <w:rPr>
          <w:rFonts w:ascii="仿宋" w:hAnsi="仿宋" w:eastAsia="仿宋"/>
          <w:sz w:val="32"/>
          <w:szCs w:val="32"/>
        </w:rPr>
        <w:t>万元，占7.2</w:t>
      </w:r>
      <w:r>
        <w:rPr>
          <w:rFonts w:hint="eastAsia" w:ascii="仿宋" w:hAnsi="仿宋" w:eastAsia="仿宋"/>
          <w:sz w:val="32"/>
          <w:szCs w:val="32"/>
        </w:rPr>
        <w:t>5</w:t>
      </w:r>
      <w:r>
        <w:rPr>
          <w:rFonts w:ascii="仿宋" w:hAnsi="仿宋" w:eastAsia="仿宋"/>
          <w:sz w:val="32"/>
          <w:szCs w:val="32"/>
        </w:rPr>
        <w:t>%。</w:t>
      </w:r>
    </w:p>
    <w:p>
      <w:pPr>
        <w:widowControl/>
        <w:adjustRightInd w:val="0"/>
        <w:snapToGrid w:val="0"/>
        <w:spacing w:line="560" w:lineRule="exact"/>
        <w:ind w:firstLine="640" w:firstLineChars="200"/>
        <w:contextualSpacing/>
        <w:jc w:val="left"/>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rPr>
        <w:t xml:space="preserve"> (2)</w:t>
      </w:r>
      <w:r>
        <w:rPr>
          <w:rFonts w:eastAsia="仿宋_GB2312"/>
          <w:color w:val="000000"/>
          <w:kern w:val="0"/>
          <w:sz w:val="32"/>
          <w:szCs w:val="32"/>
          <w:shd w:val="clear" w:color="auto" w:fill="FFFFFF"/>
          <w:lang w:val="zh-CN"/>
        </w:rPr>
        <w:t>部门项目收入情况。</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2022年我单位部门项目财政拨款收入</w:t>
      </w:r>
      <w:r>
        <w:rPr>
          <w:rFonts w:hint="eastAsia" w:ascii="仿宋" w:hAnsi="仿宋" w:eastAsia="仿宋"/>
          <w:sz w:val="32"/>
          <w:szCs w:val="32"/>
        </w:rPr>
        <w:t>312.77</w:t>
      </w:r>
      <w:r>
        <w:rPr>
          <w:rFonts w:ascii="仿宋" w:hAnsi="仿宋" w:eastAsia="仿宋"/>
          <w:sz w:val="32"/>
          <w:szCs w:val="32"/>
        </w:rPr>
        <w:t xml:space="preserve">万元，年初结转 </w:t>
      </w:r>
      <w:r>
        <w:rPr>
          <w:rFonts w:hint="eastAsia" w:ascii="仿宋" w:hAnsi="仿宋" w:eastAsia="仿宋"/>
          <w:sz w:val="32"/>
          <w:szCs w:val="32"/>
        </w:rPr>
        <w:t>6.04</w:t>
      </w:r>
      <w:r>
        <w:rPr>
          <w:rFonts w:ascii="仿宋" w:hAnsi="仿宋" w:eastAsia="仿宋"/>
          <w:sz w:val="32"/>
          <w:szCs w:val="32"/>
        </w:rPr>
        <w:t>万元，共计收入</w:t>
      </w:r>
      <w:r>
        <w:rPr>
          <w:rFonts w:hint="eastAsia" w:ascii="仿宋" w:hAnsi="仿宋" w:eastAsia="仿宋"/>
          <w:sz w:val="32"/>
          <w:szCs w:val="32"/>
        </w:rPr>
        <w:t>318.81</w:t>
      </w:r>
      <w:r>
        <w:rPr>
          <w:rFonts w:ascii="仿宋" w:hAnsi="仿宋" w:eastAsia="仿宋"/>
          <w:sz w:val="32"/>
          <w:szCs w:val="32"/>
        </w:rPr>
        <w:t>万元。本年共</w:t>
      </w:r>
      <w:r>
        <w:rPr>
          <w:rFonts w:hint="eastAsia" w:ascii="仿宋" w:hAnsi="仿宋" w:eastAsia="仿宋"/>
          <w:sz w:val="32"/>
          <w:szCs w:val="32"/>
        </w:rPr>
        <w:t>3</w:t>
      </w:r>
      <w:r>
        <w:rPr>
          <w:rFonts w:ascii="仿宋" w:hAnsi="仿宋" w:eastAsia="仿宋"/>
          <w:sz w:val="32"/>
          <w:szCs w:val="32"/>
        </w:rPr>
        <w:t>个项目，其中：</w:t>
      </w:r>
      <w:r>
        <w:rPr>
          <w:rFonts w:hint="eastAsia" w:ascii="仿宋" w:hAnsi="仿宋" w:eastAsia="仿宋"/>
          <w:sz w:val="32"/>
          <w:szCs w:val="32"/>
        </w:rPr>
        <w:t>残疾人事业发展补助资金312.77</w:t>
      </w:r>
      <w:r>
        <w:rPr>
          <w:rFonts w:ascii="仿宋" w:hAnsi="仿宋" w:eastAsia="仿宋"/>
          <w:sz w:val="32"/>
          <w:szCs w:val="32"/>
        </w:rPr>
        <w:t>万元，</w:t>
      </w:r>
      <w:r>
        <w:rPr>
          <w:rFonts w:hint="eastAsia" w:ascii="仿宋" w:hAnsi="仿宋" w:eastAsia="仿宋"/>
          <w:sz w:val="32"/>
          <w:szCs w:val="32"/>
        </w:rPr>
        <w:t>村（社区）残协建设经费5</w:t>
      </w:r>
      <w:r>
        <w:rPr>
          <w:rFonts w:ascii="仿宋" w:hAnsi="仿宋" w:eastAsia="仿宋"/>
          <w:sz w:val="32"/>
          <w:szCs w:val="32"/>
        </w:rPr>
        <w:t>万元，</w:t>
      </w:r>
      <w:r>
        <w:rPr>
          <w:rFonts w:hint="eastAsia" w:ascii="仿宋" w:hAnsi="仿宋" w:eastAsia="仿宋"/>
          <w:sz w:val="32"/>
          <w:szCs w:val="32"/>
        </w:rPr>
        <w:t>残代会经费1.04</w:t>
      </w:r>
      <w:r>
        <w:rPr>
          <w:rFonts w:ascii="仿宋" w:hAnsi="仿宋" w:eastAsia="仿宋"/>
          <w:sz w:val="32"/>
          <w:szCs w:val="32"/>
        </w:rPr>
        <w:t>万元</w:t>
      </w:r>
      <w:r>
        <w:rPr>
          <w:rFonts w:hint="eastAsia" w:ascii="仿宋" w:hAnsi="仿宋" w:eastAsia="仿宋"/>
          <w:sz w:val="32"/>
          <w:szCs w:val="32"/>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2022年财政拨款支出为393.04万元，基本支出74.23万元、项目支出318.81万元。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年末结转和结余资金均为零，各预算项目资金结余率均为零。</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3"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完成年度职工工资按时发放、“五险一金”按时缴纳</w:t>
      </w:r>
      <w:r>
        <w:rPr>
          <w:rFonts w:hint="eastAsia" w:ascii="仿宋" w:hAnsi="仿宋" w:eastAsia="仿宋"/>
          <w:sz w:val="32"/>
          <w:szCs w:val="32"/>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有效保障单位2022年度正常运转</w:t>
      </w:r>
      <w:r>
        <w:rPr>
          <w:rFonts w:hint="eastAsia" w:ascii="仿宋" w:hAnsi="仿宋" w:eastAsia="仿宋"/>
          <w:sz w:val="32"/>
          <w:szCs w:val="32"/>
        </w:rPr>
        <w:t>。</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主要</w:t>
      </w:r>
      <w:r>
        <w:rPr>
          <w:rFonts w:hint="eastAsia" w:ascii="仿宋" w:hAnsi="仿宋" w:eastAsia="仿宋"/>
          <w:sz w:val="32"/>
          <w:szCs w:val="32"/>
        </w:rPr>
        <w:t>有</w:t>
      </w:r>
      <w:r>
        <w:rPr>
          <w:rFonts w:ascii="仿宋" w:hAnsi="仿宋" w:eastAsia="仿宋"/>
          <w:sz w:val="32"/>
          <w:szCs w:val="32"/>
        </w:rPr>
        <w:t>残疾人</w:t>
      </w:r>
      <w:r>
        <w:rPr>
          <w:rFonts w:hint="eastAsia" w:ascii="仿宋" w:hAnsi="仿宋" w:eastAsia="仿宋"/>
          <w:sz w:val="32"/>
          <w:szCs w:val="32"/>
        </w:rPr>
        <w:t>就业</w:t>
      </w:r>
      <w:r>
        <w:rPr>
          <w:rFonts w:ascii="仿宋" w:hAnsi="仿宋" w:eastAsia="仿宋"/>
          <w:sz w:val="32"/>
          <w:szCs w:val="32"/>
        </w:rPr>
        <w:t>帮扶项目，通过帮扶改善残疾人的</w:t>
      </w:r>
      <w:r>
        <w:rPr>
          <w:rFonts w:hint="eastAsia" w:ascii="仿宋" w:hAnsi="仿宋" w:eastAsia="仿宋"/>
          <w:sz w:val="32"/>
          <w:szCs w:val="32"/>
        </w:rPr>
        <w:t>生产生活</w:t>
      </w:r>
      <w:r>
        <w:rPr>
          <w:rFonts w:ascii="仿宋" w:hAnsi="仿宋" w:eastAsia="仿宋"/>
          <w:sz w:val="32"/>
          <w:szCs w:val="32"/>
        </w:rPr>
        <w:t>状况</w:t>
      </w:r>
      <w:r>
        <w:rPr>
          <w:rFonts w:hint="eastAsia" w:ascii="仿宋" w:hAnsi="仿宋" w:eastAsia="仿宋"/>
          <w:sz w:val="32"/>
          <w:szCs w:val="32"/>
        </w:rPr>
        <w:t>；残疾人康复帮扶项目，为残疾人提供康复救助、辅具适配等，改善残疾人状况，提高参与社会生活的能力；其他残疾人事业帮扶项目，改善残疾人生活，达到共同富裕的目的。</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效益指标完成情况：2022年西区残联全面履行基本民生保障职责、维护残疾人的合法权益、开展残疾人康复、扶贫、劳动就业、职业培训、文化体育、服务、无障碍设施和残疾预防工作职责，保证机构正常运行，确保完成年度职能目标任务。满意度指标完成情况：服务对象及职工抽样满意度达到基本满意以上。</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1.应用方面。我单位将绩效自评纳入考核体系，建立预算与绩效挂钩机制，并将延续性项目的绩效结果作为申报下年度预算的基础和依据。</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2.信息公开方面。我单位将整体绩效自评结果编入本部门决算并依法向社会公开，接受监督。</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3.整改反馈方面。我单位根据绩效管理结果，对出现的问题及时进行整改，完善相关政策，改进绩效管理，将自评结果运用于今后项目资金的申请和使用，及时向财政部门反馈绩效结果和应用情况</w:t>
      </w:r>
      <w:r>
        <w:rPr>
          <w:rFonts w:hint="eastAsia" w:ascii="仿宋" w:hAnsi="仿宋" w:eastAsia="仿宋"/>
          <w:sz w:val="32"/>
          <w:szCs w:val="32"/>
        </w:rPr>
        <w:t>。</w:t>
      </w:r>
    </w:p>
    <w:p>
      <w:pPr>
        <w:widowControl/>
        <w:numPr>
          <w:ilvl w:val="0"/>
          <w:numId w:val="6"/>
        </w:numPr>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我单位本着科学公正、统筹兼顾、公开透明的原则，认真对项目整体绩效目标、各项绩效目标完成情况、预算执行情况进行自评，部门整体支出自评准确性较好</w:t>
      </w:r>
      <w:r>
        <w:rPr>
          <w:rFonts w:hint="eastAsia" w:ascii="仿宋" w:hAnsi="仿宋" w:eastAsia="仿宋"/>
          <w:sz w:val="32"/>
          <w:szCs w:val="32"/>
        </w:rPr>
        <w:t>。</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（一）评价结论。</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2022年西区残联较好地完成了残疾人各项工作，对残疾人实施了康复救助</w:t>
      </w:r>
      <w:r>
        <w:rPr>
          <w:rFonts w:hint="eastAsia" w:ascii="仿宋" w:hAnsi="仿宋" w:eastAsia="仿宋"/>
          <w:sz w:val="32"/>
          <w:szCs w:val="32"/>
        </w:rPr>
        <w:t>、家庭医生签约</w:t>
      </w:r>
      <w:r>
        <w:rPr>
          <w:rFonts w:ascii="仿宋" w:hAnsi="仿宋" w:eastAsia="仿宋"/>
          <w:sz w:val="32"/>
          <w:szCs w:val="32"/>
        </w:rPr>
        <w:t>服务，为残疾人适配了基本的生活辅具，验配了助听器，对残疾人家庭实施了无障碍改造，让残疾人的生活出行更加便捷，能积极地参与社会生活。对贫困残疾人进行了技能及实用技术培训，发放了居家灵活就业及扶持农村残疾人发展生产补贴，通过自己的努力改善生产生活条件，提高生活质量。为义务教育阶段残疾学生发放了生活补贴，为残疾人购买居民医保实施补贴等，缓解了残疾人困难，完成了全年的绩效目标。通过走访、电话抽查被帮扶的残疾人满意度达基本满意及以上</w:t>
      </w:r>
      <w:r>
        <w:rPr>
          <w:rFonts w:hint="eastAsia" w:ascii="仿宋" w:hAnsi="仿宋" w:eastAsia="仿宋"/>
          <w:sz w:val="32"/>
          <w:szCs w:val="32"/>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（二）存在问题。</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有个别项目完成后资金未支付，原因是项目开展结束时间在12月，还有项目如儿童康复跨年度实施，因此资金在年终轧账前没及时支付</w:t>
      </w:r>
      <w:r>
        <w:rPr>
          <w:rFonts w:hint="eastAsia" w:ascii="仿宋" w:hAnsi="仿宋" w:eastAsia="仿宋"/>
          <w:sz w:val="32"/>
          <w:szCs w:val="32"/>
        </w:rPr>
        <w:t>。</w:t>
      </w:r>
    </w:p>
    <w:p>
      <w:pPr>
        <w:widowControl/>
        <w:adjustRightInd w:val="0"/>
        <w:snapToGrid w:val="0"/>
        <w:spacing w:line="560" w:lineRule="exact"/>
        <w:ind w:firstLine="643" w:firstLineChars="200"/>
        <w:contextualSpacing/>
        <w:jc w:val="left"/>
        <w:rPr>
          <w:rFonts w:ascii="楷体_GB2312" w:hAnsi="楷体_GB2312" w:eastAsia="楷体_GB2312" w:cs="楷体_GB2312"/>
          <w:b/>
          <w:bCs/>
          <w:kern w:val="0"/>
          <w:sz w:val="32"/>
          <w:szCs w:val="32"/>
          <w:shd w:val="clear" w:color="auto" w:fill="FFFFFF"/>
          <w:lang w:val="zh-CN"/>
        </w:rPr>
      </w:pPr>
      <w:r>
        <w:rPr>
          <w:rFonts w:hint="eastAsia" w:ascii="楷体_GB2312" w:hAnsi="楷体_GB2312" w:eastAsia="楷体_GB2312" w:cs="楷体_GB2312"/>
          <w:b/>
          <w:bCs/>
          <w:kern w:val="0"/>
          <w:sz w:val="32"/>
          <w:szCs w:val="32"/>
          <w:shd w:val="clear" w:color="auto" w:fill="FFFFFF"/>
          <w:lang w:val="zh-CN"/>
        </w:rPr>
        <w:t>（三）改进建议。</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ascii="仿宋" w:hAnsi="仿宋" w:eastAsia="仿宋"/>
          <w:sz w:val="32"/>
          <w:szCs w:val="32"/>
        </w:rPr>
        <w:t>提前谋划开展项目实施，尽量在12月前完成项目结账支付</w:t>
      </w:r>
      <w:r>
        <w:rPr>
          <w:rFonts w:hint="eastAsia" w:ascii="仿宋" w:hAnsi="仿宋" w:eastAsia="仿宋"/>
          <w:sz w:val="32"/>
          <w:szCs w:val="32"/>
        </w:rPr>
        <w:t>。</w:t>
      </w:r>
    </w:p>
    <w:p>
      <w:pPr>
        <w:widowControl/>
        <w:adjustRightInd w:val="0"/>
        <w:snapToGrid w:val="0"/>
        <w:spacing w:line="560" w:lineRule="exact"/>
        <w:ind w:firstLine="640" w:firstLineChars="200"/>
        <w:contextualSpacing/>
        <w:jc w:val="left"/>
        <w:rPr>
          <w:rFonts w:ascii="仿宋" w:hAnsi="仿宋" w:eastAsia="仿宋"/>
          <w:sz w:val="32"/>
          <w:szCs w:val="32"/>
        </w:rPr>
      </w:pPr>
      <w:r>
        <w:rPr>
          <w:rFonts w:hint="eastAsia" w:ascii="仿宋" w:hAnsi="仿宋" w:eastAsia="仿宋"/>
          <w:sz w:val="32"/>
          <w:szCs w:val="32"/>
        </w:rPr>
        <w:t>附表：部门预算项目支出绩效自评表（2022年度）见附件*</w:t>
      </w:r>
    </w:p>
    <w:p>
      <w:pPr>
        <w:pStyle w:val="2"/>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pStyle w:val="36"/>
        <w:spacing w:line="578" w:lineRule="exact"/>
        <w:jc w:val="center"/>
        <w:rPr>
          <w:rFonts w:hint="eastAsia" w:eastAsia="仿宋_GB2312"/>
          <w:sz w:val="32"/>
          <w:szCs w:val="32"/>
          <w:shd w:val="clear" w:color="auto" w:fill="FFFFFF"/>
        </w:rPr>
      </w:pPr>
      <w:r>
        <w:rPr>
          <w:rFonts w:hint="eastAsia" w:ascii="方正小标宋简体" w:hAnsi="方正小标宋简体" w:eastAsia="方正小标宋简体" w:cs="方正小标宋简体"/>
          <w:color w:val="auto"/>
          <w:kern w:val="2"/>
          <w:sz w:val="32"/>
          <w:szCs w:val="32"/>
          <w:lang w:val="en-US"/>
        </w:rPr>
        <w:t>2023年</w:t>
      </w:r>
      <w:r>
        <w:rPr>
          <w:rFonts w:hint="eastAsia" w:eastAsia="仿宋_GB2312"/>
          <w:sz w:val="32"/>
          <w:szCs w:val="32"/>
          <w:shd w:val="clear" w:color="auto" w:fill="FFFFFF"/>
        </w:rPr>
        <w:t>残疾人事业发展补助资金</w:t>
      </w:r>
    </w:p>
    <w:p>
      <w:pPr>
        <w:pStyle w:val="36"/>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专项资金预算项目绩效自评报告</w:t>
      </w:r>
    </w:p>
    <w:p>
      <w:pPr>
        <w:pStyle w:val="36"/>
        <w:spacing w:line="578" w:lineRule="exact"/>
        <w:ind w:firstLine="640"/>
        <w:jc w:val="center"/>
        <w:rPr>
          <w:rFonts w:ascii="宋体" w:hAnsi="宋体"/>
          <w:color w:val="auto"/>
          <w:kern w:val="2"/>
          <w:sz w:val="32"/>
          <w:szCs w:val="32"/>
        </w:rPr>
      </w:pPr>
    </w:p>
    <w:p>
      <w:pPr>
        <w:pStyle w:val="8"/>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一、项目概况</w:t>
      </w:r>
    </w:p>
    <w:p>
      <w:pPr>
        <w:pStyle w:val="8"/>
        <w:spacing w:line="600"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（一）项目基本情况。</w:t>
      </w:r>
    </w:p>
    <w:p>
      <w:pPr>
        <w:pStyle w:val="8"/>
        <w:spacing w:line="600" w:lineRule="exact"/>
        <w:ind w:firstLine="640" w:firstLineChars="200"/>
        <w:jc w:val="left"/>
        <w:rPr>
          <w:rFonts w:hint="eastAsia" w:ascii="楷体_GB2312" w:hAnsi="楷体_GB2312" w:eastAsia="楷体_GB2312" w:cs="楷体_GB2312"/>
          <w:sz w:val="32"/>
          <w:szCs w:val="32"/>
        </w:rPr>
      </w:pPr>
      <w:r>
        <w:rPr>
          <w:rFonts w:hint="eastAsia" w:ascii="仿宋" w:hAnsi="仿宋" w:eastAsia="仿宋"/>
          <w:sz w:val="32"/>
          <w:szCs w:val="32"/>
        </w:rPr>
        <w:t>1.西区残联根据职能职责范围，对残疾人开展康复、扶贫、劳动就业、职业培训、文化体育、服务、无障碍设施和残疾预防工作等项目进行组织实施，创造良好的社会环境和条件，扶助残疾人平等参与社会生活。</w:t>
      </w:r>
    </w:p>
    <w:p>
      <w:pPr>
        <w:pStyle w:val="8"/>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2.项目立项、资金申报的依据。</w:t>
      </w:r>
    </w:p>
    <w:p>
      <w:pPr>
        <w:pStyle w:val="8"/>
        <w:spacing w:line="600" w:lineRule="exact"/>
        <w:ind w:firstLine="640" w:firstLineChars="200"/>
        <w:jc w:val="left"/>
        <w:rPr>
          <w:rFonts w:ascii="仿宋" w:hAnsi="仿宋" w:eastAsia="仿宋"/>
          <w:sz w:val="32"/>
          <w:szCs w:val="32"/>
        </w:rPr>
      </w:pPr>
      <w:r>
        <w:rPr>
          <w:rFonts w:ascii="仿宋" w:hAnsi="仿宋" w:eastAsia="仿宋"/>
          <w:sz w:val="32"/>
          <w:szCs w:val="32"/>
        </w:rPr>
        <w:t>根据市残联下达的《 2022 年全市残疾人重点工作目标任务的通知》〔2022〕-15号文件作为资金申报依据。</w:t>
      </w:r>
    </w:p>
    <w:p>
      <w:pPr>
        <w:pStyle w:val="8"/>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3.资金管理办法制定情况，资金支持具体项目的条件、范围与支持方式概况。</w:t>
      </w:r>
    </w:p>
    <w:p>
      <w:pPr>
        <w:pStyle w:val="8"/>
        <w:spacing w:line="600" w:lineRule="exact"/>
        <w:ind w:firstLine="640" w:firstLineChars="200"/>
        <w:jc w:val="left"/>
        <w:rPr>
          <w:rFonts w:ascii="仿宋" w:hAnsi="仿宋" w:eastAsia="仿宋"/>
          <w:sz w:val="32"/>
          <w:szCs w:val="32"/>
        </w:rPr>
      </w:pPr>
      <w:r>
        <w:rPr>
          <w:rFonts w:ascii="仿宋" w:hAnsi="仿宋" w:eastAsia="仿宋"/>
          <w:sz w:val="32"/>
          <w:szCs w:val="32"/>
        </w:rPr>
        <w:t>西区残联制定了资金管理办法，严格执行专项资金专款专用，按照上级资金分配文件所规定的执行范围使用支付资金，本年度下达资金的文件有：攀西财〔2022〕101号，关于2022年预算批复的通知；攀财资社[2022]7号，攀财资社[2022]108号，川财社(2021)143号，攀残联[2022]18号等。</w:t>
      </w:r>
    </w:p>
    <w:p>
      <w:pPr>
        <w:pStyle w:val="8"/>
        <w:spacing w:line="600" w:lineRule="exact"/>
        <w:ind w:firstLine="640" w:firstLineChars="200"/>
        <w:jc w:val="left"/>
        <w:rPr>
          <w:rFonts w:ascii="Times New Roman" w:hAnsi="Times New Roman" w:eastAsia="楷体"/>
          <w:sz w:val="32"/>
          <w:szCs w:val="32"/>
        </w:rPr>
      </w:pPr>
      <w:r>
        <w:rPr>
          <w:rFonts w:hint="eastAsia" w:ascii="楷体_GB2312" w:hAnsi="楷体_GB2312" w:eastAsia="楷体_GB2312" w:cs="楷体_GB2312"/>
          <w:sz w:val="32"/>
          <w:szCs w:val="32"/>
        </w:rPr>
        <w:t>4. 资金分配的原则及考虑因素。</w:t>
      </w:r>
    </w:p>
    <w:p>
      <w:pPr>
        <w:pStyle w:val="8"/>
        <w:spacing w:line="600" w:lineRule="exact"/>
        <w:ind w:firstLine="640" w:firstLineChars="200"/>
        <w:jc w:val="left"/>
        <w:rPr>
          <w:rFonts w:hint="eastAsia" w:ascii="楷体_GB2312" w:hAnsi="楷体_GB2312" w:eastAsia="楷体_GB2312" w:cs="楷体_GB2312"/>
          <w:sz w:val="32"/>
          <w:szCs w:val="32"/>
        </w:rPr>
      </w:pPr>
      <w:r>
        <w:rPr>
          <w:rFonts w:hint="eastAsia" w:ascii="仿宋" w:hAnsi="仿宋" w:eastAsia="仿宋"/>
          <w:sz w:val="32"/>
          <w:szCs w:val="32"/>
        </w:rPr>
        <w:t>资金分配的原则按照各项目的实施方案所规定的标准执行。</w:t>
      </w:r>
    </w:p>
    <w:p>
      <w:pPr>
        <w:pStyle w:val="8"/>
        <w:spacing w:line="600"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（二）项目绩效目标。</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1</w:t>
      </w:r>
      <w:r>
        <w:rPr>
          <w:rFonts w:hint="eastAsia" w:ascii="Times New Roman" w:hAnsi="Times New Roman" w:eastAsia="楷体"/>
          <w:sz w:val="32"/>
          <w:szCs w:val="32"/>
        </w:rPr>
        <w:t>.</w:t>
      </w:r>
      <w:r>
        <w:rPr>
          <w:rFonts w:ascii="Times New Roman" w:hAnsi="Times New Roman" w:eastAsia="楷体"/>
          <w:sz w:val="32"/>
          <w:szCs w:val="32"/>
        </w:rPr>
        <w:t>项目主要内容。</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残疾人事业发展项目主要包括为持证残疾人开展“量体裁衣式”服务；残疾人提供免费的康复服务及为残疾人适配基本生活辅具等；残疾人就业帮扶主要是为残疾人提供实用技术培训和实施居家灵活就业补贴，帮助残疾人改善生产和生活条件，提高生活水平。</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2</w:t>
      </w:r>
      <w:r>
        <w:rPr>
          <w:rFonts w:hint="eastAsia" w:ascii="Times New Roman" w:hAnsi="Times New Roman" w:eastAsia="楷体"/>
          <w:sz w:val="32"/>
          <w:szCs w:val="32"/>
        </w:rPr>
        <w:t>.</w:t>
      </w:r>
      <w:r>
        <w:rPr>
          <w:rFonts w:ascii="Times New Roman" w:hAnsi="Times New Roman" w:eastAsia="楷体"/>
          <w:sz w:val="32"/>
          <w:szCs w:val="32"/>
        </w:rPr>
        <w:t>项目应实现的具体绩效目标，包括目标的量化、细化情况以及项目实施进度计划等。</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每个项目有具体的任务数，有实施补贴的标准，制定了项目的实施方案。2022年为辖区3330名持证提供了个性化服务，为113名残疾人提供了居家灵活就业及实用技术培训服务，为2000余名残疾人提供了康复服务。</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3</w:t>
      </w:r>
      <w:r>
        <w:rPr>
          <w:rFonts w:hint="eastAsia" w:ascii="Times New Roman" w:hAnsi="Times New Roman" w:eastAsia="楷体"/>
          <w:sz w:val="32"/>
          <w:szCs w:val="32"/>
        </w:rPr>
        <w:t>.</w:t>
      </w:r>
      <w:r>
        <w:rPr>
          <w:rFonts w:ascii="Times New Roman" w:hAnsi="Times New Roman" w:eastAsia="楷体"/>
          <w:sz w:val="32"/>
          <w:szCs w:val="32"/>
        </w:rPr>
        <w:t>分析评价申报内容是否与实际相符，申报目标是否合理可行。</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西区残联申报的残疾人事业发展项目与实际相符，申报目标合理可行。</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（三）项目自评步骤及方法。</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说明项目绩效自评采用的组织实施步骤及方法。</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1.通过查阅资料对项目的实施过程和结果进行自评；</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2.通过入户或电话抽查的方式对项目实施的满意度进行抽查。</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二、项目资金申报及使用情况</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（一）项目资金申报及批复情况。</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西区残联2022年残疾人事业发展年初申报预算项目资金175万元，批复下达资金175万元。根据当年市级下达残疾人事业工作要点所涉及的变动进行预算调整，收到上级下达的项目资金130.78万元，上年结转资金55.61万元，调整预算-42.58万元（根据实际支付情况，年终追减指标）。</w:t>
      </w:r>
    </w:p>
    <w:p>
      <w:pPr>
        <w:pStyle w:val="8"/>
        <w:spacing w:line="600"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（二）资金计划、到位及使用情况（可用表格形式反映）。</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1．资金计划。</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2022年西区残疾人事业发展补助区级资金预算：残疾人康复区级58万元，残疾人就业7万元，其他残疾人事业110万元。上级资金根据当年项目安排，以实际到位资金计算。</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2．资金到位。</w:t>
      </w:r>
    </w:p>
    <w:p>
      <w:pPr>
        <w:pStyle w:val="8"/>
        <w:spacing w:line="600" w:lineRule="exact"/>
        <w:ind w:firstLine="640" w:firstLineChars="200"/>
        <w:rPr>
          <w:rFonts w:ascii="Times New Roman" w:hAnsi="Times New Roman" w:eastAsia="仿宋_GB2312"/>
          <w:sz w:val="32"/>
          <w:szCs w:val="32"/>
        </w:rPr>
      </w:pPr>
      <w:r>
        <w:rPr>
          <w:rFonts w:ascii="Times New Roman" w:hAnsi="Times New Roman" w:eastAsia="楷体"/>
          <w:sz w:val="32"/>
          <w:szCs w:val="32"/>
        </w:rPr>
        <w:t>2022年西区残疾人事业发展补助资金到位情况：残疾人康复到位区级资金58万元，市级资金35.83万元，中央一般资金19.7万元，中央彩票公益基金8.5万元，省级彩票公益基金0.5万元，省级一般资金10.5万元，共计133.03；残疾人就业区级资金到位7万元，中央一般资金1.5万元，省级一般资金0.7万元，市级资金5.9万元，共计15.1万元；其他残疾人事业区级到位资金110万元，中央一般资金7.9665万元，中央彩票公益金6.7万元，省级一般资金3.33万元，省彩票公益金10万元，市级资金19.65万元，共计39.68万元。上年结转残疾人康复中央彩票公益基金12.7万元，省彩票公益基金2万元，市级资金30.08万元；残疾人就业4万元，其他残疾人事业市级资金6.8331万元，共计收到结转资金55.6131万元。</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3．资金使用。</w:t>
      </w:r>
    </w:p>
    <w:p>
      <w:pPr>
        <w:pStyle w:val="8"/>
        <w:spacing w:line="600" w:lineRule="exact"/>
        <w:ind w:firstLine="640" w:firstLineChars="200"/>
        <w:rPr>
          <w:rFonts w:ascii="Times New Roman" w:hAnsi="Times New Roman" w:eastAsia="楷体"/>
          <w:sz w:val="32"/>
          <w:szCs w:val="32"/>
        </w:rPr>
      </w:pPr>
      <w:r>
        <w:rPr>
          <w:rFonts w:ascii="Times New Roman" w:hAnsi="Times New Roman" w:eastAsia="楷体"/>
          <w:sz w:val="32"/>
          <w:szCs w:val="32"/>
        </w:rPr>
        <w:t>2022年西区残疾人事业发展补助资金支出情况：残疾人康复到位区级资金58万元，支出27.4万元，市级资金到位65.91万元（包含上年结转），支出60.05万元，中央一般资金到位19.7万元，支出18.58万元，中央彩票公益基金到位21.2万元（包含上年结转），支出20.5万元，省级彩票公益基金到位2.5万元（包含上年结转），支出1.5万元，省级一般资金到位10.5万元，支出10.5万元，共计支出138.53万元；残疾人就业区级资金到位7万元，支出5.9万元，中央一般资金到位1.5万元，支出1.5万元，省级一般资金到位0.7万元，支出0.7万元，市级资金9.9万元（包含上年结转），支出9.9万元，共计支出18万元；其他残疾人事业区级到位资金110万元，支出109.76万元，中央一般资金到位7.9665万元，支出7.9665万元，中央彩票公益金到位6.7万元，支出6.7万元，省级一般资金到位3.33万元，支出3.33万元，省彩票公益金到位10万元，支出10万元，市级资金26.4831万元（包括结转资金），支出23.87万元，共计支出161.63万元。</w:t>
      </w:r>
    </w:p>
    <w:p>
      <w:pPr>
        <w:pStyle w:val="8"/>
        <w:spacing w:line="600" w:lineRule="exact"/>
        <w:ind w:firstLine="640" w:firstLineChars="200"/>
        <w:rPr>
          <w:rFonts w:ascii="Times New Roman" w:hAnsi="Times New Roman" w:eastAsia="仿宋_GB2312"/>
          <w:sz w:val="32"/>
          <w:szCs w:val="32"/>
        </w:rPr>
      </w:pPr>
      <w:r>
        <w:rPr>
          <w:rFonts w:ascii="Times New Roman" w:hAnsi="Times New Roman" w:eastAsia="楷体"/>
          <w:sz w:val="32"/>
          <w:szCs w:val="32"/>
        </w:rPr>
        <w:t>西区残联的项目资金均是专款专用，较好地完成了2022年残疾人各项工作，帮助残疾人在身体方面得到了基本的康复服务，改善了残疾人的生活，提高了残疾人参与社会生活的积极性。资金的支付标准、范围、都是依据项目的实施方案中规定范围、标准执行的，合法合规。</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（三）项目财务管理情况。</w:t>
      </w:r>
    </w:p>
    <w:p>
      <w:pPr>
        <w:pStyle w:val="8"/>
        <w:spacing w:line="600" w:lineRule="exact"/>
        <w:ind w:firstLine="640" w:firstLineChars="200"/>
        <w:rPr>
          <w:rFonts w:hint="eastAsia" w:ascii="Times New Roman" w:hAnsi="Times New Roman" w:eastAsia="楷体"/>
          <w:sz w:val="32"/>
          <w:szCs w:val="32"/>
        </w:rPr>
      </w:pPr>
      <w:r>
        <w:rPr>
          <w:rFonts w:hint="eastAsia" w:ascii="Times New Roman" w:hAnsi="Times New Roman" w:eastAsia="楷体"/>
          <w:sz w:val="32"/>
          <w:szCs w:val="32"/>
        </w:rPr>
        <w:t>西区残联项目实施财务管理制度健全，严格执行财务管理制度，账务处理及时，会计核算合乎规范。</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三、项目实施及管理情况</w:t>
      </w:r>
    </w:p>
    <w:p>
      <w:pPr>
        <w:pStyle w:val="8"/>
        <w:spacing w:line="600" w:lineRule="exact"/>
        <w:ind w:firstLine="640" w:firstLineChars="200"/>
        <w:rPr>
          <w:rFonts w:hint="eastAsia" w:ascii="Times New Roman" w:hAnsi="Times New Roman" w:eastAsia="楷体"/>
          <w:sz w:val="32"/>
          <w:szCs w:val="32"/>
        </w:rPr>
      </w:pPr>
      <w:r>
        <w:rPr>
          <w:rFonts w:hint="eastAsia" w:ascii="Times New Roman" w:hAnsi="Times New Roman" w:eastAsia="楷体"/>
          <w:sz w:val="32"/>
          <w:szCs w:val="32"/>
        </w:rPr>
        <w:t>结合项目组织实施管理办法，重点围绕以下内容进行分析评价，并对自评中发现的问题分析说明。</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（一）项目组织架构及实施流程。</w:t>
      </w:r>
    </w:p>
    <w:p>
      <w:pPr>
        <w:pStyle w:val="8"/>
        <w:spacing w:line="600" w:lineRule="exact"/>
        <w:ind w:firstLine="640" w:firstLineChars="200"/>
        <w:rPr>
          <w:rFonts w:ascii="Times New Roman" w:hAnsi="Times New Roman" w:eastAsia="楷体"/>
          <w:sz w:val="32"/>
          <w:szCs w:val="32"/>
        </w:rPr>
      </w:pPr>
      <w:r>
        <w:rPr>
          <w:rFonts w:hint="eastAsia" w:ascii="Times New Roman" w:hAnsi="Times New Roman" w:eastAsia="楷体"/>
          <w:sz w:val="32"/>
          <w:szCs w:val="32"/>
        </w:rPr>
        <w:t>残疾人事业发展项目由上级残联下达目标任务，本级残联组织实施。项目通过年初规划→市级下达任务确定→制定实施方案→下达项目实施通知并进行公示→残疾人本人及监护人申报→分级审核确认公示→招标比选购买服务→过程监督→完工验收。</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（二）项目管理情况。</w:t>
      </w:r>
    </w:p>
    <w:p>
      <w:pPr>
        <w:pStyle w:val="8"/>
        <w:spacing w:line="600" w:lineRule="exact"/>
        <w:ind w:firstLine="640" w:firstLineChars="200"/>
        <w:rPr>
          <w:rFonts w:hint="eastAsia" w:ascii="Times New Roman" w:hAnsi="Times New Roman" w:eastAsia="楷体"/>
          <w:sz w:val="32"/>
          <w:szCs w:val="32"/>
        </w:rPr>
      </w:pPr>
      <w:r>
        <w:rPr>
          <w:rFonts w:hint="eastAsia" w:ascii="Times New Roman" w:hAnsi="Times New Roman" w:eastAsia="楷体"/>
          <w:sz w:val="32"/>
          <w:szCs w:val="32"/>
        </w:rPr>
        <w:t>康复项目中的辅具及残疾人就业中的残疾人实用技术培训和居家托养服务、无障碍改造项目通过竞争性谈判、比选等确定实施机构。康复定点机构由残疾人自主选择有资质的机构。</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（三）项目监管情况。</w:t>
      </w:r>
    </w:p>
    <w:p>
      <w:pPr>
        <w:pStyle w:val="8"/>
        <w:spacing w:line="600" w:lineRule="exact"/>
        <w:ind w:firstLine="640" w:firstLineChars="200"/>
        <w:rPr>
          <w:rFonts w:hint="eastAsia" w:ascii="Times New Roman" w:hAnsi="Times New Roman" w:eastAsia="楷体"/>
          <w:sz w:val="32"/>
          <w:szCs w:val="32"/>
        </w:rPr>
      </w:pPr>
      <w:r>
        <w:rPr>
          <w:rFonts w:hint="eastAsia" w:ascii="Times New Roman" w:hAnsi="Times New Roman" w:eastAsia="楷体"/>
          <w:sz w:val="32"/>
          <w:szCs w:val="32"/>
        </w:rPr>
        <w:t>利用入户走访或电话查询的方式开展满意度评价跟踪回访问效，对定点康复机构组织相关单位参与验收评价。</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四、项目绩效情况</w:t>
      </w:r>
      <w:r>
        <w:rPr>
          <w:rFonts w:ascii="Times New Roman" w:hAnsi="Times New Roman" w:eastAsia="楷体"/>
          <w:sz w:val="32"/>
          <w:szCs w:val="32"/>
        </w:rPr>
        <w:tab/>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（一）项目完成情况。</w:t>
      </w:r>
    </w:p>
    <w:p>
      <w:pPr>
        <w:pStyle w:val="8"/>
        <w:spacing w:line="600" w:lineRule="exact"/>
        <w:ind w:firstLine="640" w:firstLineChars="200"/>
        <w:rPr>
          <w:rFonts w:ascii="Times New Roman" w:hAnsi="Times New Roman" w:eastAsia="楷体"/>
          <w:sz w:val="32"/>
          <w:szCs w:val="32"/>
        </w:rPr>
      </w:pPr>
      <w:r>
        <w:rPr>
          <w:rFonts w:ascii="Times New Roman" w:hAnsi="Times New Roman" w:eastAsia="楷体"/>
          <w:sz w:val="32"/>
          <w:szCs w:val="32"/>
        </w:rPr>
        <w:t>2022年完成康复救助服务2000余人，为精神病患者提供服药、住院救助，为肢体残疾人辅具适配、康复锻炼，等让残疾人的身体状况得到改善，全年支出138.53万元。</w:t>
      </w:r>
    </w:p>
    <w:p>
      <w:pPr>
        <w:pStyle w:val="8"/>
        <w:spacing w:line="600" w:lineRule="exact"/>
        <w:ind w:firstLine="640" w:firstLineChars="200"/>
        <w:rPr>
          <w:rFonts w:ascii="Times New Roman" w:hAnsi="Times New Roman" w:eastAsia="楷体"/>
          <w:sz w:val="32"/>
          <w:szCs w:val="32"/>
        </w:rPr>
      </w:pPr>
      <w:r>
        <w:rPr>
          <w:rFonts w:ascii="Times New Roman" w:hAnsi="Times New Roman" w:eastAsia="楷体"/>
          <w:sz w:val="32"/>
          <w:szCs w:val="32"/>
        </w:rPr>
        <w:t>2022年完成残疾人就业服务115人，为残疾人提供实用技术培训，实施居家灵活就业补贴，帮助残疾人改善生活状况，提高生活质量，全年支出18万元。</w:t>
      </w:r>
    </w:p>
    <w:p>
      <w:pPr>
        <w:pStyle w:val="8"/>
        <w:spacing w:line="600" w:lineRule="exact"/>
        <w:ind w:firstLine="640" w:firstLineChars="200"/>
        <w:rPr>
          <w:rFonts w:ascii="Times New Roman" w:hAnsi="Times New Roman" w:eastAsia="楷体"/>
          <w:sz w:val="32"/>
          <w:szCs w:val="32"/>
        </w:rPr>
      </w:pPr>
      <w:r>
        <w:rPr>
          <w:rFonts w:ascii="Times New Roman" w:hAnsi="Times New Roman" w:eastAsia="楷体"/>
          <w:sz w:val="32"/>
          <w:szCs w:val="32"/>
        </w:rPr>
        <w:t>2022年完成其他残疾人帮扶工作3330人次，帮助残疾人解决生活中的困难，提高生活质量，实现共同富裕，全年支出161.63万元。</w:t>
      </w:r>
    </w:p>
    <w:p>
      <w:pPr>
        <w:pStyle w:val="8"/>
        <w:spacing w:line="600" w:lineRule="exact"/>
        <w:ind w:firstLine="640" w:firstLineChars="200"/>
        <w:rPr>
          <w:rFonts w:ascii="Times New Roman" w:hAnsi="Times New Roman" w:eastAsia="楷体"/>
          <w:sz w:val="32"/>
          <w:szCs w:val="32"/>
        </w:rPr>
      </w:pPr>
      <w:r>
        <w:rPr>
          <w:rFonts w:ascii="Times New Roman" w:hAnsi="Times New Roman" w:eastAsia="楷体"/>
          <w:sz w:val="32"/>
          <w:szCs w:val="32"/>
        </w:rPr>
        <w:t>本年度按时、高效地完成了残疾人事业各项目标任务，成本都控制在计划之内，促进了本区残疾人事业的发展，提高了残疾人的幸福指数。</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（二）项目效益情况。</w:t>
      </w:r>
    </w:p>
    <w:p>
      <w:pPr>
        <w:pStyle w:val="8"/>
        <w:spacing w:line="600" w:lineRule="exact"/>
        <w:ind w:firstLine="640" w:firstLineChars="200"/>
        <w:rPr>
          <w:rFonts w:ascii="Times New Roman" w:hAnsi="Times New Roman" w:eastAsia="楷体"/>
          <w:sz w:val="32"/>
          <w:szCs w:val="32"/>
        </w:rPr>
      </w:pPr>
      <w:r>
        <w:rPr>
          <w:rFonts w:ascii="Times New Roman" w:hAnsi="Times New Roman" w:eastAsia="楷体"/>
          <w:sz w:val="32"/>
          <w:szCs w:val="32"/>
        </w:rPr>
        <w:t>通过帮扶，残疾人的生活得到了改善，为社会稳定和谐奠定了基础，提高了残疾人参与社会生活的能力和积极性，增强了残疾人自力更生的自信心。</w:t>
      </w:r>
      <w:r>
        <w:rPr>
          <w:rFonts w:hint="eastAsia" w:ascii="Times New Roman" w:hAnsi="Times New Roman" w:eastAsia="楷体"/>
          <w:sz w:val="32"/>
          <w:szCs w:val="32"/>
        </w:rPr>
        <w:t>残疾人帮扶项目需要持续开展，才能体现出成效。</w:t>
      </w:r>
    </w:p>
    <w:p>
      <w:pPr>
        <w:pStyle w:val="8"/>
        <w:spacing w:line="600" w:lineRule="exact"/>
        <w:ind w:firstLine="640" w:firstLineChars="200"/>
        <w:rPr>
          <w:rFonts w:ascii="Times New Roman" w:hAnsi="Times New Roman" w:eastAsia="楷体"/>
          <w:sz w:val="32"/>
          <w:szCs w:val="32"/>
        </w:rPr>
      </w:pPr>
      <w:r>
        <w:rPr>
          <w:rFonts w:ascii="Times New Roman" w:hAnsi="Times New Roman" w:eastAsia="楷体"/>
          <w:sz w:val="32"/>
          <w:szCs w:val="32"/>
        </w:rPr>
        <w:t>通过入户走访和电话抽查，被帮扶的残疾人满意度达90%。</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五、评价结论及建议</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（一）评价结论。</w:t>
      </w:r>
    </w:p>
    <w:p>
      <w:pPr>
        <w:pStyle w:val="8"/>
        <w:spacing w:line="600" w:lineRule="exact"/>
        <w:ind w:firstLine="640" w:firstLineChars="200"/>
        <w:jc w:val="left"/>
        <w:rPr>
          <w:rFonts w:ascii="Times New Roman" w:hAnsi="Times New Roman" w:eastAsia="仿宋_GB2312"/>
          <w:sz w:val="32"/>
          <w:szCs w:val="32"/>
        </w:rPr>
      </w:pPr>
      <w:r>
        <w:rPr>
          <w:rFonts w:ascii="Times New Roman" w:hAnsi="Times New Roman" w:eastAsia="楷体"/>
          <w:sz w:val="32"/>
          <w:szCs w:val="32"/>
        </w:rPr>
        <w:t>2022年西区残联较好地完成了残疾人各项工作，对残疾人实施了康复救助、家庭医生签约服务，为残疾人适配了基本的生活辅具，验配了助听器，对残疾人家庭实施了无障碍改造，让残疾人的生活出行更加便捷，能积极地参与社会生活。对贫困残疾人进行了技能及实用技术培训，发放了居家灵活就业及扶持农村残疾人发展生产补贴，通过自己的努力改善生产生活条件，提高生活质量。为义务教育阶段残疾学生发放了生活补贴，为残疾人购买居民医保实施补贴等，缓解了残疾人困难，完成了全年的绩效目标。通过走访、电话抽查被帮扶的残疾人满意度达基本满意及以上。</w:t>
      </w:r>
      <w:r>
        <w:rPr>
          <w:rFonts w:hint="eastAsia" w:ascii="Times New Roman" w:hAnsi="Times New Roman" w:eastAsia="楷体"/>
          <w:sz w:val="32"/>
          <w:szCs w:val="32"/>
        </w:rPr>
        <w:t>本年度无违规违纪事件。</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（二）存在的问题。</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有个别项目完成后资金未支付，原因是项目开展结束时间在12月，还有项目如儿童康复跨年度实施，因此资金在年终轧账前没及时支付。</w:t>
      </w:r>
    </w:p>
    <w:p>
      <w:pPr>
        <w:pStyle w:val="8"/>
        <w:spacing w:line="600" w:lineRule="exact"/>
        <w:ind w:firstLine="640" w:firstLineChars="200"/>
        <w:jc w:val="left"/>
        <w:rPr>
          <w:rFonts w:ascii="Times New Roman" w:hAnsi="Times New Roman" w:eastAsia="楷体"/>
          <w:sz w:val="32"/>
          <w:szCs w:val="32"/>
        </w:rPr>
      </w:pPr>
      <w:r>
        <w:rPr>
          <w:rFonts w:ascii="Times New Roman" w:hAnsi="Times New Roman" w:eastAsia="楷体"/>
          <w:sz w:val="32"/>
          <w:szCs w:val="32"/>
        </w:rPr>
        <w:t>（三）相关建议。</w:t>
      </w:r>
    </w:p>
    <w:p>
      <w:pPr>
        <w:pStyle w:val="8"/>
        <w:spacing w:line="600" w:lineRule="exact"/>
        <w:ind w:firstLine="640" w:firstLineChars="200"/>
        <w:jc w:val="left"/>
        <w:rPr>
          <w:rFonts w:ascii="Times New Roman" w:hAnsi="Times New Roman" w:eastAsia="楷体"/>
          <w:bCs/>
        </w:rPr>
      </w:pPr>
      <w:r>
        <w:rPr>
          <w:rFonts w:ascii="Times New Roman" w:hAnsi="Times New Roman" w:eastAsia="楷体"/>
          <w:sz w:val="32"/>
          <w:szCs w:val="32"/>
        </w:rPr>
        <w:t>提前谋划开展项目实施，尽量在12月前完成项目结账支付</w:t>
      </w:r>
      <w:r>
        <w:rPr>
          <w:rFonts w:hint="eastAsia" w:ascii="Times New Roman" w:hAnsi="Times New Roman" w:eastAsia="楷体"/>
          <w:sz w:val="32"/>
          <w:szCs w:val="32"/>
        </w:rPr>
        <w:t>。</w:t>
      </w:r>
    </w:p>
    <w:p>
      <w:pPr>
        <w:spacing w:line="580" w:lineRule="exact"/>
        <w:rPr>
          <w:rStyle w:val="30"/>
          <w:rFonts w:ascii="黑体" w:hAnsi="黑体" w:eastAsia="黑体"/>
          <w:b w:val="0"/>
        </w:rPr>
      </w:pPr>
    </w:p>
    <w:p>
      <w:pPr>
        <w:widowControl/>
        <w:jc w:val="left"/>
        <w:rPr>
          <w:rStyle w:val="30"/>
          <w:rFonts w:ascii="黑体" w:hAnsi="黑体" w:eastAsia="黑体"/>
          <w:b w:val="0"/>
        </w:rPr>
      </w:pPr>
      <w:r>
        <w:rPr>
          <w:rStyle w:val="30"/>
          <w:rFonts w:ascii="黑体" w:hAnsi="黑体" w:eastAsia="黑体"/>
          <w:b w:val="0"/>
        </w:rPr>
        <w:br w:type="page"/>
      </w:r>
    </w:p>
    <w:p>
      <w:pPr>
        <w:spacing w:line="600" w:lineRule="exact"/>
        <w:jc w:val="center"/>
        <w:outlineLvl w:val="0"/>
        <w:rPr>
          <w:rFonts w:ascii="仿宋" w:hAnsi="仿宋" w:eastAsia="仿宋"/>
        </w:rPr>
      </w:pPr>
      <w:bookmarkStart w:id="53" w:name="_Toc15396618"/>
      <w:r>
        <w:rPr>
          <w:rFonts w:hint="eastAsia" w:ascii="黑体" w:hAnsi="黑体" w:eastAsia="黑体"/>
          <w:sz w:val="44"/>
          <w:szCs w:val="44"/>
        </w:rPr>
        <w:t>第</w:t>
      </w:r>
      <w:r>
        <w:rPr>
          <w:rStyle w:val="30"/>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31"/>
          <w:rFonts w:hint="eastAsia" w:ascii="仿宋" w:hAnsi="仿宋" w:eastAsia="仿宋"/>
          <w:b w:val="0"/>
          <w:bCs w:val="0"/>
        </w:rPr>
        <w:t>入决算表</w:t>
      </w:r>
      <w:bookmarkEnd w:id="55"/>
    </w:p>
    <w:p>
      <w:pPr>
        <w:pStyle w:val="4"/>
        <w:rPr>
          <w:rFonts w:ascii="仿宋" w:hAnsi="仿宋" w:eastAsia="仿宋"/>
        </w:rPr>
      </w:pPr>
      <w:bookmarkStart w:id="56"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57"/>
    </w:p>
    <w:p>
      <w:pPr>
        <w:pStyle w:val="4"/>
        <w:rPr>
          <w:rStyle w:val="31"/>
          <w:rFonts w:ascii="仿宋" w:hAnsi="仿宋" w:eastAsia="仿宋"/>
          <w:b w:val="0"/>
          <w:bCs w:val="0"/>
        </w:rPr>
      </w:pPr>
      <w:bookmarkStart w:id="58"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31"/>
          <w:rFonts w:hint="eastAsia" w:ascii="仿宋" w:hAnsi="仿宋" w:eastAsia="仿宋"/>
          <w:b w:val="0"/>
          <w:bCs w:val="0"/>
        </w:rPr>
        <w:t>十、</w:t>
      </w:r>
      <w:bookmarkEnd w:id="63"/>
      <w:r>
        <w:rPr>
          <w:rFonts w:hint="eastAsia" w:ascii="仿宋" w:hAnsi="仿宋" w:eastAsia="仿宋"/>
          <w:b w:val="0"/>
        </w:rPr>
        <w:t>政</w:t>
      </w:r>
      <w:r>
        <w:rPr>
          <w:rStyle w:val="31"/>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31"/>
          <w:rFonts w:hint="eastAsia" w:ascii="仿宋" w:hAnsi="仿宋" w:eastAsia="仿宋"/>
          <w:b w:val="0"/>
          <w:bCs w:val="0"/>
        </w:rPr>
        <w:t>十一、</w:t>
      </w:r>
      <w:bookmarkEnd w:id="64"/>
      <w:r>
        <w:rPr>
          <w:rFonts w:hint="eastAsia" w:ascii="仿宋" w:hAnsi="仿宋" w:eastAsia="仿宋"/>
          <w:b w:val="0"/>
        </w:rPr>
        <w:t>国</w:t>
      </w:r>
      <w:r>
        <w:rPr>
          <w:rStyle w:val="31"/>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31"/>
          <w:rFonts w:hint="eastAsia" w:ascii="仿宋" w:hAnsi="仿宋" w:eastAsia="仿宋"/>
          <w:b w:val="0"/>
          <w:bCs w:val="0"/>
        </w:rPr>
        <w:t>十二、</w:t>
      </w:r>
      <w:bookmarkEnd w:id="65"/>
      <w:r>
        <w:rPr>
          <w:rStyle w:val="31"/>
          <w:rFonts w:hint="eastAsia" w:ascii="仿宋" w:hAnsi="仿宋" w:eastAsia="仿宋"/>
          <w:b w:val="0"/>
          <w:bCs w:val="0"/>
        </w:rPr>
        <w:t>国有资本经营预算财政拨款支出决算表</w:t>
      </w:r>
    </w:p>
    <w:p>
      <w:pPr>
        <w:pStyle w:val="4"/>
        <w:rPr>
          <w:rFonts w:eastAsia="仿宋"/>
        </w:rPr>
      </w:pPr>
      <w:bookmarkStart w:id="66" w:name="_Toc15396631"/>
      <w:r>
        <w:rPr>
          <w:rStyle w:val="31"/>
          <w:rFonts w:hint="eastAsia" w:ascii="仿宋" w:hAnsi="仿宋" w:eastAsia="仿宋"/>
          <w:b w:val="0"/>
          <w:bCs w:val="0"/>
        </w:rPr>
        <w:t>十三、</w:t>
      </w:r>
      <w:bookmarkEnd w:id="66"/>
      <w:r>
        <w:rPr>
          <w:rStyle w:val="31"/>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31</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Q2ZWExMDIwMTAyNTlkY2I3MDQ0MGE2NzkwYzQ5NGQifQ=="/>
  </w:docVars>
  <w:rsids>
    <w:rsidRoot w:val="00F1361C"/>
    <w:rsid w:val="000222C6"/>
    <w:rsid w:val="0002549F"/>
    <w:rsid w:val="00040AD0"/>
    <w:rsid w:val="000468DB"/>
    <w:rsid w:val="0006487A"/>
    <w:rsid w:val="00065F8F"/>
    <w:rsid w:val="00070A43"/>
    <w:rsid w:val="000768F2"/>
    <w:rsid w:val="0008249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369"/>
    <w:rsid w:val="000E6613"/>
    <w:rsid w:val="000E7119"/>
    <w:rsid w:val="00107428"/>
    <w:rsid w:val="00114E9B"/>
    <w:rsid w:val="00136D0C"/>
    <w:rsid w:val="00142216"/>
    <w:rsid w:val="00144953"/>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3ED1"/>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1637"/>
    <w:rsid w:val="00467094"/>
    <w:rsid w:val="00471401"/>
    <w:rsid w:val="00473F31"/>
    <w:rsid w:val="00474C10"/>
    <w:rsid w:val="0048263A"/>
    <w:rsid w:val="00487E5D"/>
    <w:rsid w:val="004A711F"/>
    <w:rsid w:val="004B199D"/>
    <w:rsid w:val="004B4690"/>
    <w:rsid w:val="004E0A2D"/>
    <w:rsid w:val="004E206B"/>
    <w:rsid w:val="004E6DF7"/>
    <w:rsid w:val="004F0FBD"/>
    <w:rsid w:val="004F4F50"/>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2EE3"/>
    <w:rsid w:val="00C65438"/>
    <w:rsid w:val="00C87FD8"/>
    <w:rsid w:val="00C91381"/>
    <w:rsid w:val="00C91CBB"/>
    <w:rsid w:val="00CB04E0"/>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453DB"/>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2D7"/>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F98263C"/>
    <w:rsid w:val="101860EC"/>
    <w:rsid w:val="10C055FF"/>
    <w:rsid w:val="118107EC"/>
    <w:rsid w:val="13D50BC4"/>
    <w:rsid w:val="16BB723D"/>
    <w:rsid w:val="1BE8440E"/>
    <w:rsid w:val="1D155CEE"/>
    <w:rsid w:val="1EC7098C"/>
    <w:rsid w:val="1FF35744"/>
    <w:rsid w:val="23860B96"/>
    <w:rsid w:val="240371BF"/>
    <w:rsid w:val="29FD04D3"/>
    <w:rsid w:val="2C8A61B5"/>
    <w:rsid w:val="2DF04E50"/>
    <w:rsid w:val="2F040D46"/>
    <w:rsid w:val="319F7F4E"/>
    <w:rsid w:val="3304709D"/>
    <w:rsid w:val="36AA5135"/>
    <w:rsid w:val="376D39B2"/>
    <w:rsid w:val="37E16F03"/>
    <w:rsid w:val="387A4724"/>
    <w:rsid w:val="38D469F0"/>
    <w:rsid w:val="39AB0319"/>
    <w:rsid w:val="3D98207C"/>
    <w:rsid w:val="3E78745D"/>
    <w:rsid w:val="42F7180A"/>
    <w:rsid w:val="44E268DA"/>
    <w:rsid w:val="4A627F82"/>
    <w:rsid w:val="4B0E749A"/>
    <w:rsid w:val="4B4F25DA"/>
    <w:rsid w:val="4BE068DB"/>
    <w:rsid w:val="4D577224"/>
    <w:rsid w:val="4EAB630A"/>
    <w:rsid w:val="4ECE2238"/>
    <w:rsid w:val="537E6D0A"/>
    <w:rsid w:val="5AF92295"/>
    <w:rsid w:val="5CD71FC4"/>
    <w:rsid w:val="6C4A05C8"/>
    <w:rsid w:val="6D8276B5"/>
    <w:rsid w:val="6E7E3605"/>
    <w:rsid w:val="6FF5CC65"/>
    <w:rsid w:val="715C0E4B"/>
    <w:rsid w:val="72734D90"/>
    <w:rsid w:val="73AD73D5"/>
    <w:rsid w:val="73B6EB34"/>
    <w:rsid w:val="744731E5"/>
    <w:rsid w:val="764D676C"/>
    <w:rsid w:val="76E3355F"/>
    <w:rsid w:val="778769C8"/>
    <w:rsid w:val="78B153AC"/>
    <w:rsid w:val="79EE5BA4"/>
    <w:rsid w:val="7A894339"/>
    <w:rsid w:val="7EEF11D3"/>
    <w:rsid w:val="7F205428"/>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2"/>
    <w:uiPriority w:val="0"/>
    <w:rPr>
      <w:rFonts w:ascii="宋体" w:hAnsi="Courier New"/>
      <w:szCs w:val="22"/>
    </w:rPr>
  </w:style>
  <w:style w:type="paragraph" w:styleId="9">
    <w:name w:val="Balloon Text"/>
    <w:basedOn w:val="1"/>
    <w:link w:val="33"/>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Body Text First Indent 2"/>
    <w:basedOn w:val="6"/>
    <w:unhideWhenUsed/>
    <w:qFormat/>
    <w:uiPriority w:val="99"/>
    <w:pPr>
      <w:ind w:firstLine="420" w:firstLineChars="200"/>
    </w:p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jc w:val="left"/>
    </w:pPr>
    <w:rPr>
      <w:rFonts w:ascii="微软雅黑" w:eastAsia="微软雅黑"/>
      <w:kern w:val="0"/>
      <w:sz w:val="24"/>
    </w:rPr>
  </w:style>
  <w:style w:type="character" w:styleId="17">
    <w:name w:val="Strong"/>
    <w:basedOn w:val="16"/>
    <w:qFormat/>
    <w:uiPriority w:val="99"/>
    <w:rPr>
      <w:b/>
    </w:rPr>
  </w:style>
  <w:style w:type="character" w:styleId="18">
    <w:name w:val="FollowedHyperlink"/>
    <w:basedOn w:val="16"/>
    <w:unhideWhenUsed/>
    <w:qFormat/>
    <w:uiPriority w:val="99"/>
    <w:rPr>
      <w:color w:val="954F72"/>
      <w:u w:val="single"/>
    </w:rPr>
  </w:style>
  <w:style w:type="character" w:styleId="19">
    <w:name w:val="Hyperlink"/>
    <w:basedOn w:val="16"/>
    <w:unhideWhenUsed/>
    <w:qFormat/>
    <w:uiPriority w:val="99"/>
    <w:rPr>
      <w:color w:val="0000FF" w:themeColor="hyperlink"/>
      <w:u w:val="single"/>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9">
    <w:name w:val="列出段落1"/>
    <w:basedOn w:val="1"/>
    <w:qFormat/>
    <w:uiPriority w:val="34"/>
    <w:pPr>
      <w:ind w:firstLine="420" w:firstLineChars="200"/>
    </w:pPr>
  </w:style>
  <w:style w:type="character" w:customStyle="1" w:styleId="30">
    <w:name w:val="标题 1 Char"/>
    <w:basedOn w:val="16"/>
    <w:link w:val="3"/>
    <w:qFormat/>
    <w:uiPriority w:val="9"/>
    <w:rPr>
      <w:rFonts w:ascii="Times New Roman" w:hAnsi="Times New Roman"/>
      <w:b/>
      <w:bCs/>
      <w:kern w:val="44"/>
      <w:sz w:val="44"/>
      <w:szCs w:val="44"/>
    </w:rPr>
  </w:style>
  <w:style w:type="character" w:customStyle="1" w:styleId="31">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6"/>
    <w:link w:val="9"/>
    <w:semiHidden/>
    <w:qFormat/>
    <w:uiPriority w:val="99"/>
    <w:rPr>
      <w:rFonts w:ascii="Times New Roman" w:hAnsi="Times New Roman"/>
      <w:kern w:val="2"/>
      <w:sz w:val="18"/>
      <w:szCs w:val="18"/>
    </w:rPr>
  </w:style>
  <w:style w:type="character" w:customStyle="1" w:styleId="34">
    <w:name w:val="标题 3 Char"/>
    <w:basedOn w:val="16"/>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纯文本 Char"/>
    <w:basedOn w:val="16"/>
    <w:link w:val="8"/>
    <w:qFormat/>
    <w:uiPriority w:val="0"/>
    <w:rPr>
      <w:rFonts w:ascii="宋体" w:hAnsi="Courier New"/>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089E2-D438-45B4-B1D5-CABA8630F86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1945</Words>
  <Characters>11093</Characters>
  <Lines>92</Lines>
  <Paragraphs>26</Paragraphs>
  <TotalTime>0</TotalTime>
  <ScaleCrop>false</ScaleCrop>
  <LinksUpToDate>false</LinksUpToDate>
  <CharactersWithSpaces>13012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李遇夏</cp:lastModifiedBy>
  <cp:lastPrinted>2023-07-31T02:35:00Z</cp:lastPrinted>
  <dcterms:modified xsi:type="dcterms:W3CDTF">2023-11-01T02:53:21Z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423AE45F2EA74D15BDF760A36EB3D5FE_12</vt:lpwstr>
  </property>
</Properties>
</file>