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96475"/>
      <w:bookmarkStart w:id="4" w:name="_Toc15396597"/>
      <w:bookmarkStart w:id="5"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598"/>
      <w:bookmarkStart w:id="8" w:name="_Toc15377194"/>
      <w:bookmarkStart w:id="9" w:name="_Toc15396476"/>
      <w:bookmarkStart w:id="10" w:name="_Toc15378442"/>
      <w:r>
        <w:rPr>
          <w:rFonts w:hint="eastAsia" w:ascii="方正小标宋简体" w:hAnsi="方正小标宋简体" w:eastAsia="方正小标宋简体" w:cs="方正小标宋简体"/>
          <w:sz w:val="72"/>
          <w:szCs w:val="72"/>
        </w:rPr>
        <w:t>攀枝花市西区</w:t>
      </w:r>
      <w:bookmarkEnd w:id="0"/>
      <w:bookmarkStart w:id="11" w:name="_Toc15306268"/>
      <w:r>
        <w:rPr>
          <w:rFonts w:hint="eastAsia" w:ascii="方正小标宋简体" w:hAnsi="方正小标宋简体" w:eastAsia="方正小标宋简体" w:cs="方正小标宋简体"/>
          <w:sz w:val="72"/>
          <w:szCs w:val="72"/>
        </w:rPr>
        <w:t>城市建设服务中心单位决算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jc w:val="both"/>
      </w:pPr>
      <w:r>
        <w:rPr>
          <w:rFonts w:hint="eastAsia"/>
        </w:rPr>
        <w:t xml:space="preserve">    公开时间：2023年10月31日</w:t>
      </w:r>
    </w:p>
    <w:p/>
    <w:p>
      <w:pPr>
        <w:pStyle w:val="10"/>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szCs w:val="24"/>
        </w:rPr>
        <w:tab/>
      </w:r>
      <w:r>
        <w:rPr>
          <w:rFonts w:hint="eastAsia" w:cstheme="minorBidi"/>
          <w:sz w:val="24"/>
          <w:szCs w:val="24"/>
        </w:rPr>
        <w:t>4</w:t>
      </w:r>
    </w:p>
    <w:p>
      <w:pPr>
        <w:pStyle w:val="11"/>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pPr>
        <w:pStyle w:val="11"/>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w:t>
      </w:r>
    </w:p>
    <w:p>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szCs w:val="24"/>
        </w:rPr>
        <w:tab/>
      </w:r>
      <w:r>
        <w:rPr>
          <w:rFonts w:hint="eastAsia" w:cstheme="minorBidi"/>
          <w:sz w:val="24"/>
          <w:szCs w:val="24"/>
        </w:rPr>
        <w:t>5</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6</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9</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11</w:t>
      </w:r>
    </w:p>
    <w:p>
      <w:pPr>
        <w:pStyle w:val="10"/>
        <w:adjustRightInd w:val="0"/>
        <w:snapToGrid w:val="0"/>
        <w:spacing w:before="0" w:line="440" w:lineRule="exact"/>
        <w:jc w:val="left"/>
        <w:rPr>
          <w:rFonts w:hint="eastAsia" w:eastAsia="仿宋" w:cstheme="minorBidi"/>
          <w:sz w:val="24"/>
          <w:szCs w:val="24"/>
          <w:lang w:eastAsia="zh-CN"/>
        </w:rPr>
      </w:pPr>
      <w:r>
        <w:rPr>
          <w:rFonts w:hint="eastAsia"/>
          <w:sz w:val="24"/>
        </w:rPr>
        <w:t>第三部分名词解释</w:t>
      </w:r>
      <w:r>
        <w:rPr>
          <w:rFonts w:cstheme="minorBidi"/>
          <w:sz w:val="24"/>
          <w:szCs w:val="24"/>
        </w:rPr>
        <w:tab/>
      </w:r>
      <w:r>
        <w:rPr>
          <w:rFonts w:hint="eastAsia" w:cstheme="minorBidi"/>
          <w:sz w:val="24"/>
          <w:szCs w:val="24"/>
        </w:rPr>
        <w:t>1</w:t>
      </w:r>
      <w:r>
        <w:rPr>
          <w:rFonts w:hint="eastAsia" w:cstheme="minorBidi"/>
          <w:sz w:val="24"/>
          <w:szCs w:val="24"/>
          <w:lang w:val="en-US" w:eastAsia="zh-CN"/>
        </w:rPr>
        <w:t>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第四部分附件</w:t>
      </w:r>
      <w:r>
        <w:rPr>
          <w:rFonts w:cstheme="minorBidi"/>
          <w:sz w:val="24"/>
          <w:szCs w:val="24"/>
        </w:rPr>
        <w:tab/>
      </w:r>
      <w:r>
        <w:rPr>
          <w:rFonts w:hint="eastAsia" w:cstheme="minorBidi"/>
          <w:sz w:val="24"/>
          <w:szCs w:val="24"/>
        </w:rPr>
        <w:t>1</w:t>
      </w:r>
      <w:r>
        <w:rPr>
          <w:rFonts w:hint="eastAsia" w:cstheme="minorBidi"/>
          <w:sz w:val="24"/>
          <w:szCs w:val="24"/>
          <w:lang w:val="en-US" w:eastAsia="zh-CN"/>
        </w:rPr>
        <w:t>4</w:t>
      </w:r>
    </w:p>
    <w:p>
      <w:pPr>
        <w:pStyle w:val="10"/>
        <w:adjustRightInd w:val="0"/>
        <w:snapToGrid w:val="0"/>
        <w:spacing w:before="0" w:line="440" w:lineRule="exact"/>
        <w:jc w:val="left"/>
        <w:rPr>
          <w:rFonts w:hint="eastAsia" w:eastAsia="仿宋" w:cstheme="minorBidi"/>
          <w:sz w:val="24"/>
          <w:szCs w:val="24"/>
          <w:lang w:eastAsia="zh-CN"/>
        </w:rPr>
      </w:pPr>
      <w:r>
        <w:rPr>
          <w:rFonts w:hint="eastAsia"/>
          <w:sz w:val="24"/>
        </w:rPr>
        <w:t>第五部分附表</w:t>
      </w:r>
      <w:r>
        <w:rPr>
          <w:rFonts w:cstheme="minorBidi"/>
          <w:sz w:val="24"/>
          <w:szCs w:val="24"/>
        </w:rPr>
        <w:tab/>
      </w:r>
      <w:r>
        <w:rPr>
          <w:rFonts w:hint="eastAsia" w:cstheme="minorBidi"/>
          <w:sz w:val="24"/>
          <w:szCs w:val="24"/>
        </w:rPr>
        <w:t>1</w:t>
      </w:r>
      <w:r>
        <w:rPr>
          <w:rFonts w:hint="eastAsia" w:cstheme="minorBidi"/>
          <w:sz w:val="24"/>
          <w:szCs w:val="24"/>
          <w:lang w:val="en-US" w:eastAsia="zh-CN"/>
        </w:rPr>
        <w:t>5</w:t>
      </w:r>
    </w:p>
    <w:p>
      <w:pPr>
        <w:pStyle w:val="11"/>
        <w:adjustRightInd w:val="0"/>
        <w:snapToGrid w:val="0"/>
        <w:spacing w:line="440" w:lineRule="exact"/>
        <w:jc w:val="left"/>
        <w:rPr>
          <w:rFonts w:hint="eastAsia" w:eastAsia="宋体"/>
          <w:sz w:val="24"/>
          <w:lang w:eastAsia="zh-CN"/>
        </w:rPr>
      </w:pPr>
      <w:r>
        <w:rPr>
          <w:rFonts w:hint="eastAsia"/>
          <w:sz w:val="24"/>
        </w:rPr>
        <w:t>一、收入支出决算总表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1</w:t>
      </w:r>
      <w:r>
        <w:rPr>
          <w:rFonts w:hint="eastAsia" w:cstheme="minorBidi"/>
          <w:sz w:val="24"/>
          <w:lang w:val="en-US" w:eastAsia="zh-CN"/>
        </w:rPr>
        <w:t>5</w:t>
      </w:r>
    </w:p>
    <w:p>
      <w:pPr>
        <w:pStyle w:val="11"/>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rPr>
        <w:t>1</w:t>
      </w:r>
      <w:r>
        <w:rPr>
          <w:rFonts w:hint="eastAsia" w:cstheme="minorBidi"/>
          <w:sz w:val="24"/>
          <w:lang w:val="en-US" w:eastAsia="zh-CN"/>
        </w:rPr>
        <w:t>5</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bookmarkStart w:id="67" w:name="_GoBack"/>
      <w:bookmarkEnd w:id="67"/>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（1）宣传国家、省、市有关城市开发建设的相关政策。</w:t>
      </w:r>
    </w:p>
    <w:p>
      <w:pPr>
        <w:ind w:firstLine="640" w:firstLineChars="200"/>
        <w:rPr>
          <w:rFonts w:ascii="仿宋_GB2312" w:hAnsi="仿宋" w:eastAsia="仿宋_GB2312"/>
          <w:sz w:val="32"/>
          <w:szCs w:val="32"/>
        </w:rPr>
      </w:pPr>
      <w:r>
        <w:rPr>
          <w:rFonts w:hint="eastAsia" w:ascii="仿宋_GB2312" w:hAnsi="仿宋" w:eastAsia="仿宋_GB2312"/>
          <w:sz w:val="32"/>
          <w:szCs w:val="32"/>
        </w:rPr>
        <w:t>（2）按照城市规划编制西区新区开发和旧城改造计划，经批准后抓好相关工作的落实。</w:t>
      </w:r>
    </w:p>
    <w:p>
      <w:pPr>
        <w:ind w:firstLine="640" w:firstLineChars="200"/>
        <w:rPr>
          <w:rFonts w:ascii="仿宋_GB2312" w:hAnsi="仿宋" w:eastAsia="仿宋_GB2312"/>
          <w:sz w:val="32"/>
          <w:szCs w:val="32"/>
        </w:rPr>
      </w:pPr>
      <w:r>
        <w:rPr>
          <w:rFonts w:hint="eastAsia" w:ascii="仿宋_GB2312" w:hAnsi="仿宋" w:eastAsia="仿宋_GB2312"/>
          <w:sz w:val="32"/>
          <w:szCs w:val="32"/>
        </w:rPr>
        <w:t>（3）承担西区城市开发建设项目涉及的规划、建设等相关手续的协调办理和服务工作。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（4）协助开展规划编制的相关工作，参与西区城市开发项目前期论证、研究、项目包装、推介等工作。</w:t>
      </w:r>
    </w:p>
    <w:p>
      <w:pPr>
        <w:ind w:firstLine="640" w:firstLineChars="200"/>
      </w:pPr>
      <w:r>
        <w:rPr>
          <w:rFonts w:hint="eastAsia" w:ascii="仿宋_GB2312" w:hAnsi="仿宋" w:eastAsia="仿宋_GB2312"/>
          <w:sz w:val="32"/>
          <w:szCs w:val="32"/>
        </w:rPr>
        <w:t>（5）具体负责西区政府投资项目的工程建设管理，组织实施西区国有土地上房屋征收补偿以及城市土地开发整理、基础设施建设等工作。</w:t>
      </w:r>
    </w:p>
    <w:p>
      <w:pPr>
        <w:pStyle w:val="4"/>
        <w:rPr>
          <w:rFonts w:ascii="黑体" w:hAnsi="黑体" w:eastAsia="黑体"/>
          <w:b w:val="0"/>
        </w:rPr>
      </w:pPr>
      <w:r>
        <w:rPr>
          <w:rFonts w:hint="eastAsia" w:ascii="黑体" w:hAnsi="黑体" w:eastAsia="黑体"/>
          <w:b w:val="0"/>
        </w:rPr>
        <w:t>二、机构设置</w:t>
      </w:r>
    </w:p>
    <w:bookmarkEnd w:id="14"/>
    <w:bookmarkEnd w:id="15"/>
    <w:p>
      <w:pPr>
        <w:pStyle w:val="4"/>
        <w:ind w:firstLine="640" w:firstLineChars="200"/>
        <w:rPr>
          <w:rFonts w:ascii="仿宋" w:hAnsi="仿宋" w:eastAsia="仿宋"/>
        </w:rPr>
      </w:pPr>
      <w:r>
        <w:rPr>
          <w:rFonts w:hint="eastAsia" w:ascii="仿宋_GB2312" w:hAnsi="仿宋" w:eastAsia="仿宋_GB2312" w:cs="Arial"/>
          <w:b w:val="0"/>
          <w:bCs w:val="0"/>
        </w:rPr>
        <w:t>西区城市建设服务中心下属二级单位0个，其中行政单位0个，参照公务员法管理的事业单位0个，其他事业单位0个。</w:t>
      </w:r>
    </w:p>
    <w:p>
      <w:pPr>
        <w:widowControl/>
        <w:ind w:firstLine="640" w:firstLineChars="200"/>
        <w:jc w:val="left"/>
        <w:rPr>
          <w:rFonts w:ascii="仿宋" w:hAnsi="仿宋" w:eastAsia="仿宋"/>
          <w:kern w:val="0"/>
          <w:sz w:val="32"/>
          <w:szCs w:val="32"/>
        </w:rPr>
      </w:pPr>
      <w:r>
        <w:rPr>
          <w:rFonts w:hint="eastAsia" w:ascii="仿宋" w:hAnsi="仿宋" w:eastAsia="仿宋"/>
          <w:color w:val="000000"/>
          <w:sz w:val="32"/>
          <w:szCs w:val="32"/>
        </w:rPr>
        <w:t>纳入西区城市建设服务中心2022年度部门决算编制范围的二级预算单位：无</w:t>
      </w:r>
      <w:r>
        <w:rPr>
          <w:rFonts w:ascii="仿宋" w:hAnsi="仿宋" w:eastAsia="仿宋"/>
          <w:sz w:val="32"/>
          <w:szCs w:val="32"/>
        </w:rPr>
        <w:br w:type="page"/>
      </w:r>
    </w:p>
    <w:p>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2022年度收、支总计237.06万元。与2021年相比，收、支总计各增加8.72万元，增长3.82</w:t>
      </w:r>
      <w:r>
        <w:rPr>
          <w:rFonts w:ascii="仿宋" w:hAnsi="仿宋" w:eastAsia="仿宋"/>
          <w:sz w:val="32"/>
          <w:szCs w:val="32"/>
        </w:rPr>
        <w:t>%</w:t>
      </w:r>
      <w:r>
        <w:rPr>
          <w:rFonts w:hint="eastAsia" w:ascii="仿宋" w:hAnsi="仿宋" w:eastAsia="仿宋"/>
          <w:sz w:val="32"/>
          <w:szCs w:val="32"/>
        </w:rPr>
        <w:t>。主要变动原因是人员变动，人员经费、公用经费增加。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rPr>
          <w:sz w:val="32"/>
          <w:szCs w:val="32"/>
        </w:rPr>
      </w:pPr>
      <w:r>
        <w:drawing>
          <wp:inline distT="0" distB="0" distL="114300" distR="114300">
            <wp:extent cx="4572000" cy="2834640"/>
            <wp:effectExtent l="4445" t="4445" r="1079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22年本年收入合计237.06万元，其中：一般公共预算财政拨款收入237.06万元，占100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rPr>
          <w:sz w:val="32"/>
          <w:szCs w:val="32"/>
        </w:rPr>
      </w:pPr>
      <w:r>
        <w:drawing>
          <wp:inline distT="0" distB="0" distL="114300" distR="114300">
            <wp:extent cx="4426585" cy="2698115"/>
            <wp:effectExtent l="4445" t="4445" r="19050" b="1016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22年本年支出合计237.06万元，其中：基本支出237.06万元，占100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rPr>
          <w:sz w:val="32"/>
          <w:szCs w:val="32"/>
        </w:rPr>
      </w:pPr>
      <w:r>
        <w:drawing>
          <wp:inline distT="0" distB="0" distL="114300" distR="114300">
            <wp:extent cx="4426585" cy="2606675"/>
            <wp:effectExtent l="4445" t="4445" r="19050" b="10160"/>
            <wp:docPr id="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22年财政拨款收、支总计237.06万元。与</w:t>
      </w:r>
      <w:r>
        <w:rPr>
          <w:rFonts w:ascii="仿宋" w:hAnsi="仿宋" w:eastAsia="仿宋"/>
          <w:sz w:val="32"/>
          <w:szCs w:val="32"/>
        </w:rPr>
        <w:t>20</w:t>
      </w:r>
      <w:r>
        <w:rPr>
          <w:rFonts w:hint="eastAsia" w:ascii="仿宋" w:hAnsi="仿宋" w:eastAsia="仿宋"/>
          <w:sz w:val="32"/>
          <w:szCs w:val="32"/>
        </w:rPr>
        <w:t>21年相比，财政拨款收、支总计各增加8.74万元，增长3.82</w:t>
      </w:r>
      <w:r>
        <w:rPr>
          <w:rFonts w:ascii="仿宋" w:hAnsi="仿宋" w:eastAsia="仿宋"/>
          <w:sz w:val="32"/>
          <w:szCs w:val="32"/>
        </w:rPr>
        <w:t>%</w:t>
      </w:r>
      <w:r>
        <w:rPr>
          <w:rFonts w:hint="eastAsia" w:ascii="仿宋" w:hAnsi="仿宋" w:eastAsia="仿宋"/>
          <w:sz w:val="32"/>
          <w:szCs w:val="32"/>
        </w:rPr>
        <w:t>。主要变动原因是人员变动，人员经费、公用经费增加。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rPr>
          <w:rFonts w:ascii="仿宋" w:hAnsi="仿宋" w:eastAsia="仿宋"/>
          <w:b/>
          <w:sz w:val="32"/>
          <w:szCs w:val="32"/>
        </w:rPr>
      </w:pPr>
      <w:r>
        <w:drawing>
          <wp:inline distT="0" distB="0" distL="114300" distR="114300">
            <wp:extent cx="5020945" cy="3146425"/>
            <wp:effectExtent l="4445" t="4445" r="19050" b="190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0"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22年一般公共预算财政拨款支出237.06万元，占本年支出合计的100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21年相比，一般公共预算财政拨款支出增加8.74万元，增长3.82</w:t>
      </w:r>
      <w:r>
        <w:rPr>
          <w:rFonts w:ascii="仿宋" w:hAnsi="仿宋" w:eastAsia="仿宋"/>
          <w:sz w:val="32"/>
          <w:szCs w:val="32"/>
        </w:rPr>
        <w:t>%</w:t>
      </w:r>
      <w:r>
        <w:rPr>
          <w:rFonts w:hint="eastAsia" w:ascii="仿宋" w:hAnsi="仿宋" w:eastAsia="仿宋"/>
          <w:sz w:val="32"/>
          <w:szCs w:val="32"/>
        </w:rPr>
        <w:t>。主要变动原因是人员变动，人员经费、公用经费增加。</w:t>
      </w: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rPr>
          <w:rFonts w:ascii="仿宋" w:hAnsi="仿宋" w:eastAsia="仿宋"/>
          <w:sz w:val="32"/>
          <w:szCs w:val="32"/>
        </w:rPr>
      </w:pPr>
      <w:r>
        <w:drawing>
          <wp:inline distT="0" distB="0" distL="114300" distR="114300">
            <wp:extent cx="4572000" cy="2743200"/>
            <wp:effectExtent l="4445" t="4445" r="10795" b="1079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22年一般公共预算财政拨款支出237.06万元，主要用于以下方面</w:t>
      </w:r>
      <w:r>
        <w:rPr>
          <w:rFonts w:ascii="仿宋" w:hAnsi="仿宋" w:eastAsia="仿宋"/>
          <w:sz w:val="32"/>
          <w:szCs w:val="32"/>
        </w:rPr>
        <w:t>:</w:t>
      </w:r>
      <w:r>
        <w:rPr>
          <w:rFonts w:hint="eastAsia" w:ascii="仿宋" w:hAnsi="仿宋" w:eastAsia="仿宋"/>
          <w:b/>
          <w:sz w:val="32"/>
          <w:szCs w:val="32"/>
        </w:rPr>
        <w:t>城乡社区</w:t>
      </w:r>
      <w:r>
        <w:rPr>
          <w:rFonts w:hint="eastAsia" w:ascii="仿宋" w:hAnsi="仿宋" w:eastAsia="仿宋"/>
          <w:b/>
          <w:bCs/>
          <w:sz w:val="32"/>
          <w:szCs w:val="32"/>
        </w:rPr>
        <w:t>支出</w:t>
      </w:r>
      <w:r>
        <w:rPr>
          <w:rFonts w:hint="eastAsia" w:ascii="仿宋" w:hAnsi="仿宋" w:eastAsia="仿宋"/>
          <w:sz w:val="32"/>
          <w:szCs w:val="32"/>
        </w:rPr>
        <w:t>181.93万元，占76.74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21.28万元，占8.98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13.84万元，占5.84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20.01万元，占8.44</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rPr>
          <w:rFonts w:ascii="仿宋" w:hAnsi="仿宋" w:eastAsia="仿宋"/>
          <w:sz w:val="32"/>
          <w:szCs w:val="32"/>
        </w:rPr>
      </w:pPr>
      <w:r>
        <w:drawing>
          <wp:inline distT="0" distB="0" distL="114300" distR="114300">
            <wp:extent cx="4426585" cy="2865755"/>
            <wp:effectExtent l="4445" t="4445" r="19050" b="10160"/>
            <wp:docPr id="3"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0"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2022年一般公共预算支出决算数为237.06</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0" w:firstLineChars="200"/>
        <w:rPr>
          <w:rFonts w:ascii="仿宋" w:hAnsi="仿宋" w:eastAsia="仿宋"/>
          <w:b/>
          <w:sz w:val="32"/>
          <w:szCs w:val="32"/>
        </w:rPr>
      </w:pPr>
      <w:r>
        <w:rPr>
          <w:rStyle w:val="14"/>
          <w:rFonts w:ascii="仿宋" w:hAnsi="仿宋" w:eastAsia="仿宋"/>
          <w:bCs/>
          <w:sz w:val="32"/>
          <w:szCs w:val="32"/>
        </w:rPr>
        <w:t>1.</w:t>
      </w:r>
      <w:r>
        <w:rPr>
          <w:rFonts w:hint="eastAsia" w:ascii="仿宋" w:hAnsi="仿宋" w:eastAsia="仿宋"/>
          <w:b/>
          <w:sz w:val="32"/>
          <w:szCs w:val="32"/>
        </w:rPr>
        <w:t>城乡社区</w:t>
      </w:r>
      <w:r>
        <w:rPr>
          <w:rFonts w:hint="eastAsia" w:ascii="仿宋" w:hAnsi="仿宋" w:eastAsia="仿宋"/>
          <w:b/>
          <w:bCs/>
          <w:sz w:val="32"/>
          <w:szCs w:val="32"/>
        </w:rPr>
        <w:t>支出</w:t>
      </w:r>
      <w:r>
        <w:rPr>
          <w:rStyle w:val="14"/>
          <w:rFonts w:hint="eastAsia" w:ascii="仿宋" w:hAnsi="仿宋" w:eastAsia="仿宋"/>
          <w:bCs/>
          <w:sz w:val="32"/>
          <w:szCs w:val="32"/>
        </w:rPr>
        <w:t>（类）城乡社区管理事务（款）其他城乡社区管理事务支出（项）</w:t>
      </w:r>
      <w:r>
        <w:rPr>
          <w:rStyle w:val="14"/>
          <w:rFonts w:ascii="仿宋" w:hAnsi="仿宋" w:eastAsia="仿宋"/>
          <w:bCs/>
          <w:sz w:val="32"/>
          <w:szCs w:val="32"/>
        </w:rPr>
        <w:t>:</w:t>
      </w:r>
      <w:r>
        <w:rPr>
          <w:rStyle w:val="14"/>
          <w:rFonts w:hint="eastAsia" w:ascii="仿宋" w:hAnsi="仿宋" w:eastAsia="仿宋"/>
          <w:b w:val="0"/>
          <w:bCs/>
          <w:sz w:val="32"/>
          <w:szCs w:val="32"/>
        </w:rPr>
        <w:t>支出决算为181.93万元，完成预算100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住房保障支出（类）住房改革支出（款）住房公积金（项）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支出决算为20.01万元，完成预算100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Style w:val="14"/>
          <w:rFonts w:ascii="仿宋" w:hAnsi="仿宋" w:eastAsia="仿宋" w:cstheme="minorBidi"/>
          <w:bCs/>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社会保障和就业支出（类）行政事业单位养老支出（款）事业单位离退休（项）</w:t>
      </w:r>
      <w:r>
        <w:rPr>
          <w:rStyle w:val="14"/>
          <w:rFonts w:ascii="仿宋" w:hAnsi="仿宋" w:eastAsia="仿宋"/>
          <w:bCs/>
          <w:sz w:val="32"/>
          <w:szCs w:val="32"/>
        </w:rPr>
        <w:t>:</w:t>
      </w:r>
      <w:r>
        <w:rPr>
          <w:rStyle w:val="14"/>
          <w:rFonts w:hint="eastAsia" w:ascii="仿宋" w:hAnsi="仿宋" w:eastAsia="仿宋"/>
          <w:b w:val="0"/>
          <w:bCs/>
          <w:sz w:val="32"/>
          <w:szCs w:val="32"/>
        </w:rPr>
        <w:t>支出决算为4.71万元，完成预算100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cstheme="minorBidi"/>
          <w:bCs/>
          <w:sz w:val="32"/>
          <w:szCs w:val="32"/>
        </w:rPr>
        <w:t>机关事业单位基本养老保险缴费支出</w:t>
      </w:r>
      <w:r>
        <w:rPr>
          <w:rStyle w:val="14"/>
          <w:rFonts w:hint="eastAsia" w:ascii="仿宋" w:hAnsi="仿宋" w:eastAsia="仿宋"/>
          <w:bCs/>
          <w:sz w:val="32"/>
          <w:szCs w:val="32"/>
        </w:rPr>
        <w:t>（项）：</w:t>
      </w:r>
      <w:r>
        <w:rPr>
          <w:rStyle w:val="14"/>
          <w:rFonts w:hint="eastAsia" w:ascii="仿宋" w:hAnsi="仿宋" w:eastAsia="仿宋"/>
          <w:b w:val="0"/>
          <w:bCs/>
          <w:sz w:val="32"/>
          <w:szCs w:val="32"/>
        </w:rPr>
        <w:t>支出决算为16.57万元，完成预算100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Fonts w:hint="eastAsia" w:ascii="仿宋" w:hAnsi="仿宋" w:eastAsia="仿宋"/>
          <w:b/>
          <w:bCs/>
          <w:sz w:val="32"/>
          <w:szCs w:val="32"/>
        </w:rPr>
        <w:t>卫生健康支出</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支出决算为12.64万元，完成预算100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bCs/>
          <w:sz w:val="32"/>
          <w:szCs w:val="32"/>
        </w:rPr>
        <w:t>其他行政事业单位医疗支出（项）：</w:t>
      </w:r>
      <w:r>
        <w:rPr>
          <w:rStyle w:val="14"/>
          <w:rFonts w:hint="eastAsia" w:ascii="仿宋" w:hAnsi="仿宋" w:eastAsia="仿宋"/>
          <w:b w:val="0"/>
          <w:bCs/>
          <w:sz w:val="32"/>
          <w:szCs w:val="32"/>
        </w:rPr>
        <w:t>支出决算为1.2万元，完成预算100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22年一般公共预算财政拨款基本支出237.06万元，其中：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227.21万元，主要包括：基本工资、津贴补贴、职工基本医疗保险缴费、公务员医疗补助缴费、绩效工资、机关事业单位基本养老保险缴费、其他社会保障缴费、其他工资福利支出、生活补助、住房公积金等。</w:t>
      </w:r>
      <w:r>
        <w:rPr>
          <w:rFonts w:ascii="仿宋" w:hAnsi="仿宋" w:eastAsia="仿宋"/>
          <w:sz w:val="32"/>
          <w:szCs w:val="32"/>
        </w:rPr>
        <w:br w:type="textWrapping"/>
      </w:r>
      <w:r>
        <w:rPr>
          <w:rFonts w:hint="eastAsia" w:ascii="仿宋" w:hAnsi="仿宋" w:eastAsia="仿宋"/>
          <w:sz w:val="32"/>
          <w:szCs w:val="32"/>
        </w:rPr>
        <w:t>　　公用经费9.85万元，主要包括：办公费、水费、电费、邮电费、差旅费、工会经费、福利费等。</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22年“三公”经费财政拨款支出决算中，因公出国（境）费支出决算0万元；公务用车购置及运行维护费支出决算0万元；公务接待费支出决算0万元。</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3" w:firstLineChars="20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0万元0。</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numId w:val="0"/>
        </w:numPr>
        <w:spacing w:line="600" w:lineRule="exact"/>
        <w:ind w:firstLine="640" w:firstLineChars="20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numId w:val="0"/>
        </w:numPr>
        <w:spacing w:line="600" w:lineRule="exact"/>
        <w:ind w:firstLine="640" w:firstLineChars="20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lang w:eastAsia="zh-CN"/>
        </w:rPr>
        <w:t>十、</w:t>
      </w:r>
      <w:r>
        <w:rPr>
          <w:rStyle w:val="25"/>
          <w:rFonts w:hint="eastAsia" w:ascii="黑体" w:hAnsi="黑体" w:eastAsia="黑体"/>
          <w:b w:val="0"/>
        </w:rPr>
        <w:t>其他重要事项的情况说明</w:t>
      </w:r>
      <w:bookmarkEnd w:id="44"/>
      <w:bookmarkEnd w:id="45"/>
    </w:p>
    <w:p>
      <w:pPr>
        <w:spacing w:line="600" w:lineRule="exact"/>
        <w:ind w:firstLine="640"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22年，西区城市建设服务中心机关运行经费支出0万元。</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22年，西区城市建设服务中心政府采购支出总额0万元，其中：政府采购货物支出0万元、政府采购工程支出0万元、政府采购服务支出0万元。授予中小企业合同金额0万元。</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日，西区城市建设服务中心共有车辆0辆，其中：主要领导干部用车0辆、机要通信用车0辆、应急保障用车0辆、其他用车0辆。单价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pPr>
        <w:numPr>
          <w:ilvl w:val="0"/>
          <w:numId w:val="3"/>
        </w:num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预算绩效管理情况</w:t>
      </w:r>
    </w:p>
    <w:p>
      <w:pPr>
        <w:pStyle w:val="2"/>
        <w:spacing w:before="93"/>
        <w:rPr>
          <w:rFonts w:hint="eastAsia"/>
        </w:rPr>
      </w:pPr>
      <w:r>
        <w:rPr>
          <w:rFonts w:hint="eastAsia"/>
        </w:rPr>
        <w:t xml:space="preserve">        无</w:t>
      </w: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rPr>
          <w:rFonts w:hint="eastAsia"/>
        </w:rPr>
      </w:pPr>
    </w:p>
    <w:p>
      <w:pPr>
        <w:widowControl/>
        <w:jc w:val="left"/>
        <w:rPr>
          <w:rFonts w:ascii="仿宋_GB2312" w:eastAsia="仿宋_GB2312"/>
          <w:b/>
          <w:sz w:val="32"/>
          <w:szCs w:val="32"/>
        </w:rPr>
      </w:pPr>
    </w:p>
    <w:p>
      <w:pPr>
        <w:numPr>
          <w:ilvl w:val="0"/>
          <w:numId w:val="4"/>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社会保障和就业支出（类）行政事业单位养老支出（款）机关事业单位基本养老保险缴费支出（项）：指</w:t>
      </w:r>
      <w:r>
        <w:rPr>
          <w:rFonts w:hint="eastAsia" w:ascii="仿宋_GB2312" w:eastAsia="仿宋_GB2312"/>
          <w:color w:val="000000"/>
          <w:sz w:val="32"/>
          <w:szCs w:val="32"/>
        </w:rPr>
        <w:t>反映机关事业单位实施养老保险制度由单位缴纳的基本养老保险费支出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社会保障和就业支出（类）行政事业单位养老支出（款）事业单位离退休（项）：指</w:t>
      </w:r>
      <w:r>
        <w:rPr>
          <w:rFonts w:hint="eastAsia" w:ascii="仿宋_GB2312" w:eastAsia="仿宋_GB2312"/>
          <w:color w:val="000000"/>
          <w:sz w:val="32"/>
          <w:szCs w:val="32"/>
        </w:rPr>
        <w:t>反映机关事业单位实施养老保险制度由单位缴纳的基本养老保险费支出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卫生健康支出（类）行政事业单位医疗（款）事业单位医疗（项）：指</w:t>
      </w:r>
      <w:r>
        <w:rPr>
          <w:rFonts w:hint="eastAsia" w:ascii="仿宋_GB2312" w:eastAsia="仿宋_GB2312"/>
          <w:color w:val="000000"/>
          <w:sz w:val="32"/>
          <w:szCs w:val="32"/>
        </w:rPr>
        <w:t>反映财政部门集中安排的事业单位基本医疗保险缴费经费，未参加医疗保险的事业单位的公费医疗经费，按国家规定享受离休人员待遇的医疗经费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卫生健康支出（类）行政事业单位医疗（款）其他行政事业单位医疗支出（项）：指</w:t>
      </w:r>
      <w:r>
        <w:rPr>
          <w:rFonts w:hint="eastAsia" w:ascii="仿宋_GB2312" w:eastAsia="仿宋_GB2312"/>
          <w:color w:val="000000"/>
          <w:sz w:val="32"/>
          <w:szCs w:val="32"/>
        </w:rPr>
        <w:t>反映财政部门安排的公务员医疗补助经费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城乡社区支出（类）城乡社区管理事务（款）其他城乡社区管理事务支出（项）：指反映其他用于城乡社区管理事务方面的支出。</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住房保障支出（类）住房改革支出（款）住房公积金（项）：指</w:t>
      </w:r>
      <w:r>
        <w:rPr>
          <w:rFonts w:hint="eastAsia" w:ascii="仿宋_GB2312" w:eastAsia="仿宋_GB2312"/>
          <w:color w:val="000000"/>
          <w:sz w:val="32"/>
          <w:szCs w:val="32"/>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color w:val="auto"/>
          <w:sz w:val="32"/>
          <w:szCs w:val="32"/>
        </w:rPr>
      </w:pPr>
    </w:p>
    <w:p>
      <w:pPr>
        <w:pStyle w:val="22"/>
        <w:spacing w:line="560" w:lineRule="exact"/>
        <w:ind w:firstLine="640" w:firstLineChars="200"/>
        <w:rPr>
          <w:rFonts w:ascii="仿宋_GB2312" w:eastAsia="仿宋_GB2312" w:cs="黑体"/>
          <w:color w:val="auto"/>
          <w:sz w:val="32"/>
          <w:szCs w:val="32"/>
        </w:rPr>
      </w:pPr>
    </w:p>
    <w:p>
      <w:pPr>
        <w:pStyle w:val="22"/>
        <w:spacing w:line="560" w:lineRule="exact"/>
        <w:ind w:firstLine="640" w:firstLineChars="200"/>
        <w:rPr>
          <w:rFonts w:ascii="仿宋_GB2312" w:eastAsia="仿宋_GB2312" w:cs="黑体"/>
          <w:color w:val="auto"/>
          <w:sz w:val="32"/>
          <w:szCs w:val="32"/>
        </w:rPr>
      </w:pPr>
    </w:p>
    <w:p>
      <w:pPr>
        <w:pStyle w:val="22"/>
        <w:spacing w:line="560" w:lineRule="exact"/>
        <w:ind w:firstLine="640" w:firstLineChars="200"/>
        <w:rPr>
          <w:rFonts w:ascii="仿宋_GB2312" w:eastAsia="仿宋_GB2312" w:cs="黑体"/>
          <w:color w:val="auto"/>
          <w:sz w:val="32"/>
          <w:szCs w:val="32"/>
        </w:rPr>
      </w:pPr>
    </w:p>
    <w:p>
      <w:pPr>
        <w:pStyle w:val="22"/>
        <w:spacing w:line="560" w:lineRule="exact"/>
        <w:ind w:firstLine="640" w:firstLineChars="200"/>
        <w:rPr>
          <w:rFonts w:ascii="仿宋_GB2312" w:eastAsia="仿宋_GB2312" w:cs="黑体"/>
          <w:color w:val="auto"/>
          <w:sz w:val="32"/>
          <w:szCs w:val="32"/>
        </w:rPr>
      </w:pPr>
    </w:p>
    <w:p>
      <w:pPr>
        <w:spacing w:line="600" w:lineRule="exact"/>
        <w:ind w:firstLine="2640" w:firstLineChars="600"/>
        <w:outlineLvl w:val="0"/>
        <w:rPr>
          <w:rStyle w:val="24"/>
          <w:rFonts w:ascii="黑体" w:hAnsi="黑体" w:eastAsia="黑体"/>
          <w:b w:val="0"/>
        </w:rPr>
      </w:pPr>
      <w:bookmarkStart w:id="51" w:name="_Toc15396614"/>
      <w:bookmarkStart w:id="52" w:name="_Toc15377226"/>
      <w:r>
        <w:rPr>
          <w:rFonts w:hint="eastAsia" w:ascii="黑体" w:hAnsi="黑体" w:eastAsia="黑体"/>
          <w:sz w:val="44"/>
          <w:szCs w:val="44"/>
        </w:rPr>
        <w:t>第</w:t>
      </w:r>
      <w:r>
        <w:rPr>
          <w:rStyle w:val="24"/>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pPr>
        <w:spacing w:line="600" w:lineRule="exact"/>
        <w:jc w:val="left"/>
        <w:outlineLvl w:val="0"/>
        <w:rPr>
          <w:rFonts w:ascii="仿宋_GB2312" w:hAnsi="Calibri" w:eastAsia="仿宋_GB2312" w:cs="仿宋"/>
          <w:kern w:val="0"/>
          <w:sz w:val="32"/>
          <w:szCs w:val="32"/>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hint="eastAsia" w:ascii="黑体" w:hAnsi="黑体" w:eastAsia="黑体"/>
          <w:sz w:val="44"/>
          <w:szCs w:val="44"/>
        </w:rPr>
      </w:pPr>
    </w:p>
    <w:p>
      <w:pPr>
        <w:spacing w:line="600" w:lineRule="exact"/>
        <w:ind w:firstLine="3080" w:firstLineChars="700"/>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Shruti"/>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variable"/>
    <w:sig w:usb0="80000287" w:usb1="080F3C52"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3876EB2E"/>
    <w:multiLevelType w:val="singleLevel"/>
    <w:tmpl w:val="3876EB2E"/>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yMTIzNDhlZTA4NDQzOGM0ZTIyOTg2NjZkNDYwM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A43F4"/>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67DCA"/>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36279"/>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6B0F"/>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210F"/>
    <w:rsid w:val="00DA634F"/>
    <w:rsid w:val="00DA65AC"/>
    <w:rsid w:val="00DB1913"/>
    <w:rsid w:val="00DC410D"/>
    <w:rsid w:val="00DC5A81"/>
    <w:rsid w:val="00DC68CA"/>
    <w:rsid w:val="00DC6E0B"/>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37DB1"/>
    <w:rsid w:val="00F417B1"/>
    <w:rsid w:val="00F45853"/>
    <w:rsid w:val="00F602DF"/>
    <w:rsid w:val="00F73BB8"/>
    <w:rsid w:val="00F754A1"/>
    <w:rsid w:val="00F81FD9"/>
    <w:rsid w:val="00F841AA"/>
    <w:rsid w:val="00F84A94"/>
    <w:rsid w:val="00F87E96"/>
    <w:rsid w:val="00FA23E8"/>
    <w:rsid w:val="00FD3CC1"/>
    <w:rsid w:val="00FF1E02"/>
    <w:rsid w:val="00FF30B4"/>
    <w:rsid w:val="053A62B5"/>
    <w:rsid w:val="05D112B4"/>
    <w:rsid w:val="061D7700"/>
    <w:rsid w:val="0A2032A3"/>
    <w:rsid w:val="0B8A37D8"/>
    <w:rsid w:val="10C055FF"/>
    <w:rsid w:val="115A29D1"/>
    <w:rsid w:val="118107EC"/>
    <w:rsid w:val="11DD6519"/>
    <w:rsid w:val="15973366"/>
    <w:rsid w:val="16BB723D"/>
    <w:rsid w:val="18015F3F"/>
    <w:rsid w:val="1A2E5FC2"/>
    <w:rsid w:val="1BE8440E"/>
    <w:rsid w:val="1CD14A49"/>
    <w:rsid w:val="1D155CEE"/>
    <w:rsid w:val="1EAD3B95"/>
    <w:rsid w:val="20F57F95"/>
    <w:rsid w:val="240371BF"/>
    <w:rsid w:val="24D171E9"/>
    <w:rsid w:val="24D66704"/>
    <w:rsid w:val="25631867"/>
    <w:rsid w:val="25711CC6"/>
    <w:rsid w:val="259930E9"/>
    <w:rsid w:val="25C741E6"/>
    <w:rsid w:val="27842671"/>
    <w:rsid w:val="29FD04D3"/>
    <w:rsid w:val="2ABE7A3E"/>
    <w:rsid w:val="2B545AC3"/>
    <w:rsid w:val="2CA234A8"/>
    <w:rsid w:val="2D20323F"/>
    <w:rsid w:val="2DC55460"/>
    <w:rsid w:val="2DEA196D"/>
    <w:rsid w:val="2EFA178C"/>
    <w:rsid w:val="30B46D73"/>
    <w:rsid w:val="319F7F4E"/>
    <w:rsid w:val="33AA1F43"/>
    <w:rsid w:val="36F32FEF"/>
    <w:rsid w:val="377E647E"/>
    <w:rsid w:val="383D272C"/>
    <w:rsid w:val="388F4635"/>
    <w:rsid w:val="39AE70AB"/>
    <w:rsid w:val="3B65078F"/>
    <w:rsid w:val="3C0C0783"/>
    <w:rsid w:val="3D6A1B31"/>
    <w:rsid w:val="3F9F3A96"/>
    <w:rsid w:val="442B589F"/>
    <w:rsid w:val="48BF60AB"/>
    <w:rsid w:val="493C27E9"/>
    <w:rsid w:val="496F39ED"/>
    <w:rsid w:val="49FF41D3"/>
    <w:rsid w:val="4BAF2F44"/>
    <w:rsid w:val="4BE068DB"/>
    <w:rsid w:val="4BF6002B"/>
    <w:rsid w:val="4ECE2238"/>
    <w:rsid w:val="50B415EA"/>
    <w:rsid w:val="51DB4B86"/>
    <w:rsid w:val="55333C3E"/>
    <w:rsid w:val="5AEC2435"/>
    <w:rsid w:val="5C1004D6"/>
    <w:rsid w:val="6409572E"/>
    <w:rsid w:val="64CA39A1"/>
    <w:rsid w:val="65B93ED4"/>
    <w:rsid w:val="65ED08C7"/>
    <w:rsid w:val="68E6246B"/>
    <w:rsid w:val="69630ADE"/>
    <w:rsid w:val="6C4A05C8"/>
    <w:rsid w:val="6D3B1A89"/>
    <w:rsid w:val="709E6705"/>
    <w:rsid w:val="71BF4EC2"/>
    <w:rsid w:val="72734D90"/>
    <w:rsid w:val="7412278C"/>
    <w:rsid w:val="75047B9A"/>
    <w:rsid w:val="77C871D5"/>
    <w:rsid w:val="77D94DC5"/>
    <w:rsid w:val="79E7B28D"/>
    <w:rsid w:val="7F1D56E8"/>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sus\Desktop\&#39292;&#29366;&#22270;&#1228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sus\Desktop\&#39292;&#29366;&#22270;&#1228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sus\Desktop\&#39292;&#29366;&#22270;&#12289;&#26609;&#29366;&#2227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oleObject" Target="file:///C:\Users\asus\Desktop\&#39292;&#29366;&#22270;&#1228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sus\Desktop\&#39292;&#29366;&#22270;&#1228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sus\Desktop\&#39292;&#29366;&#22270;&#1228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56111111111111"/>
          <c:y val="0.0361111111111111"/>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2022年度</c:v>
                </c:pt>
                <c:pt idx="1">
                  <c:v>2021年度</c:v>
                </c:pt>
              </c:strCache>
            </c:strRef>
          </c:cat>
          <c:val>
            <c:numRef>
              <c:f>[饼状图、柱状图.xlsx]Sheet1!$R$7:$R$8</c:f>
              <c:numCache>
                <c:formatCode>General</c:formatCode>
                <c:ptCount val="2"/>
                <c:pt idx="0">
                  <c:v>237.06</c:v>
                </c:pt>
                <c:pt idx="1">
                  <c:v>228.34</c:v>
                </c:pt>
              </c:numCache>
            </c:numRef>
          </c:val>
        </c:ser>
        <c:dLbls>
          <c:showLegendKey val="0"/>
          <c:showVal val="1"/>
          <c:showCatName val="0"/>
          <c:showSerName val="0"/>
          <c:showPercent val="0"/>
          <c:showBubbleSize val="0"/>
        </c:dLbls>
        <c:gapWidth val="150"/>
        <c:overlap val="100"/>
        <c:axId val="85276544"/>
        <c:axId val="85278080"/>
      </c:barChart>
      <c:catAx>
        <c:axId val="8527654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278080"/>
        <c:crosses val="autoZero"/>
        <c:auto val="1"/>
        <c:lblAlgn val="ctr"/>
        <c:lblOffset val="100"/>
        <c:noMultiLvlLbl val="0"/>
      </c:catAx>
      <c:valAx>
        <c:axId val="8527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276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en-US" altLang="zh-CN"/>
              <a:t>2022</a:t>
            </a:r>
            <a:r>
              <a:rPr altLang="en-US"/>
              <a:t>年收入决算结构图</a:t>
            </a:r>
            <a:endParaRPr lang="en-US" altLang="zh-CN"/>
          </a:p>
        </c:rich>
      </c:tx>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一般公共预算财政拨款收入</c:v>
                </c:pt>
                <c:pt idx="1">
                  <c:v>政府性基金预算财政拨款收入</c:v>
                </c:pt>
                <c:pt idx="2">
                  <c:v>其他收入</c:v>
                </c:pt>
              </c:strCache>
            </c:strRef>
          </c:cat>
          <c:val>
            <c:numRef>
              <c:f>[饼状图、柱状图.xlsx]Sheet1!$B$8:$B$14</c:f>
              <c:numCache>
                <c:formatCode>General</c:formatCode>
                <c:ptCount val="7"/>
                <c:pt idx="0">
                  <c:v>237.06</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en-US" altLang="zh-CN"/>
              <a:t>2022</a:t>
            </a:r>
            <a:r>
              <a:rPr altLang="en-US"/>
              <a:t>年支出决算结构图</a:t>
            </a:r>
            <a:endParaRPr lang="en-US" altLang="zh-CN"/>
          </a:p>
        </c:rich>
      </c:tx>
      <c:layout>
        <c:manualLayout>
          <c:xMode val="edge"/>
          <c:yMode val="edge"/>
          <c:x val="0.284249031702769"/>
          <c:y val="0.0254177453518475"/>
        </c:manualLayout>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基本支出</c:v>
                </c:pt>
                <c:pt idx="1">
                  <c:v>项目支出</c:v>
                </c:pt>
                <c:pt idx="2">
                  <c:v>经营支出</c:v>
                </c:pt>
              </c:strCache>
            </c:strRef>
          </c:cat>
          <c:val>
            <c:numRef>
              <c:f>[饼状图、柱状图.xlsx]Sheet1!$B$8:$B$14</c:f>
              <c:numCache>
                <c:formatCode>General</c:formatCode>
                <c:ptCount val="7"/>
                <c:pt idx="0">
                  <c:v>237.06</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stacked"/>
        <c:varyColors val="0"/>
        <c:ser>
          <c:idx val="0"/>
          <c:order val="0"/>
          <c:spPr>
            <a:solidFill>
              <a:srgbClr val="019199"/>
            </a:solidFill>
            <a:ln w="25400">
              <a:solidFill>
                <a:schemeClr val="bg1"/>
              </a:solidFill>
            </a:ln>
            <a:effectLst/>
          </c:spPr>
          <c:invertIfNegative val="0"/>
          <c:dLbls>
            <c:delete val="1"/>
          </c:dLbls>
          <c:cat>
            <c:strRef>
              <c:f>[饼状图、柱状图.xlsx]Sheet1!$A$29:$A$32</c:f>
              <c:strCache>
                <c:ptCount val="4"/>
                <c:pt idx="0">
                  <c:v>2022年财政拨款收入</c:v>
                </c:pt>
                <c:pt idx="1">
                  <c:v>2021年财政拨款收入</c:v>
                </c:pt>
                <c:pt idx="2">
                  <c:v>2022年财政拨款支出</c:v>
                </c:pt>
                <c:pt idx="3">
                  <c:v>2021年财政拨款支出</c:v>
                </c:pt>
              </c:strCache>
            </c:strRef>
          </c:cat>
          <c:val>
            <c:numRef>
              <c:f>[饼状图、柱状图.xlsx]Sheet1!$B$29:$B$32</c:f>
              <c:numCache>
                <c:formatCode>General</c:formatCode>
                <c:ptCount val="4"/>
                <c:pt idx="0">
                  <c:v>237.06</c:v>
                </c:pt>
                <c:pt idx="1">
                  <c:v>228.32</c:v>
                </c:pt>
                <c:pt idx="2">
                  <c:v>237.06</c:v>
                </c:pt>
                <c:pt idx="3">
                  <c:v>228.32</c:v>
                </c:pt>
              </c:numCache>
            </c:numRef>
          </c:val>
        </c:ser>
        <c:dLbls>
          <c:showLegendKey val="0"/>
          <c:showVal val="1"/>
          <c:showCatName val="0"/>
          <c:showSerName val="0"/>
          <c:showPercent val="0"/>
          <c:showBubbleSize val="0"/>
        </c:dLbls>
        <c:gapWidth val="95"/>
        <c:overlap val="100"/>
        <c:axId val="34178176"/>
        <c:axId val="34179712"/>
      </c:barChart>
      <c:catAx>
        <c:axId val="341781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34179712"/>
        <c:crosses val="autoZero"/>
        <c:auto val="1"/>
        <c:lblAlgn val="ctr"/>
        <c:lblOffset val="100"/>
        <c:noMultiLvlLbl val="0"/>
      </c:catAx>
      <c:valAx>
        <c:axId val="34179712"/>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341781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69444444444444"/>
          <c:y val="0.0388888888888889"/>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[饼状图、柱状图.xlsx]Sheet1!$Q$7:$Q$8</c:f>
              <c:strCache>
                <c:ptCount val="2"/>
                <c:pt idx="0">
                  <c:v>2022年度</c:v>
                </c:pt>
                <c:pt idx="1">
                  <c:v>2021年度</c:v>
                </c:pt>
              </c:strCache>
            </c:strRef>
          </c:cat>
          <c:val>
            <c:numRef>
              <c:f>[饼状图、柱状图.xlsx]Sheet1!$R$7:$R$8</c:f>
              <c:numCache>
                <c:formatCode>General</c:formatCode>
                <c:ptCount val="2"/>
                <c:pt idx="0">
                  <c:v>237.06</c:v>
                </c:pt>
                <c:pt idx="1">
                  <c:v>228.32</c:v>
                </c:pt>
              </c:numCache>
            </c:numRef>
          </c:val>
        </c:ser>
        <c:dLbls>
          <c:showLegendKey val="0"/>
          <c:showVal val="1"/>
          <c:showCatName val="0"/>
          <c:showSerName val="0"/>
          <c:showPercent val="0"/>
          <c:showBubbleSize val="0"/>
        </c:dLbls>
        <c:gapWidth val="150"/>
        <c:overlap val="100"/>
        <c:axId val="96100352"/>
        <c:axId val="96101888"/>
      </c:barChart>
      <c:catAx>
        <c:axId val="9610035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01888"/>
        <c:crosses val="autoZero"/>
        <c:auto val="1"/>
        <c:lblAlgn val="ctr"/>
        <c:lblOffset val="100"/>
        <c:noMultiLvlLbl val="0"/>
      </c:catAx>
      <c:valAx>
        <c:axId val="9610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0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en-US" altLang="zh-CN"/>
              <a:t>一般公共预算财政拨款支出决算结构</a:t>
            </a:r>
            <a:endParaRPr lang="en-US" altLang="zh-CN"/>
          </a:p>
        </c:rich>
      </c:tx>
      <c:layout>
        <c:manualLayout>
          <c:xMode val="edge"/>
          <c:yMode val="edge"/>
          <c:x val="0.177521159087649"/>
          <c:y val="0.0254177453518475"/>
        </c:manualLayout>
      </c:layout>
      <c:overlay val="0"/>
      <c:spPr>
        <a:noFill/>
        <a:ln>
          <a:noFill/>
        </a:ln>
        <a:effectLst/>
      </c:spPr>
    </c:title>
    <c:autoTitleDeleted val="0"/>
    <c:plotArea>
      <c:layout/>
      <c:pieChart>
        <c:varyColors val="1"/>
        <c:ser>
          <c:idx val="0"/>
          <c:order val="0"/>
          <c:spPr>
            <a:effectLst>
              <a:outerShdw blurRad="50800" dist="38100" dir="2700000" algn="tl" rotWithShape="0">
                <a:prstClr val="black">
                  <a:alpha val="40000"/>
                </a:prstClr>
              </a:outerShdw>
            </a:effectLst>
          </c:spPr>
          <c:explosion val="4"/>
          <c:dPt>
            <c:idx val="0"/>
            <c:bubble3D val="0"/>
            <c:explosion val="0"/>
            <c:spPr>
              <a:solidFill>
                <a:schemeClr val="accent1"/>
              </a:solidFill>
              <a:ln w="19050">
                <a:solidFill>
                  <a:schemeClr val="lt1"/>
                </a:solidFill>
              </a:ln>
              <a:effectLst>
                <a:outerShdw blurRad="50800" dist="38100" dir="2700000" algn="tl" rotWithShape="0">
                  <a:prstClr val="black">
                    <a:alpha val="40000"/>
                  </a:prstClr>
                </a:outerShdw>
              </a:effectLst>
            </c:spPr>
          </c:dPt>
          <c:dPt>
            <c:idx val="1"/>
            <c:bubble3D val="0"/>
            <c:explosion val="0"/>
            <c:spPr>
              <a:solidFill>
                <a:schemeClr val="accent2"/>
              </a:solidFill>
              <a:ln w="19050">
                <a:solidFill>
                  <a:schemeClr val="lt1"/>
                </a:solidFill>
              </a:ln>
              <a:effectLst>
                <a:outerShdw blurRad="50800" dist="38100" dir="2700000" algn="tl" rotWithShape="0">
                  <a:prstClr val="black">
                    <a:alpha val="40000"/>
                  </a:prstClr>
                </a:outerShdw>
              </a:effectLst>
            </c:spPr>
          </c:dPt>
          <c:dPt>
            <c:idx val="2"/>
            <c:bubble3D val="0"/>
            <c:explosion val="0"/>
            <c:spPr>
              <a:solidFill>
                <a:schemeClr val="accent3"/>
              </a:solidFill>
              <a:ln w="19050">
                <a:solidFill>
                  <a:schemeClr val="lt1"/>
                </a:solidFill>
              </a:ln>
              <a:effectLst>
                <a:outerShdw blurRad="50800" dist="38100" dir="2700000" algn="tl" rotWithShape="0">
                  <a:prstClr val="black">
                    <a:alpha val="40000"/>
                  </a:prstClr>
                </a:outerShdw>
              </a:effectLst>
            </c:spPr>
          </c:dPt>
          <c:dPt>
            <c:idx val="3"/>
            <c:bubble3D val="0"/>
            <c:explosion val="0"/>
            <c:spPr>
              <a:solidFill>
                <a:schemeClr val="accent4"/>
              </a:solidFill>
              <a:ln w="19050">
                <a:solidFill>
                  <a:schemeClr val="lt1"/>
                </a:solidFill>
              </a:ln>
              <a:effectLst>
                <a:outerShdw blurRad="50800" dist="38100" dir="2700000" algn="tl" rotWithShape="0">
                  <a:prstClr val="black">
                    <a:alpha val="40000"/>
                  </a:prstClr>
                </a:outerShdw>
              </a:effectLst>
            </c:spPr>
          </c:dPt>
          <c:dPt>
            <c:idx val="4"/>
            <c:bubble3D val="0"/>
            <c:explosion val="0"/>
            <c:spPr>
              <a:solidFill>
                <a:schemeClr val="accent5"/>
              </a:solidFill>
              <a:ln w="19050">
                <a:solidFill>
                  <a:schemeClr val="lt1"/>
                </a:solidFill>
              </a:ln>
              <a:effectLst>
                <a:outerShdw blurRad="50800" dist="38100" dir="2700000" algn="tl" rotWithShape="0">
                  <a:prstClr val="black">
                    <a:alpha val="40000"/>
                  </a:prstClr>
                </a:outerShdw>
              </a:effectLst>
            </c:spPr>
          </c:dPt>
          <c:dPt>
            <c:idx val="5"/>
            <c:bubble3D val="0"/>
            <c:spPr>
              <a:solidFill>
                <a:schemeClr val="accent6"/>
              </a:solidFill>
              <a:ln w="19050">
                <a:solidFill>
                  <a:schemeClr val="lt1"/>
                </a:solid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solidFill>
                  <a:schemeClr val="lt1"/>
                </a:solidFill>
              </a:ln>
              <a:effectLst>
                <a:outerShdw blurRad="50800" dist="38100" dir="2700000" algn="tl"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[饼状图、柱状图.xlsx]Sheet1!$A$8:$A$14</c:f>
              <c:strCache>
                <c:ptCount val="7"/>
                <c:pt idx="0">
                  <c:v>城乡社区支出</c:v>
                </c:pt>
                <c:pt idx="1">
                  <c:v>社会保障和就业支出</c:v>
                </c:pt>
                <c:pt idx="2">
                  <c:v>卫生健康支出</c:v>
                </c:pt>
                <c:pt idx="3">
                  <c:v>住房保障支出</c:v>
                </c:pt>
              </c:strCache>
            </c:strRef>
          </c:cat>
          <c:val>
            <c:numRef>
              <c:f>[饼状图、柱状图.xlsx]Sheet1!$B$8:$B$14</c:f>
              <c:numCache>
                <c:formatCode>General</c:formatCode>
                <c:ptCount val="7"/>
                <c:pt idx="0">
                  <c:v>181.93</c:v>
                </c:pt>
                <c:pt idx="1">
                  <c:v>21.28</c:v>
                </c:pt>
                <c:pt idx="2">
                  <c:v>13.84</c:v>
                </c:pt>
                <c:pt idx="3">
                  <c:v>20.01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5"/>
        <c:delete val="1"/>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14</Pages>
  <Words>3851</Words>
  <Characters>481</Characters>
  <Lines>4</Lines>
  <Paragraphs>8</Paragraphs>
  <TotalTime>0</TotalTime>
  <ScaleCrop>false</ScaleCrop>
  <LinksUpToDate>false</LinksUpToDate>
  <CharactersWithSpaces>4324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^凜^</cp:lastModifiedBy>
  <cp:lastPrinted>2023-07-31T02:35:00Z</cp:lastPrinted>
  <dcterms:modified xsi:type="dcterms:W3CDTF">2023-11-01T00:45:57Z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46250A3C7F81477E9398D00FE0508E05_12</vt:lpwstr>
  </property>
</Properties>
</file>