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charts/colors7.xml" ContentType="application/vnd.ms-office.chartcolorstyle+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olors6.xml" ContentType="application/vnd.ms-office.chartcolorstyle+xml"/>
  <Override PartName="/word/charts/colors5.xml" ContentType="application/vnd.ms-office.chartcolorstyle+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olors3.xml" ContentType="application/vnd.ms-office.chartcolorstyle+xml"/>
  <Override PartName="/word/charts/colors4.xml" ContentType="application/vnd.ms-office.chartcolorstyle+xml"/>
  <Override PartName="/word/charts/style7.xml" ContentType="application/vnd.ms-office.chartstyle+xml"/>
  <Override PartName="/word/charts/style6.xml" ContentType="application/vnd.ms-office.chartstyl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charts/style3.xml" ContentType="application/vnd.ms-office.chartstyle+xml"/>
  <Override PartName="/word/charts/style4.xml" ContentType="application/vnd.ms-office.chartstyle+xml"/>
  <Override PartName="/word/charts/colors2.xml" ContentType="application/vnd.ms-office.chartcolorstyle+xml"/>
  <Override PartName="/word/charts/colors1.xml" ContentType="application/vnd.ms-office.chartcolorstyle+xml"/>
  <Override PartName="/word/charts/style5.xml" ContentType="application/vnd.ms-office.chartsty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Override PartName="/word/charts/style2.xml" ContentType="application/vnd.ms-office.chartstyle+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16A" w:rsidRDefault="00BA116A">
      <w:pPr>
        <w:spacing w:line="600" w:lineRule="exact"/>
        <w:jc w:val="left"/>
        <w:outlineLvl w:val="0"/>
        <w:rPr>
          <w:rFonts w:ascii="方正小标宋简体" w:eastAsia="方正小标宋简体" w:hAnsi="宋体" w:hint="eastAsia"/>
          <w:szCs w:val="21"/>
        </w:rPr>
      </w:pPr>
      <w:bookmarkStart w:id="0" w:name="_Toc15306267"/>
    </w:p>
    <w:p w:rsidR="00BA116A" w:rsidRDefault="00BA116A">
      <w:pPr>
        <w:spacing w:line="600" w:lineRule="exact"/>
        <w:jc w:val="center"/>
        <w:outlineLvl w:val="0"/>
        <w:rPr>
          <w:rFonts w:ascii="方正小标宋简体" w:eastAsia="方正小标宋简体" w:hAnsi="宋体"/>
          <w:sz w:val="72"/>
          <w:szCs w:val="72"/>
        </w:rPr>
      </w:pPr>
    </w:p>
    <w:p w:rsidR="00BA116A" w:rsidRDefault="00BA116A">
      <w:pPr>
        <w:spacing w:line="600" w:lineRule="exact"/>
        <w:jc w:val="center"/>
        <w:outlineLvl w:val="0"/>
        <w:rPr>
          <w:rFonts w:ascii="方正小标宋简体" w:eastAsia="方正小标宋简体" w:hAnsi="宋体"/>
          <w:sz w:val="72"/>
          <w:szCs w:val="72"/>
        </w:rPr>
      </w:pPr>
    </w:p>
    <w:p w:rsidR="00BA116A" w:rsidRDefault="003D1702">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1" w:name="_Toc15378441"/>
      <w:bookmarkStart w:id="2" w:name="_Toc15396475"/>
      <w:bookmarkStart w:id="3" w:name="_Toc15377425"/>
      <w:bookmarkStart w:id="4" w:name="_Toc15396597"/>
      <w:bookmarkStart w:id="5" w:name="_Toc15377193"/>
      <w:r>
        <w:rPr>
          <w:rFonts w:ascii="方正小标宋简体" w:eastAsia="方正小标宋简体" w:hAnsi="方正小标宋简体" w:cs="方正小标宋简体" w:hint="eastAsia"/>
          <w:sz w:val="72"/>
          <w:szCs w:val="72"/>
        </w:rPr>
        <w:t>2022年度</w:t>
      </w:r>
      <w:bookmarkEnd w:id="1"/>
      <w:bookmarkEnd w:id="2"/>
      <w:bookmarkEnd w:id="3"/>
      <w:bookmarkEnd w:id="4"/>
      <w:bookmarkEnd w:id="5"/>
    </w:p>
    <w:p w:rsidR="00BA116A" w:rsidRDefault="003D1702">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6" w:name="_Toc15378442"/>
      <w:bookmarkStart w:id="7" w:name="_Toc15377194"/>
      <w:bookmarkStart w:id="8" w:name="_Toc15396598"/>
      <w:bookmarkStart w:id="9" w:name="_Toc15377426"/>
      <w:bookmarkStart w:id="10" w:name="_Toc15396476"/>
      <w:r>
        <w:rPr>
          <w:rFonts w:ascii="方正小标宋简体" w:eastAsia="方正小标宋简体" w:hAnsi="方正小标宋简体" w:cs="方正小标宋简体" w:hint="eastAsia"/>
          <w:sz w:val="72"/>
          <w:szCs w:val="72"/>
        </w:rPr>
        <w:t>攀枝花市西区</w:t>
      </w:r>
      <w:bookmarkStart w:id="11" w:name="_Toc15306268"/>
      <w:bookmarkEnd w:id="0"/>
      <w:r>
        <w:rPr>
          <w:rFonts w:ascii="方正小标宋简体" w:eastAsia="方正小标宋简体" w:hAnsi="方正小标宋简体" w:cs="方正小标宋简体" w:hint="eastAsia"/>
          <w:sz w:val="72"/>
          <w:szCs w:val="72"/>
        </w:rPr>
        <w:t>住房和城乡建设局决算</w:t>
      </w:r>
      <w:bookmarkEnd w:id="6"/>
      <w:bookmarkEnd w:id="7"/>
      <w:bookmarkEnd w:id="8"/>
      <w:bookmarkEnd w:id="9"/>
      <w:bookmarkEnd w:id="10"/>
      <w:bookmarkEnd w:id="11"/>
    </w:p>
    <w:p w:rsidR="00BA116A" w:rsidRDefault="003D1702">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rsidR="00BA116A" w:rsidRDefault="00BA116A">
      <w:pPr>
        <w:widowControl/>
        <w:jc w:val="center"/>
        <w:rPr>
          <w:rFonts w:ascii="黑体" w:eastAsia="黑体" w:hAnsi="黑体" w:cstheme="minorBidi"/>
          <w:sz w:val="28"/>
          <w:szCs w:val="28"/>
        </w:rPr>
      </w:pPr>
    </w:p>
    <w:p w:rsidR="00BA116A" w:rsidRDefault="003D1702" w:rsidP="003D1702">
      <w:pPr>
        <w:pStyle w:val="10"/>
        <w:jc w:val="both"/>
      </w:pPr>
      <w:r>
        <w:rPr>
          <w:rFonts w:hint="eastAsia"/>
        </w:rPr>
        <w:t xml:space="preserve">    公开时间：2023年10月</w:t>
      </w:r>
      <w:r w:rsidR="00A1713E">
        <w:rPr>
          <w:rFonts w:hint="eastAsia"/>
        </w:rPr>
        <w:t>31</w:t>
      </w:r>
      <w:r>
        <w:rPr>
          <w:rFonts w:hint="eastAsia"/>
        </w:rPr>
        <w:t>日</w:t>
      </w:r>
    </w:p>
    <w:p w:rsidR="00BA116A" w:rsidRDefault="00BA116A"/>
    <w:p w:rsidR="00BA116A" w:rsidRDefault="003D1702">
      <w:pPr>
        <w:pStyle w:val="10"/>
        <w:adjustRightInd w:val="0"/>
        <w:snapToGrid w:val="0"/>
        <w:spacing w:before="0" w:line="440" w:lineRule="exact"/>
        <w:jc w:val="left"/>
        <w:rPr>
          <w:rFonts w:cstheme="minorBidi"/>
          <w:sz w:val="24"/>
          <w:szCs w:val="24"/>
        </w:rPr>
      </w:pPr>
      <w:r>
        <w:rPr>
          <w:rFonts w:hint="eastAsia"/>
          <w:sz w:val="24"/>
        </w:rPr>
        <w:t>第一部分单位概况</w:t>
      </w:r>
      <w:r>
        <w:rPr>
          <w:rFonts w:cstheme="minorBidi"/>
          <w:sz w:val="24"/>
          <w:szCs w:val="24"/>
        </w:rPr>
        <w:tab/>
      </w:r>
      <w:r w:rsidR="00216BF0">
        <w:rPr>
          <w:rFonts w:cstheme="minorBidi" w:hint="eastAsia"/>
          <w:sz w:val="24"/>
          <w:szCs w:val="24"/>
        </w:rPr>
        <w:t>4</w:t>
      </w:r>
    </w:p>
    <w:p w:rsidR="00BA116A" w:rsidRDefault="003D1702">
      <w:pPr>
        <w:pStyle w:val="20"/>
        <w:adjustRightInd w:val="0"/>
        <w:snapToGrid w:val="0"/>
        <w:spacing w:line="440" w:lineRule="exact"/>
        <w:jc w:val="left"/>
        <w:rPr>
          <w:sz w:val="24"/>
        </w:rPr>
      </w:pPr>
      <w:r>
        <w:rPr>
          <w:rFonts w:hint="eastAsia"/>
          <w:sz w:val="24"/>
        </w:rPr>
        <w:t>一、主要职责</w:t>
      </w:r>
      <w:r>
        <w:rPr>
          <w:rFonts w:cstheme="minorBidi"/>
          <w:sz w:val="24"/>
        </w:rPr>
        <w:tab/>
      </w:r>
      <w:r w:rsidR="00216BF0">
        <w:rPr>
          <w:rFonts w:cstheme="minorBidi" w:hint="eastAsia"/>
          <w:sz w:val="24"/>
        </w:rPr>
        <w:t>4</w:t>
      </w:r>
    </w:p>
    <w:p w:rsidR="00BA116A" w:rsidRDefault="003D1702">
      <w:pPr>
        <w:pStyle w:val="20"/>
        <w:adjustRightInd w:val="0"/>
        <w:snapToGrid w:val="0"/>
        <w:spacing w:line="440" w:lineRule="exact"/>
        <w:jc w:val="left"/>
      </w:pPr>
      <w:r>
        <w:rPr>
          <w:rFonts w:hint="eastAsia"/>
          <w:sz w:val="24"/>
        </w:rPr>
        <w:t>二、机构设置</w:t>
      </w:r>
      <w:r w:rsidR="00A64FE2">
        <w:rPr>
          <w:rFonts w:cstheme="minorBidi"/>
          <w:sz w:val="24"/>
        </w:rPr>
        <w:tab/>
      </w:r>
      <w:r w:rsidR="00216BF0">
        <w:rPr>
          <w:rFonts w:cstheme="minorBidi" w:hint="eastAsia"/>
          <w:sz w:val="24"/>
        </w:rPr>
        <w:t>5</w:t>
      </w:r>
    </w:p>
    <w:p w:rsidR="00BA116A" w:rsidRDefault="003D1702">
      <w:pPr>
        <w:pStyle w:val="10"/>
        <w:adjustRightInd w:val="0"/>
        <w:snapToGrid w:val="0"/>
        <w:spacing w:before="0" w:line="440" w:lineRule="exact"/>
        <w:jc w:val="left"/>
        <w:rPr>
          <w:sz w:val="24"/>
          <w:szCs w:val="24"/>
        </w:rPr>
      </w:pPr>
      <w:r>
        <w:rPr>
          <w:rFonts w:hint="eastAsia"/>
          <w:sz w:val="24"/>
        </w:rPr>
        <w:t>第二部分 2022年度单位决算情况说明</w:t>
      </w:r>
      <w:r w:rsidR="00A64FE2">
        <w:rPr>
          <w:rFonts w:cstheme="minorBidi"/>
          <w:sz w:val="24"/>
          <w:szCs w:val="24"/>
        </w:rPr>
        <w:tab/>
      </w:r>
      <w:r w:rsidR="00216BF0">
        <w:rPr>
          <w:rFonts w:cstheme="minorBidi" w:hint="eastAsia"/>
          <w:sz w:val="24"/>
          <w:szCs w:val="24"/>
        </w:rPr>
        <w:t>6</w:t>
      </w:r>
    </w:p>
    <w:p w:rsidR="00BA116A" w:rsidRDefault="003D1702">
      <w:pPr>
        <w:pStyle w:val="20"/>
        <w:adjustRightInd w:val="0"/>
        <w:snapToGrid w:val="0"/>
        <w:spacing w:line="440" w:lineRule="exact"/>
        <w:jc w:val="left"/>
        <w:rPr>
          <w:rFonts w:ascii="仿宋" w:eastAsia="仿宋" w:hAnsi="仿宋" w:cstheme="minorBidi"/>
          <w:sz w:val="24"/>
        </w:rPr>
      </w:pPr>
      <w:r>
        <w:rPr>
          <w:rFonts w:hint="eastAsia"/>
          <w:sz w:val="24"/>
        </w:rPr>
        <w:t>一、收入支出决算总体情况说明</w:t>
      </w:r>
      <w:r w:rsidR="00A64FE2">
        <w:rPr>
          <w:rFonts w:cstheme="minorBidi"/>
          <w:sz w:val="24"/>
        </w:rPr>
        <w:tab/>
      </w:r>
      <w:r w:rsidR="00216BF0">
        <w:rPr>
          <w:rFonts w:cstheme="minorBidi" w:hint="eastAsia"/>
          <w:sz w:val="24"/>
        </w:rPr>
        <w:t>6</w:t>
      </w:r>
    </w:p>
    <w:p w:rsidR="00BA116A" w:rsidRDefault="003D1702">
      <w:pPr>
        <w:pStyle w:val="20"/>
        <w:adjustRightInd w:val="0"/>
        <w:snapToGrid w:val="0"/>
        <w:spacing w:line="440" w:lineRule="exact"/>
        <w:jc w:val="left"/>
        <w:rPr>
          <w:rFonts w:ascii="仿宋" w:eastAsia="仿宋" w:hAnsi="仿宋" w:cstheme="minorBidi"/>
          <w:sz w:val="24"/>
        </w:rPr>
      </w:pPr>
      <w:r>
        <w:rPr>
          <w:rFonts w:hint="eastAsia"/>
          <w:sz w:val="24"/>
        </w:rPr>
        <w:t>二、收入决算情况说明</w:t>
      </w:r>
      <w:r w:rsidR="00A64FE2">
        <w:rPr>
          <w:rFonts w:cstheme="minorBidi"/>
          <w:sz w:val="24"/>
        </w:rPr>
        <w:tab/>
      </w:r>
      <w:r w:rsidR="00216BF0">
        <w:rPr>
          <w:rFonts w:cstheme="minorBidi" w:hint="eastAsia"/>
          <w:sz w:val="24"/>
        </w:rPr>
        <w:t>6</w:t>
      </w:r>
    </w:p>
    <w:p w:rsidR="00BA116A" w:rsidRDefault="003D1702">
      <w:pPr>
        <w:pStyle w:val="20"/>
        <w:adjustRightInd w:val="0"/>
        <w:snapToGrid w:val="0"/>
        <w:spacing w:line="440" w:lineRule="exact"/>
        <w:jc w:val="left"/>
        <w:rPr>
          <w:rFonts w:ascii="仿宋" w:eastAsia="仿宋" w:hAnsi="仿宋" w:cstheme="minorBidi"/>
          <w:sz w:val="24"/>
        </w:rPr>
      </w:pPr>
      <w:r>
        <w:rPr>
          <w:rFonts w:hint="eastAsia"/>
          <w:sz w:val="24"/>
        </w:rPr>
        <w:t>三、支出决算情况说明</w:t>
      </w:r>
      <w:r w:rsidR="00A64FE2">
        <w:rPr>
          <w:rFonts w:cstheme="minorBidi"/>
          <w:sz w:val="24"/>
        </w:rPr>
        <w:tab/>
      </w:r>
      <w:r w:rsidR="00216BF0">
        <w:rPr>
          <w:rFonts w:cstheme="minorBidi" w:hint="eastAsia"/>
          <w:sz w:val="24"/>
        </w:rPr>
        <w:t>7</w:t>
      </w:r>
    </w:p>
    <w:p w:rsidR="00BA116A" w:rsidRDefault="003D1702">
      <w:pPr>
        <w:pStyle w:val="20"/>
        <w:adjustRightInd w:val="0"/>
        <w:snapToGrid w:val="0"/>
        <w:spacing w:line="440" w:lineRule="exact"/>
        <w:jc w:val="left"/>
        <w:rPr>
          <w:rFonts w:ascii="仿宋" w:eastAsia="仿宋" w:hAnsi="仿宋" w:cstheme="minorBidi"/>
          <w:sz w:val="24"/>
        </w:rPr>
      </w:pPr>
      <w:r>
        <w:rPr>
          <w:rFonts w:hint="eastAsia"/>
          <w:sz w:val="24"/>
        </w:rPr>
        <w:t>四、财政拨款收入支出决算总体情况说明</w:t>
      </w:r>
      <w:r w:rsidR="00A64FE2">
        <w:rPr>
          <w:rFonts w:cstheme="minorBidi"/>
          <w:sz w:val="24"/>
        </w:rPr>
        <w:tab/>
      </w:r>
      <w:r w:rsidR="00216BF0">
        <w:rPr>
          <w:rFonts w:cstheme="minorBidi" w:hint="eastAsia"/>
          <w:sz w:val="24"/>
        </w:rPr>
        <w:t>8</w:t>
      </w:r>
    </w:p>
    <w:p w:rsidR="00BA116A" w:rsidRDefault="003D1702">
      <w:pPr>
        <w:pStyle w:val="20"/>
        <w:adjustRightInd w:val="0"/>
        <w:snapToGrid w:val="0"/>
        <w:spacing w:line="440" w:lineRule="exact"/>
        <w:jc w:val="left"/>
        <w:rPr>
          <w:rFonts w:ascii="仿宋" w:eastAsia="仿宋" w:hAnsi="仿宋" w:cstheme="minorBidi"/>
          <w:sz w:val="24"/>
        </w:rPr>
      </w:pPr>
      <w:r>
        <w:rPr>
          <w:rFonts w:hint="eastAsia"/>
          <w:sz w:val="24"/>
        </w:rPr>
        <w:t>五、一般公共预算财政拨款支出决算情况说明</w:t>
      </w:r>
      <w:r w:rsidR="00A64FE2">
        <w:rPr>
          <w:rFonts w:cstheme="minorBidi"/>
          <w:sz w:val="24"/>
        </w:rPr>
        <w:tab/>
      </w:r>
      <w:r w:rsidR="00216BF0">
        <w:rPr>
          <w:rFonts w:cstheme="minorBidi" w:hint="eastAsia"/>
          <w:sz w:val="24"/>
        </w:rPr>
        <w:t>9</w:t>
      </w:r>
    </w:p>
    <w:p w:rsidR="00BA116A" w:rsidRDefault="003D1702">
      <w:pPr>
        <w:pStyle w:val="20"/>
        <w:adjustRightInd w:val="0"/>
        <w:snapToGrid w:val="0"/>
        <w:spacing w:line="440" w:lineRule="exact"/>
        <w:jc w:val="left"/>
        <w:rPr>
          <w:rFonts w:ascii="仿宋" w:eastAsia="仿宋" w:hAnsi="仿宋" w:cstheme="minorBidi"/>
          <w:sz w:val="24"/>
        </w:rPr>
      </w:pPr>
      <w:r>
        <w:rPr>
          <w:rFonts w:hint="eastAsia"/>
          <w:sz w:val="24"/>
        </w:rPr>
        <w:t>六、一般公共预算财政拨款基本支出决算情况说明</w:t>
      </w:r>
      <w:r w:rsidR="00A64FE2">
        <w:rPr>
          <w:rFonts w:cstheme="minorBidi"/>
          <w:sz w:val="24"/>
        </w:rPr>
        <w:tab/>
      </w:r>
      <w:r w:rsidR="00216BF0">
        <w:rPr>
          <w:rFonts w:cstheme="minorBidi" w:hint="eastAsia"/>
          <w:sz w:val="24"/>
        </w:rPr>
        <w:t>13</w:t>
      </w:r>
    </w:p>
    <w:p w:rsidR="00BA116A" w:rsidRDefault="003D1702">
      <w:pPr>
        <w:pStyle w:val="20"/>
        <w:adjustRightInd w:val="0"/>
        <w:snapToGrid w:val="0"/>
        <w:spacing w:line="440" w:lineRule="exact"/>
        <w:jc w:val="left"/>
        <w:rPr>
          <w:rFonts w:ascii="仿宋" w:eastAsia="仿宋" w:hAnsi="仿宋" w:cstheme="minorBidi"/>
          <w:sz w:val="24"/>
        </w:rPr>
      </w:pPr>
      <w:r>
        <w:rPr>
          <w:rFonts w:hint="eastAsia"/>
          <w:sz w:val="24"/>
        </w:rPr>
        <w:t>七、财政拨款“三公”经费支出决算情况说明</w:t>
      </w:r>
      <w:r w:rsidR="00A64FE2">
        <w:rPr>
          <w:rFonts w:cstheme="minorBidi"/>
          <w:sz w:val="24"/>
        </w:rPr>
        <w:tab/>
      </w:r>
      <w:r w:rsidR="00216BF0">
        <w:rPr>
          <w:rFonts w:cstheme="minorBidi" w:hint="eastAsia"/>
          <w:sz w:val="24"/>
        </w:rPr>
        <w:t>14</w:t>
      </w:r>
    </w:p>
    <w:p w:rsidR="00BA116A" w:rsidRDefault="003D1702">
      <w:pPr>
        <w:pStyle w:val="20"/>
        <w:adjustRightInd w:val="0"/>
        <w:snapToGrid w:val="0"/>
        <w:spacing w:line="440" w:lineRule="exact"/>
        <w:jc w:val="left"/>
        <w:rPr>
          <w:rFonts w:ascii="仿宋" w:eastAsia="仿宋" w:hAnsi="仿宋" w:cstheme="minorBidi"/>
          <w:sz w:val="24"/>
        </w:rPr>
      </w:pPr>
      <w:r>
        <w:rPr>
          <w:rFonts w:hint="eastAsia"/>
          <w:sz w:val="24"/>
        </w:rPr>
        <w:t>八、政府性基金预算支出决算情况说明</w:t>
      </w:r>
      <w:r w:rsidR="00A64FE2">
        <w:rPr>
          <w:rFonts w:cstheme="minorBidi"/>
          <w:sz w:val="24"/>
        </w:rPr>
        <w:tab/>
      </w:r>
      <w:r w:rsidR="00216BF0">
        <w:rPr>
          <w:rFonts w:cstheme="minorBidi" w:hint="eastAsia"/>
          <w:sz w:val="24"/>
        </w:rPr>
        <w:t>15</w:t>
      </w:r>
    </w:p>
    <w:p w:rsidR="00BA116A" w:rsidRDefault="003D1702">
      <w:pPr>
        <w:pStyle w:val="20"/>
        <w:adjustRightInd w:val="0"/>
        <w:snapToGrid w:val="0"/>
        <w:spacing w:line="440" w:lineRule="exact"/>
        <w:jc w:val="left"/>
        <w:rPr>
          <w:sz w:val="24"/>
        </w:rPr>
      </w:pPr>
      <w:r>
        <w:rPr>
          <w:rFonts w:hint="eastAsia"/>
          <w:sz w:val="24"/>
        </w:rPr>
        <w:t>九、国有资本经营预算支出决算情况说明</w:t>
      </w:r>
      <w:r w:rsidR="00A64FE2">
        <w:rPr>
          <w:rFonts w:cstheme="minorBidi"/>
          <w:sz w:val="24"/>
        </w:rPr>
        <w:tab/>
      </w:r>
      <w:r w:rsidR="00216BF0">
        <w:rPr>
          <w:rFonts w:cstheme="minorBidi" w:hint="eastAsia"/>
          <w:sz w:val="24"/>
        </w:rPr>
        <w:t>16</w:t>
      </w:r>
    </w:p>
    <w:p w:rsidR="00BA116A" w:rsidRDefault="003D1702">
      <w:pPr>
        <w:pStyle w:val="20"/>
        <w:adjustRightInd w:val="0"/>
        <w:snapToGrid w:val="0"/>
        <w:spacing w:line="440" w:lineRule="exact"/>
        <w:jc w:val="left"/>
        <w:rPr>
          <w:sz w:val="24"/>
        </w:rPr>
      </w:pPr>
      <w:r>
        <w:rPr>
          <w:rFonts w:hint="eastAsia"/>
          <w:sz w:val="24"/>
        </w:rPr>
        <w:t>十、其他重要事项的情况说明</w:t>
      </w:r>
      <w:r w:rsidR="00A64FE2">
        <w:rPr>
          <w:rFonts w:cstheme="minorBidi"/>
          <w:sz w:val="24"/>
        </w:rPr>
        <w:tab/>
      </w:r>
      <w:r w:rsidR="00216BF0">
        <w:rPr>
          <w:rFonts w:cstheme="minorBidi" w:hint="eastAsia"/>
          <w:sz w:val="24"/>
        </w:rPr>
        <w:t>16</w:t>
      </w:r>
    </w:p>
    <w:p w:rsidR="00BA116A" w:rsidRDefault="003D1702">
      <w:pPr>
        <w:pStyle w:val="10"/>
        <w:adjustRightInd w:val="0"/>
        <w:snapToGrid w:val="0"/>
        <w:spacing w:before="0" w:line="440" w:lineRule="exact"/>
        <w:jc w:val="left"/>
        <w:rPr>
          <w:rFonts w:cstheme="minorBidi"/>
          <w:sz w:val="24"/>
          <w:szCs w:val="24"/>
        </w:rPr>
      </w:pPr>
      <w:r>
        <w:rPr>
          <w:rFonts w:hint="eastAsia"/>
          <w:sz w:val="24"/>
        </w:rPr>
        <w:t>第三部分名词解释</w:t>
      </w:r>
      <w:r w:rsidR="00A64FE2">
        <w:rPr>
          <w:rFonts w:cstheme="minorBidi"/>
          <w:sz w:val="24"/>
          <w:szCs w:val="24"/>
        </w:rPr>
        <w:tab/>
      </w:r>
      <w:r w:rsidR="00216BF0">
        <w:rPr>
          <w:rFonts w:cstheme="minorBidi" w:hint="eastAsia"/>
          <w:sz w:val="24"/>
          <w:szCs w:val="24"/>
        </w:rPr>
        <w:t>17</w:t>
      </w:r>
    </w:p>
    <w:p w:rsidR="00BA116A" w:rsidRDefault="003D1702">
      <w:pPr>
        <w:pStyle w:val="10"/>
        <w:adjustRightInd w:val="0"/>
        <w:snapToGrid w:val="0"/>
        <w:spacing w:before="0" w:line="440" w:lineRule="exact"/>
        <w:jc w:val="left"/>
        <w:rPr>
          <w:rFonts w:cstheme="minorBidi"/>
          <w:sz w:val="24"/>
          <w:szCs w:val="24"/>
        </w:rPr>
      </w:pPr>
      <w:r>
        <w:rPr>
          <w:rFonts w:hint="eastAsia"/>
          <w:sz w:val="24"/>
        </w:rPr>
        <w:t>第四部分附件</w:t>
      </w:r>
      <w:r w:rsidR="00A64FE2">
        <w:rPr>
          <w:rFonts w:cstheme="minorBidi"/>
          <w:sz w:val="24"/>
          <w:szCs w:val="24"/>
        </w:rPr>
        <w:tab/>
      </w:r>
      <w:r w:rsidR="00216BF0">
        <w:rPr>
          <w:rFonts w:cstheme="minorBidi" w:hint="eastAsia"/>
          <w:sz w:val="24"/>
          <w:szCs w:val="24"/>
        </w:rPr>
        <w:t>22</w:t>
      </w:r>
    </w:p>
    <w:p w:rsidR="00BA116A" w:rsidRDefault="003D1702">
      <w:pPr>
        <w:pStyle w:val="10"/>
        <w:adjustRightInd w:val="0"/>
        <w:snapToGrid w:val="0"/>
        <w:spacing w:before="0" w:line="440" w:lineRule="exact"/>
        <w:jc w:val="left"/>
        <w:rPr>
          <w:rFonts w:cstheme="minorBidi"/>
          <w:sz w:val="24"/>
          <w:szCs w:val="24"/>
        </w:rPr>
      </w:pPr>
      <w:r>
        <w:rPr>
          <w:rFonts w:hint="eastAsia"/>
          <w:sz w:val="24"/>
        </w:rPr>
        <w:t>第五部分附表</w:t>
      </w:r>
      <w:r w:rsidR="00A64FE2">
        <w:rPr>
          <w:rFonts w:cstheme="minorBidi"/>
          <w:sz w:val="24"/>
          <w:szCs w:val="24"/>
        </w:rPr>
        <w:tab/>
      </w:r>
      <w:r w:rsidR="00216BF0">
        <w:rPr>
          <w:rFonts w:cstheme="minorBidi" w:hint="eastAsia"/>
          <w:sz w:val="24"/>
          <w:szCs w:val="24"/>
        </w:rPr>
        <w:t>23</w:t>
      </w:r>
    </w:p>
    <w:p w:rsidR="00BA116A" w:rsidRDefault="003D1702">
      <w:pPr>
        <w:pStyle w:val="20"/>
        <w:adjustRightInd w:val="0"/>
        <w:snapToGrid w:val="0"/>
        <w:spacing w:line="440" w:lineRule="exact"/>
        <w:jc w:val="left"/>
        <w:rPr>
          <w:sz w:val="24"/>
        </w:rPr>
      </w:pPr>
      <w:r>
        <w:rPr>
          <w:rFonts w:hint="eastAsia"/>
          <w:sz w:val="24"/>
        </w:rPr>
        <w:t>一、收入支出决算总表</w:t>
      </w:r>
      <w:r w:rsidR="00A64FE2">
        <w:rPr>
          <w:rFonts w:cstheme="minorBidi"/>
          <w:sz w:val="24"/>
        </w:rPr>
        <w:tab/>
      </w:r>
      <w:r w:rsidR="00216BF0">
        <w:rPr>
          <w:rFonts w:cstheme="minorBidi" w:hint="eastAsia"/>
          <w:sz w:val="24"/>
        </w:rPr>
        <w:t>23</w:t>
      </w:r>
    </w:p>
    <w:p w:rsidR="00BA116A" w:rsidRDefault="003D1702">
      <w:pPr>
        <w:pStyle w:val="20"/>
        <w:adjustRightInd w:val="0"/>
        <w:snapToGrid w:val="0"/>
        <w:spacing w:line="440" w:lineRule="exact"/>
        <w:jc w:val="left"/>
        <w:rPr>
          <w:sz w:val="24"/>
        </w:rPr>
      </w:pPr>
      <w:r>
        <w:rPr>
          <w:rFonts w:hint="eastAsia"/>
          <w:sz w:val="24"/>
        </w:rPr>
        <w:t>二、收入决算表</w:t>
      </w:r>
      <w:r w:rsidR="00A64FE2">
        <w:rPr>
          <w:rFonts w:cstheme="minorBidi"/>
          <w:sz w:val="24"/>
        </w:rPr>
        <w:tab/>
      </w:r>
      <w:r w:rsidR="00216BF0">
        <w:rPr>
          <w:rFonts w:cstheme="minorBidi" w:hint="eastAsia"/>
          <w:sz w:val="24"/>
        </w:rPr>
        <w:t>23</w:t>
      </w:r>
    </w:p>
    <w:p w:rsidR="00BA116A" w:rsidRDefault="003D1702">
      <w:pPr>
        <w:pStyle w:val="20"/>
        <w:adjustRightInd w:val="0"/>
        <w:snapToGrid w:val="0"/>
        <w:spacing w:line="440" w:lineRule="exact"/>
        <w:jc w:val="left"/>
        <w:rPr>
          <w:sz w:val="24"/>
        </w:rPr>
      </w:pPr>
      <w:r>
        <w:rPr>
          <w:rFonts w:hint="eastAsia"/>
          <w:sz w:val="24"/>
        </w:rPr>
        <w:t>三、支出决算表</w:t>
      </w:r>
      <w:r w:rsidR="00A64FE2">
        <w:rPr>
          <w:rFonts w:cstheme="minorBidi"/>
          <w:sz w:val="24"/>
        </w:rPr>
        <w:tab/>
      </w:r>
      <w:r w:rsidR="00216BF0">
        <w:rPr>
          <w:rFonts w:cstheme="minorBidi" w:hint="eastAsia"/>
          <w:sz w:val="24"/>
        </w:rPr>
        <w:t>23</w:t>
      </w:r>
    </w:p>
    <w:p w:rsidR="00BA116A" w:rsidRDefault="003D1702">
      <w:pPr>
        <w:pStyle w:val="20"/>
        <w:adjustRightInd w:val="0"/>
        <w:snapToGrid w:val="0"/>
        <w:spacing w:line="440" w:lineRule="exact"/>
        <w:jc w:val="left"/>
        <w:rPr>
          <w:sz w:val="24"/>
        </w:rPr>
      </w:pPr>
      <w:r>
        <w:rPr>
          <w:rFonts w:hint="eastAsia"/>
          <w:sz w:val="24"/>
        </w:rPr>
        <w:t>四、财政拨款收入支出决算总表</w:t>
      </w:r>
      <w:r w:rsidR="00A64FE2">
        <w:rPr>
          <w:rFonts w:cstheme="minorBidi"/>
          <w:sz w:val="24"/>
        </w:rPr>
        <w:tab/>
      </w:r>
      <w:r w:rsidR="00216BF0">
        <w:rPr>
          <w:rFonts w:cstheme="minorBidi" w:hint="eastAsia"/>
          <w:sz w:val="24"/>
        </w:rPr>
        <w:t>23</w:t>
      </w:r>
    </w:p>
    <w:p w:rsidR="00BA116A" w:rsidRDefault="003D1702">
      <w:pPr>
        <w:pStyle w:val="20"/>
        <w:adjustRightInd w:val="0"/>
        <w:snapToGrid w:val="0"/>
        <w:spacing w:line="440" w:lineRule="exact"/>
        <w:jc w:val="left"/>
        <w:rPr>
          <w:sz w:val="24"/>
        </w:rPr>
      </w:pPr>
      <w:r>
        <w:rPr>
          <w:rFonts w:hint="eastAsia"/>
          <w:sz w:val="24"/>
        </w:rPr>
        <w:t>五、财政拨款支出决算明细表</w:t>
      </w:r>
      <w:r w:rsidR="00A64FE2">
        <w:rPr>
          <w:rFonts w:cstheme="minorBidi"/>
          <w:sz w:val="24"/>
        </w:rPr>
        <w:tab/>
      </w:r>
      <w:r w:rsidR="00216BF0">
        <w:rPr>
          <w:rFonts w:cstheme="minorBidi" w:hint="eastAsia"/>
          <w:sz w:val="24"/>
        </w:rPr>
        <w:t>23</w:t>
      </w:r>
    </w:p>
    <w:p w:rsidR="00BA116A" w:rsidRDefault="003D1702">
      <w:pPr>
        <w:pStyle w:val="20"/>
        <w:adjustRightInd w:val="0"/>
        <w:snapToGrid w:val="0"/>
        <w:spacing w:line="440" w:lineRule="exact"/>
        <w:jc w:val="left"/>
        <w:rPr>
          <w:sz w:val="24"/>
        </w:rPr>
      </w:pPr>
      <w:r>
        <w:rPr>
          <w:rFonts w:hint="eastAsia"/>
          <w:sz w:val="24"/>
        </w:rPr>
        <w:t>六、一般公共预算财政拨款支出决算表</w:t>
      </w:r>
      <w:r w:rsidR="00A64FE2">
        <w:rPr>
          <w:rFonts w:cstheme="minorBidi"/>
          <w:sz w:val="24"/>
        </w:rPr>
        <w:tab/>
      </w:r>
      <w:r w:rsidR="00216BF0">
        <w:rPr>
          <w:rFonts w:cstheme="minorBidi" w:hint="eastAsia"/>
          <w:sz w:val="24"/>
        </w:rPr>
        <w:t>23</w:t>
      </w:r>
    </w:p>
    <w:p w:rsidR="00BA116A" w:rsidRDefault="003D1702">
      <w:pPr>
        <w:pStyle w:val="20"/>
        <w:adjustRightInd w:val="0"/>
        <w:snapToGrid w:val="0"/>
        <w:spacing w:line="440" w:lineRule="exact"/>
        <w:jc w:val="left"/>
        <w:rPr>
          <w:sz w:val="24"/>
        </w:rPr>
      </w:pPr>
      <w:r>
        <w:rPr>
          <w:rFonts w:hint="eastAsia"/>
          <w:sz w:val="24"/>
        </w:rPr>
        <w:t>七、一般公共预算财政拨款支出决算明细表</w:t>
      </w:r>
      <w:r w:rsidR="00A64FE2">
        <w:rPr>
          <w:rFonts w:cstheme="minorBidi"/>
          <w:sz w:val="24"/>
        </w:rPr>
        <w:tab/>
      </w:r>
      <w:r w:rsidR="00216BF0">
        <w:rPr>
          <w:rFonts w:cstheme="minorBidi" w:hint="eastAsia"/>
          <w:sz w:val="24"/>
        </w:rPr>
        <w:t>23</w:t>
      </w:r>
    </w:p>
    <w:p w:rsidR="00BA116A" w:rsidRDefault="003D1702">
      <w:pPr>
        <w:pStyle w:val="20"/>
        <w:adjustRightInd w:val="0"/>
        <w:snapToGrid w:val="0"/>
        <w:spacing w:line="440" w:lineRule="exact"/>
        <w:jc w:val="left"/>
        <w:rPr>
          <w:sz w:val="24"/>
        </w:rPr>
      </w:pPr>
      <w:r>
        <w:rPr>
          <w:rFonts w:hint="eastAsia"/>
          <w:sz w:val="24"/>
        </w:rPr>
        <w:t>八、一般公共预算财政拨款基本支出决算明细表</w:t>
      </w:r>
      <w:r w:rsidR="00A64FE2">
        <w:rPr>
          <w:rFonts w:cstheme="minorBidi"/>
          <w:sz w:val="24"/>
        </w:rPr>
        <w:tab/>
      </w:r>
      <w:r w:rsidR="00216BF0">
        <w:rPr>
          <w:rFonts w:cstheme="minorBidi" w:hint="eastAsia"/>
          <w:sz w:val="24"/>
        </w:rPr>
        <w:t>23</w:t>
      </w:r>
    </w:p>
    <w:p w:rsidR="00BA116A" w:rsidRDefault="003D1702">
      <w:pPr>
        <w:pStyle w:val="20"/>
        <w:adjustRightInd w:val="0"/>
        <w:snapToGrid w:val="0"/>
        <w:spacing w:line="440" w:lineRule="exact"/>
        <w:jc w:val="left"/>
        <w:rPr>
          <w:sz w:val="24"/>
        </w:rPr>
      </w:pPr>
      <w:r>
        <w:rPr>
          <w:rFonts w:hint="eastAsia"/>
          <w:sz w:val="24"/>
        </w:rPr>
        <w:t>九、一般公共预算财政拨款项目支出决算表</w:t>
      </w:r>
      <w:r w:rsidR="00A64FE2">
        <w:rPr>
          <w:rFonts w:cstheme="minorBidi"/>
          <w:sz w:val="24"/>
        </w:rPr>
        <w:tab/>
      </w:r>
      <w:r w:rsidR="00216BF0">
        <w:rPr>
          <w:rFonts w:cstheme="minorBidi" w:hint="eastAsia"/>
          <w:sz w:val="24"/>
        </w:rPr>
        <w:t>23</w:t>
      </w:r>
    </w:p>
    <w:p w:rsidR="00BA116A" w:rsidRDefault="003D1702">
      <w:pPr>
        <w:pStyle w:val="20"/>
        <w:adjustRightInd w:val="0"/>
        <w:snapToGrid w:val="0"/>
        <w:spacing w:line="440" w:lineRule="exact"/>
        <w:jc w:val="left"/>
        <w:rPr>
          <w:sz w:val="24"/>
        </w:rPr>
      </w:pPr>
      <w:r>
        <w:rPr>
          <w:rFonts w:hint="eastAsia"/>
          <w:sz w:val="24"/>
        </w:rPr>
        <w:lastRenderedPageBreak/>
        <w:t>十、政府性基金预算财政拨款收入支出决算表</w:t>
      </w:r>
      <w:r w:rsidR="00A64FE2">
        <w:rPr>
          <w:rFonts w:cstheme="minorBidi"/>
          <w:sz w:val="24"/>
        </w:rPr>
        <w:tab/>
      </w:r>
      <w:r w:rsidR="00216BF0">
        <w:rPr>
          <w:rFonts w:cstheme="minorBidi" w:hint="eastAsia"/>
          <w:sz w:val="24"/>
        </w:rPr>
        <w:t>23</w:t>
      </w:r>
    </w:p>
    <w:p w:rsidR="00BA116A" w:rsidRDefault="003D1702">
      <w:pPr>
        <w:pStyle w:val="20"/>
        <w:adjustRightInd w:val="0"/>
        <w:snapToGrid w:val="0"/>
        <w:spacing w:line="440" w:lineRule="exact"/>
        <w:jc w:val="left"/>
        <w:rPr>
          <w:sz w:val="24"/>
        </w:rPr>
      </w:pPr>
      <w:r>
        <w:rPr>
          <w:rFonts w:hint="eastAsia"/>
          <w:sz w:val="24"/>
        </w:rPr>
        <w:t>十一、国有资本经营预算财政拨款收入支出决算表</w:t>
      </w:r>
      <w:r w:rsidR="00A64FE2">
        <w:rPr>
          <w:rFonts w:cstheme="minorBidi"/>
          <w:sz w:val="24"/>
        </w:rPr>
        <w:tab/>
      </w:r>
      <w:r w:rsidR="00216BF0">
        <w:rPr>
          <w:rFonts w:cstheme="minorBidi" w:hint="eastAsia"/>
          <w:sz w:val="24"/>
        </w:rPr>
        <w:t>23</w:t>
      </w:r>
    </w:p>
    <w:p w:rsidR="00BA116A" w:rsidRDefault="003D1702">
      <w:pPr>
        <w:pStyle w:val="20"/>
        <w:adjustRightInd w:val="0"/>
        <w:snapToGrid w:val="0"/>
        <w:spacing w:line="440" w:lineRule="exact"/>
        <w:jc w:val="left"/>
        <w:rPr>
          <w:sz w:val="24"/>
        </w:rPr>
      </w:pPr>
      <w:r>
        <w:rPr>
          <w:rFonts w:hint="eastAsia"/>
          <w:sz w:val="24"/>
        </w:rPr>
        <w:t>十二、国有资本经营预算财政拨款支出决算表</w:t>
      </w:r>
      <w:r w:rsidR="00A64FE2">
        <w:rPr>
          <w:rFonts w:cstheme="minorBidi"/>
          <w:sz w:val="24"/>
        </w:rPr>
        <w:tab/>
      </w:r>
      <w:r w:rsidR="00216BF0">
        <w:rPr>
          <w:rFonts w:cstheme="minorBidi" w:hint="eastAsia"/>
          <w:sz w:val="24"/>
        </w:rPr>
        <w:t>23</w:t>
      </w:r>
    </w:p>
    <w:p w:rsidR="00BA116A" w:rsidRDefault="003D1702">
      <w:pPr>
        <w:pStyle w:val="20"/>
        <w:adjustRightInd w:val="0"/>
        <w:snapToGrid w:val="0"/>
        <w:spacing w:line="440" w:lineRule="exact"/>
        <w:jc w:val="left"/>
        <w:rPr>
          <w:sz w:val="24"/>
        </w:rPr>
      </w:pPr>
      <w:r>
        <w:rPr>
          <w:rFonts w:hint="eastAsia"/>
          <w:sz w:val="24"/>
        </w:rPr>
        <w:t>十三、财政拨款“三公”经费支出决算表</w:t>
      </w:r>
      <w:r w:rsidR="00A64FE2">
        <w:rPr>
          <w:rFonts w:cstheme="minorBidi"/>
          <w:sz w:val="24"/>
        </w:rPr>
        <w:tab/>
      </w:r>
      <w:r w:rsidR="00216BF0">
        <w:rPr>
          <w:rFonts w:cstheme="minorBidi" w:hint="eastAsia"/>
          <w:sz w:val="24"/>
        </w:rPr>
        <w:t>23</w:t>
      </w:r>
    </w:p>
    <w:p w:rsidR="00BA116A" w:rsidRDefault="00BA116A">
      <w:pPr>
        <w:widowControl/>
        <w:adjustRightInd w:val="0"/>
        <w:snapToGrid w:val="0"/>
        <w:spacing w:line="440" w:lineRule="exact"/>
        <w:ind w:firstLineChars="550" w:firstLine="1320"/>
        <w:jc w:val="left"/>
        <w:rPr>
          <w:rFonts w:ascii="仿宋" w:eastAsia="仿宋" w:hAnsi="仿宋"/>
          <w:sz w:val="24"/>
        </w:rPr>
      </w:pPr>
    </w:p>
    <w:p w:rsidR="00BA116A" w:rsidRDefault="003D1702">
      <w:pPr>
        <w:widowControl/>
        <w:spacing w:line="440" w:lineRule="exact"/>
        <w:jc w:val="left"/>
        <w:rPr>
          <w:rFonts w:ascii="仿宋" w:eastAsia="仿宋" w:hAnsi="仿宋"/>
          <w:bCs/>
          <w:kern w:val="44"/>
          <w:sz w:val="24"/>
        </w:rPr>
      </w:pPr>
      <w:bookmarkStart w:id="12" w:name="_Toc15396599"/>
      <w:bookmarkStart w:id="13" w:name="_Toc15377196"/>
      <w:r>
        <w:rPr>
          <w:rFonts w:ascii="仿宋" w:eastAsia="仿宋" w:hAnsi="仿宋"/>
          <w:b/>
          <w:sz w:val="24"/>
        </w:rPr>
        <w:br w:type="page"/>
      </w:r>
    </w:p>
    <w:p w:rsidR="00BA116A" w:rsidRDefault="003D1702">
      <w:pPr>
        <w:pStyle w:val="1"/>
        <w:jc w:val="center"/>
        <w:rPr>
          <w:rStyle w:val="1Char"/>
          <w:rFonts w:ascii="黑体" w:eastAsia="黑体" w:hAnsi="黑体"/>
          <w:b/>
        </w:rPr>
      </w:pPr>
      <w:r>
        <w:rPr>
          <w:rFonts w:ascii="黑体" w:eastAsia="黑体" w:hAnsi="黑体" w:hint="eastAsia"/>
          <w:b w:val="0"/>
        </w:rPr>
        <w:lastRenderedPageBreak/>
        <w:t>第一部分 单位</w:t>
      </w:r>
      <w:r>
        <w:rPr>
          <w:rStyle w:val="1Char"/>
          <w:rFonts w:ascii="黑体" w:eastAsia="黑体" w:hAnsi="黑体" w:hint="eastAsia"/>
        </w:rPr>
        <w:t>概况</w:t>
      </w:r>
      <w:bookmarkEnd w:id="12"/>
      <w:bookmarkEnd w:id="13"/>
    </w:p>
    <w:p w:rsidR="00BA116A" w:rsidRDefault="00BA116A">
      <w:pPr>
        <w:widowControl/>
        <w:jc w:val="left"/>
        <w:rPr>
          <w:rFonts w:ascii="黑体" w:eastAsia="黑体"/>
          <w:sz w:val="32"/>
          <w:szCs w:val="32"/>
        </w:rPr>
      </w:pPr>
    </w:p>
    <w:p w:rsidR="00BA116A" w:rsidRDefault="003D1702">
      <w:pPr>
        <w:pStyle w:val="2"/>
        <w:numPr>
          <w:ilvl w:val="0"/>
          <w:numId w:val="1"/>
        </w:numPr>
        <w:rPr>
          <w:rStyle w:val="2Char"/>
          <w:rFonts w:ascii="黑体" w:eastAsia="黑体" w:hAnsi="黑体"/>
        </w:rPr>
      </w:pPr>
      <w:bookmarkStart w:id="14" w:name="_Toc15377197"/>
      <w:bookmarkStart w:id="15" w:name="_Toc15396600"/>
      <w:r>
        <w:rPr>
          <w:rStyle w:val="2Char"/>
          <w:rFonts w:ascii="黑体" w:eastAsia="黑体" w:hAnsi="黑体" w:hint="eastAsia"/>
        </w:rPr>
        <w:t>主要职责</w:t>
      </w:r>
    </w:p>
    <w:p w:rsidR="00BA116A" w:rsidRDefault="003D1702">
      <w:pPr>
        <w:pStyle w:val="2"/>
        <w:ind w:firstLineChars="200" w:firstLine="624"/>
        <w:rPr>
          <w:rFonts w:eastAsia="仿宋_GB2312"/>
          <w:b w:val="0"/>
          <w:spacing w:val="-4"/>
        </w:rPr>
      </w:pPr>
      <w:r>
        <w:rPr>
          <w:rFonts w:eastAsia="仿宋_GB2312" w:hint="eastAsia"/>
          <w:b w:val="0"/>
          <w:spacing w:val="-4"/>
        </w:rPr>
        <w:t>（</w:t>
      </w:r>
      <w:r>
        <w:rPr>
          <w:rFonts w:eastAsia="仿宋_GB2312" w:hint="eastAsia"/>
          <w:b w:val="0"/>
          <w:spacing w:val="-4"/>
        </w:rPr>
        <w:t>1</w:t>
      </w:r>
      <w:r>
        <w:rPr>
          <w:rFonts w:eastAsia="仿宋_GB2312" w:hint="eastAsia"/>
          <w:b w:val="0"/>
          <w:spacing w:val="-4"/>
        </w:rPr>
        <w:t>）</w:t>
      </w:r>
      <w:r>
        <w:rPr>
          <w:rFonts w:eastAsia="仿宋_GB2312"/>
          <w:b w:val="0"/>
          <w:spacing w:val="-4"/>
        </w:rPr>
        <w:t>贯彻国家、省、市住房与城乡建设的法律、法规和方针、政策，参与全区国民经济和社会发展规划编制相关工作，研究制定建设系统经济发展战略、中长期规划、年度计划和相关政策并组织实施。</w:t>
      </w:r>
    </w:p>
    <w:p w:rsidR="00BA116A" w:rsidRDefault="003D1702">
      <w:pPr>
        <w:pStyle w:val="2"/>
        <w:ind w:firstLineChars="200" w:firstLine="624"/>
        <w:rPr>
          <w:rFonts w:ascii="黑体" w:eastAsia="黑体" w:hAnsi="黑体"/>
          <w:b w:val="0"/>
          <w:bCs w:val="0"/>
        </w:rPr>
      </w:pPr>
      <w:r>
        <w:rPr>
          <w:rFonts w:eastAsia="仿宋_GB2312" w:hint="eastAsia"/>
          <w:b w:val="0"/>
          <w:spacing w:val="-4"/>
        </w:rPr>
        <w:t>（</w:t>
      </w:r>
      <w:r>
        <w:rPr>
          <w:rFonts w:eastAsia="仿宋_GB2312" w:hint="eastAsia"/>
          <w:b w:val="0"/>
          <w:spacing w:val="-4"/>
        </w:rPr>
        <w:t>2</w:t>
      </w:r>
      <w:r>
        <w:rPr>
          <w:rFonts w:eastAsia="仿宋_GB2312" w:hint="eastAsia"/>
          <w:b w:val="0"/>
          <w:spacing w:val="-4"/>
        </w:rPr>
        <w:t>）</w:t>
      </w:r>
      <w:r>
        <w:rPr>
          <w:rFonts w:eastAsia="仿宋_GB2312"/>
          <w:b w:val="0"/>
          <w:spacing w:val="-4"/>
        </w:rPr>
        <w:t>贯彻执行全市住房改革及住房保障政策；负责制定辖区住房保障实施方案并组织实施；负责辖区保障性住房建设的组织、协调、指导工作；负责辖区廉租住房分配、管理和补贴发放。</w:t>
      </w:r>
    </w:p>
    <w:p w:rsidR="00BA116A" w:rsidRDefault="003D1702">
      <w:pPr>
        <w:spacing w:line="353" w:lineRule="auto"/>
        <w:rPr>
          <w:rFonts w:eastAsia="仿宋_GB2312"/>
          <w:spacing w:val="-4"/>
          <w:sz w:val="32"/>
          <w:szCs w:val="32"/>
        </w:rPr>
      </w:pPr>
      <w:r>
        <w:rPr>
          <w:rFonts w:eastAsia="仿宋_GB2312" w:hint="eastAsia"/>
          <w:spacing w:val="-4"/>
          <w:sz w:val="32"/>
          <w:szCs w:val="32"/>
        </w:rPr>
        <w:t xml:space="preserve">     </w:t>
      </w:r>
      <w:r>
        <w:rPr>
          <w:rFonts w:eastAsia="仿宋_GB2312" w:hint="eastAsia"/>
          <w:spacing w:val="-4"/>
          <w:sz w:val="32"/>
          <w:szCs w:val="32"/>
        </w:rPr>
        <w:t>（</w:t>
      </w:r>
      <w:r>
        <w:rPr>
          <w:rFonts w:eastAsia="仿宋_GB2312" w:hint="eastAsia"/>
          <w:spacing w:val="-4"/>
          <w:sz w:val="32"/>
          <w:szCs w:val="32"/>
        </w:rPr>
        <w:t>3</w:t>
      </w:r>
      <w:r>
        <w:rPr>
          <w:rFonts w:eastAsia="仿宋_GB2312" w:hint="eastAsia"/>
          <w:spacing w:val="-4"/>
          <w:sz w:val="32"/>
          <w:szCs w:val="32"/>
        </w:rPr>
        <w:t>）</w:t>
      </w:r>
      <w:r>
        <w:rPr>
          <w:rFonts w:eastAsia="仿宋_GB2312"/>
          <w:spacing w:val="-4"/>
          <w:sz w:val="32"/>
          <w:szCs w:val="32"/>
        </w:rPr>
        <w:t>承担权限范围内城乡建设管理职责。指导全区城乡建设，指导制定村镇中长期规划、年度计划及建设方案，并组织实施。负责建筑节能的监督管理工作。</w:t>
      </w:r>
    </w:p>
    <w:p w:rsidR="00BA116A" w:rsidRDefault="003D1702">
      <w:pPr>
        <w:spacing w:line="353" w:lineRule="auto"/>
        <w:ind w:firstLineChars="200" w:firstLine="624"/>
        <w:rPr>
          <w:rFonts w:eastAsia="仿宋_GB2312"/>
          <w:spacing w:val="-4"/>
          <w:sz w:val="32"/>
          <w:szCs w:val="32"/>
        </w:rPr>
      </w:pPr>
      <w:r>
        <w:rPr>
          <w:rFonts w:eastAsia="仿宋_GB2312" w:hint="eastAsia"/>
          <w:spacing w:val="-4"/>
          <w:sz w:val="32"/>
          <w:szCs w:val="32"/>
        </w:rPr>
        <w:t>（</w:t>
      </w:r>
      <w:r>
        <w:rPr>
          <w:rFonts w:eastAsia="仿宋_GB2312"/>
          <w:spacing w:val="-4"/>
          <w:sz w:val="32"/>
          <w:szCs w:val="32"/>
        </w:rPr>
        <w:t>4</w:t>
      </w:r>
      <w:r>
        <w:rPr>
          <w:rFonts w:eastAsia="仿宋_GB2312" w:hint="eastAsia"/>
          <w:spacing w:val="-4"/>
          <w:sz w:val="32"/>
          <w:szCs w:val="32"/>
        </w:rPr>
        <w:t>）</w:t>
      </w:r>
      <w:r>
        <w:rPr>
          <w:rFonts w:eastAsia="仿宋_GB2312"/>
          <w:spacing w:val="-4"/>
          <w:sz w:val="32"/>
          <w:szCs w:val="32"/>
        </w:rPr>
        <w:t>根据有关法规和政策研究拟定我区新区开发和旧城改造政策，按照城市规划拟定编制新区开发和旧城改造计划，经批准后抓好相关改造的落实；负责综合协调管理</w:t>
      </w:r>
      <w:proofErr w:type="gramStart"/>
      <w:r>
        <w:rPr>
          <w:rFonts w:eastAsia="仿宋_GB2312"/>
          <w:spacing w:val="-4"/>
          <w:sz w:val="32"/>
          <w:szCs w:val="32"/>
        </w:rPr>
        <w:t>全区新区</w:t>
      </w:r>
      <w:proofErr w:type="gramEnd"/>
      <w:r>
        <w:rPr>
          <w:rFonts w:eastAsia="仿宋_GB2312"/>
          <w:spacing w:val="-4"/>
          <w:sz w:val="32"/>
          <w:szCs w:val="32"/>
        </w:rPr>
        <w:t>开发和旧城改造工作，并组织实施辖区国有土地上房屋征收与补偿工作。</w:t>
      </w:r>
    </w:p>
    <w:p w:rsidR="00BA116A" w:rsidRDefault="003D1702">
      <w:pPr>
        <w:spacing w:line="353" w:lineRule="auto"/>
        <w:ind w:firstLineChars="200" w:firstLine="624"/>
        <w:rPr>
          <w:rFonts w:eastAsia="仿宋_GB2312"/>
          <w:spacing w:val="-4"/>
          <w:sz w:val="32"/>
          <w:szCs w:val="32"/>
        </w:rPr>
      </w:pPr>
      <w:r>
        <w:rPr>
          <w:rFonts w:eastAsia="仿宋_GB2312" w:hint="eastAsia"/>
          <w:spacing w:val="-4"/>
          <w:sz w:val="32"/>
          <w:szCs w:val="32"/>
        </w:rPr>
        <w:t>（</w:t>
      </w:r>
      <w:r>
        <w:rPr>
          <w:rFonts w:eastAsia="仿宋_GB2312" w:hint="eastAsia"/>
          <w:spacing w:val="-4"/>
          <w:sz w:val="32"/>
          <w:szCs w:val="32"/>
        </w:rPr>
        <w:t>5</w:t>
      </w:r>
      <w:r>
        <w:rPr>
          <w:rFonts w:eastAsia="仿宋_GB2312" w:hint="eastAsia"/>
          <w:spacing w:val="-4"/>
          <w:sz w:val="32"/>
          <w:szCs w:val="32"/>
        </w:rPr>
        <w:t>）</w:t>
      </w:r>
      <w:r>
        <w:rPr>
          <w:rFonts w:eastAsia="仿宋_GB2312"/>
          <w:spacing w:val="-4"/>
          <w:sz w:val="32"/>
          <w:szCs w:val="32"/>
        </w:rPr>
        <w:t>负责辖区建筑市场监督管理、规范市场行为。参与</w:t>
      </w:r>
      <w:r>
        <w:rPr>
          <w:rFonts w:eastAsia="仿宋_GB2312"/>
          <w:spacing w:val="-4"/>
          <w:sz w:val="32"/>
          <w:szCs w:val="32"/>
        </w:rPr>
        <w:lastRenderedPageBreak/>
        <w:t>辖区各类工程项目招投标监督工作；参与建筑工地拖欠工程款和农民工工资清理工作。</w:t>
      </w:r>
    </w:p>
    <w:p w:rsidR="00BA116A" w:rsidRDefault="003D1702">
      <w:pPr>
        <w:spacing w:line="353" w:lineRule="auto"/>
        <w:ind w:firstLineChars="200" w:firstLine="624"/>
        <w:rPr>
          <w:rFonts w:eastAsia="仿宋_GB2312"/>
          <w:spacing w:val="-4"/>
          <w:sz w:val="32"/>
          <w:szCs w:val="32"/>
        </w:rPr>
      </w:pPr>
      <w:r>
        <w:rPr>
          <w:rFonts w:eastAsia="仿宋_GB2312" w:hint="eastAsia"/>
          <w:spacing w:val="-4"/>
          <w:sz w:val="32"/>
          <w:szCs w:val="32"/>
        </w:rPr>
        <w:t>（</w:t>
      </w:r>
      <w:r>
        <w:rPr>
          <w:rFonts w:eastAsia="仿宋_GB2312" w:hint="eastAsia"/>
          <w:spacing w:val="-4"/>
          <w:sz w:val="32"/>
          <w:szCs w:val="32"/>
        </w:rPr>
        <w:t>6</w:t>
      </w:r>
      <w:r>
        <w:rPr>
          <w:rFonts w:eastAsia="仿宋_GB2312" w:hint="eastAsia"/>
          <w:spacing w:val="-4"/>
          <w:sz w:val="32"/>
          <w:szCs w:val="32"/>
        </w:rPr>
        <w:t>）</w:t>
      </w:r>
      <w:r>
        <w:rPr>
          <w:rFonts w:eastAsia="仿宋_GB2312"/>
          <w:spacing w:val="-4"/>
          <w:sz w:val="32"/>
          <w:szCs w:val="32"/>
        </w:rPr>
        <w:t>承担权限范围内规范房地产市场秩序、监督管理房地产市场的责任。</w:t>
      </w:r>
    </w:p>
    <w:p w:rsidR="00BA116A" w:rsidRDefault="003D1702">
      <w:pPr>
        <w:spacing w:line="353" w:lineRule="auto"/>
        <w:ind w:firstLineChars="200" w:firstLine="624"/>
        <w:rPr>
          <w:rFonts w:eastAsia="仿宋_GB2312"/>
          <w:spacing w:val="-4"/>
          <w:sz w:val="32"/>
          <w:szCs w:val="32"/>
        </w:rPr>
      </w:pPr>
      <w:r>
        <w:rPr>
          <w:rFonts w:eastAsia="仿宋_GB2312" w:hint="eastAsia"/>
          <w:spacing w:val="-4"/>
          <w:sz w:val="32"/>
          <w:szCs w:val="32"/>
        </w:rPr>
        <w:t>（</w:t>
      </w:r>
      <w:r>
        <w:rPr>
          <w:rFonts w:eastAsia="仿宋_GB2312" w:hint="eastAsia"/>
          <w:spacing w:val="-4"/>
          <w:sz w:val="32"/>
          <w:szCs w:val="32"/>
        </w:rPr>
        <w:t>7</w:t>
      </w:r>
      <w:r>
        <w:rPr>
          <w:rFonts w:eastAsia="仿宋_GB2312" w:hint="eastAsia"/>
          <w:spacing w:val="-4"/>
          <w:sz w:val="32"/>
          <w:szCs w:val="32"/>
        </w:rPr>
        <w:t>）</w:t>
      </w:r>
      <w:r>
        <w:rPr>
          <w:rFonts w:eastAsia="仿宋_GB2312"/>
          <w:spacing w:val="-4"/>
          <w:sz w:val="32"/>
          <w:szCs w:val="32"/>
        </w:rPr>
        <w:t>贯彻执行国家、省、市有关人民防空的方针、政策和法律、法规，负责组织实施全区人民防空工作。</w:t>
      </w:r>
    </w:p>
    <w:p w:rsidR="00BA116A" w:rsidRDefault="003D1702">
      <w:pPr>
        <w:spacing w:line="353" w:lineRule="auto"/>
        <w:ind w:firstLineChars="200" w:firstLine="624"/>
        <w:rPr>
          <w:rFonts w:eastAsia="仿宋_GB2312"/>
          <w:spacing w:val="-4"/>
          <w:sz w:val="32"/>
          <w:szCs w:val="32"/>
        </w:rPr>
      </w:pPr>
      <w:r>
        <w:rPr>
          <w:rFonts w:eastAsia="仿宋_GB2312" w:hint="eastAsia"/>
          <w:spacing w:val="-4"/>
          <w:sz w:val="32"/>
          <w:szCs w:val="32"/>
        </w:rPr>
        <w:t>（</w:t>
      </w:r>
      <w:r>
        <w:rPr>
          <w:rFonts w:eastAsia="仿宋_GB2312" w:hint="eastAsia"/>
          <w:spacing w:val="-4"/>
          <w:sz w:val="32"/>
          <w:szCs w:val="32"/>
        </w:rPr>
        <w:t>8</w:t>
      </w:r>
      <w:r>
        <w:rPr>
          <w:rFonts w:eastAsia="仿宋_GB2312" w:hint="eastAsia"/>
          <w:spacing w:val="-4"/>
          <w:sz w:val="32"/>
          <w:szCs w:val="32"/>
        </w:rPr>
        <w:t>）</w:t>
      </w:r>
      <w:r>
        <w:rPr>
          <w:rFonts w:eastAsia="仿宋_GB2312"/>
          <w:spacing w:val="-4"/>
          <w:sz w:val="32"/>
          <w:szCs w:val="32"/>
        </w:rPr>
        <w:t>负责建设工程消防设计备案抽查事项，负责建设工程消防竣工验收和验收备案抽查职责。</w:t>
      </w:r>
    </w:p>
    <w:p w:rsidR="00BA116A" w:rsidRDefault="003D1702">
      <w:pPr>
        <w:spacing w:line="353" w:lineRule="auto"/>
        <w:ind w:firstLineChars="200" w:firstLine="624"/>
        <w:rPr>
          <w:rFonts w:eastAsia="仿宋_GB2312"/>
          <w:spacing w:val="-4"/>
          <w:sz w:val="32"/>
          <w:szCs w:val="32"/>
        </w:rPr>
      </w:pPr>
      <w:r>
        <w:rPr>
          <w:rFonts w:eastAsia="仿宋_GB2312" w:hint="eastAsia"/>
          <w:spacing w:val="-4"/>
          <w:sz w:val="32"/>
          <w:szCs w:val="32"/>
        </w:rPr>
        <w:t>（</w:t>
      </w:r>
      <w:r>
        <w:rPr>
          <w:rFonts w:eastAsia="仿宋_GB2312" w:hint="eastAsia"/>
          <w:spacing w:val="-4"/>
          <w:sz w:val="32"/>
          <w:szCs w:val="32"/>
        </w:rPr>
        <w:t>9</w:t>
      </w:r>
      <w:r>
        <w:rPr>
          <w:rFonts w:eastAsia="仿宋_GB2312" w:hint="eastAsia"/>
          <w:spacing w:val="-4"/>
          <w:sz w:val="32"/>
          <w:szCs w:val="32"/>
        </w:rPr>
        <w:t>）</w:t>
      </w:r>
      <w:r>
        <w:rPr>
          <w:rFonts w:eastAsia="仿宋_GB2312"/>
          <w:spacing w:val="-4"/>
          <w:sz w:val="32"/>
          <w:szCs w:val="32"/>
        </w:rPr>
        <w:t>承担采煤沉陷区居民搬迁安置职责。</w:t>
      </w:r>
    </w:p>
    <w:p w:rsidR="00BA116A" w:rsidRDefault="003D1702">
      <w:pPr>
        <w:spacing w:line="353" w:lineRule="auto"/>
        <w:ind w:firstLineChars="200" w:firstLine="624"/>
        <w:rPr>
          <w:rFonts w:eastAsia="仿宋_GB2312"/>
          <w:spacing w:val="-4"/>
          <w:sz w:val="32"/>
          <w:szCs w:val="32"/>
        </w:rPr>
      </w:pPr>
      <w:r>
        <w:rPr>
          <w:rFonts w:eastAsia="仿宋_GB2312" w:hint="eastAsia"/>
          <w:spacing w:val="-4"/>
          <w:sz w:val="32"/>
          <w:szCs w:val="32"/>
        </w:rPr>
        <w:t>（</w:t>
      </w:r>
      <w:r>
        <w:rPr>
          <w:rFonts w:eastAsia="仿宋_GB2312" w:hint="eastAsia"/>
          <w:spacing w:val="-4"/>
          <w:sz w:val="32"/>
          <w:szCs w:val="32"/>
        </w:rPr>
        <w:t>1</w:t>
      </w:r>
      <w:r>
        <w:rPr>
          <w:rFonts w:eastAsia="仿宋_GB2312"/>
          <w:spacing w:val="-4"/>
          <w:sz w:val="32"/>
          <w:szCs w:val="32"/>
        </w:rPr>
        <w:t>0</w:t>
      </w:r>
      <w:r>
        <w:rPr>
          <w:rFonts w:eastAsia="仿宋_GB2312" w:hint="eastAsia"/>
          <w:spacing w:val="-4"/>
          <w:sz w:val="32"/>
          <w:szCs w:val="32"/>
        </w:rPr>
        <w:t>）</w:t>
      </w:r>
      <w:r>
        <w:rPr>
          <w:rFonts w:eastAsia="仿宋_GB2312"/>
          <w:spacing w:val="-4"/>
          <w:sz w:val="32"/>
          <w:szCs w:val="32"/>
        </w:rPr>
        <w:t>负责职责范围内的安全生产和职业健康、生态环境保护、审批服务便民化等工作。</w:t>
      </w:r>
    </w:p>
    <w:p w:rsidR="00BA116A" w:rsidRDefault="003D1702">
      <w:pPr>
        <w:pStyle w:val="aa"/>
        <w:spacing w:line="353" w:lineRule="auto"/>
        <w:ind w:leftChars="200" w:left="420" w:firstLineChars="50" w:firstLine="156"/>
        <w:rPr>
          <w:rFonts w:eastAsia="仿宋_GB2312"/>
          <w:spacing w:val="-4"/>
          <w:sz w:val="32"/>
          <w:szCs w:val="32"/>
          <w:lang w:val="en-GB"/>
        </w:rPr>
      </w:pPr>
      <w:r>
        <w:rPr>
          <w:rFonts w:eastAsia="仿宋_GB2312" w:hint="eastAsia"/>
          <w:spacing w:val="-4"/>
          <w:sz w:val="32"/>
          <w:szCs w:val="32"/>
        </w:rPr>
        <w:t>（</w:t>
      </w:r>
      <w:r>
        <w:rPr>
          <w:rFonts w:eastAsia="仿宋_GB2312" w:hint="eastAsia"/>
          <w:spacing w:val="-4"/>
          <w:sz w:val="32"/>
          <w:szCs w:val="32"/>
        </w:rPr>
        <w:t>1</w:t>
      </w:r>
      <w:r>
        <w:rPr>
          <w:rFonts w:eastAsia="仿宋_GB2312"/>
          <w:spacing w:val="-4"/>
          <w:sz w:val="32"/>
          <w:szCs w:val="32"/>
        </w:rPr>
        <w:t>1</w:t>
      </w:r>
      <w:r>
        <w:rPr>
          <w:rFonts w:eastAsia="仿宋_GB2312" w:hint="eastAsia"/>
          <w:spacing w:val="-4"/>
          <w:sz w:val="32"/>
          <w:szCs w:val="32"/>
        </w:rPr>
        <w:t>）</w:t>
      </w:r>
      <w:r>
        <w:rPr>
          <w:rFonts w:eastAsia="仿宋_GB2312"/>
          <w:spacing w:val="-4"/>
          <w:sz w:val="32"/>
          <w:szCs w:val="32"/>
        </w:rPr>
        <w:t>完成区委和区政府交办的其他任务。</w:t>
      </w:r>
    </w:p>
    <w:p w:rsidR="00BA116A" w:rsidRDefault="00BA116A">
      <w:pPr>
        <w:rPr>
          <w:lang w:val="en-GB"/>
        </w:rPr>
      </w:pPr>
    </w:p>
    <w:p w:rsidR="00BA116A" w:rsidRDefault="003D1702">
      <w:pPr>
        <w:pStyle w:val="2"/>
        <w:rPr>
          <w:rFonts w:ascii="黑体" w:eastAsia="黑体" w:hAnsi="黑体"/>
          <w:b w:val="0"/>
        </w:rPr>
      </w:pPr>
      <w:r>
        <w:rPr>
          <w:rFonts w:ascii="黑体" w:eastAsia="黑体" w:hAnsi="黑体" w:hint="eastAsia"/>
          <w:b w:val="0"/>
        </w:rPr>
        <w:t>二、机构设置</w:t>
      </w:r>
    </w:p>
    <w:bookmarkEnd w:id="14"/>
    <w:bookmarkEnd w:id="15"/>
    <w:p w:rsidR="00BA116A" w:rsidRDefault="003D1702">
      <w:pPr>
        <w:ind w:firstLineChars="250" w:firstLine="800"/>
        <w:rPr>
          <w:rFonts w:ascii="仿宋_GB2312" w:eastAsia="仿宋_GB2312" w:hAnsi="仿宋"/>
          <w:sz w:val="32"/>
          <w:szCs w:val="32"/>
        </w:rPr>
      </w:pPr>
      <w:r>
        <w:rPr>
          <w:rFonts w:ascii="仿宋_GB2312" w:eastAsia="仿宋_GB2312" w:hAnsi="仿宋" w:hint="eastAsia"/>
          <w:sz w:val="32"/>
          <w:szCs w:val="32"/>
        </w:rPr>
        <w:t>西区住房和城乡建设局下属二级单位1个，其中行政单位0个，参照公务员法管理的事业单位</w:t>
      </w:r>
      <w:r>
        <w:rPr>
          <w:rFonts w:ascii="仿宋_GB2312" w:eastAsia="仿宋_GB2312" w:hAnsi="仿宋" w:hint="eastAsia"/>
          <w:bCs/>
          <w:sz w:val="32"/>
          <w:szCs w:val="32"/>
        </w:rPr>
        <w:t>0</w:t>
      </w:r>
      <w:r>
        <w:rPr>
          <w:rFonts w:ascii="仿宋_GB2312" w:eastAsia="仿宋_GB2312" w:hAnsi="仿宋" w:hint="eastAsia"/>
          <w:sz w:val="32"/>
          <w:szCs w:val="32"/>
        </w:rPr>
        <w:t>个，其他事业单位1个。</w:t>
      </w:r>
    </w:p>
    <w:p w:rsidR="00BA116A" w:rsidRDefault="003D1702">
      <w:pPr>
        <w:pStyle w:val="a0"/>
        <w:adjustRightInd w:val="0"/>
        <w:snapToGrid w:val="0"/>
        <w:spacing w:before="93" w:line="600" w:lineRule="exact"/>
        <w:ind w:firstLineChars="210" w:firstLine="672"/>
        <w:rPr>
          <w:rFonts w:hAnsi="仿宋"/>
          <w:color w:val="000000"/>
          <w:sz w:val="32"/>
          <w:szCs w:val="32"/>
        </w:rPr>
      </w:pPr>
      <w:r>
        <w:rPr>
          <w:rFonts w:hAnsi="仿宋" w:hint="eastAsia"/>
          <w:color w:val="000000"/>
          <w:sz w:val="32"/>
          <w:szCs w:val="32"/>
        </w:rPr>
        <w:t>纳入</w:t>
      </w:r>
      <w:r>
        <w:rPr>
          <w:rFonts w:hAnsi="仿宋" w:hint="eastAsia"/>
          <w:sz w:val="32"/>
          <w:szCs w:val="32"/>
        </w:rPr>
        <w:t>西区住房和城乡建设局</w:t>
      </w:r>
      <w:r>
        <w:rPr>
          <w:rFonts w:hAnsi="仿宋" w:hint="eastAsia"/>
          <w:color w:val="000000"/>
          <w:sz w:val="32"/>
          <w:szCs w:val="32"/>
        </w:rPr>
        <w:t>2022年度部门决算编制范围的二级预算单位包括：攀枝花市西区城市建设服务中心。</w:t>
      </w:r>
    </w:p>
    <w:p w:rsidR="00BA116A" w:rsidRDefault="003D1702">
      <w:pPr>
        <w:widowControl/>
        <w:jc w:val="left"/>
        <w:rPr>
          <w:rFonts w:ascii="仿宋" w:eastAsia="仿宋" w:hAnsi="仿宋"/>
          <w:kern w:val="0"/>
          <w:sz w:val="32"/>
          <w:szCs w:val="32"/>
        </w:rPr>
      </w:pPr>
      <w:r>
        <w:rPr>
          <w:rFonts w:ascii="仿宋" w:eastAsia="仿宋" w:hAnsi="仿宋"/>
          <w:sz w:val="32"/>
          <w:szCs w:val="32"/>
        </w:rPr>
        <w:br w:type="page"/>
      </w:r>
    </w:p>
    <w:p w:rsidR="00BA116A" w:rsidRDefault="003D1702">
      <w:pPr>
        <w:pStyle w:val="1"/>
        <w:ind w:right="440"/>
        <w:jc w:val="center"/>
        <w:rPr>
          <w:rStyle w:val="1Char"/>
          <w:rFonts w:ascii="黑体" w:eastAsia="黑体" w:hAnsi="黑体"/>
          <w:bCs/>
        </w:rPr>
      </w:pPr>
      <w:bookmarkStart w:id="16" w:name="_Toc15377204"/>
      <w:bookmarkStart w:id="17" w:name="_Toc15396602"/>
      <w:r>
        <w:rPr>
          <w:rFonts w:ascii="黑体" w:eastAsia="黑体" w:hAnsi="黑体" w:hint="eastAsia"/>
          <w:b w:val="0"/>
        </w:rPr>
        <w:lastRenderedPageBreak/>
        <w:t>第二部分 2022年度</w:t>
      </w:r>
      <w:r>
        <w:rPr>
          <w:rStyle w:val="1Char"/>
          <w:rFonts w:ascii="黑体" w:eastAsia="黑体" w:hAnsi="黑体" w:hint="eastAsia"/>
          <w:bCs/>
        </w:rPr>
        <w:t>单位决算情况说明</w:t>
      </w:r>
      <w:bookmarkEnd w:id="16"/>
      <w:bookmarkEnd w:id="17"/>
    </w:p>
    <w:p w:rsidR="00BA116A" w:rsidRDefault="00BA116A"/>
    <w:p w:rsidR="00BA116A" w:rsidRDefault="003D1702">
      <w:pPr>
        <w:pStyle w:val="aa"/>
        <w:numPr>
          <w:ilvl w:val="0"/>
          <w:numId w:val="2"/>
        </w:numPr>
        <w:spacing w:line="600" w:lineRule="exact"/>
        <w:ind w:firstLineChars="0"/>
        <w:outlineLvl w:val="1"/>
        <w:rPr>
          <w:rStyle w:val="2Char"/>
          <w:rFonts w:ascii="黑体" w:eastAsia="黑体" w:hAnsi="黑体"/>
          <w:b w:val="0"/>
        </w:rPr>
      </w:pPr>
      <w:bookmarkStart w:id="18" w:name="_Toc15377205"/>
      <w:bookmarkStart w:id="19" w:name="_Toc15396603"/>
      <w:r>
        <w:rPr>
          <w:rFonts w:ascii="黑体" w:eastAsia="黑体" w:hAnsi="黑体" w:hint="eastAsia"/>
          <w:sz w:val="32"/>
          <w:szCs w:val="32"/>
        </w:rPr>
        <w:t>收</w:t>
      </w:r>
      <w:r>
        <w:rPr>
          <w:rStyle w:val="2Char"/>
          <w:rFonts w:ascii="黑体" w:eastAsia="黑体" w:hAnsi="黑体" w:hint="eastAsia"/>
          <w:b w:val="0"/>
        </w:rPr>
        <w:t>入支出决算总体情况说明</w:t>
      </w:r>
      <w:bookmarkEnd w:id="18"/>
      <w:bookmarkEnd w:id="19"/>
    </w:p>
    <w:p w:rsidR="00BA116A" w:rsidRDefault="003D1702">
      <w:pPr>
        <w:spacing w:line="600" w:lineRule="exact"/>
        <w:ind w:firstLineChars="200" w:firstLine="640"/>
        <w:rPr>
          <w:rFonts w:ascii="仿宋" w:eastAsia="仿宋" w:hAnsi="仿宋"/>
          <w:sz w:val="32"/>
          <w:szCs w:val="32"/>
        </w:rPr>
      </w:pPr>
      <w:r>
        <w:rPr>
          <w:rFonts w:ascii="仿宋" w:eastAsia="仿宋" w:hAnsi="仿宋" w:hint="eastAsia"/>
          <w:sz w:val="32"/>
          <w:szCs w:val="32"/>
        </w:rPr>
        <w:t>2022年度收、支总计27325.92万元。与2021年相比，收、支总计各减少9687.58万元，下降26.17</w:t>
      </w:r>
      <w:r>
        <w:rPr>
          <w:rFonts w:ascii="仿宋" w:eastAsia="仿宋" w:hAnsi="仿宋"/>
          <w:sz w:val="32"/>
          <w:szCs w:val="32"/>
        </w:rPr>
        <w:t>%</w:t>
      </w:r>
      <w:r>
        <w:rPr>
          <w:rFonts w:ascii="仿宋" w:eastAsia="仿宋" w:hAnsi="仿宋" w:hint="eastAsia"/>
          <w:sz w:val="32"/>
          <w:szCs w:val="32"/>
        </w:rPr>
        <w:t>。主要变动原因是项目资金减少。</w:t>
      </w:r>
    </w:p>
    <w:p w:rsidR="00BA116A" w:rsidRDefault="003D1702">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：收、支决算总计变动情况图）（柱状图）</w:t>
      </w:r>
    </w:p>
    <w:p w:rsidR="00BA116A" w:rsidRDefault="003D1702" w:rsidP="00BA116A">
      <w:pPr>
        <w:pStyle w:val="a0"/>
        <w:spacing w:before="93"/>
      </w:pPr>
      <w:r>
        <w:rPr>
          <w:noProof/>
        </w:rPr>
        <w:drawing>
          <wp:inline distT="0" distB="0" distL="114300" distR="114300">
            <wp:extent cx="4572000" cy="2834640"/>
            <wp:effectExtent l="4445" t="4445" r="10795" b="1079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A116A" w:rsidRDefault="00BA116A">
      <w:pPr>
        <w:spacing w:line="600" w:lineRule="exact"/>
        <w:ind w:firstLineChars="200" w:firstLine="640"/>
        <w:jc w:val="left"/>
        <w:rPr>
          <w:rFonts w:ascii="仿宋_GB2312" w:eastAsia="仿宋_GB2312"/>
          <w:sz w:val="32"/>
          <w:szCs w:val="32"/>
        </w:rPr>
      </w:pPr>
    </w:p>
    <w:p w:rsidR="00BA116A" w:rsidRDefault="003D1702">
      <w:pPr>
        <w:pStyle w:val="aa"/>
        <w:numPr>
          <w:ilvl w:val="0"/>
          <w:numId w:val="2"/>
        </w:numPr>
        <w:spacing w:line="600" w:lineRule="exact"/>
        <w:ind w:firstLineChars="0"/>
        <w:outlineLvl w:val="1"/>
        <w:rPr>
          <w:rStyle w:val="2Char"/>
          <w:rFonts w:ascii="黑体" w:eastAsia="黑体" w:hAnsi="黑体"/>
          <w:b w:val="0"/>
        </w:rPr>
      </w:pPr>
      <w:bookmarkStart w:id="20" w:name="_Toc15377206"/>
      <w:bookmarkStart w:id="21" w:name="_Toc15396604"/>
      <w:r>
        <w:rPr>
          <w:rFonts w:ascii="黑体" w:eastAsia="黑体" w:hAnsi="黑体" w:hint="eastAsia"/>
          <w:sz w:val="32"/>
          <w:szCs w:val="32"/>
        </w:rPr>
        <w:t>收</w:t>
      </w:r>
      <w:r>
        <w:rPr>
          <w:rStyle w:val="2Char"/>
          <w:rFonts w:ascii="黑体" w:eastAsia="黑体" w:hAnsi="黑体" w:hint="eastAsia"/>
          <w:b w:val="0"/>
        </w:rPr>
        <w:t>入决算情况说明</w:t>
      </w:r>
      <w:bookmarkEnd w:id="20"/>
      <w:bookmarkEnd w:id="21"/>
    </w:p>
    <w:p w:rsidR="00BA116A" w:rsidRDefault="003D1702">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22年本年收入合计21739.1万元，其中：一般公共预算财政拨款收入16885.87万元，占77.68</w:t>
      </w:r>
      <w:r>
        <w:rPr>
          <w:rFonts w:ascii="仿宋" w:eastAsia="仿宋" w:hAnsi="仿宋"/>
          <w:sz w:val="32"/>
          <w:szCs w:val="32"/>
        </w:rPr>
        <w:t>%</w:t>
      </w:r>
      <w:r>
        <w:rPr>
          <w:rFonts w:ascii="仿宋" w:eastAsia="仿宋" w:hAnsi="仿宋" w:hint="eastAsia"/>
          <w:sz w:val="32"/>
          <w:szCs w:val="32"/>
        </w:rPr>
        <w:t>；政府性基金预算财政拨款收入2272.76万元，占10.45</w:t>
      </w:r>
      <w:r>
        <w:rPr>
          <w:rFonts w:ascii="仿宋" w:eastAsia="仿宋" w:hAnsi="仿宋"/>
          <w:sz w:val="32"/>
          <w:szCs w:val="32"/>
        </w:rPr>
        <w:t>%</w:t>
      </w:r>
      <w:r>
        <w:rPr>
          <w:rFonts w:ascii="仿宋" w:eastAsia="仿宋" w:hAnsi="仿宋" w:hint="eastAsia"/>
          <w:sz w:val="32"/>
          <w:szCs w:val="32"/>
        </w:rPr>
        <w:t>；国有资本经营预算财政拨款收入2580万元，占11.87</w:t>
      </w:r>
      <w:r>
        <w:rPr>
          <w:rFonts w:ascii="仿宋" w:eastAsia="仿宋" w:hAnsi="仿宋"/>
          <w:sz w:val="32"/>
          <w:szCs w:val="32"/>
        </w:rPr>
        <w:t>%</w:t>
      </w:r>
      <w:r>
        <w:rPr>
          <w:rFonts w:ascii="仿宋" w:eastAsia="仿宋" w:hAnsi="仿宋" w:hint="eastAsia"/>
          <w:sz w:val="32"/>
          <w:szCs w:val="32"/>
        </w:rPr>
        <w:t>；其他收入0.47万元，占0</w:t>
      </w:r>
      <w:r>
        <w:rPr>
          <w:rFonts w:ascii="仿宋" w:eastAsia="仿宋" w:hAnsi="仿宋"/>
          <w:sz w:val="32"/>
          <w:szCs w:val="32"/>
        </w:rPr>
        <w:t>%</w:t>
      </w:r>
      <w:r>
        <w:rPr>
          <w:rFonts w:ascii="仿宋" w:eastAsia="仿宋" w:hAnsi="仿宋" w:hint="eastAsia"/>
          <w:sz w:val="32"/>
          <w:szCs w:val="32"/>
        </w:rPr>
        <w:t>。</w:t>
      </w:r>
    </w:p>
    <w:p w:rsidR="00BA116A" w:rsidRDefault="00BA116A">
      <w:pPr>
        <w:spacing w:line="600" w:lineRule="exact"/>
        <w:ind w:firstLineChars="200" w:firstLine="640"/>
        <w:outlineLvl w:val="1"/>
        <w:rPr>
          <w:rFonts w:ascii="仿宋" w:eastAsia="仿宋" w:hAnsi="仿宋"/>
          <w:sz w:val="32"/>
          <w:szCs w:val="32"/>
        </w:rPr>
      </w:pPr>
    </w:p>
    <w:p w:rsidR="00BA116A" w:rsidRDefault="003D1702">
      <w:pPr>
        <w:spacing w:line="600" w:lineRule="exact"/>
        <w:ind w:firstLineChars="200" w:firstLine="640"/>
        <w:rPr>
          <w:rFonts w:ascii="仿宋" w:eastAsia="仿宋" w:hAnsi="仿宋"/>
          <w:sz w:val="32"/>
          <w:szCs w:val="32"/>
        </w:rPr>
      </w:pPr>
      <w:r>
        <w:rPr>
          <w:rFonts w:ascii="仿宋" w:eastAsia="仿宋" w:hAnsi="仿宋" w:hint="eastAsia"/>
          <w:sz w:val="32"/>
          <w:szCs w:val="32"/>
        </w:rPr>
        <w:t>（图2：收入决算结构图）（饼状图）</w:t>
      </w:r>
    </w:p>
    <w:p w:rsidR="00BA116A" w:rsidRDefault="003D1702" w:rsidP="00BA116A">
      <w:pPr>
        <w:pStyle w:val="a0"/>
        <w:spacing w:before="93"/>
      </w:pPr>
      <w:r>
        <w:rPr>
          <w:noProof/>
        </w:rPr>
        <w:drawing>
          <wp:inline distT="0" distB="0" distL="114300" distR="114300">
            <wp:extent cx="5074285" cy="3588385"/>
            <wp:effectExtent l="4445" t="4445" r="11430" b="19050"/>
            <wp:docPr id="19"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A116A" w:rsidRDefault="00BA116A">
      <w:pPr>
        <w:spacing w:line="600" w:lineRule="exact"/>
        <w:ind w:firstLineChars="200" w:firstLine="640"/>
        <w:rPr>
          <w:rFonts w:ascii="仿宋_GB2312" w:eastAsia="仿宋_GB2312"/>
          <w:sz w:val="32"/>
          <w:szCs w:val="32"/>
        </w:rPr>
      </w:pPr>
    </w:p>
    <w:p w:rsidR="00BA116A" w:rsidRDefault="003D1702">
      <w:pPr>
        <w:pStyle w:val="aa"/>
        <w:numPr>
          <w:ilvl w:val="0"/>
          <w:numId w:val="2"/>
        </w:numPr>
        <w:spacing w:line="600" w:lineRule="exact"/>
        <w:ind w:firstLineChars="0"/>
        <w:outlineLvl w:val="1"/>
        <w:rPr>
          <w:rStyle w:val="2Char"/>
          <w:rFonts w:ascii="黑体" w:eastAsia="黑体" w:hAnsi="黑体"/>
          <w:b w:val="0"/>
        </w:rPr>
      </w:pPr>
      <w:bookmarkStart w:id="22" w:name="_Toc15396605"/>
      <w:bookmarkStart w:id="23" w:name="_Toc15377207"/>
      <w:r>
        <w:rPr>
          <w:rFonts w:ascii="黑体" w:eastAsia="黑体" w:hAnsi="黑体" w:hint="eastAsia"/>
          <w:sz w:val="32"/>
          <w:szCs w:val="32"/>
        </w:rPr>
        <w:t>支</w:t>
      </w:r>
      <w:r>
        <w:rPr>
          <w:rStyle w:val="2Char"/>
          <w:rFonts w:ascii="黑体" w:eastAsia="黑体" w:hAnsi="黑体" w:hint="eastAsia"/>
          <w:b w:val="0"/>
        </w:rPr>
        <w:t>出决算情况说明</w:t>
      </w:r>
      <w:bookmarkEnd w:id="22"/>
      <w:bookmarkEnd w:id="23"/>
    </w:p>
    <w:p w:rsidR="00BA116A" w:rsidRDefault="003D1702">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22年本年支出合计27325.6万元，其中：基本支出439.63万元，占1.6</w:t>
      </w:r>
      <w:r>
        <w:rPr>
          <w:rFonts w:ascii="仿宋" w:eastAsia="仿宋" w:hAnsi="仿宋"/>
          <w:sz w:val="32"/>
          <w:szCs w:val="32"/>
        </w:rPr>
        <w:t>%</w:t>
      </w:r>
      <w:r>
        <w:rPr>
          <w:rFonts w:ascii="仿宋" w:eastAsia="仿宋" w:hAnsi="仿宋" w:hint="eastAsia"/>
          <w:sz w:val="32"/>
          <w:szCs w:val="32"/>
        </w:rPr>
        <w:t>；项目支出26885.96万元，占98.39</w:t>
      </w:r>
      <w:r>
        <w:rPr>
          <w:rFonts w:ascii="仿宋" w:eastAsia="仿宋" w:hAnsi="仿宋"/>
          <w:sz w:val="32"/>
          <w:szCs w:val="32"/>
        </w:rPr>
        <w:t>%</w:t>
      </w:r>
      <w:r>
        <w:rPr>
          <w:rFonts w:ascii="仿宋" w:eastAsia="仿宋" w:hAnsi="仿宋" w:hint="eastAsia"/>
          <w:sz w:val="32"/>
          <w:szCs w:val="32"/>
        </w:rPr>
        <w:t>。</w:t>
      </w:r>
    </w:p>
    <w:p w:rsidR="00BA116A" w:rsidRDefault="00BA116A">
      <w:pPr>
        <w:spacing w:line="600" w:lineRule="exact"/>
        <w:ind w:firstLine="640"/>
        <w:rPr>
          <w:rFonts w:ascii="仿宋" w:eastAsia="仿宋" w:hAnsi="仿宋"/>
          <w:sz w:val="32"/>
          <w:szCs w:val="32"/>
          <w:shd w:val="pct10" w:color="auto" w:fill="FFFFFF"/>
        </w:rPr>
      </w:pPr>
    </w:p>
    <w:p w:rsidR="00BA116A" w:rsidRDefault="003D1702">
      <w:pPr>
        <w:spacing w:line="600" w:lineRule="exact"/>
        <w:ind w:firstLineChars="200" w:firstLine="640"/>
        <w:rPr>
          <w:rFonts w:ascii="仿宋" w:eastAsia="仿宋" w:hAnsi="仿宋"/>
          <w:sz w:val="32"/>
          <w:szCs w:val="32"/>
        </w:rPr>
      </w:pPr>
      <w:r>
        <w:rPr>
          <w:rFonts w:ascii="仿宋" w:eastAsia="仿宋" w:hAnsi="仿宋" w:hint="eastAsia"/>
          <w:sz w:val="32"/>
          <w:szCs w:val="32"/>
        </w:rPr>
        <w:t>（图3：支出决算结构图）（饼状图）</w:t>
      </w:r>
    </w:p>
    <w:p w:rsidR="00BA116A" w:rsidRDefault="003D1702" w:rsidP="00BA116A">
      <w:pPr>
        <w:pStyle w:val="a0"/>
        <w:spacing w:before="93"/>
      </w:pPr>
      <w:r>
        <w:rPr>
          <w:noProof/>
        </w:rPr>
        <w:lastRenderedPageBreak/>
        <w:drawing>
          <wp:inline distT="0" distB="0" distL="114300" distR="114300">
            <wp:extent cx="5074285" cy="3405505"/>
            <wp:effectExtent l="4445" t="4445" r="11430" b="19050"/>
            <wp:docPr id="1"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A116A" w:rsidRDefault="003D1702">
      <w:pPr>
        <w:spacing w:line="600" w:lineRule="exact"/>
        <w:ind w:firstLineChars="200" w:firstLine="640"/>
        <w:outlineLvl w:val="1"/>
        <w:rPr>
          <w:rStyle w:val="2Char"/>
          <w:rFonts w:ascii="黑体" w:eastAsia="黑体" w:hAnsi="黑体"/>
          <w:b w:val="0"/>
        </w:rPr>
      </w:pPr>
      <w:bookmarkStart w:id="24" w:name="_Toc15377208"/>
      <w:bookmarkStart w:id="25" w:name="_Toc15396606"/>
      <w:r>
        <w:rPr>
          <w:rFonts w:ascii="黑体" w:eastAsia="黑体" w:hAnsi="黑体" w:hint="eastAsia"/>
          <w:sz w:val="32"/>
          <w:szCs w:val="32"/>
        </w:rPr>
        <w:t>四、财</w:t>
      </w:r>
      <w:r>
        <w:rPr>
          <w:rStyle w:val="2Char"/>
          <w:rFonts w:ascii="黑体" w:eastAsia="黑体" w:hAnsi="黑体" w:hint="eastAsia"/>
          <w:b w:val="0"/>
        </w:rPr>
        <w:t>政拨款收入支出决算总体情况说明</w:t>
      </w:r>
      <w:bookmarkEnd w:id="24"/>
      <w:bookmarkEnd w:id="25"/>
    </w:p>
    <w:p w:rsidR="00BA116A" w:rsidRDefault="003D1702">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22年财政拨款收、支总计27325.4万元。与</w:t>
      </w:r>
      <w:r>
        <w:rPr>
          <w:rFonts w:ascii="仿宋" w:eastAsia="仿宋" w:hAnsi="仿宋"/>
          <w:sz w:val="32"/>
          <w:szCs w:val="32"/>
        </w:rPr>
        <w:t>20</w:t>
      </w:r>
      <w:r>
        <w:rPr>
          <w:rFonts w:ascii="仿宋" w:eastAsia="仿宋" w:hAnsi="仿宋" w:hint="eastAsia"/>
          <w:sz w:val="32"/>
          <w:szCs w:val="32"/>
        </w:rPr>
        <w:t>21年相比，财政拨款收、支总计各减少9682.32万元，下降26.16</w:t>
      </w:r>
      <w:r>
        <w:rPr>
          <w:rFonts w:ascii="仿宋" w:eastAsia="仿宋" w:hAnsi="仿宋"/>
          <w:sz w:val="32"/>
          <w:szCs w:val="32"/>
        </w:rPr>
        <w:t>%</w:t>
      </w:r>
      <w:r>
        <w:rPr>
          <w:rFonts w:ascii="仿宋" w:eastAsia="仿宋" w:hAnsi="仿宋" w:hint="eastAsia"/>
          <w:sz w:val="32"/>
          <w:szCs w:val="32"/>
        </w:rPr>
        <w:t>。主要变动原因是项目资金减少。</w:t>
      </w:r>
    </w:p>
    <w:p w:rsidR="00BA116A" w:rsidRDefault="00BA116A">
      <w:pPr>
        <w:spacing w:line="600" w:lineRule="exact"/>
        <w:rPr>
          <w:rFonts w:ascii="仿宋" w:eastAsia="仿宋" w:hAnsi="仿宋"/>
          <w:sz w:val="32"/>
          <w:szCs w:val="32"/>
        </w:rPr>
      </w:pPr>
    </w:p>
    <w:p w:rsidR="00BA116A" w:rsidRDefault="003D1702">
      <w:pPr>
        <w:spacing w:line="600" w:lineRule="exact"/>
        <w:ind w:firstLineChars="200" w:firstLine="640"/>
        <w:rPr>
          <w:rFonts w:ascii="仿宋" w:eastAsia="仿宋" w:hAnsi="仿宋"/>
          <w:sz w:val="32"/>
          <w:szCs w:val="32"/>
        </w:rPr>
      </w:pPr>
      <w:r>
        <w:rPr>
          <w:rFonts w:ascii="仿宋" w:eastAsia="仿宋" w:hAnsi="仿宋" w:hint="eastAsia"/>
          <w:sz w:val="32"/>
          <w:szCs w:val="32"/>
        </w:rPr>
        <w:t>（图4：财政拨款收、支决算总计变动情况）（柱状图）</w:t>
      </w:r>
    </w:p>
    <w:p w:rsidR="00BA116A" w:rsidRDefault="003D1702" w:rsidP="00BA116A">
      <w:pPr>
        <w:pStyle w:val="a0"/>
        <w:spacing w:before="93"/>
      </w:pPr>
      <w:r>
        <w:rPr>
          <w:noProof/>
        </w:rPr>
        <w:lastRenderedPageBreak/>
        <w:drawing>
          <wp:inline distT="0" distB="0" distL="114300" distR="114300">
            <wp:extent cx="4572000" cy="3002280"/>
            <wp:effectExtent l="4445" t="4445" r="10795" b="10795"/>
            <wp:docPr id="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A116A" w:rsidRDefault="00BA116A">
      <w:pPr>
        <w:spacing w:line="600" w:lineRule="exact"/>
        <w:ind w:firstLine="640"/>
        <w:rPr>
          <w:rFonts w:ascii="仿宋" w:eastAsia="仿宋" w:hAnsi="仿宋"/>
          <w:b/>
          <w:sz w:val="32"/>
          <w:szCs w:val="32"/>
        </w:rPr>
      </w:pPr>
    </w:p>
    <w:p w:rsidR="00BA116A" w:rsidRDefault="003D1702">
      <w:pPr>
        <w:spacing w:line="600" w:lineRule="exact"/>
        <w:ind w:firstLineChars="200" w:firstLine="640"/>
        <w:outlineLvl w:val="1"/>
        <w:rPr>
          <w:rStyle w:val="2Char"/>
          <w:rFonts w:ascii="黑体" w:eastAsia="黑体" w:hAnsi="黑体"/>
          <w:b w:val="0"/>
        </w:rPr>
      </w:pPr>
      <w:bookmarkStart w:id="26" w:name="_Toc15396607"/>
      <w:bookmarkStart w:id="27" w:name="_Toc15377209"/>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26"/>
      <w:bookmarkEnd w:id="27"/>
    </w:p>
    <w:p w:rsidR="00BA116A" w:rsidRDefault="003D1702" w:rsidP="00BA116A">
      <w:pPr>
        <w:spacing w:line="600" w:lineRule="exact"/>
        <w:ind w:firstLineChars="200" w:firstLine="640"/>
        <w:outlineLvl w:val="2"/>
        <w:rPr>
          <w:rFonts w:ascii="仿宋" w:eastAsia="仿宋" w:hAnsi="仿宋"/>
          <w:b/>
          <w:sz w:val="32"/>
          <w:szCs w:val="32"/>
        </w:rPr>
      </w:pPr>
      <w:bookmarkStart w:id="28" w:name="_Toc15377210"/>
      <w:r>
        <w:rPr>
          <w:rFonts w:ascii="仿宋" w:eastAsia="仿宋" w:hAnsi="仿宋" w:hint="eastAsia"/>
          <w:b/>
          <w:sz w:val="32"/>
          <w:szCs w:val="32"/>
        </w:rPr>
        <w:t>（一）一般公共预算财政拨款支出决算总体情况</w:t>
      </w:r>
      <w:bookmarkEnd w:id="28"/>
    </w:p>
    <w:p w:rsidR="00BA116A" w:rsidRDefault="003D1702">
      <w:pPr>
        <w:spacing w:line="600" w:lineRule="exact"/>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22年一般公共预算财政拨款支出19211.42万元，占本年支出合计的70.31</w:t>
      </w:r>
      <w:r>
        <w:rPr>
          <w:rFonts w:ascii="仿宋" w:eastAsia="仿宋" w:hAnsi="仿宋"/>
          <w:sz w:val="32"/>
          <w:szCs w:val="32"/>
        </w:rPr>
        <w:t>%</w:t>
      </w:r>
      <w:r>
        <w:rPr>
          <w:rFonts w:ascii="仿宋" w:eastAsia="仿宋" w:hAnsi="仿宋" w:hint="eastAsia"/>
          <w:sz w:val="32"/>
          <w:szCs w:val="32"/>
        </w:rPr>
        <w:t>。与</w:t>
      </w:r>
      <w:r>
        <w:rPr>
          <w:rFonts w:ascii="仿宋" w:eastAsia="仿宋" w:hAnsi="仿宋"/>
          <w:sz w:val="32"/>
          <w:szCs w:val="32"/>
        </w:rPr>
        <w:t>20</w:t>
      </w:r>
      <w:r>
        <w:rPr>
          <w:rFonts w:ascii="仿宋" w:eastAsia="仿宋" w:hAnsi="仿宋" w:hint="eastAsia"/>
          <w:sz w:val="32"/>
          <w:szCs w:val="32"/>
        </w:rPr>
        <w:t>21年相比，一般公共预算财政拨款支出增加711.81万元，增长3.85</w:t>
      </w:r>
      <w:r>
        <w:rPr>
          <w:rFonts w:ascii="仿宋" w:eastAsia="仿宋" w:hAnsi="仿宋"/>
          <w:sz w:val="32"/>
          <w:szCs w:val="32"/>
        </w:rPr>
        <w:t>%</w:t>
      </w:r>
      <w:r>
        <w:rPr>
          <w:rFonts w:ascii="仿宋" w:eastAsia="仿宋" w:hAnsi="仿宋" w:hint="eastAsia"/>
          <w:sz w:val="32"/>
          <w:szCs w:val="32"/>
        </w:rPr>
        <w:t>。主要变动原因是一般公共预算财政拨款项目资金增加。</w:t>
      </w:r>
    </w:p>
    <w:p w:rsidR="00BA116A" w:rsidRDefault="003D1702">
      <w:pPr>
        <w:spacing w:line="600" w:lineRule="exact"/>
        <w:ind w:firstLineChars="200" w:firstLine="640"/>
        <w:rPr>
          <w:rFonts w:ascii="仿宋" w:eastAsia="仿宋" w:hAnsi="仿宋"/>
          <w:sz w:val="32"/>
          <w:szCs w:val="32"/>
        </w:rPr>
      </w:pPr>
      <w:r>
        <w:rPr>
          <w:rFonts w:ascii="仿宋" w:eastAsia="仿宋" w:hAnsi="仿宋" w:hint="eastAsia"/>
          <w:sz w:val="32"/>
          <w:szCs w:val="32"/>
        </w:rPr>
        <w:t>（图5：一般公共预算财政拨款支出决算变动情况）（柱状图）</w:t>
      </w:r>
    </w:p>
    <w:p w:rsidR="00BA116A" w:rsidRDefault="003D1702" w:rsidP="00BA116A">
      <w:pPr>
        <w:pStyle w:val="a0"/>
        <w:spacing w:before="93"/>
      </w:pPr>
      <w:r>
        <w:rPr>
          <w:noProof/>
        </w:rPr>
        <w:lastRenderedPageBreak/>
        <w:drawing>
          <wp:inline distT="0" distB="0" distL="114300" distR="114300">
            <wp:extent cx="4572000" cy="3002280"/>
            <wp:effectExtent l="4445" t="4445" r="10795" b="10795"/>
            <wp:docPr id="5"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A116A" w:rsidRDefault="00BA116A">
      <w:pPr>
        <w:spacing w:line="600" w:lineRule="exact"/>
        <w:ind w:firstLineChars="200" w:firstLine="640"/>
        <w:rPr>
          <w:rFonts w:ascii="仿宋" w:eastAsia="仿宋" w:hAnsi="仿宋"/>
          <w:sz w:val="32"/>
          <w:szCs w:val="32"/>
        </w:rPr>
      </w:pPr>
    </w:p>
    <w:p w:rsidR="00BA116A" w:rsidRDefault="003D1702" w:rsidP="00BA116A">
      <w:pPr>
        <w:spacing w:line="600" w:lineRule="exact"/>
        <w:ind w:firstLineChars="200" w:firstLine="640"/>
        <w:outlineLvl w:val="2"/>
        <w:rPr>
          <w:rFonts w:ascii="仿宋" w:eastAsia="仿宋" w:hAnsi="仿宋"/>
          <w:b/>
          <w:sz w:val="32"/>
          <w:szCs w:val="32"/>
        </w:rPr>
      </w:pPr>
      <w:bookmarkStart w:id="29" w:name="_Toc15377211"/>
      <w:r>
        <w:rPr>
          <w:rFonts w:ascii="仿宋" w:eastAsia="仿宋" w:hAnsi="仿宋" w:hint="eastAsia"/>
          <w:b/>
          <w:sz w:val="32"/>
          <w:szCs w:val="32"/>
        </w:rPr>
        <w:t>（二）一般公共预算财政拨款支出决算结构情况</w:t>
      </w:r>
      <w:bookmarkEnd w:id="29"/>
    </w:p>
    <w:p w:rsidR="00BA116A" w:rsidRDefault="003D1702">
      <w:pPr>
        <w:spacing w:line="600" w:lineRule="exact"/>
        <w:ind w:firstLine="640"/>
        <w:rPr>
          <w:rFonts w:ascii="仿宋" w:eastAsia="仿宋" w:hAnsi="仿宋"/>
          <w:b/>
          <w:sz w:val="32"/>
          <w:szCs w:val="32"/>
        </w:rPr>
      </w:pPr>
      <w:r>
        <w:rPr>
          <w:rFonts w:ascii="仿宋" w:eastAsia="仿宋" w:hAnsi="仿宋"/>
          <w:sz w:val="32"/>
          <w:szCs w:val="32"/>
        </w:rPr>
        <w:t>20</w:t>
      </w:r>
      <w:r>
        <w:rPr>
          <w:rFonts w:ascii="仿宋" w:eastAsia="仿宋" w:hAnsi="仿宋" w:hint="eastAsia"/>
          <w:sz w:val="32"/>
          <w:szCs w:val="32"/>
        </w:rPr>
        <w:t>22年一般公共预算财政拨款支出19211.42万元，主要用于以下方面</w:t>
      </w:r>
      <w:r>
        <w:rPr>
          <w:rFonts w:ascii="仿宋" w:eastAsia="仿宋" w:hAnsi="仿宋"/>
          <w:sz w:val="32"/>
          <w:szCs w:val="32"/>
        </w:rPr>
        <w:t>:</w:t>
      </w:r>
      <w:r>
        <w:rPr>
          <w:rFonts w:ascii="仿宋" w:eastAsia="仿宋" w:hAnsi="仿宋" w:hint="eastAsia"/>
          <w:sz w:val="32"/>
          <w:szCs w:val="32"/>
        </w:rPr>
        <w:t>一般公共服务</w:t>
      </w:r>
      <w:r>
        <w:rPr>
          <w:rFonts w:ascii="仿宋" w:eastAsia="仿宋" w:hAnsi="仿宋" w:hint="eastAsia"/>
          <w:bCs/>
          <w:sz w:val="32"/>
          <w:szCs w:val="32"/>
        </w:rPr>
        <w:t>支出</w:t>
      </w:r>
      <w:r>
        <w:rPr>
          <w:rFonts w:ascii="仿宋" w:eastAsia="仿宋" w:hAnsi="仿宋" w:hint="eastAsia"/>
          <w:sz w:val="32"/>
          <w:szCs w:val="32"/>
        </w:rPr>
        <w:t>31万元，占0.16</w:t>
      </w:r>
      <w:r>
        <w:rPr>
          <w:rFonts w:ascii="仿宋" w:eastAsia="仿宋" w:hAnsi="仿宋"/>
          <w:sz w:val="32"/>
          <w:szCs w:val="32"/>
        </w:rPr>
        <w:t>%</w:t>
      </w:r>
      <w:r>
        <w:rPr>
          <w:rFonts w:ascii="仿宋" w:eastAsia="仿宋" w:hAnsi="仿宋" w:hint="eastAsia"/>
          <w:sz w:val="32"/>
          <w:szCs w:val="32"/>
        </w:rPr>
        <w:t>；社会保障和就业</w:t>
      </w:r>
      <w:r>
        <w:rPr>
          <w:rFonts w:ascii="仿宋" w:eastAsia="仿宋" w:hAnsi="仿宋" w:hint="eastAsia"/>
          <w:bCs/>
          <w:sz w:val="32"/>
          <w:szCs w:val="32"/>
        </w:rPr>
        <w:t>支出</w:t>
      </w:r>
      <w:r>
        <w:rPr>
          <w:rFonts w:ascii="仿宋" w:eastAsia="仿宋" w:hAnsi="仿宋" w:hint="eastAsia"/>
          <w:sz w:val="32"/>
          <w:szCs w:val="32"/>
        </w:rPr>
        <w:t>52万元，占0.27</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Cs/>
          <w:sz w:val="32"/>
          <w:szCs w:val="32"/>
        </w:rPr>
        <w:t>卫生健康支出</w:t>
      </w:r>
      <w:r>
        <w:rPr>
          <w:rFonts w:ascii="仿宋" w:eastAsia="仿宋" w:hAnsi="仿宋" w:hint="eastAsia"/>
          <w:sz w:val="32"/>
          <w:szCs w:val="32"/>
        </w:rPr>
        <w:t>20.19万元，占0.11</w:t>
      </w:r>
      <w:r>
        <w:rPr>
          <w:rFonts w:ascii="仿宋" w:eastAsia="仿宋" w:hAnsi="仿宋"/>
          <w:sz w:val="32"/>
          <w:szCs w:val="32"/>
        </w:rPr>
        <w:t>%</w:t>
      </w:r>
      <w:r>
        <w:rPr>
          <w:rFonts w:ascii="仿宋" w:eastAsia="仿宋" w:hAnsi="仿宋" w:hint="eastAsia"/>
          <w:sz w:val="32"/>
          <w:szCs w:val="32"/>
        </w:rPr>
        <w:t>；节能环保支出1850万元，</w:t>
      </w:r>
      <w:r>
        <w:rPr>
          <w:rFonts w:ascii="仿宋" w:eastAsia="仿宋" w:hAnsi="仿宋" w:hint="eastAsia"/>
          <w:bCs/>
          <w:sz w:val="32"/>
          <w:szCs w:val="32"/>
        </w:rPr>
        <w:t>占9.63%；城乡社区支出12785.98万元，</w:t>
      </w:r>
      <w:r>
        <w:rPr>
          <w:rFonts w:ascii="仿宋" w:eastAsia="仿宋" w:hAnsi="仿宋" w:hint="eastAsia"/>
          <w:sz w:val="32"/>
          <w:szCs w:val="32"/>
        </w:rPr>
        <w:t>占66.55</w:t>
      </w:r>
      <w:r>
        <w:rPr>
          <w:rFonts w:ascii="仿宋" w:eastAsia="仿宋" w:hAnsi="仿宋"/>
          <w:sz w:val="32"/>
          <w:szCs w:val="32"/>
        </w:rPr>
        <w:t>%</w:t>
      </w:r>
      <w:r>
        <w:rPr>
          <w:rFonts w:ascii="仿宋" w:eastAsia="仿宋" w:hAnsi="仿宋" w:hint="eastAsia"/>
          <w:bCs/>
          <w:sz w:val="32"/>
          <w:szCs w:val="32"/>
        </w:rPr>
        <w:t>，农林水支出2180万元，</w:t>
      </w:r>
      <w:r>
        <w:rPr>
          <w:rFonts w:ascii="仿宋" w:eastAsia="仿宋" w:hAnsi="仿宋" w:hint="eastAsia"/>
          <w:sz w:val="32"/>
          <w:szCs w:val="32"/>
        </w:rPr>
        <w:t>占11.35</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Cs/>
          <w:sz w:val="32"/>
          <w:szCs w:val="32"/>
        </w:rPr>
        <w:t>住房保障支出</w:t>
      </w:r>
      <w:r>
        <w:rPr>
          <w:rFonts w:ascii="仿宋" w:eastAsia="仿宋" w:hAnsi="仿宋" w:hint="eastAsia"/>
          <w:sz w:val="32"/>
          <w:szCs w:val="32"/>
        </w:rPr>
        <w:t>2292.25万元，占11.93</w:t>
      </w:r>
      <w:r>
        <w:rPr>
          <w:rFonts w:ascii="仿宋" w:eastAsia="仿宋" w:hAnsi="仿宋"/>
          <w:sz w:val="32"/>
          <w:szCs w:val="32"/>
        </w:rPr>
        <w:t>%</w:t>
      </w:r>
      <w:r>
        <w:rPr>
          <w:rFonts w:ascii="仿宋" w:eastAsia="仿宋" w:hAnsi="仿宋" w:hint="eastAsia"/>
          <w:sz w:val="32"/>
          <w:szCs w:val="32"/>
        </w:rPr>
        <w:t>。</w:t>
      </w:r>
    </w:p>
    <w:p w:rsidR="00BA116A" w:rsidRDefault="00BA116A">
      <w:pPr>
        <w:spacing w:line="600" w:lineRule="exact"/>
        <w:ind w:firstLine="640"/>
        <w:rPr>
          <w:rFonts w:ascii="仿宋" w:eastAsia="仿宋" w:hAnsi="仿宋"/>
          <w:sz w:val="32"/>
          <w:szCs w:val="32"/>
        </w:rPr>
      </w:pPr>
    </w:p>
    <w:p w:rsidR="00BA116A" w:rsidRDefault="003D1702">
      <w:pPr>
        <w:spacing w:line="600" w:lineRule="exact"/>
        <w:ind w:firstLineChars="200" w:firstLine="640"/>
        <w:rPr>
          <w:rFonts w:ascii="仿宋" w:eastAsia="仿宋" w:hAnsi="仿宋"/>
          <w:sz w:val="32"/>
          <w:szCs w:val="32"/>
        </w:rPr>
      </w:pPr>
      <w:r>
        <w:rPr>
          <w:rFonts w:ascii="仿宋" w:eastAsia="仿宋" w:hAnsi="仿宋" w:hint="eastAsia"/>
          <w:sz w:val="32"/>
          <w:szCs w:val="32"/>
        </w:rPr>
        <w:t>（图6：一般公共预算财政拨款支出决算结构）（饼状图）</w:t>
      </w:r>
    </w:p>
    <w:p w:rsidR="00BA116A" w:rsidRDefault="003D1702" w:rsidP="00BA116A">
      <w:pPr>
        <w:pStyle w:val="a0"/>
        <w:spacing w:before="93"/>
      </w:pPr>
      <w:r>
        <w:rPr>
          <w:noProof/>
        </w:rPr>
        <w:lastRenderedPageBreak/>
        <w:drawing>
          <wp:inline distT="0" distB="0" distL="114300" distR="114300">
            <wp:extent cx="4826000" cy="2743200"/>
            <wp:effectExtent l="4445" t="4445" r="15875" b="1079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A116A" w:rsidRDefault="00BA116A" w:rsidP="00BA116A">
      <w:pPr>
        <w:pStyle w:val="a0"/>
        <w:spacing w:before="93"/>
      </w:pPr>
    </w:p>
    <w:p w:rsidR="00BA116A" w:rsidRDefault="00BA116A">
      <w:pPr>
        <w:spacing w:line="600" w:lineRule="exact"/>
        <w:ind w:firstLineChars="200" w:firstLine="640"/>
        <w:rPr>
          <w:rFonts w:ascii="仿宋" w:eastAsia="仿宋" w:hAnsi="仿宋"/>
          <w:sz w:val="32"/>
          <w:szCs w:val="32"/>
        </w:rPr>
      </w:pPr>
    </w:p>
    <w:p w:rsidR="00BA116A" w:rsidRDefault="003D1702" w:rsidP="00BA116A">
      <w:pPr>
        <w:spacing w:line="600" w:lineRule="exact"/>
        <w:ind w:firstLineChars="200" w:firstLine="640"/>
        <w:outlineLvl w:val="2"/>
        <w:rPr>
          <w:rFonts w:ascii="仿宋" w:eastAsia="仿宋" w:hAnsi="仿宋"/>
          <w:b/>
          <w:sz w:val="32"/>
          <w:szCs w:val="32"/>
        </w:rPr>
      </w:pPr>
      <w:bookmarkStart w:id="30" w:name="_Toc15377212"/>
      <w:r>
        <w:rPr>
          <w:rFonts w:ascii="仿宋" w:eastAsia="仿宋" w:hAnsi="仿宋" w:hint="eastAsia"/>
          <w:b/>
          <w:sz w:val="32"/>
          <w:szCs w:val="32"/>
        </w:rPr>
        <w:t>（三）一般公共预算财政拨款支出决算具体情况</w:t>
      </w:r>
      <w:bookmarkEnd w:id="30"/>
    </w:p>
    <w:p w:rsidR="00BA116A" w:rsidRDefault="003D1702" w:rsidP="00BA116A">
      <w:pPr>
        <w:spacing w:line="600" w:lineRule="exact"/>
        <w:ind w:firstLineChars="200" w:firstLine="640"/>
        <w:outlineLvl w:val="2"/>
        <w:rPr>
          <w:rFonts w:ascii="仿宋" w:eastAsia="仿宋" w:hAnsi="仿宋"/>
          <w:sz w:val="32"/>
          <w:szCs w:val="32"/>
        </w:rPr>
      </w:pPr>
      <w:bookmarkStart w:id="31" w:name="_Toc15377213"/>
      <w:bookmarkStart w:id="32" w:name="_Toc15377444"/>
      <w:bookmarkStart w:id="33" w:name="_Toc15378460"/>
      <w:r>
        <w:rPr>
          <w:rFonts w:ascii="仿宋" w:eastAsia="仿宋" w:hAnsi="仿宋" w:hint="eastAsia"/>
          <w:b/>
          <w:sz w:val="32"/>
          <w:szCs w:val="32"/>
        </w:rPr>
        <w:t>2022年一般公共预算支出决算数为19211.42</w:t>
      </w:r>
      <w:r>
        <w:rPr>
          <w:rFonts w:ascii="仿宋" w:eastAsia="仿宋" w:hAnsi="仿宋" w:hint="eastAsia"/>
          <w:sz w:val="32"/>
          <w:szCs w:val="32"/>
        </w:rPr>
        <w:t>，</w:t>
      </w:r>
      <w:r>
        <w:rPr>
          <w:rStyle w:val="a8"/>
          <w:rFonts w:ascii="仿宋" w:eastAsia="仿宋" w:hAnsi="仿宋" w:hint="eastAsia"/>
          <w:bCs/>
          <w:sz w:val="32"/>
          <w:szCs w:val="32"/>
        </w:rPr>
        <w:t>完成预算100</w:t>
      </w:r>
      <w:r>
        <w:rPr>
          <w:rStyle w:val="a8"/>
          <w:rFonts w:ascii="仿宋" w:eastAsia="仿宋" w:hAnsi="仿宋"/>
          <w:bCs/>
          <w:sz w:val="32"/>
          <w:szCs w:val="32"/>
        </w:rPr>
        <w:t>%</w:t>
      </w:r>
      <w:r>
        <w:rPr>
          <w:rStyle w:val="a8"/>
          <w:rFonts w:ascii="仿宋" w:eastAsia="仿宋" w:hAnsi="仿宋" w:hint="eastAsia"/>
          <w:bCs/>
          <w:sz w:val="32"/>
          <w:szCs w:val="32"/>
        </w:rPr>
        <w:t>。其中：</w:t>
      </w:r>
      <w:bookmarkEnd w:id="31"/>
      <w:bookmarkEnd w:id="32"/>
      <w:bookmarkEnd w:id="33"/>
    </w:p>
    <w:p w:rsidR="00BA116A" w:rsidRDefault="003D1702" w:rsidP="00BA116A">
      <w:pPr>
        <w:spacing w:line="600" w:lineRule="exact"/>
        <w:ind w:firstLineChars="200" w:firstLine="640"/>
        <w:rPr>
          <w:rFonts w:ascii="仿宋" w:eastAsia="仿宋" w:hAnsi="仿宋"/>
          <w:b/>
          <w:sz w:val="32"/>
          <w:szCs w:val="32"/>
        </w:rPr>
      </w:pPr>
      <w:r>
        <w:rPr>
          <w:rStyle w:val="a8"/>
          <w:rFonts w:ascii="仿宋" w:eastAsia="仿宋" w:hAnsi="仿宋"/>
          <w:bCs/>
          <w:sz w:val="32"/>
          <w:szCs w:val="32"/>
        </w:rPr>
        <w:t>1.</w:t>
      </w:r>
      <w:r>
        <w:rPr>
          <w:rStyle w:val="a8"/>
          <w:rFonts w:ascii="仿宋" w:eastAsia="仿宋" w:hAnsi="仿宋" w:hint="eastAsia"/>
          <w:bCs/>
          <w:sz w:val="32"/>
          <w:szCs w:val="32"/>
        </w:rPr>
        <w:t>一般公共服务（类）党委办公厅（室）及相关机构事务（款）一般行政管理事务（项）</w:t>
      </w:r>
      <w:r>
        <w:rPr>
          <w:rStyle w:val="a8"/>
          <w:rFonts w:ascii="仿宋" w:eastAsia="仿宋" w:hAnsi="仿宋"/>
          <w:bCs/>
          <w:sz w:val="32"/>
          <w:szCs w:val="32"/>
        </w:rPr>
        <w:t>:</w:t>
      </w:r>
      <w:r>
        <w:rPr>
          <w:rStyle w:val="a8"/>
          <w:rFonts w:ascii="仿宋" w:eastAsia="仿宋" w:hAnsi="仿宋" w:hint="eastAsia"/>
          <w:b w:val="0"/>
          <w:bCs/>
          <w:sz w:val="32"/>
          <w:szCs w:val="32"/>
        </w:rPr>
        <w:t>支出决算为30万元，完成预算100</w:t>
      </w:r>
      <w:r>
        <w:rPr>
          <w:rStyle w:val="a8"/>
          <w:rFonts w:ascii="仿宋" w:eastAsia="仿宋" w:hAnsi="仿宋"/>
          <w:b w:val="0"/>
          <w:bCs/>
          <w:sz w:val="32"/>
          <w:szCs w:val="32"/>
        </w:rPr>
        <w:t>%</w:t>
      </w:r>
      <w:r>
        <w:rPr>
          <w:rStyle w:val="a8"/>
          <w:rFonts w:ascii="仿宋" w:eastAsia="仿宋" w:hAnsi="仿宋" w:hint="eastAsia"/>
          <w:b w:val="0"/>
          <w:bCs/>
          <w:sz w:val="32"/>
          <w:szCs w:val="32"/>
        </w:rPr>
        <w:t>；</w:t>
      </w:r>
      <w:r>
        <w:rPr>
          <w:rStyle w:val="a8"/>
          <w:rFonts w:ascii="仿宋" w:eastAsia="仿宋" w:hAnsi="仿宋" w:hint="eastAsia"/>
          <w:bCs/>
          <w:sz w:val="32"/>
          <w:szCs w:val="32"/>
        </w:rPr>
        <w:t>一般公共服务（类）其他共产党事务支出（款）一般行政管理事务（项）</w:t>
      </w:r>
      <w:r>
        <w:rPr>
          <w:rStyle w:val="a8"/>
          <w:rFonts w:ascii="仿宋" w:eastAsia="仿宋" w:hAnsi="仿宋"/>
          <w:bCs/>
          <w:sz w:val="32"/>
          <w:szCs w:val="32"/>
        </w:rPr>
        <w:t>:</w:t>
      </w:r>
      <w:r>
        <w:rPr>
          <w:rStyle w:val="a8"/>
          <w:rFonts w:ascii="仿宋" w:eastAsia="仿宋" w:hAnsi="仿宋" w:hint="eastAsia"/>
          <w:b w:val="0"/>
          <w:bCs/>
          <w:sz w:val="32"/>
          <w:szCs w:val="32"/>
        </w:rPr>
        <w:t>支出决算为1万元，完成预算100</w:t>
      </w:r>
      <w:r>
        <w:rPr>
          <w:rStyle w:val="a8"/>
          <w:rFonts w:ascii="仿宋" w:eastAsia="仿宋" w:hAnsi="仿宋"/>
          <w:b w:val="0"/>
          <w:bCs/>
          <w:sz w:val="32"/>
          <w:szCs w:val="32"/>
        </w:rPr>
        <w:t>%</w:t>
      </w:r>
      <w:r>
        <w:rPr>
          <w:rStyle w:val="a8"/>
          <w:rFonts w:ascii="仿宋" w:eastAsia="仿宋" w:hAnsi="仿宋" w:hint="eastAsia"/>
          <w:b w:val="0"/>
          <w:bCs/>
          <w:sz w:val="32"/>
          <w:szCs w:val="32"/>
        </w:rPr>
        <w:t>。</w:t>
      </w:r>
    </w:p>
    <w:p w:rsidR="00BA116A" w:rsidRDefault="003D1702" w:rsidP="00BA116A">
      <w:pPr>
        <w:spacing w:line="600" w:lineRule="exact"/>
        <w:ind w:firstLineChars="200" w:firstLine="640"/>
        <w:rPr>
          <w:rFonts w:ascii="仿宋" w:eastAsia="仿宋" w:hAnsi="仿宋"/>
          <w:b/>
          <w:sz w:val="32"/>
          <w:szCs w:val="32"/>
        </w:rPr>
      </w:pPr>
      <w:r>
        <w:rPr>
          <w:rStyle w:val="a8"/>
          <w:rFonts w:ascii="仿宋" w:eastAsia="仿宋" w:hAnsi="仿宋" w:hint="eastAsia"/>
          <w:bCs/>
          <w:sz w:val="32"/>
          <w:szCs w:val="32"/>
        </w:rPr>
        <w:t>2</w:t>
      </w:r>
      <w:r>
        <w:rPr>
          <w:rStyle w:val="a8"/>
          <w:rFonts w:ascii="仿宋" w:eastAsia="仿宋" w:hAnsi="仿宋"/>
          <w:bCs/>
          <w:sz w:val="32"/>
          <w:szCs w:val="32"/>
        </w:rPr>
        <w:t>.</w:t>
      </w:r>
      <w:r>
        <w:rPr>
          <w:rStyle w:val="a8"/>
          <w:rFonts w:ascii="仿宋" w:eastAsia="仿宋" w:hAnsi="仿宋" w:hint="eastAsia"/>
          <w:bCs/>
          <w:sz w:val="32"/>
          <w:szCs w:val="32"/>
        </w:rPr>
        <w:t xml:space="preserve"> 社会保障和就业（类）行政事业单位养老支出（款）行政单位离退休（项）</w:t>
      </w:r>
      <w:r>
        <w:rPr>
          <w:rStyle w:val="a8"/>
          <w:rFonts w:ascii="仿宋" w:eastAsia="仿宋" w:hAnsi="仿宋"/>
          <w:bCs/>
          <w:sz w:val="32"/>
          <w:szCs w:val="32"/>
        </w:rPr>
        <w:t>:</w:t>
      </w:r>
      <w:r>
        <w:rPr>
          <w:rStyle w:val="a8"/>
          <w:rFonts w:ascii="仿宋" w:eastAsia="仿宋" w:hAnsi="仿宋" w:hint="eastAsia"/>
          <w:b w:val="0"/>
          <w:bCs/>
          <w:sz w:val="32"/>
          <w:szCs w:val="32"/>
        </w:rPr>
        <w:t>支出决算为10.92万元，完成预算100</w:t>
      </w:r>
      <w:r>
        <w:rPr>
          <w:rStyle w:val="a8"/>
          <w:rFonts w:ascii="仿宋" w:eastAsia="仿宋" w:hAnsi="仿宋"/>
          <w:b w:val="0"/>
          <w:bCs/>
          <w:sz w:val="32"/>
          <w:szCs w:val="32"/>
        </w:rPr>
        <w:t>%</w:t>
      </w:r>
      <w:r>
        <w:rPr>
          <w:rStyle w:val="a8"/>
          <w:rFonts w:ascii="仿宋" w:eastAsia="仿宋" w:hAnsi="仿宋" w:hint="eastAsia"/>
          <w:b w:val="0"/>
          <w:bCs/>
          <w:sz w:val="32"/>
          <w:szCs w:val="32"/>
        </w:rPr>
        <w:t>；</w:t>
      </w:r>
      <w:r>
        <w:rPr>
          <w:rStyle w:val="a8"/>
          <w:rFonts w:ascii="仿宋" w:eastAsia="仿宋" w:hAnsi="仿宋" w:hint="eastAsia"/>
          <w:bCs/>
          <w:sz w:val="32"/>
          <w:szCs w:val="32"/>
        </w:rPr>
        <w:t>社会保障和就业（类）行政事业单位养老支出（款）机关事业单位基本养老保险缴费支出（项）</w:t>
      </w:r>
      <w:r>
        <w:rPr>
          <w:rStyle w:val="a8"/>
          <w:rFonts w:ascii="仿宋" w:eastAsia="仿宋" w:hAnsi="仿宋"/>
          <w:bCs/>
          <w:sz w:val="32"/>
          <w:szCs w:val="32"/>
        </w:rPr>
        <w:t>:</w:t>
      </w:r>
      <w:r>
        <w:rPr>
          <w:rStyle w:val="a8"/>
          <w:rFonts w:ascii="仿宋" w:eastAsia="仿宋" w:hAnsi="仿宋" w:hint="eastAsia"/>
          <w:b w:val="0"/>
          <w:bCs/>
          <w:sz w:val="32"/>
          <w:szCs w:val="32"/>
        </w:rPr>
        <w:t>支出决算为22.15万元，完成预算100</w:t>
      </w:r>
      <w:r>
        <w:rPr>
          <w:rStyle w:val="a8"/>
          <w:rFonts w:ascii="仿宋" w:eastAsia="仿宋" w:hAnsi="仿宋"/>
          <w:b w:val="0"/>
          <w:bCs/>
          <w:sz w:val="32"/>
          <w:szCs w:val="32"/>
        </w:rPr>
        <w:t>%</w:t>
      </w:r>
      <w:r>
        <w:rPr>
          <w:rStyle w:val="a8"/>
          <w:rFonts w:ascii="仿宋" w:eastAsia="仿宋" w:hAnsi="仿宋" w:hint="eastAsia"/>
          <w:b w:val="0"/>
          <w:bCs/>
          <w:sz w:val="32"/>
          <w:szCs w:val="32"/>
        </w:rPr>
        <w:t>；</w:t>
      </w:r>
      <w:r>
        <w:rPr>
          <w:rStyle w:val="a8"/>
          <w:rFonts w:ascii="仿宋" w:eastAsia="仿宋" w:hAnsi="仿宋" w:hint="eastAsia"/>
          <w:bCs/>
          <w:sz w:val="32"/>
          <w:szCs w:val="32"/>
        </w:rPr>
        <w:t>社会保障和就业（类）抚恤（款）死亡抚恤（项）</w:t>
      </w:r>
      <w:r>
        <w:rPr>
          <w:rStyle w:val="a8"/>
          <w:rFonts w:ascii="仿宋" w:eastAsia="仿宋" w:hAnsi="仿宋"/>
          <w:bCs/>
          <w:sz w:val="32"/>
          <w:szCs w:val="32"/>
        </w:rPr>
        <w:t>:</w:t>
      </w:r>
      <w:r>
        <w:rPr>
          <w:rStyle w:val="a8"/>
          <w:rFonts w:ascii="仿宋" w:eastAsia="仿宋" w:hAnsi="仿宋" w:hint="eastAsia"/>
          <w:b w:val="0"/>
          <w:bCs/>
          <w:sz w:val="32"/>
          <w:szCs w:val="32"/>
        </w:rPr>
        <w:t>支出决算为18.93万元，完成预算100</w:t>
      </w:r>
      <w:r>
        <w:rPr>
          <w:rStyle w:val="a8"/>
          <w:rFonts w:ascii="仿宋" w:eastAsia="仿宋" w:hAnsi="仿宋"/>
          <w:b w:val="0"/>
          <w:bCs/>
          <w:sz w:val="32"/>
          <w:szCs w:val="32"/>
        </w:rPr>
        <w:t>%</w:t>
      </w:r>
      <w:r>
        <w:rPr>
          <w:rStyle w:val="a8"/>
          <w:rFonts w:ascii="仿宋" w:eastAsia="仿宋" w:hAnsi="仿宋" w:hint="eastAsia"/>
          <w:b w:val="0"/>
          <w:bCs/>
          <w:sz w:val="32"/>
          <w:szCs w:val="32"/>
        </w:rPr>
        <w:t>。</w:t>
      </w:r>
    </w:p>
    <w:p w:rsidR="00BA116A" w:rsidRDefault="003D1702" w:rsidP="00BA116A">
      <w:pPr>
        <w:spacing w:line="600" w:lineRule="exact"/>
        <w:ind w:firstLineChars="200" w:firstLine="640"/>
        <w:rPr>
          <w:rStyle w:val="a8"/>
          <w:rFonts w:ascii="仿宋" w:eastAsia="仿宋" w:hAnsi="仿宋"/>
          <w:b w:val="0"/>
          <w:bCs/>
          <w:sz w:val="32"/>
          <w:szCs w:val="32"/>
        </w:rPr>
      </w:pPr>
      <w:r>
        <w:rPr>
          <w:rStyle w:val="a8"/>
          <w:rFonts w:ascii="仿宋" w:eastAsia="仿宋" w:hAnsi="仿宋" w:hint="eastAsia"/>
          <w:bCs/>
          <w:sz w:val="32"/>
          <w:szCs w:val="32"/>
        </w:rPr>
        <w:lastRenderedPageBreak/>
        <w:t>3</w:t>
      </w:r>
      <w:r>
        <w:rPr>
          <w:rStyle w:val="a8"/>
          <w:rFonts w:ascii="仿宋" w:eastAsia="仿宋" w:hAnsi="仿宋"/>
          <w:bCs/>
          <w:sz w:val="32"/>
          <w:szCs w:val="32"/>
        </w:rPr>
        <w:t>.</w:t>
      </w:r>
      <w:r>
        <w:rPr>
          <w:rFonts w:ascii="仿宋" w:eastAsia="仿宋" w:hAnsi="仿宋" w:hint="eastAsia"/>
          <w:b/>
          <w:bCs/>
          <w:sz w:val="32"/>
          <w:szCs w:val="32"/>
        </w:rPr>
        <w:t xml:space="preserve"> 卫生健康</w:t>
      </w:r>
      <w:r>
        <w:rPr>
          <w:rStyle w:val="a8"/>
          <w:rFonts w:ascii="仿宋" w:eastAsia="仿宋" w:hAnsi="仿宋" w:hint="eastAsia"/>
          <w:bCs/>
          <w:sz w:val="32"/>
          <w:szCs w:val="32"/>
        </w:rPr>
        <w:t>（类）行政事业单位医疗（款）行政单位医疗（项）</w:t>
      </w:r>
      <w:r>
        <w:rPr>
          <w:rStyle w:val="a8"/>
          <w:rFonts w:ascii="仿宋" w:eastAsia="仿宋" w:hAnsi="仿宋"/>
          <w:bCs/>
          <w:sz w:val="32"/>
          <w:szCs w:val="32"/>
        </w:rPr>
        <w:t>:</w:t>
      </w:r>
      <w:r>
        <w:rPr>
          <w:rStyle w:val="a8"/>
          <w:rFonts w:ascii="仿宋" w:eastAsia="仿宋" w:hAnsi="仿宋" w:hint="eastAsia"/>
          <w:b w:val="0"/>
          <w:bCs/>
          <w:sz w:val="32"/>
          <w:szCs w:val="32"/>
        </w:rPr>
        <w:t>支出决算为15.54万元，完成预算100</w:t>
      </w:r>
      <w:r>
        <w:rPr>
          <w:rStyle w:val="a8"/>
          <w:rFonts w:ascii="仿宋" w:eastAsia="仿宋" w:hAnsi="仿宋"/>
          <w:b w:val="0"/>
          <w:bCs/>
          <w:sz w:val="32"/>
          <w:szCs w:val="32"/>
        </w:rPr>
        <w:t>%</w:t>
      </w:r>
      <w:r>
        <w:rPr>
          <w:rStyle w:val="a8"/>
          <w:rFonts w:ascii="仿宋" w:eastAsia="仿宋" w:hAnsi="仿宋" w:hint="eastAsia"/>
          <w:b w:val="0"/>
          <w:bCs/>
          <w:sz w:val="32"/>
          <w:szCs w:val="32"/>
        </w:rPr>
        <w:t>；</w:t>
      </w:r>
      <w:r>
        <w:rPr>
          <w:rFonts w:ascii="仿宋" w:eastAsia="仿宋" w:hAnsi="仿宋" w:hint="eastAsia"/>
          <w:b/>
          <w:bCs/>
          <w:sz w:val="32"/>
          <w:szCs w:val="32"/>
        </w:rPr>
        <w:t>卫生健康</w:t>
      </w:r>
      <w:r>
        <w:rPr>
          <w:rStyle w:val="a8"/>
          <w:rFonts w:ascii="仿宋" w:eastAsia="仿宋" w:hAnsi="仿宋" w:hint="eastAsia"/>
          <w:bCs/>
          <w:sz w:val="32"/>
          <w:szCs w:val="32"/>
        </w:rPr>
        <w:t>（类）行政事业单位医疗（款）事业单位医疗（项）</w:t>
      </w:r>
      <w:r>
        <w:rPr>
          <w:rStyle w:val="a8"/>
          <w:rFonts w:ascii="仿宋" w:eastAsia="仿宋" w:hAnsi="仿宋"/>
          <w:bCs/>
          <w:sz w:val="32"/>
          <w:szCs w:val="32"/>
        </w:rPr>
        <w:t>:</w:t>
      </w:r>
      <w:r>
        <w:rPr>
          <w:rStyle w:val="a8"/>
          <w:rFonts w:ascii="仿宋" w:eastAsia="仿宋" w:hAnsi="仿宋" w:hint="eastAsia"/>
          <w:b w:val="0"/>
          <w:bCs/>
          <w:sz w:val="32"/>
          <w:szCs w:val="32"/>
        </w:rPr>
        <w:t>支出决算为2.23万元，完成预算100</w:t>
      </w:r>
      <w:r>
        <w:rPr>
          <w:rStyle w:val="a8"/>
          <w:rFonts w:ascii="仿宋" w:eastAsia="仿宋" w:hAnsi="仿宋"/>
          <w:b w:val="0"/>
          <w:bCs/>
          <w:sz w:val="32"/>
          <w:szCs w:val="32"/>
        </w:rPr>
        <w:t>%</w:t>
      </w:r>
      <w:r>
        <w:rPr>
          <w:rStyle w:val="a8"/>
          <w:rFonts w:ascii="仿宋" w:eastAsia="仿宋" w:hAnsi="仿宋" w:hint="eastAsia"/>
          <w:b w:val="0"/>
          <w:bCs/>
          <w:sz w:val="32"/>
          <w:szCs w:val="32"/>
        </w:rPr>
        <w:t>；</w:t>
      </w:r>
      <w:r>
        <w:rPr>
          <w:rFonts w:ascii="仿宋" w:eastAsia="仿宋" w:hAnsi="仿宋" w:hint="eastAsia"/>
          <w:b/>
          <w:bCs/>
          <w:sz w:val="32"/>
          <w:szCs w:val="32"/>
        </w:rPr>
        <w:t>卫生健康</w:t>
      </w:r>
      <w:r>
        <w:rPr>
          <w:rStyle w:val="a8"/>
          <w:rFonts w:ascii="仿宋" w:eastAsia="仿宋" w:hAnsi="仿宋" w:hint="eastAsia"/>
          <w:bCs/>
          <w:sz w:val="32"/>
          <w:szCs w:val="32"/>
        </w:rPr>
        <w:t>（类）行政事业单位医疗（款）公务员医疗补助（项）</w:t>
      </w:r>
      <w:r>
        <w:rPr>
          <w:rStyle w:val="a8"/>
          <w:rFonts w:ascii="仿宋" w:eastAsia="仿宋" w:hAnsi="仿宋"/>
          <w:bCs/>
          <w:sz w:val="32"/>
          <w:szCs w:val="32"/>
        </w:rPr>
        <w:t>:</w:t>
      </w:r>
      <w:r>
        <w:rPr>
          <w:rStyle w:val="a8"/>
          <w:rFonts w:ascii="仿宋" w:eastAsia="仿宋" w:hAnsi="仿宋" w:hint="eastAsia"/>
          <w:b w:val="0"/>
          <w:bCs/>
          <w:sz w:val="32"/>
          <w:szCs w:val="32"/>
        </w:rPr>
        <w:t>支出决算为2.42万元，完成预算100</w:t>
      </w:r>
      <w:r>
        <w:rPr>
          <w:rStyle w:val="a8"/>
          <w:rFonts w:ascii="仿宋" w:eastAsia="仿宋" w:hAnsi="仿宋"/>
          <w:b w:val="0"/>
          <w:bCs/>
          <w:sz w:val="32"/>
          <w:szCs w:val="32"/>
        </w:rPr>
        <w:t>%</w:t>
      </w:r>
      <w:r>
        <w:rPr>
          <w:rStyle w:val="a8"/>
          <w:rFonts w:ascii="仿宋" w:eastAsia="仿宋" w:hAnsi="仿宋" w:hint="eastAsia"/>
          <w:b w:val="0"/>
          <w:bCs/>
          <w:sz w:val="32"/>
          <w:szCs w:val="32"/>
        </w:rPr>
        <w:t>。</w:t>
      </w:r>
    </w:p>
    <w:p w:rsidR="00BA116A" w:rsidRDefault="003D1702" w:rsidP="00BA116A">
      <w:pPr>
        <w:spacing w:line="600" w:lineRule="exact"/>
        <w:ind w:firstLineChars="150" w:firstLine="480"/>
        <w:rPr>
          <w:rStyle w:val="a8"/>
          <w:rFonts w:ascii="仿宋" w:eastAsia="仿宋" w:hAnsi="仿宋"/>
          <w:b w:val="0"/>
          <w:bCs/>
          <w:sz w:val="32"/>
          <w:szCs w:val="32"/>
        </w:rPr>
      </w:pPr>
      <w:r>
        <w:rPr>
          <w:rStyle w:val="a8"/>
          <w:rFonts w:ascii="仿宋" w:eastAsia="仿宋" w:hAnsi="仿宋" w:hint="eastAsia"/>
          <w:bCs/>
          <w:sz w:val="32"/>
          <w:szCs w:val="32"/>
        </w:rPr>
        <w:t xml:space="preserve"> 4</w:t>
      </w:r>
      <w:r>
        <w:rPr>
          <w:rStyle w:val="a8"/>
          <w:rFonts w:ascii="仿宋" w:eastAsia="仿宋" w:hAnsi="仿宋"/>
          <w:bCs/>
          <w:sz w:val="32"/>
          <w:szCs w:val="32"/>
        </w:rPr>
        <w:t>.</w:t>
      </w:r>
      <w:r>
        <w:rPr>
          <w:rStyle w:val="a8"/>
          <w:rFonts w:ascii="仿宋" w:eastAsia="仿宋" w:hAnsi="仿宋" w:hint="eastAsia"/>
          <w:bCs/>
          <w:sz w:val="32"/>
          <w:szCs w:val="32"/>
        </w:rPr>
        <w:t>节能环保支出（类）自然生态保护（款）生态保护（项）</w:t>
      </w:r>
      <w:r>
        <w:rPr>
          <w:rStyle w:val="a8"/>
          <w:rFonts w:ascii="仿宋" w:eastAsia="仿宋" w:hAnsi="仿宋"/>
          <w:bCs/>
          <w:sz w:val="32"/>
          <w:szCs w:val="32"/>
        </w:rPr>
        <w:t>:</w:t>
      </w:r>
      <w:r>
        <w:rPr>
          <w:rStyle w:val="a8"/>
          <w:rFonts w:ascii="仿宋" w:eastAsia="仿宋" w:hAnsi="仿宋" w:hint="eastAsia"/>
          <w:b w:val="0"/>
          <w:bCs/>
          <w:sz w:val="32"/>
          <w:szCs w:val="32"/>
        </w:rPr>
        <w:t>支出决算为1850万元，完成预算100</w:t>
      </w:r>
      <w:r>
        <w:rPr>
          <w:rStyle w:val="a8"/>
          <w:rFonts w:ascii="仿宋" w:eastAsia="仿宋" w:hAnsi="仿宋"/>
          <w:b w:val="0"/>
          <w:bCs/>
          <w:sz w:val="32"/>
          <w:szCs w:val="32"/>
        </w:rPr>
        <w:t>%</w:t>
      </w:r>
      <w:r>
        <w:rPr>
          <w:rStyle w:val="a8"/>
          <w:rFonts w:ascii="仿宋" w:eastAsia="仿宋" w:hAnsi="仿宋" w:hint="eastAsia"/>
          <w:b w:val="0"/>
          <w:bCs/>
          <w:sz w:val="32"/>
          <w:szCs w:val="32"/>
        </w:rPr>
        <w:t>。</w:t>
      </w:r>
    </w:p>
    <w:p w:rsidR="00BA116A" w:rsidRDefault="003D1702" w:rsidP="00BA116A">
      <w:pPr>
        <w:spacing w:line="600" w:lineRule="exact"/>
        <w:ind w:firstLineChars="200" w:firstLine="640"/>
        <w:rPr>
          <w:rStyle w:val="a8"/>
          <w:rFonts w:ascii="仿宋" w:eastAsia="仿宋" w:hAnsi="仿宋"/>
          <w:b w:val="0"/>
          <w:bCs/>
          <w:sz w:val="32"/>
          <w:szCs w:val="32"/>
        </w:rPr>
      </w:pPr>
      <w:r>
        <w:rPr>
          <w:rStyle w:val="a8"/>
          <w:rFonts w:ascii="仿宋" w:eastAsia="仿宋" w:hAnsi="仿宋" w:hint="eastAsia"/>
          <w:bCs/>
          <w:sz w:val="32"/>
          <w:szCs w:val="32"/>
        </w:rPr>
        <w:t>5</w:t>
      </w:r>
      <w:r>
        <w:rPr>
          <w:rStyle w:val="a8"/>
          <w:rFonts w:ascii="仿宋" w:eastAsia="仿宋" w:hAnsi="仿宋"/>
          <w:bCs/>
          <w:sz w:val="32"/>
          <w:szCs w:val="32"/>
        </w:rPr>
        <w:t>.</w:t>
      </w:r>
      <w:r>
        <w:rPr>
          <w:rStyle w:val="a8"/>
          <w:rFonts w:ascii="仿宋" w:eastAsia="仿宋" w:hAnsi="仿宋" w:hint="eastAsia"/>
          <w:bCs/>
          <w:sz w:val="32"/>
          <w:szCs w:val="32"/>
        </w:rPr>
        <w:t>城乡社区（类）城乡社区管理事务（款）行政运行（项）</w:t>
      </w:r>
      <w:r>
        <w:rPr>
          <w:rStyle w:val="a8"/>
          <w:rFonts w:ascii="仿宋" w:eastAsia="仿宋" w:hAnsi="仿宋"/>
          <w:bCs/>
          <w:sz w:val="32"/>
          <w:szCs w:val="32"/>
        </w:rPr>
        <w:t>:</w:t>
      </w:r>
      <w:r>
        <w:rPr>
          <w:rStyle w:val="a8"/>
          <w:rFonts w:ascii="仿宋" w:eastAsia="仿宋" w:hAnsi="仿宋" w:hint="eastAsia"/>
          <w:b w:val="0"/>
          <w:bCs/>
          <w:sz w:val="32"/>
          <w:szCs w:val="32"/>
        </w:rPr>
        <w:t>支出决算为301.29万元，完成预算100</w:t>
      </w:r>
      <w:r>
        <w:rPr>
          <w:rStyle w:val="a8"/>
          <w:rFonts w:ascii="仿宋" w:eastAsia="仿宋" w:hAnsi="仿宋"/>
          <w:b w:val="0"/>
          <w:bCs/>
          <w:sz w:val="32"/>
          <w:szCs w:val="32"/>
        </w:rPr>
        <w:t>%</w:t>
      </w:r>
      <w:r>
        <w:rPr>
          <w:rStyle w:val="a8"/>
          <w:rFonts w:ascii="仿宋" w:eastAsia="仿宋" w:hAnsi="仿宋" w:hint="eastAsia"/>
          <w:b w:val="0"/>
          <w:bCs/>
          <w:sz w:val="32"/>
          <w:szCs w:val="32"/>
        </w:rPr>
        <w:t>；</w:t>
      </w:r>
      <w:r>
        <w:rPr>
          <w:rStyle w:val="a8"/>
          <w:rFonts w:ascii="仿宋" w:eastAsia="仿宋" w:hAnsi="仿宋" w:hint="eastAsia"/>
          <w:bCs/>
          <w:sz w:val="32"/>
          <w:szCs w:val="32"/>
        </w:rPr>
        <w:t>城乡社区（类）城乡社区管理事务（款）一般行政管理事务（项）</w:t>
      </w:r>
      <w:r>
        <w:rPr>
          <w:rStyle w:val="a8"/>
          <w:rFonts w:ascii="仿宋" w:eastAsia="仿宋" w:hAnsi="仿宋"/>
          <w:bCs/>
          <w:sz w:val="32"/>
          <w:szCs w:val="32"/>
        </w:rPr>
        <w:t>:</w:t>
      </w:r>
      <w:r>
        <w:rPr>
          <w:rStyle w:val="a8"/>
          <w:rFonts w:ascii="仿宋" w:eastAsia="仿宋" w:hAnsi="仿宋" w:hint="eastAsia"/>
          <w:b w:val="0"/>
          <w:bCs/>
          <w:sz w:val="32"/>
          <w:szCs w:val="32"/>
        </w:rPr>
        <w:t>支出决算为10万元，完成预算100</w:t>
      </w:r>
      <w:r>
        <w:rPr>
          <w:rStyle w:val="a8"/>
          <w:rFonts w:ascii="仿宋" w:eastAsia="仿宋" w:hAnsi="仿宋"/>
          <w:b w:val="0"/>
          <w:bCs/>
          <w:sz w:val="32"/>
          <w:szCs w:val="32"/>
        </w:rPr>
        <w:t>%</w:t>
      </w:r>
      <w:r>
        <w:rPr>
          <w:rFonts w:ascii="仿宋_GB2312" w:eastAsia="仿宋_GB2312" w:hAnsi="仿宋" w:hint="eastAsia"/>
          <w:bCs/>
          <w:color w:val="000000"/>
          <w:sz w:val="32"/>
          <w:szCs w:val="32"/>
        </w:rPr>
        <w:t>；</w:t>
      </w:r>
      <w:r>
        <w:rPr>
          <w:rStyle w:val="a8"/>
          <w:rFonts w:ascii="仿宋" w:eastAsia="仿宋" w:hAnsi="仿宋" w:hint="eastAsia"/>
          <w:bCs/>
          <w:sz w:val="32"/>
          <w:szCs w:val="32"/>
        </w:rPr>
        <w:t>城乡社区（类）城乡社区管理事务（款）其他城乡社区管理事务支出（项）</w:t>
      </w:r>
      <w:r>
        <w:rPr>
          <w:rStyle w:val="a8"/>
          <w:rFonts w:ascii="仿宋" w:eastAsia="仿宋" w:hAnsi="仿宋"/>
          <w:bCs/>
          <w:sz w:val="32"/>
          <w:szCs w:val="32"/>
        </w:rPr>
        <w:t>:</w:t>
      </w:r>
      <w:r>
        <w:rPr>
          <w:rStyle w:val="a8"/>
          <w:rFonts w:ascii="仿宋" w:eastAsia="仿宋" w:hAnsi="仿宋" w:hint="eastAsia"/>
          <w:b w:val="0"/>
          <w:bCs/>
          <w:sz w:val="32"/>
          <w:szCs w:val="32"/>
        </w:rPr>
        <w:t>支出决算为67.38万元，完成预算100</w:t>
      </w:r>
      <w:r>
        <w:rPr>
          <w:rStyle w:val="a8"/>
          <w:rFonts w:ascii="仿宋" w:eastAsia="仿宋" w:hAnsi="仿宋"/>
          <w:b w:val="0"/>
          <w:bCs/>
          <w:sz w:val="32"/>
          <w:szCs w:val="32"/>
        </w:rPr>
        <w:t>%</w:t>
      </w:r>
      <w:r>
        <w:rPr>
          <w:rStyle w:val="a8"/>
          <w:rFonts w:ascii="仿宋" w:eastAsia="仿宋" w:hAnsi="仿宋" w:hint="eastAsia"/>
          <w:b w:val="0"/>
          <w:bCs/>
          <w:sz w:val="32"/>
          <w:szCs w:val="32"/>
        </w:rPr>
        <w:t>；</w:t>
      </w:r>
      <w:r>
        <w:rPr>
          <w:rStyle w:val="a8"/>
          <w:rFonts w:ascii="仿宋" w:eastAsia="仿宋" w:hAnsi="仿宋" w:hint="eastAsia"/>
          <w:bCs/>
          <w:sz w:val="32"/>
          <w:szCs w:val="32"/>
        </w:rPr>
        <w:t>城乡社区（类）城乡社区公共设施（款）其他城乡社区公共设施支出（项）</w:t>
      </w:r>
      <w:r>
        <w:rPr>
          <w:rStyle w:val="a8"/>
          <w:rFonts w:ascii="仿宋" w:eastAsia="仿宋" w:hAnsi="仿宋"/>
          <w:bCs/>
          <w:sz w:val="32"/>
          <w:szCs w:val="32"/>
        </w:rPr>
        <w:t>:</w:t>
      </w:r>
      <w:r>
        <w:rPr>
          <w:rStyle w:val="a8"/>
          <w:rFonts w:ascii="仿宋" w:eastAsia="仿宋" w:hAnsi="仿宋" w:hint="eastAsia"/>
          <w:b w:val="0"/>
          <w:bCs/>
          <w:sz w:val="32"/>
          <w:szCs w:val="32"/>
        </w:rPr>
        <w:t>支出决算为11942.56万元，完成预算100</w:t>
      </w:r>
      <w:r>
        <w:rPr>
          <w:rStyle w:val="a8"/>
          <w:rFonts w:ascii="仿宋" w:eastAsia="仿宋" w:hAnsi="仿宋"/>
          <w:b w:val="0"/>
          <w:bCs/>
          <w:sz w:val="32"/>
          <w:szCs w:val="32"/>
        </w:rPr>
        <w:t>%</w:t>
      </w:r>
      <w:r>
        <w:rPr>
          <w:rStyle w:val="a8"/>
          <w:rFonts w:ascii="仿宋" w:eastAsia="仿宋" w:hAnsi="仿宋" w:hint="eastAsia"/>
          <w:b w:val="0"/>
          <w:bCs/>
          <w:sz w:val="32"/>
          <w:szCs w:val="32"/>
        </w:rPr>
        <w:t>；</w:t>
      </w:r>
      <w:r>
        <w:rPr>
          <w:rStyle w:val="a8"/>
          <w:rFonts w:ascii="仿宋" w:eastAsia="仿宋" w:hAnsi="仿宋" w:hint="eastAsia"/>
          <w:bCs/>
          <w:sz w:val="32"/>
          <w:szCs w:val="32"/>
        </w:rPr>
        <w:t>城乡社区（类）其他城乡社区支出（款）其他城乡社区支出（项）</w:t>
      </w:r>
      <w:r>
        <w:rPr>
          <w:rStyle w:val="a8"/>
          <w:rFonts w:ascii="仿宋" w:eastAsia="仿宋" w:hAnsi="仿宋"/>
          <w:bCs/>
          <w:sz w:val="32"/>
          <w:szCs w:val="32"/>
        </w:rPr>
        <w:t>:</w:t>
      </w:r>
      <w:r>
        <w:rPr>
          <w:rStyle w:val="a8"/>
          <w:rFonts w:ascii="仿宋" w:eastAsia="仿宋" w:hAnsi="仿宋" w:hint="eastAsia"/>
          <w:b w:val="0"/>
          <w:bCs/>
          <w:sz w:val="32"/>
          <w:szCs w:val="32"/>
        </w:rPr>
        <w:t>支出决算为464.74万元，完成预算100</w:t>
      </w:r>
      <w:r>
        <w:rPr>
          <w:rStyle w:val="a8"/>
          <w:rFonts w:ascii="仿宋" w:eastAsia="仿宋" w:hAnsi="仿宋"/>
          <w:b w:val="0"/>
          <w:bCs/>
          <w:sz w:val="32"/>
          <w:szCs w:val="32"/>
        </w:rPr>
        <w:t>%</w:t>
      </w:r>
      <w:r>
        <w:rPr>
          <w:rStyle w:val="a8"/>
          <w:rFonts w:ascii="仿宋" w:eastAsia="仿宋" w:hAnsi="仿宋" w:hint="eastAsia"/>
          <w:b w:val="0"/>
          <w:bCs/>
          <w:sz w:val="32"/>
          <w:szCs w:val="32"/>
        </w:rPr>
        <w:t>。</w:t>
      </w:r>
    </w:p>
    <w:p w:rsidR="00BA116A" w:rsidRDefault="003D1702" w:rsidP="00BA116A">
      <w:pPr>
        <w:spacing w:line="600" w:lineRule="exact"/>
        <w:ind w:firstLineChars="200" w:firstLine="640"/>
      </w:pPr>
      <w:r>
        <w:rPr>
          <w:rStyle w:val="a8"/>
          <w:rFonts w:ascii="仿宋" w:eastAsia="仿宋" w:hAnsi="仿宋" w:hint="eastAsia"/>
          <w:bCs/>
          <w:sz w:val="32"/>
          <w:szCs w:val="32"/>
        </w:rPr>
        <w:t>6.</w:t>
      </w:r>
      <w:r>
        <w:rPr>
          <w:rFonts w:ascii="仿宋" w:eastAsia="仿宋" w:hAnsi="仿宋" w:hint="eastAsia"/>
          <w:b/>
          <w:bCs/>
          <w:sz w:val="32"/>
          <w:szCs w:val="32"/>
        </w:rPr>
        <w:t>农林水支出</w:t>
      </w:r>
      <w:r>
        <w:rPr>
          <w:rStyle w:val="a8"/>
          <w:rFonts w:ascii="仿宋" w:eastAsia="仿宋" w:hAnsi="仿宋" w:hint="eastAsia"/>
          <w:bCs/>
          <w:sz w:val="32"/>
          <w:szCs w:val="32"/>
        </w:rPr>
        <w:t>（类）其他</w:t>
      </w:r>
      <w:r>
        <w:rPr>
          <w:rFonts w:ascii="仿宋" w:eastAsia="仿宋" w:hAnsi="仿宋" w:hint="eastAsia"/>
          <w:b/>
          <w:bCs/>
          <w:sz w:val="32"/>
          <w:szCs w:val="32"/>
        </w:rPr>
        <w:t>农林水支出</w:t>
      </w:r>
      <w:r>
        <w:rPr>
          <w:rStyle w:val="a8"/>
          <w:rFonts w:ascii="仿宋" w:eastAsia="仿宋" w:hAnsi="仿宋" w:hint="eastAsia"/>
          <w:bCs/>
          <w:sz w:val="32"/>
          <w:szCs w:val="32"/>
        </w:rPr>
        <w:t>（款）化解其他公益性乡村债务支出（项）</w:t>
      </w:r>
      <w:r>
        <w:rPr>
          <w:rStyle w:val="a8"/>
          <w:rFonts w:ascii="仿宋" w:eastAsia="仿宋" w:hAnsi="仿宋"/>
          <w:bCs/>
          <w:sz w:val="32"/>
          <w:szCs w:val="32"/>
        </w:rPr>
        <w:t>:</w:t>
      </w:r>
      <w:r>
        <w:rPr>
          <w:rStyle w:val="a8"/>
          <w:rFonts w:ascii="仿宋" w:eastAsia="仿宋" w:hAnsi="仿宋" w:hint="eastAsia"/>
          <w:b w:val="0"/>
          <w:bCs/>
          <w:sz w:val="32"/>
          <w:szCs w:val="32"/>
        </w:rPr>
        <w:t>支出决算为2180万元，完成预算100</w:t>
      </w:r>
      <w:r>
        <w:rPr>
          <w:rStyle w:val="a8"/>
          <w:rFonts w:ascii="仿宋" w:eastAsia="仿宋" w:hAnsi="仿宋"/>
          <w:b w:val="0"/>
          <w:bCs/>
          <w:sz w:val="32"/>
          <w:szCs w:val="32"/>
        </w:rPr>
        <w:t>%</w:t>
      </w:r>
      <w:r>
        <w:rPr>
          <w:rStyle w:val="a8"/>
          <w:rFonts w:ascii="仿宋" w:eastAsia="仿宋" w:hAnsi="仿宋" w:hint="eastAsia"/>
          <w:b w:val="0"/>
          <w:bCs/>
          <w:sz w:val="32"/>
          <w:szCs w:val="32"/>
        </w:rPr>
        <w:t>。</w:t>
      </w:r>
    </w:p>
    <w:p w:rsidR="00BA116A" w:rsidRDefault="003D1702" w:rsidP="00BA116A">
      <w:pPr>
        <w:spacing w:line="600" w:lineRule="exact"/>
        <w:ind w:firstLineChars="200" w:firstLine="640"/>
        <w:rPr>
          <w:rFonts w:ascii="仿宋" w:eastAsia="仿宋" w:hAnsi="仿宋"/>
          <w:b/>
          <w:sz w:val="32"/>
          <w:szCs w:val="32"/>
        </w:rPr>
      </w:pPr>
      <w:r>
        <w:rPr>
          <w:rStyle w:val="a8"/>
          <w:rFonts w:ascii="仿宋" w:eastAsia="仿宋" w:hAnsi="仿宋" w:hint="eastAsia"/>
          <w:bCs/>
          <w:sz w:val="32"/>
          <w:szCs w:val="32"/>
        </w:rPr>
        <w:t>7</w:t>
      </w:r>
      <w:r>
        <w:rPr>
          <w:rStyle w:val="a8"/>
          <w:rFonts w:ascii="仿宋" w:eastAsia="仿宋" w:hAnsi="仿宋"/>
          <w:bCs/>
          <w:sz w:val="32"/>
          <w:szCs w:val="32"/>
        </w:rPr>
        <w:t>.</w:t>
      </w:r>
      <w:r>
        <w:rPr>
          <w:rFonts w:ascii="仿宋" w:eastAsia="仿宋" w:hAnsi="仿宋" w:hint="eastAsia"/>
          <w:b/>
          <w:bCs/>
          <w:sz w:val="32"/>
          <w:szCs w:val="32"/>
        </w:rPr>
        <w:t>保障住房支出</w:t>
      </w:r>
      <w:r>
        <w:rPr>
          <w:rStyle w:val="a8"/>
          <w:rFonts w:ascii="仿宋" w:eastAsia="仿宋" w:hAnsi="仿宋" w:hint="eastAsia"/>
          <w:bCs/>
          <w:sz w:val="32"/>
          <w:szCs w:val="32"/>
        </w:rPr>
        <w:t>（类）保障性安居工程支出（款）棚户区改造（项）</w:t>
      </w:r>
      <w:r>
        <w:rPr>
          <w:rStyle w:val="a8"/>
          <w:rFonts w:ascii="仿宋" w:eastAsia="仿宋" w:hAnsi="仿宋"/>
          <w:bCs/>
          <w:sz w:val="32"/>
          <w:szCs w:val="32"/>
        </w:rPr>
        <w:t>:</w:t>
      </w:r>
      <w:r>
        <w:rPr>
          <w:rStyle w:val="a8"/>
          <w:rFonts w:ascii="仿宋" w:eastAsia="仿宋" w:hAnsi="仿宋" w:hint="eastAsia"/>
          <w:b w:val="0"/>
          <w:bCs/>
          <w:sz w:val="32"/>
          <w:szCs w:val="32"/>
        </w:rPr>
        <w:t>支出决算为100万元，完成预算100</w:t>
      </w:r>
      <w:r>
        <w:rPr>
          <w:rStyle w:val="a8"/>
          <w:rFonts w:ascii="仿宋" w:eastAsia="仿宋" w:hAnsi="仿宋"/>
          <w:b w:val="0"/>
          <w:bCs/>
          <w:sz w:val="32"/>
          <w:szCs w:val="32"/>
        </w:rPr>
        <w:t>%</w:t>
      </w:r>
      <w:r>
        <w:rPr>
          <w:rFonts w:ascii="仿宋" w:eastAsia="仿宋" w:hAnsi="仿宋" w:hint="eastAsia"/>
          <w:b/>
          <w:sz w:val="32"/>
          <w:szCs w:val="32"/>
        </w:rPr>
        <w:t>；</w:t>
      </w:r>
      <w:r>
        <w:rPr>
          <w:rFonts w:ascii="仿宋" w:eastAsia="仿宋" w:hAnsi="仿宋" w:hint="eastAsia"/>
          <w:b/>
          <w:bCs/>
          <w:sz w:val="32"/>
          <w:szCs w:val="32"/>
        </w:rPr>
        <w:t>保障</w:t>
      </w:r>
      <w:r>
        <w:rPr>
          <w:rFonts w:ascii="仿宋" w:eastAsia="仿宋" w:hAnsi="仿宋" w:hint="eastAsia"/>
          <w:b/>
          <w:bCs/>
          <w:sz w:val="32"/>
          <w:szCs w:val="32"/>
        </w:rPr>
        <w:lastRenderedPageBreak/>
        <w:t>住房支出</w:t>
      </w:r>
      <w:r>
        <w:rPr>
          <w:rStyle w:val="a8"/>
          <w:rFonts w:ascii="仿宋" w:eastAsia="仿宋" w:hAnsi="仿宋" w:hint="eastAsia"/>
          <w:bCs/>
          <w:sz w:val="32"/>
          <w:szCs w:val="32"/>
        </w:rPr>
        <w:t>（类）保障性安居工程支出（款）农村危房改造（项）</w:t>
      </w:r>
      <w:r>
        <w:rPr>
          <w:rStyle w:val="a8"/>
          <w:rFonts w:ascii="仿宋" w:eastAsia="仿宋" w:hAnsi="仿宋"/>
          <w:bCs/>
          <w:sz w:val="32"/>
          <w:szCs w:val="32"/>
        </w:rPr>
        <w:t>:</w:t>
      </w:r>
      <w:r>
        <w:rPr>
          <w:rStyle w:val="a8"/>
          <w:rFonts w:ascii="仿宋" w:eastAsia="仿宋" w:hAnsi="仿宋" w:hint="eastAsia"/>
          <w:b w:val="0"/>
          <w:bCs/>
          <w:sz w:val="32"/>
          <w:szCs w:val="32"/>
        </w:rPr>
        <w:t>支出决算为30万元，完成预算100</w:t>
      </w:r>
      <w:r>
        <w:rPr>
          <w:rStyle w:val="a8"/>
          <w:rFonts w:ascii="仿宋" w:eastAsia="仿宋" w:hAnsi="仿宋"/>
          <w:b w:val="0"/>
          <w:bCs/>
          <w:sz w:val="32"/>
          <w:szCs w:val="32"/>
        </w:rPr>
        <w:t>%</w:t>
      </w:r>
      <w:r>
        <w:rPr>
          <w:rFonts w:ascii="仿宋" w:eastAsia="仿宋" w:hAnsi="仿宋" w:hint="eastAsia"/>
          <w:b/>
          <w:sz w:val="32"/>
          <w:szCs w:val="32"/>
        </w:rPr>
        <w:t>；</w:t>
      </w:r>
      <w:r>
        <w:rPr>
          <w:rFonts w:ascii="仿宋" w:eastAsia="仿宋" w:hAnsi="仿宋" w:hint="eastAsia"/>
          <w:b/>
          <w:bCs/>
          <w:sz w:val="32"/>
          <w:szCs w:val="32"/>
        </w:rPr>
        <w:t>保障住房支出</w:t>
      </w:r>
      <w:r>
        <w:rPr>
          <w:rStyle w:val="a8"/>
          <w:rFonts w:ascii="仿宋" w:eastAsia="仿宋" w:hAnsi="仿宋" w:hint="eastAsia"/>
          <w:bCs/>
          <w:sz w:val="32"/>
          <w:szCs w:val="32"/>
        </w:rPr>
        <w:t>（类）保障性安居工程支出（款）公共租赁住房（项）</w:t>
      </w:r>
      <w:r>
        <w:rPr>
          <w:rStyle w:val="a8"/>
          <w:rFonts w:ascii="仿宋" w:eastAsia="仿宋" w:hAnsi="仿宋"/>
          <w:bCs/>
          <w:sz w:val="32"/>
          <w:szCs w:val="32"/>
        </w:rPr>
        <w:t>:</w:t>
      </w:r>
      <w:r>
        <w:rPr>
          <w:rStyle w:val="a8"/>
          <w:rFonts w:ascii="仿宋" w:eastAsia="仿宋" w:hAnsi="仿宋" w:hint="eastAsia"/>
          <w:b w:val="0"/>
          <w:bCs/>
          <w:sz w:val="32"/>
          <w:szCs w:val="32"/>
        </w:rPr>
        <w:t>支出决算为27.54万元，完成预算100</w:t>
      </w:r>
      <w:r>
        <w:rPr>
          <w:rStyle w:val="a8"/>
          <w:rFonts w:ascii="仿宋" w:eastAsia="仿宋" w:hAnsi="仿宋"/>
          <w:b w:val="0"/>
          <w:bCs/>
          <w:sz w:val="32"/>
          <w:szCs w:val="32"/>
        </w:rPr>
        <w:t>%</w:t>
      </w:r>
      <w:r>
        <w:rPr>
          <w:rFonts w:ascii="仿宋" w:eastAsia="仿宋" w:hAnsi="仿宋" w:hint="eastAsia"/>
          <w:b/>
          <w:sz w:val="32"/>
          <w:szCs w:val="32"/>
        </w:rPr>
        <w:t>；</w:t>
      </w:r>
      <w:r>
        <w:rPr>
          <w:rFonts w:ascii="仿宋" w:eastAsia="仿宋" w:hAnsi="仿宋" w:hint="eastAsia"/>
          <w:b/>
          <w:bCs/>
          <w:sz w:val="32"/>
          <w:szCs w:val="32"/>
        </w:rPr>
        <w:t>保障住房支出</w:t>
      </w:r>
      <w:r>
        <w:rPr>
          <w:rStyle w:val="a8"/>
          <w:rFonts w:ascii="仿宋" w:eastAsia="仿宋" w:hAnsi="仿宋" w:hint="eastAsia"/>
          <w:bCs/>
          <w:sz w:val="32"/>
          <w:szCs w:val="32"/>
        </w:rPr>
        <w:t>（类）保障性安居工程支出（款）保障性住房租金补贴（项）</w:t>
      </w:r>
      <w:r>
        <w:rPr>
          <w:rStyle w:val="a8"/>
          <w:rFonts w:ascii="仿宋" w:eastAsia="仿宋" w:hAnsi="仿宋"/>
          <w:bCs/>
          <w:sz w:val="32"/>
          <w:szCs w:val="32"/>
        </w:rPr>
        <w:t>:</w:t>
      </w:r>
      <w:r>
        <w:rPr>
          <w:rStyle w:val="a8"/>
          <w:rFonts w:ascii="仿宋" w:eastAsia="仿宋" w:hAnsi="仿宋" w:hint="eastAsia"/>
          <w:b w:val="0"/>
          <w:bCs/>
          <w:sz w:val="32"/>
          <w:szCs w:val="32"/>
        </w:rPr>
        <w:t>支出决算为2.4万元，完成预算100</w:t>
      </w:r>
      <w:r>
        <w:rPr>
          <w:rStyle w:val="a8"/>
          <w:rFonts w:ascii="仿宋" w:eastAsia="仿宋" w:hAnsi="仿宋"/>
          <w:b w:val="0"/>
          <w:bCs/>
          <w:sz w:val="32"/>
          <w:szCs w:val="32"/>
        </w:rPr>
        <w:t>%</w:t>
      </w:r>
      <w:r>
        <w:rPr>
          <w:rFonts w:ascii="仿宋" w:eastAsia="仿宋" w:hAnsi="仿宋" w:hint="eastAsia"/>
          <w:b/>
          <w:sz w:val="32"/>
          <w:szCs w:val="32"/>
        </w:rPr>
        <w:t>；</w:t>
      </w:r>
      <w:r>
        <w:rPr>
          <w:rFonts w:ascii="仿宋" w:eastAsia="仿宋" w:hAnsi="仿宋" w:hint="eastAsia"/>
          <w:b/>
          <w:bCs/>
          <w:sz w:val="32"/>
          <w:szCs w:val="32"/>
        </w:rPr>
        <w:t>保障住房支出</w:t>
      </w:r>
      <w:r>
        <w:rPr>
          <w:rStyle w:val="a8"/>
          <w:rFonts w:ascii="仿宋" w:eastAsia="仿宋" w:hAnsi="仿宋" w:hint="eastAsia"/>
          <w:bCs/>
          <w:sz w:val="32"/>
          <w:szCs w:val="32"/>
        </w:rPr>
        <w:t>（类）保障性安居工程支出（款）老旧小区改造（项）</w:t>
      </w:r>
      <w:r>
        <w:rPr>
          <w:rStyle w:val="a8"/>
          <w:rFonts w:ascii="仿宋" w:eastAsia="仿宋" w:hAnsi="仿宋"/>
          <w:bCs/>
          <w:sz w:val="32"/>
          <w:szCs w:val="32"/>
        </w:rPr>
        <w:t>:</w:t>
      </w:r>
      <w:r>
        <w:rPr>
          <w:rStyle w:val="a8"/>
          <w:rFonts w:ascii="仿宋" w:eastAsia="仿宋" w:hAnsi="仿宋" w:hint="eastAsia"/>
          <w:b w:val="0"/>
          <w:bCs/>
          <w:sz w:val="32"/>
          <w:szCs w:val="32"/>
        </w:rPr>
        <w:t>支出决算为2094.56万元，完成预算100</w:t>
      </w:r>
      <w:r>
        <w:rPr>
          <w:rStyle w:val="a8"/>
          <w:rFonts w:ascii="仿宋" w:eastAsia="仿宋" w:hAnsi="仿宋"/>
          <w:b w:val="0"/>
          <w:bCs/>
          <w:sz w:val="32"/>
          <w:szCs w:val="32"/>
        </w:rPr>
        <w:t>%</w:t>
      </w:r>
      <w:r>
        <w:rPr>
          <w:rFonts w:ascii="仿宋" w:eastAsia="仿宋" w:hAnsi="仿宋" w:hint="eastAsia"/>
          <w:b/>
          <w:sz w:val="32"/>
          <w:szCs w:val="32"/>
        </w:rPr>
        <w:t>；</w:t>
      </w:r>
      <w:r>
        <w:rPr>
          <w:rFonts w:ascii="仿宋" w:eastAsia="仿宋" w:hAnsi="仿宋" w:hint="eastAsia"/>
          <w:b/>
          <w:bCs/>
          <w:sz w:val="32"/>
          <w:szCs w:val="32"/>
        </w:rPr>
        <w:t>保障住房支出</w:t>
      </w:r>
      <w:r>
        <w:rPr>
          <w:rStyle w:val="a8"/>
          <w:rFonts w:ascii="仿宋" w:eastAsia="仿宋" w:hAnsi="仿宋" w:hint="eastAsia"/>
          <w:bCs/>
          <w:sz w:val="32"/>
          <w:szCs w:val="32"/>
        </w:rPr>
        <w:t>（类）保障性安居工程支出（款）其他保障性安居工程支出（项）</w:t>
      </w:r>
      <w:r>
        <w:rPr>
          <w:rStyle w:val="a8"/>
          <w:rFonts w:ascii="仿宋" w:eastAsia="仿宋" w:hAnsi="仿宋"/>
          <w:bCs/>
          <w:sz w:val="32"/>
          <w:szCs w:val="32"/>
        </w:rPr>
        <w:t>:</w:t>
      </w:r>
      <w:r>
        <w:rPr>
          <w:rStyle w:val="a8"/>
          <w:rFonts w:ascii="仿宋" w:eastAsia="仿宋" w:hAnsi="仿宋" w:hint="eastAsia"/>
          <w:b w:val="0"/>
          <w:bCs/>
          <w:sz w:val="32"/>
          <w:szCs w:val="32"/>
        </w:rPr>
        <w:t>支出决算为9.9万元，完成预算100</w:t>
      </w:r>
      <w:r>
        <w:rPr>
          <w:rStyle w:val="a8"/>
          <w:rFonts w:ascii="仿宋" w:eastAsia="仿宋" w:hAnsi="仿宋"/>
          <w:b w:val="0"/>
          <w:bCs/>
          <w:sz w:val="32"/>
          <w:szCs w:val="32"/>
        </w:rPr>
        <w:t>%</w:t>
      </w:r>
      <w:r>
        <w:rPr>
          <w:rFonts w:ascii="仿宋" w:eastAsia="仿宋" w:hAnsi="仿宋" w:hint="eastAsia"/>
          <w:b/>
          <w:sz w:val="32"/>
          <w:szCs w:val="32"/>
        </w:rPr>
        <w:t>；</w:t>
      </w:r>
      <w:r>
        <w:rPr>
          <w:rFonts w:ascii="仿宋" w:eastAsia="仿宋" w:hAnsi="仿宋" w:hint="eastAsia"/>
          <w:b/>
          <w:bCs/>
          <w:sz w:val="32"/>
          <w:szCs w:val="32"/>
        </w:rPr>
        <w:t>保障住房支出</w:t>
      </w:r>
      <w:r>
        <w:rPr>
          <w:rStyle w:val="a8"/>
          <w:rFonts w:ascii="仿宋" w:eastAsia="仿宋" w:hAnsi="仿宋" w:hint="eastAsia"/>
          <w:bCs/>
          <w:sz w:val="32"/>
          <w:szCs w:val="32"/>
        </w:rPr>
        <w:t>（类）住房改革支出（款）住房公积金（项）</w:t>
      </w:r>
      <w:r>
        <w:rPr>
          <w:rStyle w:val="a8"/>
          <w:rFonts w:ascii="仿宋" w:eastAsia="仿宋" w:hAnsi="仿宋"/>
          <w:bCs/>
          <w:sz w:val="32"/>
          <w:szCs w:val="32"/>
        </w:rPr>
        <w:t>:</w:t>
      </w:r>
      <w:r>
        <w:rPr>
          <w:rStyle w:val="a8"/>
          <w:rFonts w:ascii="仿宋" w:eastAsia="仿宋" w:hAnsi="仿宋" w:hint="eastAsia"/>
          <w:b w:val="0"/>
          <w:bCs/>
          <w:sz w:val="32"/>
          <w:szCs w:val="32"/>
        </w:rPr>
        <w:t>支出决算为27.85万元，完成预算100</w:t>
      </w:r>
      <w:r>
        <w:rPr>
          <w:rStyle w:val="a8"/>
          <w:rFonts w:ascii="仿宋" w:eastAsia="仿宋" w:hAnsi="仿宋"/>
          <w:b w:val="0"/>
          <w:bCs/>
          <w:sz w:val="32"/>
          <w:szCs w:val="32"/>
        </w:rPr>
        <w:t>%</w:t>
      </w:r>
      <w:r>
        <w:rPr>
          <w:rFonts w:ascii="仿宋" w:eastAsia="仿宋" w:hAnsi="仿宋" w:hint="eastAsia"/>
          <w:b/>
          <w:sz w:val="32"/>
          <w:szCs w:val="32"/>
        </w:rPr>
        <w:t>。</w:t>
      </w:r>
    </w:p>
    <w:p w:rsidR="00BA116A" w:rsidRDefault="00BA116A">
      <w:pPr>
        <w:spacing w:line="600" w:lineRule="exact"/>
        <w:rPr>
          <w:rFonts w:ascii="仿宋" w:eastAsia="仿宋" w:hAnsi="仿宋"/>
          <w:b/>
          <w:sz w:val="32"/>
          <w:szCs w:val="32"/>
        </w:rPr>
      </w:pPr>
    </w:p>
    <w:p w:rsidR="00BA116A" w:rsidRDefault="003D1702">
      <w:pPr>
        <w:tabs>
          <w:tab w:val="right" w:pos="8306"/>
        </w:tabs>
        <w:spacing w:line="600" w:lineRule="exact"/>
        <w:ind w:firstLine="640"/>
        <w:outlineLvl w:val="1"/>
        <w:rPr>
          <w:rStyle w:val="2Char"/>
        </w:rPr>
      </w:pPr>
      <w:bookmarkStart w:id="34" w:name="_Toc15396608"/>
      <w:bookmarkStart w:id="35" w:name="_Toc15377214"/>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34"/>
      <w:bookmarkEnd w:id="35"/>
      <w:r>
        <w:rPr>
          <w:rStyle w:val="2Char"/>
          <w:rFonts w:ascii="黑体" w:eastAsia="黑体" w:hAnsi="黑体"/>
          <w:b w:val="0"/>
        </w:rPr>
        <w:tab/>
      </w:r>
    </w:p>
    <w:p w:rsidR="00BA116A" w:rsidRDefault="003D1702">
      <w:pPr>
        <w:spacing w:line="600" w:lineRule="exact"/>
        <w:ind w:firstLine="645"/>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22年一般公共预算财政拨款基本支出439.43元，其中：</w:t>
      </w:r>
    </w:p>
    <w:p w:rsidR="00BA116A" w:rsidRDefault="003D1702">
      <w:pPr>
        <w:spacing w:line="600" w:lineRule="exact"/>
        <w:ind w:firstLine="645"/>
        <w:rPr>
          <w:rFonts w:ascii="仿宋" w:eastAsia="仿宋" w:hAnsi="仿宋"/>
          <w:sz w:val="32"/>
          <w:szCs w:val="32"/>
        </w:rPr>
      </w:pPr>
      <w:r>
        <w:rPr>
          <w:rFonts w:ascii="仿宋" w:eastAsia="仿宋" w:hAnsi="仿宋" w:hint="eastAsia"/>
          <w:sz w:val="32"/>
          <w:szCs w:val="32"/>
        </w:rPr>
        <w:t>人员经费398.43万元，主要包括：基本工资、津贴补贴、奖金、绩效工资、机关事业单位基本养老保险缴费、职业年金缴费、其他社会保障缴费、其他工资福利支出、退休费、抚恤金、生活补助、住房公积金、其他对个人和家庭的补助支出等。</w:t>
      </w:r>
      <w:r>
        <w:rPr>
          <w:rFonts w:ascii="仿宋" w:eastAsia="仿宋" w:hAnsi="仿宋"/>
          <w:sz w:val="32"/>
          <w:szCs w:val="32"/>
        </w:rPr>
        <w:br/>
      </w:r>
      <w:r>
        <w:rPr>
          <w:rFonts w:ascii="仿宋" w:eastAsia="仿宋" w:hAnsi="仿宋" w:hint="eastAsia"/>
          <w:sz w:val="32"/>
          <w:szCs w:val="32"/>
        </w:rPr>
        <w:t xml:space="preserve">　　公用经费41.21万元，主要包括：办公费、咨询费、水费、电费、邮电费、差旅费、培训费、公务接待费、工会经</w:t>
      </w:r>
      <w:r>
        <w:rPr>
          <w:rFonts w:ascii="仿宋" w:eastAsia="仿宋" w:hAnsi="仿宋" w:hint="eastAsia"/>
          <w:sz w:val="32"/>
          <w:szCs w:val="32"/>
        </w:rPr>
        <w:lastRenderedPageBreak/>
        <w:t>费、福利费、公务用车运行维护费、其他交通费等。</w:t>
      </w:r>
    </w:p>
    <w:p w:rsidR="00BA116A" w:rsidRDefault="003D1702">
      <w:pPr>
        <w:spacing w:line="600" w:lineRule="exact"/>
        <w:ind w:firstLine="640"/>
        <w:outlineLvl w:val="1"/>
        <w:rPr>
          <w:rStyle w:val="2Char"/>
          <w:rFonts w:ascii="黑体" w:eastAsia="黑体" w:hAnsi="黑体"/>
          <w:b w:val="0"/>
        </w:rPr>
      </w:pPr>
      <w:bookmarkStart w:id="36" w:name="_Toc15377215"/>
      <w:bookmarkStart w:id="37" w:name="_Toc15396609"/>
      <w:r>
        <w:rPr>
          <w:rFonts w:ascii="黑体" w:eastAsia="黑体" w:hint="eastAsia"/>
          <w:sz w:val="32"/>
          <w:szCs w:val="32"/>
        </w:rPr>
        <w:t>七、</w:t>
      </w:r>
      <w:r>
        <w:rPr>
          <w:rStyle w:val="2Char"/>
          <w:rFonts w:ascii="黑体" w:eastAsia="黑体" w:hAnsi="黑体" w:hint="eastAsia"/>
          <w:b w:val="0"/>
        </w:rPr>
        <w:t>财政拨款</w:t>
      </w:r>
      <w:r>
        <w:rPr>
          <w:rStyle w:val="2Char"/>
          <w:rFonts w:ascii="黑体" w:eastAsia="黑体" w:hAnsi="黑体" w:hint="eastAsia"/>
        </w:rPr>
        <w:t>“</w:t>
      </w:r>
      <w:r>
        <w:rPr>
          <w:rStyle w:val="2Char"/>
          <w:rFonts w:ascii="黑体" w:eastAsia="黑体" w:hAnsi="黑体" w:hint="eastAsia"/>
          <w:b w:val="0"/>
        </w:rPr>
        <w:t>三公”经费支出决算情况说明</w:t>
      </w:r>
      <w:bookmarkEnd w:id="36"/>
      <w:bookmarkEnd w:id="37"/>
    </w:p>
    <w:p w:rsidR="00BA116A" w:rsidRDefault="003D1702">
      <w:pPr>
        <w:spacing w:line="600" w:lineRule="exact"/>
        <w:ind w:firstLine="640"/>
        <w:outlineLvl w:val="2"/>
        <w:rPr>
          <w:rFonts w:ascii="仿宋" w:eastAsia="仿宋" w:hAnsi="仿宋"/>
          <w:b/>
          <w:sz w:val="32"/>
          <w:szCs w:val="32"/>
        </w:rPr>
      </w:pPr>
      <w:bookmarkStart w:id="38" w:name="_Toc15377216"/>
      <w:r>
        <w:rPr>
          <w:rFonts w:ascii="仿宋" w:eastAsia="仿宋" w:hAnsi="仿宋" w:hint="eastAsia"/>
          <w:b/>
          <w:sz w:val="32"/>
          <w:szCs w:val="32"/>
        </w:rPr>
        <w:t>（一）“三公”经费财政拨款支出决算总体情况说明</w:t>
      </w:r>
      <w:bookmarkEnd w:id="38"/>
    </w:p>
    <w:p w:rsidR="00BA116A" w:rsidRDefault="003D1702">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22年“三公”经费财政拨款支出决算为2.93万元，完成预算100</w:t>
      </w:r>
      <w:r>
        <w:rPr>
          <w:rFonts w:ascii="仿宋" w:eastAsia="仿宋" w:hAnsi="仿宋"/>
          <w:sz w:val="32"/>
          <w:szCs w:val="32"/>
        </w:rPr>
        <w:t>%</w:t>
      </w:r>
      <w:r>
        <w:rPr>
          <w:rFonts w:ascii="仿宋" w:eastAsia="仿宋" w:hAnsi="仿宋" w:hint="eastAsia"/>
          <w:sz w:val="32"/>
          <w:szCs w:val="32"/>
        </w:rPr>
        <w:t>，较上年减少0.1万元，下降3.3%。决算数与预算数持平。</w:t>
      </w:r>
    </w:p>
    <w:p w:rsidR="00BA116A" w:rsidRDefault="003D1702">
      <w:pPr>
        <w:spacing w:line="600" w:lineRule="exact"/>
        <w:ind w:firstLine="640"/>
        <w:outlineLvl w:val="2"/>
        <w:rPr>
          <w:rFonts w:ascii="仿宋" w:eastAsia="仿宋" w:hAnsi="仿宋"/>
          <w:b/>
          <w:sz w:val="32"/>
          <w:szCs w:val="32"/>
        </w:rPr>
      </w:pPr>
      <w:bookmarkStart w:id="39" w:name="_Toc15377217"/>
      <w:r>
        <w:rPr>
          <w:rFonts w:ascii="仿宋" w:eastAsia="仿宋" w:hAnsi="仿宋" w:hint="eastAsia"/>
          <w:b/>
          <w:sz w:val="32"/>
          <w:szCs w:val="32"/>
        </w:rPr>
        <w:t>（二）“三公”经费财政拨款支出决算具体情况说明</w:t>
      </w:r>
      <w:bookmarkEnd w:id="39"/>
    </w:p>
    <w:p w:rsidR="00BA116A" w:rsidRDefault="003D1702">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22年“三公”经费财政拨款支出决算中，因公出国（境）费支出决算0万元，占0</w:t>
      </w:r>
      <w:r>
        <w:rPr>
          <w:rFonts w:ascii="仿宋" w:eastAsia="仿宋" w:hAnsi="仿宋"/>
          <w:sz w:val="32"/>
          <w:szCs w:val="32"/>
        </w:rPr>
        <w:t>%</w:t>
      </w:r>
      <w:r>
        <w:rPr>
          <w:rFonts w:ascii="仿宋" w:eastAsia="仿宋" w:hAnsi="仿宋" w:hint="eastAsia"/>
          <w:sz w:val="32"/>
          <w:szCs w:val="32"/>
        </w:rPr>
        <w:t>；公务用车购置及运行维护费支出决算2.5万元，占85.32</w:t>
      </w:r>
      <w:r>
        <w:rPr>
          <w:rFonts w:ascii="仿宋" w:eastAsia="仿宋" w:hAnsi="仿宋"/>
          <w:sz w:val="32"/>
          <w:szCs w:val="32"/>
        </w:rPr>
        <w:t>%</w:t>
      </w:r>
      <w:r>
        <w:rPr>
          <w:rFonts w:ascii="仿宋" w:eastAsia="仿宋" w:hAnsi="仿宋" w:hint="eastAsia"/>
          <w:sz w:val="32"/>
          <w:szCs w:val="32"/>
        </w:rPr>
        <w:t>；公务接待费支出决算0.43万元，占14.68</w:t>
      </w:r>
      <w:r>
        <w:rPr>
          <w:rFonts w:ascii="仿宋" w:eastAsia="仿宋" w:hAnsi="仿宋"/>
          <w:sz w:val="32"/>
          <w:szCs w:val="32"/>
        </w:rPr>
        <w:t>%</w:t>
      </w:r>
      <w:r>
        <w:rPr>
          <w:rFonts w:ascii="仿宋" w:eastAsia="仿宋" w:hAnsi="仿宋" w:hint="eastAsia"/>
          <w:sz w:val="32"/>
          <w:szCs w:val="32"/>
        </w:rPr>
        <w:t>。具体情况如下：</w:t>
      </w:r>
    </w:p>
    <w:p w:rsidR="00BA116A" w:rsidRDefault="003D1702">
      <w:pPr>
        <w:spacing w:line="600" w:lineRule="exact"/>
        <w:ind w:firstLine="640"/>
        <w:rPr>
          <w:rFonts w:ascii="仿宋" w:eastAsia="仿宋" w:hAnsi="仿宋"/>
          <w:sz w:val="32"/>
          <w:szCs w:val="32"/>
        </w:rPr>
      </w:pPr>
      <w:r>
        <w:rPr>
          <w:rFonts w:ascii="仿宋" w:eastAsia="仿宋" w:hAnsi="仿宋" w:hint="eastAsia"/>
          <w:sz w:val="32"/>
          <w:szCs w:val="32"/>
        </w:rPr>
        <w:t>（图7：“三公”经费财政拨款支出结构）（饼状图）</w:t>
      </w:r>
    </w:p>
    <w:p w:rsidR="00BA116A" w:rsidRDefault="003D1702" w:rsidP="00BA116A">
      <w:pPr>
        <w:pStyle w:val="a0"/>
        <w:spacing w:before="93"/>
      </w:pPr>
      <w:r>
        <w:rPr>
          <w:noProof/>
        </w:rPr>
        <w:drawing>
          <wp:inline distT="0" distB="0" distL="114300" distR="114300">
            <wp:extent cx="5074285" cy="3664585"/>
            <wp:effectExtent l="4445" t="4445" r="11430" b="19050"/>
            <wp:docPr id="6"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A116A" w:rsidRDefault="003D1702">
      <w:pPr>
        <w:spacing w:line="600" w:lineRule="exact"/>
        <w:ind w:firstLine="640"/>
        <w:rPr>
          <w:rFonts w:ascii="仿宋_GB2312" w:eastAsia="仿宋_GB2312"/>
          <w:b/>
          <w:sz w:val="32"/>
          <w:szCs w:val="32"/>
        </w:rPr>
      </w:pPr>
      <w:r>
        <w:rPr>
          <w:rFonts w:ascii="仿宋_GB2312" w:eastAsia="仿宋_GB2312"/>
          <w:b/>
          <w:sz w:val="32"/>
          <w:szCs w:val="32"/>
        </w:rPr>
        <w:t>1.</w:t>
      </w:r>
      <w:r>
        <w:rPr>
          <w:rFonts w:ascii="仿宋_GB2312" w:eastAsia="仿宋_GB2312" w:hint="eastAsia"/>
          <w:b/>
          <w:sz w:val="32"/>
          <w:szCs w:val="32"/>
        </w:rPr>
        <w:t>因公出国（境）经费支出</w:t>
      </w:r>
      <w:r>
        <w:rPr>
          <w:rFonts w:ascii="仿宋_GB2312" w:eastAsia="仿宋_GB2312" w:hint="eastAsia"/>
          <w:sz w:val="32"/>
          <w:szCs w:val="32"/>
        </w:rPr>
        <w:t>0万元，</w:t>
      </w:r>
      <w:r>
        <w:rPr>
          <w:rStyle w:val="a8"/>
          <w:rFonts w:ascii="仿宋" w:eastAsia="仿宋" w:hAnsi="仿宋" w:hint="eastAsia"/>
          <w:b w:val="0"/>
          <w:bCs/>
          <w:sz w:val="32"/>
          <w:szCs w:val="32"/>
        </w:rPr>
        <w:t>完成预算0</w:t>
      </w:r>
      <w:r>
        <w:rPr>
          <w:rStyle w:val="a8"/>
          <w:rFonts w:ascii="仿宋" w:eastAsia="仿宋" w:hAnsi="仿宋"/>
          <w:b w:val="0"/>
          <w:bCs/>
          <w:sz w:val="32"/>
          <w:szCs w:val="32"/>
        </w:rPr>
        <w:t>%</w:t>
      </w:r>
      <w:r>
        <w:rPr>
          <w:rStyle w:val="a8"/>
          <w:rFonts w:ascii="仿宋" w:eastAsia="仿宋" w:hAnsi="仿宋" w:hint="eastAsia"/>
          <w:b w:val="0"/>
          <w:bCs/>
          <w:sz w:val="32"/>
          <w:szCs w:val="32"/>
        </w:rPr>
        <w:t>。</w:t>
      </w:r>
      <w:r>
        <w:rPr>
          <w:rFonts w:ascii="仿宋_GB2312" w:eastAsia="仿宋_GB2312" w:hint="eastAsia"/>
          <w:sz w:val="32"/>
          <w:szCs w:val="32"/>
        </w:rPr>
        <w:t>全</w:t>
      </w:r>
      <w:r>
        <w:rPr>
          <w:rFonts w:ascii="仿宋_GB2312" w:eastAsia="仿宋_GB2312" w:hint="eastAsia"/>
          <w:sz w:val="32"/>
          <w:szCs w:val="32"/>
        </w:rPr>
        <w:lastRenderedPageBreak/>
        <w:t>年安排因公出国（境）团组0次，出国（境）0人。因公出国（境）支出决算与2021年持平。</w:t>
      </w:r>
    </w:p>
    <w:p w:rsidR="00BA116A" w:rsidRDefault="003D1702">
      <w:pPr>
        <w:spacing w:line="600" w:lineRule="exact"/>
        <w:ind w:firstLine="640"/>
        <w:rPr>
          <w:rFonts w:ascii="仿宋_GB2312" w:eastAsia="仿宋_GB2312"/>
          <w:b/>
          <w:sz w:val="32"/>
          <w:szCs w:val="32"/>
        </w:rPr>
      </w:pPr>
      <w:r>
        <w:rPr>
          <w:rFonts w:ascii="仿宋_GB2312" w:eastAsia="仿宋_GB2312"/>
          <w:b/>
          <w:sz w:val="32"/>
          <w:szCs w:val="32"/>
        </w:rPr>
        <w:t>2.</w:t>
      </w:r>
      <w:r>
        <w:rPr>
          <w:rFonts w:ascii="仿宋_GB2312" w:eastAsia="仿宋_GB2312" w:hint="eastAsia"/>
          <w:b/>
          <w:sz w:val="32"/>
          <w:szCs w:val="32"/>
        </w:rPr>
        <w:t>公务用车购置及运行维护费支出</w:t>
      </w:r>
      <w:r>
        <w:rPr>
          <w:rFonts w:ascii="仿宋_GB2312" w:eastAsia="仿宋_GB2312" w:hint="eastAsia"/>
          <w:sz w:val="32"/>
          <w:szCs w:val="32"/>
        </w:rPr>
        <w:t>2.5万元,</w:t>
      </w:r>
      <w:r>
        <w:rPr>
          <w:rStyle w:val="a8"/>
          <w:rFonts w:ascii="仿宋" w:eastAsia="仿宋" w:hAnsi="仿宋" w:hint="eastAsia"/>
          <w:b w:val="0"/>
          <w:bCs/>
          <w:sz w:val="32"/>
          <w:szCs w:val="32"/>
        </w:rPr>
        <w:t>完成预算100</w:t>
      </w:r>
      <w:r>
        <w:rPr>
          <w:rStyle w:val="a8"/>
          <w:rFonts w:ascii="仿宋" w:eastAsia="仿宋" w:hAnsi="仿宋"/>
          <w:b w:val="0"/>
          <w:bCs/>
          <w:sz w:val="32"/>
          <w:szCs w:val="32"/>
        </w:rPr>
        <w:t>%</w:t>
      </w:r>
      <w:r>
        <w:rPr>
          <w:rStyle w:val="a8"/>
          <w:rFonts w:ascii="仿宋" w:eastAsia="仿宋" w:hAnsi="仿宋" w:hint="eastAsia"/>
          <w:b w:val="0"/>
          <w:bCs/>
          <w:sz w:val="32"/>
          <w:szCs w:val="32"/>
        </w:rPr>
        <w:t>。</w:t>
      </w:r>
      <w:r>
        <w:rPr>
          <w:rFonts w:ascii="仿宋_GB2312" w:eastAsia="仿宋_GB2312" w:hint="eastAsia"/>
          <w:sz w:val="32"/>
          <w:szCs w:val="32"/>
        </w:rPr>
        <w:t>公务用车购置及运行维护费支出决算与</w:t>
      </w:r>
      <w:r>
        <w:rPr>
          <w:rFonts w:ascii="仿宋_GB2312" w:eastAsia="仿宋_GB2312"/>
          <w:sz w:val="32"/>
          <w:szCs w:val="32"/>
        </w:rPr>
        <w:t>20</w:t>
      </w:r>
      <w:r>
        <w:rPr>
          <w:rFonts w:ascii="仿宋_GB2312" w:eastAsia="仿宋_GB2312" w:hint="eastAsia"/>
          <w:sz w:val="32"/>
          <w:szCs w:val="32"/>
        </w:rPr>
        <w:t>21年持平。</w:t>
      </w:r>
    </w:p>
    <w:p w:rsidR="00BA116A" w:rsidRDefault="003D1702">
      <w:pPr>
        <w:spacing w:line="600" w:lineRule="exact"/>
        <w:ind w:firstLineChars="200" w:firstLine="640"/>
        <w:rPr>
          <w:rFonts w:ascii="仿宋_GB2312" w:eastAsia="仿宋_GB2312"/>
          <w:b/>
          <w:sz w:val="32"/>
          <w:szCs w:val="32"/>
        </w:rPr>
      </w:pPr>
      <w:r>
        <w:rPr>
          <w:rFonts w:ascii="仿宋_GB2312" w:eastAsia="仿宋_GB2312" w:hint="eastAsia"/>
          <w:sz w:val="32"/>
          <w:szCs w:val="32"/>
        </w:rPr>
        <w:t>其中：</w:t>
      </w:r>
      <w:r>
        <w:rPr>
          <w:rFonts w:ascii="仿宋_GB2312" w:eastAsia="仿宋_GB2312" w:hint="eastAsia"/>
          <w:b/>
          <w:sz w:val="32"/>
          <w:szCs w:val="32"/>
        </w:rPr>
        <w:t>公务用车购置支出</w:t>
      </w:r>
      <w:r>
        <w:rPr>
          <w:rFonts w:ascii="仿宋_GB2312" w:eastAsia="仿宋_GB2312" w:hint="eastAsia"/>
          <w:sz w:val="32"/>
          <w:szCs w:val="32"/>
        </w:rPr>
        <w:t>0万元。全年按规定更新购置公务用车0辆，其中：轿车0辆、金额0万元，越野车0辆、金额0万元，载客汽车0辆、金额0万元。</w:t>
      </w:r>
    </w:p>
    <w:p w:rsidR="00BA116A" w:rsidRDefault="003D1702">
      <w:pPr>
        <w:spacing w:line="600" w:lineRule="exact"/>
        <w:ind w:firstLine="640"/>
        <w:rPr>
          <w:rFonts w:ascii="仿宋_GB2312" w:eastAsia="仿宋_GB2312"/>
          <w:sz w:val="32"/>
          <w:szCs w:val="32"/>
        </w:rPr>
      </w:pPr>
      <w:r>
        <w:rPr>
          <w:rFonts w:ascii="仿宋_GB2312" w:eastAsia="仿宋_GB2312" w:hint="eastAsia"/>
          <w:b/>
          <w:sz w:val="32"/>
          <w:szCs w:val="32"/>
        </w:rPr>
        <w:t>公务用车运行维护费支出</w:t>
      </w:r>
      <w:r>
        <w:rPr>
          <w:rFonts w:ascii="仿宋_GB2312" w:eastAsia="仿宋_GB2312" w:hint="eastAsia"/>
          <w:sz w:val="32"/>
          <w:szCs w:val="32"/>
        </w:rPr>
        <w:t>2.5万元。主要用于</w:t>
      </w:r>
      <w:r>
        <w:rPr>
          <w:rFonts w:ascii="仿宋_GB2312" w:eastAsia="仿宋_GB2312" w:hint="eastAsia"/>
          <w:color w:val="000000"/>
          <w:sz w:val="32"/>
          <w:szCs w:val="32"/>
        </w:rPr>
        <w:t>人防工作、建设施工工地检查</w:t>
      </w:r>
      <w:r>
        <w:rPr>
          <w:rFonts w:ascii="仿宋_GB2312" w:eastAsia="仿宋_GB2312" w:hint="eastAsia"/>
          <w:sz w:val="32"/>
          <w:szCs w:val="32"/>
        </w:rPr>
        <w:t>等所需的公务用车燃料费、维修费、过路过桥费、保险费等支出。</w:t>
      </w:r>
    </w:p>
    <w:p w:rsidR="00BA116A" w:rsidRDefault="003D1702">
      <w:pPr>
        <w:spacing w:line="600" w:lineRule="exact"/>
        <w:ind w:firstLine="640"/>
        <w:rPr>
          <w:rFonts w:ascii="仿宋_GB2312" w:eastAsia="仿宋_GB2312"/>
          <w:sz w:val="32"/>
          <w:szCs w:val="32"/>
        </w:rPr>
      </w:pPr>
      <w:r>
        <w:rPr>
          <w:rFonts w:ascii="仿宋_GB2312" w:eastAsia="仿宋_GB2312"/>
          <w:b/>
          <w:sz w:val="32"/>
          <w:szCs w:val="32"/>
        </w:rPr>
        <w:t>3.</w:t>
      </w:r>
      <w:r>
        <w:rPr>
          <w:rFonts w:ascii="仿宋_GB2312" w:eastAsia="仿宋_GB2312" w:hint="eastAsia"/>
          <w:b/>
          <w:sz w:val="32"/>
          <w:szCs w:val="32"/>
        </w:rPr>
        <w:t>公务接待费支出</w:t>
      </w:r>
      <w:r>
        <w:rPr>
          <w:rFonts w:ascii="仿宋_GB2312" w:eastAsia="仿宋_GB2312" w:hint="eastAsia"/>
          <w:sz w:val="32"/>
          <w:szCs w:val="32"/>
        </w:rPr>
        <w:t>0.43万元，</w:t>
      </w:r>
      <w:r>
        <w:rPr>
          <w:rStyle w:val="a8"/>
          <w:rFonts w:ascii="仿宋" w:eastAsia="仿宋" w:hAnsi="仿宋" w:hint="eastAsia"/>
          <w:b w:val="0"/>
          <w:bCs/>
          <w:sz w:val="32"/>
          <w:szCs w:val="32"/>
        </w:rPr>
        <w:t>完成预算100</w:t>
      </w:r>
      <w:r>
        <w:rPr>
          <w:rStyle w:val="a8"/>
          <w:rFonts w:ascii="仿宋" w:eastAsia="仿宋" w:hAnsi="仿宋"/>
          <w:b w:val="0"/>
          <w:bCs/>
          <w:sz w:val="32"/>
          <w:szCs w:val="32"/>
        </w:rPr>
        <w:t>%</w:t>
      </w:r>
      <w:r>
        <w:rPr>
          <w:rStyle w:val="a8"/>
          <w:rFonts w:ascii="仿宋" w:eastAsia="仿宋" w:hAnsi="仿宋" w:hint="eastAsia"/>
          <w:b w:val="0"/>
          <w:bCs/>
          <w:sz w:val="32"/>
          <w:szCs w:val="32"/>
        </w:rPr>
        <w:t>。</w:t>
      </w:r>
      <w:r>
        <w:rPr>
          <w:rFonts w:ascii="仿宋_GB2312" w:eastAsia="仿宋_GB2312" w:hint="eastAsia"/>
          <w:sz w:val="32"/>
          <w:szCs w:val="32"/>
        </w:rPr>
        <w:t>公务接待费支出决算比</w:t>
      </w:r>
      <w:r>
        <w:rPr>
          <w:rFonts w:ascii="仿宋_GB2312" w:eastAsia="仿宋_GB2312"/>
          <w:sz w:val="32"/>
          <w:szCs w:val="32"/>
        </w:rPr>
        <w:t>20</w:t>
      </w:r>
      <w:r>
        <w:rPr>
          <w:rFonts w:ascii="仿宋_GB2312" w:eastAsia="仿宋_GB2312" w:hint="eastAsia"/>
          <w:sz w:val="32"/>
          <w:szCs w:val="32"/>
        </w:rPr>
        <w:t>21年减少0.1万元，下降3.3</w:t>
      </w:r>
      <w:r>
        <w:rPr>
          <w:rFonts w:ascii="仿宋_GB2312" w:eastAsia="仿宋_GB2312"/>
          <w:sz w:val="32"/>
          <w:szCs w:val="32"/>
        </w:rPr>
        <w:t>%</w:t>
      </w:r>
      <w:r>
        <w:rPr>
          <w:rFonts w:ascii="仿宋_GB2312" w:eastAsia="仿宋_GB2312" w:hint="eastAsia"/>
          <w:sz w:val="32"/>
          <w:szCs w:val="32"/>
        </w:rPr>
        <w:t>。主要原因是公务接待减少。</w:t>
      </w:r>
    </w:p>
    <w:p w:rsidR="00BA116A" w:rsidRDefault="003D1702">
      <w:pPr>
        <w:spacing w:line="600" w:lineRule="exact"/>
        <w:ind w:firstLine="640"/>
        <w:rPr>
          <w:rFonts w:ascii="仿宋_GB2312" w:eastAsia="仿宋_GB2312"/>
          <w:color w:val="000000"/>
          <w:sz w:val="32"/>
          <w:szCs w:val="32"/>
        </w:rPr>
      </w:pPr>
      <w:r>
        <w:rPr>
          <w:rFonts w:ascii="仿宋" w:eastAsia="仿宋" w:hAnsi="仿宋" w:hint="eastAsia"/>
          <w:b/>
          <w:sz w:val="32"/>
          <w:szCs w:val="32"/>
        </w:rPr>
        <w:t>国内公务接待支出</w:t>
      </w:r>
      <w:r>
        <w:rPr>
          <w:rFonts w:ascii="仿宋" w:eastAsia="仿宋" w:hAnsi="仿宋" w:hint="eastAsia"/>
          <w:sz w:val="32"/>
          <w:szCs w:val="32"/>
        </w:rPr>
        <w:t>0.43</w:t>
      </w:r>
      <w:r>
        <w:rPr>
          <w:rFonts w:ascii="仿宋_GB2312" w:eastAsia="仿宋_GB2312" w:hint="eastAsia"/>
          <w:sz w:val="32"/>
          <w:szCs w:val="32"/>
        </w:rPr>
        <w:t>万元，主要用于执行公务、开展业务活动开支的用餐费。国内公务接待3批次，27人次（不包括陪同人员），共计支出0.43万元，具体内容包括：</w:t>
      </w:r>
      <w:r>
        <w:rPr>
          <w:rFonts w:ascii="仿宋_GB2312" w:eastAsia="仿宋_GB2312" w:hint="eastAsia"/>
          <w:color w:val="000000"/>
          <w:sz w:val="32"/>
          <w:szCs w:val="32"/>
        </w:rPr>
        <w:t>协调保障性住房事宜1次，支出0.12万元；接待检查工作2次，支出0.31万元</w:t>
      </w:r>
    </w:p>
    <w:p w:rsidR="00BA116A" w:rsidRDefault="003D1702">
      <w:pPr>
        <w:spacing w:line="600" w:lineRule="exact"/>
        <w:ind w:firstLine="640"/>
        <w:rPr>
          <w:rFonts w:ascii="仿宋_GB2312" w:eastAsia="仿宋_GB2312"/>
          <w:sz w:val="32"/>
          <w:szCs w:val="32"/>
        </w:rPr>
      </w:pPr>
      <w:r>
        <w:rPr>
          <w:rFonts w:ascii="仿宋" w:eastAsia="仿宋" w:hAnsi="仿宋" w:hint="eastAsia"/>
          <w:b/>
          <w:sz w:val="32"/>
          <w:szCs w:val="32"/>
        </w:rPr>
        <w:t>外事接待支出</w:t>
      </w:r>
      <w:r>
        <w:rPr>
          <w:rFonts w:ascii="仿宋" w:eastAsia="仿宋" w:hAnsi="仿宋" w:hint="eastAsia"/>
          <w:sz w:val="32"/>
          <w:szCs w:val="32"/>
        </w:rPr>
        <w:t>0</w:t>
      </w:r>
      <w:r>
        <w:rPr>
          <w:rFonts w:ascii="仿宋_GB2312" w:eastAsia="仿宋_GB2312" w:hint="eastAsia"/>
          <w:sz w:val="32"/>
          <w:szCs w:val="32"/>
        </w:rPr>
        <w:t>万元。</w:t>
      </w:r>
    </w:p>
    <w:p w:rsidR="00BA116A" w:rsidRDefault="00BA116A">
      <w:pPr>
        <w:spacing w:line="600" w:lineRule="exact"/>
        <w:ind w:firstLine="640"/>
        <w:outlineLvl w:val="1"/>
        <w:rPr>
          <w:rFonts w:ascii="黑体" w:eastAsia="黑体"/>
          <w:sz w:val="32"/>
          <w:szCs w:val="32"/>
        </w:rPr>
      </w:pPr>
      <w:bookmarkStart w:id="40" w:name="_Toc15377218"/>
      <w:bookmarkStart w:id="41" w:name="_Toc15396610"/>
    </w:p>
    <w:p w:rsidR="00BA116A" w:rsidRDefault="003D1702">
      <w:pPr>
        <w:spacing w:line="600" w:lineRule="exact"/>
        <w:ind w:firstLine="640"/>
        <w:outlineLvl w:val="1"/>
        <w:rPr>
          <w:rStyle w:val="2Char"/>
          <w:rFonts w:ascii="黑体" w:eastAsia="黑体" w:hAnsi="黑体"/>
        </w:rPr>
      </w:pPr>
      <w:r>
        <w:rPr>
          <w:rFonts w:ascii="黑体" w:eastAsia="黑体" w:hint="eastAsia"/>
          <w:sz w:val="32"/>
          <w:szCs w:val="32"/>
        </w:rPr>
        <w:t>八、</w:t>
      </w:r>
      <w:r>
        <w:rPr>
          <w:rStyle w:val="2Char"/>
          <w:rFonts w:ascii="黑体" w:eastAsia="黑体" w:hAnsi="黑体" w:hint="eastAsia"/>
          <w:b w:val="0"/>
        </w:rPr>
        <w:t>政府性基金预算支出决算情况说明</w:t>
      </w:r>
      <w:bookmarkEnd w:id="40"/>
      <w:bookmarkEnd w:id="41"/>
    </w:p>
    <w:p w:rsidR="00BA116A" w:rsidRDefault="003D1702">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22年政府性基金预算财政拨款支出2272.76万元。</w:t>
      </w:r>
    </w:p>
    <w:p w:rsidR="00BA116A" w:rsidRDefault="00BA116A">
      <w:pPr>
        <w:spacing w:line="600" w:lineRule="exact"/>
        <w:ind w:firstLine="640"/>
        <w:rPr>
          <w:rFonts w:ascii="仿宋_GB2312" w:eastAsia="仿宋_GB2312"/>
          <w:sz w:val="32"/>
          <w:szCs w:val="32"/>
        </w:rPr>
      </w:pPr>
    </w:p>
    <w:p w:rsidR="00BA116A" w:rsidRDefault="003D1702">
      <w:pPr>
        <w:numPr>
          <w:ilvl w:val="0"/>
          <w:numId w:val="3"/>
        </w:numPr>
        <w:spacing w:line="600" w:lineRule="exact"/>
        <w:ind w:firstLine="640"/>
        <w:outlineLvl w:val="1"/>
        <w:rPr>
          <w:rStyle w:val="2Char"/>
          <w:rFonts w:ascii="黑体" w:eastAsia="黑体" w:hAnsi="黑体"/>
          <w:b w:val="0"/>
        </w:rPr>
      </w:pPr>
      <w:bookmarkStart w:id="42" w:name="_Toc15396611"/>
      <w:bookmarkStart w:id="43" w:name="_Toc15377219"/>
      <w:r>
        <w:rPr>
          <w:rStyle w:val="2Char"/>
          <w:rFonts w:ascii="黑体" w:eastAsia="黑体" w:hAnsi="黑体" w:hint="eastAsia"/>
          <w:b w:val="0"/>
        </w:rPr>
        <w:lastRenderedPageBreak/>
        <w:t>国有资本经营预算支出决算情况说明</w:t>
      </w:r>
      <w:bookmarkEnd w:id="42"/>
      <w:bookmarkEnd w:id="43"/>
    </w:p>
    <w:p w:rsidR="00BA116A" w:rsidRDefault="003D1702">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22年国有资本经营预算财政拨款支出2580万元。</w:t>
      </w:r>
    </w:p>
    <w:p w:rsidR="00BA116A" w:rsidRDefault="00BA116A">
      <w:pPr>
        <w:spacing w:line="580" w:lineRule="exact"/>
        <w:jc w:val="center"/>
        <w:rPr>
          <w:rFonts w:ascii="方正小标宋简体" w:eastAsia="方正小标宋简体" w:hAnsi="方正小标宋简体" w:cs="方正小标宋简体"/>
          <w:sz w:val="44"/>
          <w:szCs w:val="44"/>
        </w:rPr>
      </w:pPr>
    </w:p>
    <w:p w:rsidR="00BA116A" w:rsidRDefault="003D1702">
      <w:pPr>
        <w:numPr>
          <w:ilvl w:val="0"/>
          <w:numId w:val="3"/>
        </w:numPr>
        <w:spacing w:line="600" w:lineRule="exact"/>
        <w:ind w:firstLine="640"/>
        <w:outlineLvl w:val="1"/>
        <w:rPr>
          <w:rStyle w:val="2Char"/>
          <w:rFonts w:ascii="黑体" w:eastAsia="黑体" w:hAnsi="黑体"/>
          <w:b w:val="0"/>
        </w:rPr>
      </w:pPr>
      <w:bookmarkStart w:id="44" w:name="_Toc15377221"/>
      <w:bookmarkStart w:id="45" w:name="_Toc15396612"/>
      <w:r>
        <w:rPr>
          <w:rStyle w:val="2Char"/>
          <w:rFonts w:ascii="黑体" w:eastAsia="黑体" w:hAnsi="黑体" w:hint="eastAsia"/>
          <w:b w:val="0"/>
        </w:rPr>
        <w:t>其他重要事项的情况说明</w:t>
      </w:r>
      <w:bookmarkEnd w:id="44"/>
      <w:bookmarkEnd w:id="45"/>
    </w:p>
    <w:p w:rsidR="00BA116A" w:rsidRDefault="003D1702" w:rsidP="00BA116A">
      <w:pPr>
        <w:spacing w:line="600" w:lineRule="exact"/>
        <w:ind w:firstLineChars="200" w:firstLine="640"/>
        <w:outlineLvl w:val="2"/>
        <w:rPr>
          <w:rFonts w:ascii="仿宋" w:eastAsia="仿宋" w:hAnsi="仿宋"/>
          <w:sz w:val="32"/>
          <w:szCs w:val="32"/>
        </w:rPr>
      </w:pPr>
      <w:bookmarkStart w:id="46" w:name="_Toc15377222"/>
      <w:r>
        <w:rPr>
          <w:rFonts w:ascii="仿宋" w:eastAsia="仿宋" w:hAnsi="仿宋" w:hint="eastAsia"/>
          <w:b/>
          <w:sz w:val="32"/>
          <w:szCs w:val="32"/>
        </w:rPr>
        <w:t>（一）机关运行经费支出情况</w:t>
      </w:r>
      <w:bookmarkEnd w:id="46"/>
    </w:p>
    <w:p w:rsidR="00BA116A" w:rsidRDefault="003D1702">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22年，西区住房和城乡建设局机关运行经费支出41.21万元，比</w:t>
      </w:r>
      <w:r>
        <w:rPr>
          <w:rFonts w:ascii="仿宋_GB2312" w:eastAsia="仿宋_GB2312"/>
          <w:sz w:val="32"/>
          <w:szCs w:val="32"/>
        </w:rPr>
        <w:t>20</w:t>
      </w:r>
      <w:r>
        <w:rPr>
          <w:rFonts w:ascii="仿宋_GB2312" w:eastAsia="仿宋_GB2312" w:hint="eastAsia"/>
          <w:sz w:val="32"/>
          <w:szCs w:val="32"/>
        </w:rPr>
        <w:t>21年减少13.23万元，下降24.3</w:t>
      </w:r>
      <w:r>
        <w:rPr>
          <w:rFonts w:ascii="仿宋_GB2312" w:eastAsia="仿宋_GB2312"/>
          <w:sz w:val="32"/>
          <w:szCs w:val="32"/>
        </w:rPr>
        <w:t>%</w:t>
      </w:r>
      <w:r>
        <w:rPr>
          <w:rFonts w:ascii="仿宋_GB2312" w:eastAsia="仿宋_GB2312" w:hint="eastAsia"/>
          <w:sz w:val="32"/>
          <w:szCs w:val="32"/>
        </w:rPr>
        <w:t>，主要原因是公用经费减少。</w:t>
      </w:r>
    </w:p>
    <w:p w:rsidR="00BA116A" w:rsidRDefault="003D1702" w:rsidP="00BA116A">
      <w:pPr>
        <w:autoSpaceDE w:val="0"/>
        <w:autoSpaceDN w:val="0"/>
        <w:adjustRightInd w:val="0"/>
        <w:spacing w:line="600" w:lineRule="exact"/>
        <w:ind w:firstLineChars="200" w:firstLine="640"/>
        <w:jc w:val="left"/>
        <w:outlineLvl w:val="2"/>
        <w:rPr>
          <w:rFonts w:ascii="仿宋" w:eastAsia="仿宋" w:hAnsi="仿宋"/>
          <w:b/>
          <w:sz w:val="32"/>
          <w:szCs w:val="32"/>
        </w:rPr>
      </w:pPr>
      <w:bookmarkStart w:id="47" w:name="_Toc15377223"/>
      <w:r>
        <w:rPr>
          <w:rFonts w:ascii="仿宋" w:eastAsia="仿宋" w:hAnsi="仿宋" w:hint="eastAsia"/>
          <w:b/>
          <w:sz w:val="32"/>
          <w:szCs w:val="32"/>
        </w:rPr>
        <w:t>（二）政府采购支出情况</w:t>
      </w:r>
      <w:bookmarkEnd w:id="47"/>
    </w:p>
    <w:p w:rsidR="00BA116A" w:rsidRDefault="003D1702">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年，西区住房和城乡建设局政府采购支出总额234.02万元，其中：政府采购货物支出128.72万元、政府采购工程支出0元、政府采购服务支出105.3万元。主要用于老旧小区改造及基础设施建设。授予中小企业合同金额234.02万元，占政府采购支出总额的100</w:t>
      </w:r>
      <w:r>
        <w:rPr>
          <w:rFonts w:ascii="仿宋_GB2312" w:eastAsia="仿宋_GB2312"/>
          <w:sz w:val="32"/>
          <w:szCs w:val="32"/>
        </w:rPr>
        <w:t>%</w:t>
      </w:r>
      <w:r>
        <w:rPr>
          <w:rFonts w:ascii="仿宋_GB2312" w:eastAsia="仿宋_GB2312" w:hint="eastAsia"/>
          <w:sz w:val="32"/>
          <w:szCs w:val="32"/>
        </w:rPr>
        <w:t>，其中：授予小</w:t>
      </w:r>
      <w:proofErr w:type="gramStart"/>
      <w:r>
        <w:rPr>
          <w:rFonts w:ascii="仿宋_GB2312" w:eastAsia="仿宋_GB2312" w:hint="eastAsia"/>
          <w:sz w:val="32"/>
          <w:szCs w:val="32"/>
        </w:rPr>
        <w:t>微企业</w:t>
      </w:r>
      <w:proofErr w:type="gramEnd"/>
      <w:r>
        <w:rPr>
          <w:rFonts w:ascii="仿宋_GB2312" w:eastAsia="仿宋_GB2312" w:hint="eastAsia"/>
          <w:sz w:val="32"/>
          <w:szCs w:val="32"/>
        </w:rPr>
        <w:t>合同金额128.72万元，占政府采购支出总额的55</w:t>
      </w:r>
      <w:r>
        <w:rPr>
          <w:rFonts w:ascii="仿宋_GB2312" w:eastAsia="仿宋_GB2312"/>
          <w:sz w:val="32"/>
          <w:szCs w:val="32"/>
        </w:rPr>
        <w:t>%</w:t>
      </w:r>
      <w:r>
        <w:rPr>
          <w:rFonts w:ascii="仿宋_GB2312" w:eastAsia="仿宋_GB2312" w:hint="eastAsia"/>
          <w:sz w:val="32"/>
          <w:szCs w:val="32"/>
        </w:rPr>
        <w:t>。</w:t>
      </w:r>
    </w:p>
    <w:p w:rsidR="00BA116A" w:rsidRDefault="003D1702" w:rsidP="00BA116A">
      <w:pPr>
        <w:autoSpaceDE w:val="0"/>
        <w:autoSpaceDN w:val="0"/>
        <w:adjustRightInd w:val="0"/>
        <w:spacing w:line="600" w:lineRule="exact"/>
        <w:ind w:firstLineChars="200" w:firstLine="640"/>
        <w:jc w:val="left"/>
        <w:outlineLvl w:val="2"/>
        <w:rPr>
          <w:rFonts w:ascii="仿宋" w:eastAsia="仿宋" w:hAnsi="仿宋"/>
          <w:b/>
          <w:sz w:val="32"/>
          <w:szCs w:val="32"/>
        </w:rPr>
      </w:pPr>
      <w:bookmarkStart w:id="48" w:name="_Toc15377224"/>
      <w:r>
        <w:rPr>
          <w:rFonts w:ascii="仿宋" w:eastAsia="仿宋" w:hAnsi="仿宋" w:hint="eastAsia"/>
          <w:b/>
          <w:sz w:val="32"/>
          <w:szCs w:val="32"/>
        </w:rPr>
        <w:t>（三）国有资产占有使用情况</w:t>
      </w:r>
      <w:bookmarkEnd w:id="48"/>
    </w:p>
    <w:p w:rsidR="00BA116A" w:rsidRDefault="003D1702">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截至</w:t>
      </w:r>
      <w:r>
        <w:rPr>
          <w:rFonts w:ascii="仿宋_GB2312" w:eastAsia="仿宋_GB2312"/>
          <w:sz w:val="32"/>
          <w:szCs w:val="32"/>
        </w:rPr>
        <w:t>20</w:t>
      </w:r>
      <w:r>
        <w:rPr>
          <w:rFonts w:ascii="仿宋_GB2312" w:eastAsia="仿宋_GB2312" w:hint="eastAsia"/>
          <w:sz w:val="32"/>
          <w:szCs w:val="32"/>
        </w:rPr>
        <w:t>22年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日，西区住房和城乡建设局共有车辆3辆，其中：主要领导干部用车0辆、机要通信用车0辆、</w:t>
      </w:r>
      <w:r>
        <w:rPr>
          <w:rFonts w:ascii="仿宋_GB2312" w:eastAsia="仿宋_GB2312" w:hint="eastAsia"/>
          <w:color w:val="000000"/>
          <w:sz w:val="32"/>
          <w:szCs w:val="32"/>
        </w:rPr>
        <w:t>特种专业技术用车1辆</w:t>
      </w:r>
      <w:r>
        <w:rPr>
          <w:rFonts w:ascii="仿宋_GB2312" w:eastAsia="仿宋_GB2312" w:hint="eastAsia"/>
          <w:sz w:val="32"/>
          <w:szCs w:val="32"/>
        </w:rPr>
        <w:t>、</w:t>
      </w:r>
      <w:r>
        <w:rPr>
          <w:rFonts w:ascii="仿宋_GB2312" w:eastAsia="仿宋_GB2312" w:hint="eastAsia"/>
          <w:color w:val="000000"/>
          <w:sz w:val="32"/>
          <w:szCs w:val="32"/>
        </w:rPr>
        <w:t>一般公务用车2辆，</w:t>
      </w:r>
      <w:r>
        <w:rPr>
          <w:rFonts w:ascii="仿宋_GB2312" w:eastAsia="仿宋_GB2312" w:hint="eastAsia"/>
          <w:sz w:val="32"/>
          <w:szCs w:val="32"/>
        </w:rPr>
        <w:t>其他用车0辆。单价</w:t>
      </w:r>
      <w:r>
        <w:rPr>
          <w:rFonts w:ascii="仿宋_GB2312" w:eastAsia="仿宋_GB2312"/>
          <w:sz w:val="32"/>
          <w:szCs w:val="32"/>
        </w:rPr>
        <w:t>100</w:t>
      </w:r>
      <w:r>
        <w:rPr>
          <w:rFonts w:ascii="仿宋_GB2312" w:eastAsia="仿宋_GB2312" w:hint="eastAsia"/>
          <w:sz w:val="32"/>
          <w:szCs w:val="32"/>
        </w:rPr>
        <w:t>万元以上专用设备0台（套）。</w:t>
      </w:r>
    </w:p>
    <w:p w:rsidR="00BA116A" w:rsidRDefault="003D1702" w:rsidP="00BA116A">
      <w:pPr>
        <w:autoSpaceDE w:val="0"/>
        <w:autoSpaceDN w:val="0"/>
        <w:adjustRightInd w:val="0"/>
        <w:spacing w:line="600" w:lineRule="exact"/>
        <w:ind w:firstLineChars="200" w:firstLine="640"/>
        <w:jc w:val="left"/>
        <w:outlineLvl w:val="2"/>
        <w:rPr>
          <w:rFonts w:ascii="仿宋" w:eastAsia="仿宋" w:hAnsi="仿宋"/>
          <w:b/>
          <w:sz w:val="32"/>
          <w:szCs w:val="32"/>
        </w:rPr>
      </w:pPr>
      <w:r>
        <w:rPr>
          <w:rFonts w:ascii="仿宋" w:eastAsia="仿宋" w:hAnsi="仿宋" w:hint="eastAsia"/>
          <w:b/>
          <w:sz w:val="32"/>
          <w:szCs w:val="32"/>
        </w:rPr>
        <w:t>（四）预算绩效管理情况</w:t>
      </w:r>
    </w:p>
    <w:p w:rsidR="00BA116A" w:rsidRDefault="003D1702">
      <w:pPr>
        <w:pStyle w:val="a0"/>
        <w:spacing w:before="93"/>
        <w:ind w:firstLineChars="200" w:firstLine="640"/>
        <w:rPr>
          <w:highlight w:val="yellow"/>
        </w:rPr>
      </w:pPr>
      <w:r>
        <w:rPr>
          <w:rFonts w:hAnsi="仿宋_GB2312" w:cs="仿宋_GB2312" w:hint="eastAsia"/>
          <w:sz w:val="32"/>
          <w:szCs w:val="32"/>
        </w:rPr>
        <w:t>根据预算绩效管理要求，本单位在2022年度预算编制阶段，组织对西区公安分局拆迁过渡费、路灯亮化维修维护</w:t>
      </w:r>
      <w:r>
        <w:rPr>
          <w:rFonts w:hAnsi="仿宋_GB2312" w:cs="仿宋_GB2312" w:hint="eastAsia"/>
          <w:sz w:val="32"/>
          <w:szCs w:val="32"/>
        </w:rPr>
        <w:lastRenderedPageBreak/>
        <w:t>费等7个项目开展了预算事前绩效评估，对7个项目编制了绩效目标，预算执行过程中，选取2个项目开展绩效监控，组织对3个项目开展绩效自评，绩效自评表详见第四部分附件。</w:t>
      </w:r>
    </w:p>
    <w:p w:rsidR="00BA116A" w:rsidRDefault="00BA116A">
      <w:pPr>
        <w:widowControl/>
        <w:jc w:val="left"/>
        <w:rPr>
          <w:rFonts w:ascii="仿宋_GB2312" w:eastAsia="仿宋_GB2312"/>
          <w:b/>
          <w:sz w:val="32"/>
          <w:szCs w:val="32"/>
        </w:rPr>
      </w:pPr>
    </w:p>
    <w:p w:rsidR="00BA116A" w:rsidRDefault="003D1702">
      <w:pPr>
        <w:numPr>
          <w:ilvl w:val="0"/>
          <w:numId w:val="4"/>
        </w:numPr>
        <w:spacing w:line="600" w:lineRule="exact"/>
        <w:ind w:firstLineChars="150" w:firstLine="660"/>
        <w:jc w:val="center"/>
        <w:outlineLvl w:val="0"/>
        <w:rPr>
          <w:rStyle w:val="1Char"/>
          <w:rFonts w:ascii="黑体" w:eastAsia="黑体" w:hAnsi="黑体"/>
          <w:b w:val="0"/>
        </w:rPr>
      </w:pPr>
      <w:bookmarkStart w:id="49" w:name="_Toc15396613"/>
      <w:bookmarkStart w:id="50" w:name="_Toc15377225"/>
      <w:r>
        <w:rPr>
          <w:rFonts w:ascii="黑体" w:eastAsia="黑体" w:hAnsi="黑体" w:hint="eastAsia"/>
          <w:sz w:val="44"/>
          <w:szCs w:val="44"/>
        </w:rPr>
        <w:t>名</w:t>
      </w:r>
      <w:r>
        <w:rPr>
          <w:rStyle w:val="1Char"/>
          <w:rFonts w:ascii="黑体" w:eastAsia="黑体" w:hAnsi="黑体" w:hint="eastAsia"/>
          <w:b w:val="0"/>
        </w:rPr>
        <w:t>词解释</w:t>
      </w:r>
      <w:bookmarkEnd w:id="49"/>
      <w:bookmarkEnd w:id="50"/>
    </w:p>
    <w:p w:rsidR="00BA116A" w:rsidRDefault="00BA116A">
      <w:pPr>
        <w:spacing w:line="600" w:lineRule="exact"/>
        <w:jc w:val="left"/>
        <w:rPr>
          <w:rFonts w:ascii="宋体"/>
          <w:b/>
          <w:sz w:val="44"/>
          <w:szCs w:val="44"/>
        </w:rPr>
      </w:pPr>
    </w:p>
    <w:p w:rsidR="00BA116A" w:rsidRDefault="003D1702">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1.</w:t>
      </w:r>
      <w:r>
        <w:rPr>
          <w:rFonts w:ascii="仿宋_GB2312" w:eastAsia="仿宋_GB2312" w:hint="eastAsia"/>
          <w:color w:val="auto"/>
          <w:sz w:val="32"/>
          <w:szCs w:val="32"/>
        </w:rPr>
        <w:t>财政拨款收入：指单位从同级财政部门取得的财政预算资金。</w:t>
      </w:r>
    </w:p>
    <w:p w:rsidR="00BA116A" w:rsidRDefault="003D1702">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2</w:t>
      </w:r>
      <w:r>
        <w:rPr>
          <w:rFonts w:ascii="仿宋_GB2312" w:eastAsia="仿宋_GB2312"/>
          <w:color w:val="auto"/>
          <w:sz w:val="32"/>
          <w:szCs w:val="32"/>
        </w:rPr>
        <w:t>.</w:t>
      </w:r>
      <w:r>
        <w:rPr>
          <w:rFonts w:ascii="仿宋_GB2312" w:eastAsia="仿宋_GB2312" w:hint="eastAsia"/>
          <w:color w:val="auto"/>
          <w:sz w:val="32"/>
          <w:szCs w:val="32"/>
        </w:rPr>
        <w:t>其他收入：指单位取得的除上述收入以外的各项收入。主要是利息收入。</w:t>
      </w:r>
    </w:p>
    <w:p w:rsidR="00BA116A" w:rsidRDefault="003D1702">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3</w:t>
      </w:r>
      <w:r>
        <w:rPr>
          <w:rFonts w:ascii="仿宋_GB2312" w:eastAsia="仿宋_GB2312"/>
          <w:color w:val="auto"/>
          <w:sz w:val="32"/>
          <w:szCs w:val="32"/>
        </w:rPr>
        <w:t>.</w:t>
      </w:r>
      <w:r>
        <w:rPr>
          <w:rFonts w:ascii="仿宋_GB2312" w:eastAsia="仿宋_GB2312" w:hint="eastAsia"/>
          <w:color w:val="auto"/>
          <w:sz w:val="32"/>
          <w:szCs w:val="32"/>
        </w:rPr>
        <w:t>年初结转和结余：指以前年度尚未完成、结转到本年按有关规定继续使用的资金。</w:t>
      </w:r>
    </w:p>
    <w:p w:rsidR="00BA116A" w:rsidRDefault="003D1702">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4.年末结转和结余：指单位按有关规定结转到下年或以后年度继续使用的资金。</w:t>
      </w:r>
    </w:p>
    <w:p w:rsidR="00BA116A" w:rsidRDefault="003D1702">
      <w:pPr>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sz w:val="32"/>
          <w:szCs w:val="32"/>
        </w:rPr>
        <w:t>.</w:t>
      </w:r>
      <w:r>
        <w:rPr>
          <w:rFonts w:ascii="仿宋_GB2312" w:eastAsia="仿宋_GB2312" w:hint="eastAsia"/>
          <w:sz w:val="32"/>
          <w:szCs w:val="32"/>
        </w:rPr>
        <w:t>一般公共服务（类）党委办公厅（室）及相关机构事务（款）一般行政管理事务（项）：指反映行政单位（包括实行公务员管理的事业单位）未单独设置项级科目的其他项目支出。</w:t>
      </w:r>
    </w:p>
    <w:p w:rsidR="00BA116A" w:rsidRDefault="003D1702">
      <w:pPr>
        <w:ind w:firstLineChars="200" w:firstLine="640"/>
        <w:rPr>
          <w:rFonts w:ascii="仿宋_GB2312" w:eastAsia="仿宋_GB2312"/>
          <w:sz w:val="32"/>
          <w:szCs w:val="32"/>
        </w:rPr>
      </w:pPr>
      <w:r>
        <w:rPr>
          <w:rFonts w:ascii="仿宋_GB2312" w:eastAsia="仿宋_GB2312" w:hint="eastAsia"/>
          <w:sz w:val="32"/>
          <w:szCs w:val="32"/>
        </w:rPr>
        <w:t>6.一般公共服务（类）其他共产党事务支出（款）一般行政管理事务（项）：指反映行政单位（包括实行公务员管理的事业单位）未单独设置项级科目的其他项目支出。</w:t>
      </w:r>
    </w:p>
    <w:p w:rsidR="00BA116A" w:rsidRDefault="003D1702">
      <w:pPr>
        <w:ind w:firstLineChars="200" w:firstLine="640"/>
        <w:rPr>
          <w:rFonts w:ascii="仿宋_GB2312" w:eastAsia="仿宋_GB2312"/>
          <w:sz w:val="32"/>
          <w:szCs w:val="32"/>
        </w:rPr>
      </w:pPr>
      <w:r>
        <w:rPr>
          <w:rFonts w:ascii="仿宋_GB2312" w:eastAsia="仿宋_GB2312" w:hint="eastAsia"/>
          <w:sz w:val="32"/>
          <w:szCs w:val="32"/>
        </w:rPr>
        <w:t>7.</w:t>
      </w:r>
      <w:r>
        <w:rPr>
          <w:rFonts w:ascii="仿宋_GB2312" w:eastAsia="仿宋_GB2312" w:hint="eastAsia"/>
          <w:color w:val="000000"/>
          <w:sz w:val="32"/>
          <w:szCs w:val="32"/>
        </w:rPr>
        <w:t>社会保障和就业（类）</w:t>
      </w:r>
      <w:r>
        <w:rPr>
          <w:rFonts w:ascii="仿宋_GB2312" w:eastAsia="仿宋_GB2312" w:hAnsi="仿宋_GB2312" w:cs="仿宋_GB2312" w:hint="eastAsia"/>
          <w:color w:val="000000"/>
          <w:sz w:val="32"/>
          <w:szCs w:val="32"/>
          <w:shd w:val="clear" w:color="auto" w:fill="F8F8F8"/>
        </w:rPr>
        <w:t>行政事业单位离退休（款）行</w:t>
      </w:r>
      <w:r>
        <w:rPr>
          <w:rFonts w:ascii="仿宋_GB2312" w:eastAsia="仿宋_GB2312" w:hAnsi="仿宋_GB2312" w:cs="仿宋_GB2312" w:hint="eastAsia"/>
          <w:color w:val="000000"/>
          <w:sz w:val="32"/>
          <w:szCs w:val="32"/>
          <w:shd w:val="clear" w:color="auto" w:fill="F8F8F8"/>
        </w:rPr>
        <w:lastRenderedPageBreak/>
        <w:t>政单位离退休（项）：指反映行政单位（包括实行公务员管理的事业单位）开支的离退休经费。</w:t>
      </w:r>
    </w:p>
    <w:p w:rsidR="00BA116A" w:rsidRDefault="003D1702">
      <w:pPr>
        <w:ind w:firstLineChars="200" w:firstLine="640"/>
        <w:rPr>
          <w:rFonts w:ascii="仿宋_GB2312" w:eastAsia="仿宋_GB2312" w:hAnsi="仿宋_GB2312" w:cs="仿宋_GB2312"/>
          <w:color w:val="000000"/>
          <w:sz w:val="32"/>
          <w:szCs w:val="32"/>
          <w:shd w:val="clear" w:color="auto" w:fill="F8F8F8"/>
        </w:rPr>
      </w:pPr>
      <w:r>
        <w:rPr>
          <w:rFonts w:ascii="仿宋_GB2312" w:eastAsia="仿宋_GB2312" w:hint="eastAsia"/>
          <w:sz w:val="32"/>
          <w:szCs w:val="32"/>
        </w:rPr>
        <w:t>8</w:t>
      </w:r>
      <w:r>
        <w:rPr>
          <w:rFonts w:ascii="仿宋_GB2312" w:eastAsia="仿宋_GB2312"/>
          <w:sz w:val="32"/>
          <w:szCs w:val="32"/>
        </w:rPr>
        <w:t>.</w:t>
      </w:r>
      <w:r>
        <w:rPr>
          <w:rFonts w:ascii="仿宋_GB2312" w:eastAsia="仿宋_GB2312" w:hint="eastAsia"/>
          <w:color w:val="000000"/>
          <w:sz w:val="32"/>
          <w:szCs w:val="32"/>
        </w:rPr>
        <w:t xml:space="preserve"> 社会保障和就业（类）</w:t>
      </w:r>
      <w:r>
        <w:rPr>
          <w:rFonts w:ascii="仿宋_GB2312" w:eastAsia="仿宋_GB2312" w:hAnsi="仿宋_GB2312" w:cs="仿宋_GB2312" w:hint="eastAsia"/>
          <w:color w:val="000000"/>
          <w:sz w:val="32"/>
          <w:szCs w:val="32"/>
          <w:shd w:val="clear" w:color="auto" w:fill="F8F8F8"/>
        </w:rPr>
        <w:t>行政事业单位离退休（款）机关事业单位基本养老保险缴费支出（项）：指反映机关事业单位实施养老保险制度由单位缴纳的基本养老保险费支出。</w:t>
      </w:r>
    </w:p>
    <w:p w:rsidR="00BA116A" w:rsidRDefault="003D1702">
      <w:pPr>
        <w:ind w:firstLineChars="200" w:firstLine="640"/>
        <w:rPr>
          <w:rFonts w:ascii="仿宋_GB2312" w:eastAsia="仿宋_GB2312"/>
          <w:sz w:val="32"/>
          <w:szCs w:val="32"/>
        </w:rPr>
      </w:pPr>
      <w:r>
        <w:rPr>
          <w:rFonts w:ascii="仿宋_GB2312" w:eastAsia="仿宋_GB2312" w:hAnsi="仿宋_GB2312" w:cs="仿宋_GB2312" w:hint="eastAsia"/>
          <w:color w:val="000000"/>
          <w:sz w:val="32"/>
          <w:szCs w:val="32"/>
          <w:shd w:val="clear" w:color="auto" w:fill="F8F8F8"/>
        </w:rPr>
        <w:t>9.</w:t>
      </w:r>
      <w:r>
        <w:rPr>
          <w:rFonts w:ascii="仿宋_GB2312" w:eastAsia="仿宋_GB2312" w:hint="eastAsia"/>
          <w:color w:val="000000"/>
          <w:sz w:val="32"/>
          <w:szCs w:val="32"/>
        </w:rPr>
        <w:t>社会保障和就业（类）</w:t>
      </w:r>
      <w:r>
        <w:rPr>
          <w:rFonts w:ascii="仿宋_GB2312" w:eastAsia="仿宋_GB2312" w:hAnsi="仿宋_GB2312" w:cs="仿宋_GB2312" w:hint="eastAsia"/>
          <w:color w:val="000000"/>
          <w:sz w:val="32"/>
          <w:szCs w:val="32"/>
          <w:shd w:val="clear" w:color="auto" w:fill="F8F8F8"/>
        </w:rPr>
        <w:t>抚恤（款）死亡抚恤（项）：指反映按规定用于烈士和牺牲、病故人员家属的一次性和定期抚恤金以及丧葬补助费</w:t>
      </w:r>
    </w:p>
    <w:p w:rsidR="00BA116A" w:rsidRDefault="003D1702">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0</w:t>
      </w:r>
      <w:r>
        <w:rPr>
          <w:rFonts w:ascii="仿宋_GB2312" w:eastAsia="仿宋_GB2312"/>
          <w:sz w:val="32"/>
          <w:szCs w:val="32"/>
        </w:rPr>
        <w:t>.</w:t>
      </w:r>
      <w:r>
        <w:rPr>
          <w:rFonts w:ascii="仿宋_GB2312" w:eastAsia="仿宋_GB2312" w:hAnsi="仿宋_GB2312" w:cs="仿宋_GB2312" w:hint="eastAsia"/>
          <w:color w:val="000000"/>
          <w:sz w:val="32"/>
          <w:szCs w:val="32"/>
          <w:shd w:val="clear" w:color="auto" w:fill="F8F8F8"/>
        </w:rPr>
        <w:t xml:space="preserve"> 卫生健康支出（类）行政事业单位医疗（款）行政单位医疗（项）：指反映财政部门安排的行政单位（包括实行公务员管理的事业单位，下同）基本医疗保险经费，未参加医疗保险的行政单位的公费医疗经费，按国家规定享受离休人员待遇的医疗经费。</w:t>
      </w:r>
    </w:p>
    <w:p w:rsidR="00BA116A" w:rsidRDefault="003D1702">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1</w:t>
      </w:r>
      <w:r>
        <w:rPr>
          <w:rFonts w:ascii="仿宋_GB2312" w:eastAsia="仿宋_GB2312"/>
          <w:sz w:val="32"/>
          <w:szCs w:val="32"/>
        </w:rPr>
        <w:t>.</w:t>
      </w:r>
      <w:r>
        <w:rPr>
          <w:rFonts w:ascii="仿宋_GB2312" w:eastAsia="仿宋_GB2312" w:hAnsi="仿宋_GB2312" w:cs="仿宋_GB2312" w:hint="eastAsia"/>
          <w:color w:val="000000"/>
          <w:sz w:val="32"/>
          <w:szCs w:val="32"/>
          <w:shd w:val="clear" w:color="auto" w:fill="F8F8F8"/>
        </w:rPr>
        <w:t xml:space="preserve"> 卫生健康支出（类）行政事业单位医疗（款）事业单位医疗（项）：指反映财政部门安排的事业单位基本医疗保险缴费经费，未参加医疗保险的事业单位的公费医疗经费，按国家规定享受离休人员待遇的医疗经费。</w:t>
      </w:r>
    </w:p>
    <w:p w:rsidR="00BA116A" w:rsidRDefault="003D1702">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2</w:t>
      </w:r>
      <w:r>
        <w:rPr>
          <w:rFonts w:ascii="仿宋_GB2312" w:eastAsia="仿宋_GB2312"/>
          <w:sz w:val="32"/>
          <w:szCs w:val="32"/>
        </w:rPr>
        <w:t>.</w:t>
      </w:r>
      <w:r>
        <w:rPr>
          <w:rFonts w:ascii="仿宋_GB2312" w:eastAsia="仿宋_GB2312" w:hAnsi="仿宋_GB2312" w:cs="仿宋_GB2312" w:hint="eastAsia"/>
          <w:color w:val="000000"/>
          <w:sz w:val="32"/>
          <w:szCs w:val="32"/>
          <w:shd w:val="clear" w:color="auto" w:fill="F8F8F8"/>
        </w:rPr>
        <w:t xml:space="preserve"> 卫生健康支出（类）行政事业单位医疗（款）公务员医疗补助（项）：指反映财政部门安排的公务员医疗补助经费。</w:t>
      </w:r>
    </w:p>
    <w:p w:rsidR="00BA116A" w:rsidRDefault="003D1702">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3</w:t>
      </w:r>
      <w:r>
        <w:rPr>
          <w:rFonts w:ascii="仿宋_GB2312" w:eastAsia="仿宋_GB2312"/>
          <w:sz w:val="32"/>
          <w:szCs w:val="32"/>
        </w:rPr>
        <w:t>.</w:t>
      </w:r>
      <w:r>
        <w:rPr>
          <w:rFonts w:ascii="仿宋_GB2312" w:eastAsia="仿宋_GB2312" w:hAnsi="仿宋_GB2312" w:cs="仿宋_GB2312" w:hint="eastAsia"/>
          <w:color w:val="000000"/>
          <w:sz w:val="32"/>
          <w:szCs w:val="32"/>
          <w:shd w:val="clear" w:color="auto" w:fill="F8F8F8"/>
        </w:rPr>
        <w:t xml:space="preserve"> 节能环保支出（类）自然生态保护（款）生态保护</w:t>
      </w:r>
      <w:r>
        <w:rPr>
          <w:rFonts w:ascii="仿宋_GB2312" w:eastAsia="仿宋_GB2312" w:hAnsi="仿宋_GB2312" w:cs="仿宋_GB2312" w:hint="eastAsia"/>
          <w:color w:val="000000"/>
          <w:sz w:val="32"/>
          <w:szCs w:val="32"/>
          <w:shd w:val="clear" w:color="auto" w:fill="F8F8F8"/>
        </w:rPr>
        <w:lastRenderedPageBreak/>
        <w:t>（项）：指反映用于生态功能保护区、生态示范区、生态省（市、县）管理及能力建设、日常管护、宣教、试点示范等支出，生态修复支出，资源开发生态监管等支出。</w:t>
      </w:r>
    </w:p>
    <w:p w:rsidR="00BA116A" w:rsidRDefault="003D1702">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4</w:t>
      </w:r>
      <w:r>
        <w:rPr>
          <w:rFonts w:ascii="仿宋_GB2312" w:eastAsia="仿宋_GB2312"/>
          <w:sz w:val="32"/>
          <w:szCs w:val="32"/>
        </w:rPr>
        <w:t>.</w:t>
      </w:r>
      <w:r>
        <w:rPr>
          <w:rFonts w:ascii="仿宋_GB2312" w:eastAsia="仿宋_GB2312" w:hint="eastAsia"/>
          <w:color w:val="000000"/>
          <w:sz w:val="32"/>
          <w:szCs w:val="32"/>
        </w:rPr>
        <w:t xml:space="preserve"> 城乡社区（类）城乡社区管理事务（款）行政运行（项）：指行政单位（包括实行公务员管理的事业单位）的基本支出。</w:t>
      </w:r>
    </w:p>
    <w:p w:rsidR="00BA116A" w:rsidRDefault="003D1702">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5</w:t>
      </w:r>
      <w:r>
        <w:rPr>
          <w:rFonts w:ascii="仿宋_GB2312" w:eastAsia="仿宋_GB2312"/>
          <w:sz w:val="32"/>
          <w:szCs w:val="32"/>
        </w:rPr>
        <w:t>.</w:t>
      </w:r>
      <w:r>
        <w:rPr>
          <w:rFonts w:ascii="仿宋_GB2312" w:eastAsia="仿宋_GB2312" w:hint="eastAsia"/>
          <w:color w:val="000000"/>
          <w:sz w:val="32"/>
          <w:szCs w:val="32"/>
        </w:rPr>
        <w:t xml:space="preserve"> 城乡社区（类）城乡社区管理事务（款）一般行政管理事务（项）：指</w:t>
      </w:r>
      <w:r>
        <w:rPr>
          <w:rFonts w:ascii="仿宋_GB2312" w:eastAsia="仿宋_GB2312" w:hint="eastAsia"/>
          <w:sz w:val="32"/>
          <w:szCs w:val="32"/>
        </w:rPr>
        <w:t>反映行政单位（包括实行公务员管理的事业单位）未单独设置项级科目的其他项目支出。</w:t>
      </w:r>
    </w:p>
    <w:p w:rsidR="00BA116A" w:rsidRDefault="003D1702">
      <w:pPr>
        <w:ind w:firstLineChars="200" w:firstLine="640"/>
        <w:rPr>
          <w:rFonts w:ascii="仿宋_GB2312" w:eastAsia="仿宋_GB2312"/>
          <w:color w:val="000000"/>
          <w:sz w:val="32"/>
          <w:szCs w:val="32"/>
        </w:rPr>
      </w:pPr>
      <w:r>
        <w:rPr>
          <w:rFonts w:ascii="仿宋_GB2312" w:eastAsia="仿宋_GB2312"/>
          <w:sz w:val="32"/>
          <w:szCs w:val="32"/>
        </w:rPr>
        <w:t>1</w:t>
      </w:r>
      <w:r>
        <w:rPr>
          <w:rFonts w:ascii="仿宋_GB2312" w:eastAsia="仿宋_GB2312" w:hint="eastAsia"/>
          <w:sz w:val="32"/>
          <w:szCs w:val="32"/>
        </w:rPr>
        <w:t>6</w:t>
      </w:r>
      <w:r>
        <w:rPr>
          <w:rFonts w:ascii="仿宋_GB2312" w:eastAsia="仿宋_GB2312"/>
          <w:sz w:val="32"/>
          <w:szCs w:val="32"/>
        </w:rPr>
        <w:t>.</w:t>
      </w:r>
      <w:r>
        <w:rPr>
          <w:rFonts w:ascii="仿宋_GB2312" w:eastAsia="仿宋_GB2312" w:hint="eastAsia"/>
          <w:color w:val="000000"/>
          <w:sz w:val="32"/>
          <w:szCs w:val="32"/>
        </w:rPr>
        <w:t xml:space="preserve"> 城乡社区（类）城乡社区管理事务（款）其他城乡社区管理事务支出（项）：指除上述项目以外其他用于城乡社区管理事务方面的支出。</w:t>
      </w:r>
    </w:p>
    <w:p w:rsidR="00BA116A" w:rsidRDefault="003D1702">
      <w:pPr>
        <w:ind w:firstLineChars="200" w:firstLine="640"/>
        <w:rPr>
          <w:rFonts w:ascii="仿宋_GB2312" w:eastAsia="仿宋_GB2312"/>
          <w:color w:val="000000"/>
          <w:sz w:val="32"/>
          <w:szCs w:val="32"/>
        </w:rPr>
      </w:pPr>
      <w:r>
        <w:rPr>
          <w:rFonts w:ascii="仿宋_GB2312" w:eastAsia="仿宋_GB2312"/>
          <w:sz w:val="32"/>
          <w:szCs w:val="32"/>
        </w:rPr>
        <w:t>1</w:t>
      </w:r>
      <w:r>
        <w:rPr>
          <w:rFonts w:ascii="仿宋_GB2312" w:eastAsia="仿宋_GB2312" w:hint="eastAsia"/>
          <w:sz w:val="32"/>
          <w:szCs w:val="32"/>
        </w:rPr>
        <w:t>7</w:t>
      </w:r>
      <w:r>
        <w:rPr>
          <w:rFonts w:ascii="仿宋_GB2312" w:eastAsia="仿宋_GB2312"/>
          <w:sz w:val="32"/>
          <w:szCs w:val="32"/>
        </w:rPr>
        <w:t>.</w:t>
      </w:r>
      <w:r>
        <w:rPr>
          <w:rFonts w:ascii="仿宋_GB2312" w:eastAsia="仿宋_GB2312" w:hint="eastAsia"/>
          <w:color w:val="000000"/>
          <w:sz w:val="32"/>
          <w:szCs w:val="32"/>
        </w:rPr>
        <w:t xml:space="preserve"> 城乡社区（类）城乡社区公共设施（款）其他城乡社区公共设施（项）：反映除上述项目以外其他用于城乡社区公共设施方面的支出。</w:t>
      </w:r>
    </w:p>
    <w:p w:rsidR="00BA116A" w:rsidRDefault="003D1702">
      <w:pPr>
        <w:ind w:firstLineChars="200" w:firstLine="640"/>
        <w:rPr>
          <w:rFonts w:ascii="仿宋_GB2312" w:eastAsia="仿宋_GB2312"/>
          <w:color w:val="000000"/>
          <w:sz w:val="32"/>
          <w:szCs w:val="32"/>
        </w:rPr>
      </w:pPr>
      <w:r>
        <w:rPr>
          <w:rFonts w:ascii="仿宋_GB2312" w:eastAsia="仿宋_GB2312" w:hint="eastAsia"/>
          <w:color w:val="000000"/>
          <w:sz w:val="32"/>
          <w:szCs w:val="32"/>
        </w:rPr>
        <w:t>18.城乡社区（类）国有土地使用权出让收入安排（款）土地开发（项）：指新疆生产建设兵团和地方政府用于前期土地开发性支出以及与前期土地开发相关的费用等支出。</w:t>
      </w:r>
    </w:p>
    <w:p w:rsidR="00BA116A" w:rsidRDefault="003D1702">
      <w:pPr>
        <w:ind w:firstLineChars="200" w:firstLine="640"/>
        <w:rPr>
          <w:rFonts w:ascii="仿宋_GB2312" w:eastAsia="仿宋_GB2312"/>
          <w:color w:val="000000"/>
          <w:sz w:val="32"/>
          <w:szCs w:val="32"/>
        </w:rPr>
      </w:pPr>
      <w:r>
        <w:rPr>
          <w:rFonts w:ascii="仿宋_GB2312" w:eastAsia="仿宋_GB2312" w:hint="eastAsia"/>
          <w:color w:val="000000"/>
          <w:sz w:val="32"/>
          <w:szCs w:val="32"/>
        </w:rPr>
        <w:t>19.城乡社区（类）其他城乡社区支出（款）其他城乡社区支出（项）：指除上述项目以外其他用于城乡社区方面的支出。</w:t>
      </w:r>
    </w:p>
    <w:p w:rsidR="00BA116A" w:rsidRDefault="003D1702">
      <w:pPr>
        <w:ind w:firstLineChars="200" w:firstLine="640"/>
        <w:rPr>
          <w:rFonts w:ascii="仿宋_GB2312" w:eastAsia="仿宋_GB2312"/>
          <w:sz w:val="32"/>
          <w:szCs w:val="32"/>
        </w:rPr>
      </w:pPr>
      <w:r>
        <w:rPr>
          <w:rFonts w:ascii="仿宋_GB2312" w:eastAsia="仿宋_GB2312" w:hint="eastAsia"/>
          <w:sz w:val="32"/>
          <w:szCs w:val="32"/>
        </w:rPr>
        <w:t>20</w:t>
      </w:r>
      <w:r>
        <w:rPr>
          <w:rFonts w:ascii="仿宋_GB2312" w:eastAsia="仿宋_GB2312"/>
          <w:sz w:val="32"/>
          <w:szCs w:val="32"/>
        </w:rPr>
        <w:t>.</w:t>
      </w:r>
      <w:r>
        <w:rPr>
          <w:rFonts w:ascii="仿宋_GB2312" w:eastAsia="仿宋_GB2312" w:hint="eastAsia"/>
          <w:sz w:val="32"/>
          <w:szCs w:val="32"/>
        </w:rPr>
        <w:t>农林水（类）其他农林水支出（款）化解其他公益</w:t>
      </w:r>
      <w:r>
        <w:rPr>
          <w:rFonts w:ascii="仿宋_GB2312" w:eastAsia="仿宋_GB2312" w:hint="eastAsia"/>
          <w:sz w:val="32"/>
          <w:szCs w:val="32"/>
        </w:rPr>
        <w:lastRenderedPageBreak/>
        <w:t>性乡村债务支出（项）：指反映化解除农村义务教育债务以外的乡村其他公益性乡村债务支出。</w:t>
      </w:r>
    </w:p>
    <w:p w:rsidR="00BA116A" w:rsidRDefault="003D1702">
      <w:pPr>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1</w:t>
      </w:r>
      <w:r>
        <w:rPr>
          <w:rFonts w:ascii="仿宋_GB2312" w:eastAsia="仿宋_GB2312"/>
          <w:sz w:val="32"/>
          <w:szCs w:val="32"/>
        </w:rPr>
        <w:t>.</w:t>
      </w:r>
      <w:r>
        <w:rPr>
          <w:rFonts w:ascii="仿宋_GB2312" w:eastAsia="仿宋_GB2312" w:hAnsi="仿宋_GB2312" w:cs="仿宋_GB2312" w:hint="eastAsia"/>
          <w:color w:val="000000"/>
          <w:sz w:val="32"/>
          <w:szCs w:val="32"/>
          <w:shd w:val="clear" w:color="auto" w:fill="F8F8F8"/>
        </w:rPr>
        <w:t xml:space="preserve"> 住房保障支出（类）保障性安居工程支出（款）棚户区改造（项）：指用于棚户区改造方面的支出。</w:t>
      </w:r>
    </w:p>
    <w:p w:rsidR="00BA116A" w:rsidRDefault="003D1702">
      <w:pPr>
        <w:ind w:firstLineChars="200" w:firstLine="640"/>
        <w:rPr>
          <w:rFonts w:ascii="仿宋_GB2312" w:eastAsia="仿宋_GB2312" w:hAnsi="仿宋_GB2312" w:cs="仿宋_GB2312"/>
          <w:color w:val="000000"/>
          <w:sz w:val="32"/>
          <w:szCs w:val="32"/>
          <w:shd w:val="clear" w:color="auto" w:fill="F8F8F8"/>
        </w:rPr>
      </w:pPr>
      <w:r>
        <w:rPr>
          <w:rFonts w:ascii="仿宋_GB2312" w:eastAsia="仿宋_GB2312"/>
          <w:sz w:val="32"/>
          <w:szCs w:val="32"/>
        </w:rPr>
        <w:t>2</w:t>
      </w:r>
      <w:r>
        <w:rPr>
          <w:rFonts w:ascii="仿宋_GB2312" w:eastAsia="仿宋_GB2312" w:hint="eastAsia"/>
          <w:sz w:val="32"/>
          <w:szCs w:val="32"/>
        </w:rPr>
        <w:t>2</w:t>
      </w:r>
      <w:r>
        <w:rPr>
          <w:rFonts w:ascii="仿宋_GB2312" w:eastAsia="仿宋_GB2312"/>
          <w:sz w:val="32"/>
          <w:szCs w:val="32"/>
        </w:rPr>
        <w:t>.</w:t>
      </w:r>
      <w:r>
        <w:rPr>
          <w:rFonts w:ascii="仿宋_GB2312" w:eastAsia="仿宋_GB2312" w:hAnsi="仿宋_GB2312" w:cs="仿宋_GB2312" w:hint="eastAsia"/>
          <w:color w:val="000000"/>
          <w:sz w:val="32"/>
          <w:szCs w:val="32"/>
          <w:shd w:val="clear" w:color="auto" w:fill="F8F8F8"/>
        </w:rPr>
        <w:t xml:space="preserve"> 住房保障支出（类）保障性安居工程支出（款）农村危房改造（项）：指用于农村危房改造方面的支出。</w:t>
      </w:r>
    </w:p>
    <w:p w:rsidR="00BA116A" w:rsidRDefault="003D1702">
      <w:pPr>
        <w:ind w:firstLineChars="200" w:firstLine="640"/>
        <w:rPr>
          <w:rFonts w:ascii="仿宋_GB2312" w:eastAsia="仿宋_GB2312"/>
          <w:color w:val="000000"/>
          <w:sz w:val="32"/>
          <w:szCs w:val="32"/>
        </w:rPr>
      </w:pPr>
      <w:r>
        <w:rPr>
          <w:rFonts w:ascii="仿宋_GB2312" w:eastAsia="仿宋_GB2312"/>
          <w:sz w:val="32"/>
          <w:szCs w:val="32"/>
        </w:rPr>
        <w:t>2</w:t>
      </w:r>
      <w:r>
        <w:rPr>
          <w:rFonts w:ascii="仿宋_GB2312" w:eastAsia="仿宋_GB2312" w:hint="eastAsia"/>
          <w:sz w:val="32"/>
          <w:szCs w:val="32"/>
        </w:rPr>
        <w:t>3</w:t>
      </w:r>
      <w:r>
        <w:rPr>
          <w:rFonts w:ascii="仿宋_GB2312" w:eastAsia="仿宋_GB2312"/>
          <w:sz w:val="32"/>
          <w:szCs w:val="32"/>
        </w:rPr>
        <w:t>.</w:t>
      </w:r>
      <w:r>
        <w:rPr>
          <w:rFonts w:ascii="仿宋_GB2312" w:eastAsia="仿宋_GB2312" w:hAnsi="仿宋_GB2312" w:cs="仿宋_GB2312" w:hint="eastAsia"/>
          <w:color w:val="000000"/>
          <w:sz w:val="32"/>
          <w:szCs w:val="32"/>
          <w:shd w:val="clear" w:color="auto" w:fill="F8F8F8"/>
        </w:rPr>
        <w:t xml:space="preserve"> 住房保障支出（类）保障性安居工程支出（款）公共租赁住房（项）：反映用于新建、改建、购买、租赁、维护和管理公共租赁住房支出。</w:t>
      </w:r>
    </w:p>
    <w:p w:rsidR="00BA116A" w:rsidRDefault="003D1702">
      <w:pPr>
        <w:ind w:firstLineChars="200" w:firstLine="640"/>
        <w:rPr>
          <w:rFonts w:ascii="仿宋_GB2312" w:eastAsia="仿宋_GB2312" w:hAnsi="仿宋_GB2312" w:cs="仿宋_GB2312"/>
          <w:color w:val="000000"/>
          <w:sz w:val="32"/>
          <w:szCs w:val="32"/>
          <w:shd w:val="clear" w:color="auto" w:fill="F8F8F8"/>
        </w:rPr>
      </w:pPr>
      <w:r>
        <w:rPr>
          <w:rFonts w:ascii="仿宋_GB2312" w:eastAsia="仿宋_GB2312"/>
          <w:sz w:val="32"/>
          <w:szCs w:val="32"/>
        </w:rPr>
        <w:t>2</w:t>
      </w:r>
      <w:r>
        <w:rPr>
          <w:rFonts w:ascii="仿宋_GB2312" w:eastAsia="仿宋_GB2312" w:hint="eastAsia"/>
          <w:sz w:val="32"/>
          <w:szCs w:val="32"/>
        </w:rPr>
        <w:t>4</w:t>
      </w:r>
      <w:r>
        <w:rPr>
          <w:rFonts w:ascii="仿宋_GB2312" w:eastAsia="仿宋_GB2312"/>
          <w:sz w:val="32"/>
          <w:szCs w:val="32"/>
        </w:rPr>
        <w:t>.</w:t>
      </w:r>
      <w:r>
        <w:rPr>
          <w:rFonts w:ascii="仿宋_GB2312" w:eastAsia="仿宋_GB2312" w:hAnsi="仿宋_GB2312" w:cs="仿宋_GB2312" w:hint="eastAsia"/>
          <w:color w:val="000000"/>
          <w:sz w:val="32"/>
          <w:szCs w:val="32"/>
          <w:shd w:val="clear" w:color="auto" w:fill="F8F8F8"/>
        </w:rPr>
        <w:t xml:space="preserve"> 住房保障支出（类）保障性安居工程支出（款）保障性住房租金补贴（项）：指各级政府向低收入住房保障家庭发放的住房租赁补贴支出。</w:t>
      </w:r>
    </w:p>
    <w:p w:rsidR="00BA116A" w:rsidRDefault="003D1702">
      <w:pPr>
        <w:ind w:firstLineChars="200" w:firstLine="640"/>
        <w:rPr>
          <w:rFonts w:ascii="仿宋_GB2312" w:eastAsia="仿宋_GB2312" w:hAnsi="仿宋_GB2312" w:cs="仿宋_GB2312"/>
          <w:color w:val="000000"/>
          <w:sz w:val="32"/>
          <w:szCs w:val="32"/>
          <w:shd w:val="clear" w:color="auto" w:fill="F8F8F8"/>
        </w:rPr>
      </w:pPr>
      <w:r>
        <w:rPr>
          <w:rFonts w:ascii="仿宋_GB2312" w:eastAsia="仿宋_GB2312"/>
          <w:sz w:val="32"/>
          <w:szCs w:val="32"/>
        </w:rPr>
        <w:t>2</w:t>
      </w:r>
      <w:r>
        <w:rPr>
          <w:rFonts w:ascii="仿宋_GB2312" w:eastAsia="仿宋_GB2312" w:hint="eastAsia"/>
          <w:sz w:val="32"/>
          <w:szCs w:val="32"/>
        </w:rPr>
        <w:t>5</w:t>
      </w:r>
      <w:r>
        <w:rPr>
          <w:rFonts w:ascii="仿宋_GB2312" w:eastAsia="仿宋_GB2312"/>
          <w:sz w:val="32"/>
          <w:szCs w:val="32"/>
        </w:rPr>
        <w:t>.</w:t>
      </w:r>
      <w:r>
        <w:rPr>
          <w:rFonts w:ascii="仿宋_GB2312" w:eastAsia="仿宋_GB2312" w:hAnsi="仿宋_GB2312" w:cs="仿宋_GB2312" w:hint="eastAsia"/>
          <w:color w:val="000000"/>
          <w:sz w:val="32"/>
          <w:szCs w:val="32"/>
          <w:shd w:val="clear" w:color="auto" w:fill="F8F8F8"/>
        </w:rPr>
        <w:t xml:space="preserve"> 住房保障支出（类）保障性安居工程支出（款）老旧小区改造（项）：反映用于老旧小区改造方面的支出。</w:t>
      </w:r>
    </w:p>
    <w:p w:rsidR="00BA116A" w:rsidRDefault="003D1702">
      <w:pPr>
        <w:ind w:firstLineChars="200" w:firstLine="640"/>
        <w:rPr>
          <w:rFonts w:ascii="仿宋_GB2312" w:eastAsia="仿宋_GB2312" w:hAnsi="仿宋_GB2312" w:cs="仿宋_GB2312"/>
          <w:color w:val="000000"/>
          <w:sz w:val="32"/>
          <w:szCs w:val="32"/>
          <w:shd w:val="clear" w:color="auto" w:fill="F8F8F8"/>
        </w:rPr>
      </w:pPr>
      <w:r>
        <w:rPr>
          <w:rFonts w:ascii="仿宋_GB2312" w:eastAsia="仿宋_GB2312"/>
          <w:sz w:val="32"/>
          <w:szCs w:val="32"/>
        </w:rPr>
        <w:t>2</w:t>
      </w:r>
      <w:r>
        <w:rPr>
          <w:rFonts w:ascii="仿宋_GB2312" w:eastAsia="仿宋_GB2312" w:hint="eastAsia"/>
          <w:sz w:val="32"/>
          <w:szCs w:val="32"/>
        </w:rPr>
        <w:t>6</w:t>
      </w:r>
      <w:r>
        <w:rPr>
          <w:rFonts w:ascii="仿宋_GB2312" w:eastAsia="仿宋_GB2312"/>
          <w:sz w:val="32"/>
          <w:szCs w:val="32"/>
        </w:rPr>
        <w:t>.</w:t>
      </w:r>
      <w:r>
        <w:rPr>
          <w:rFonts w:ascii="仿宋_GB2312" w:eastAsia="仿宋_GB2312" w:hAnsi="仿宋_GB2312" w:cs="仿宋_GB2312" w:hint="eastAsia"/>
          <w:color w:val="000000"/>
          <w:sz w:val="32"/>
          <w:szCs w:val="32"/>
          <w:shd w:val="clear" w:color="auto" w:fill="F8F8F8"/>
        </w:rPr>
        <w:t xml:space="preserve"> 住房保障支出（类）保障性安居工程支出（款）其他保障性安居工程支出（项）：反映除上述项目以外其他用于保障性住房方面的支出。</w:t>
      </w:r>
    </w:p>
    <w:p w:rsidR="00BA116A" w:rsidRDefault="003D1702">
      <w:pPr>
        <w:pStyle w:val="a7"/>
        <w:widowControl/>
        <w:shd w:val="clear" w:color="auto" w:fill="F8F8F8"/>
        <w:spacing w:before="0" w:beforeAutospacing="0" w:after="0" w:afterAutospacing="0" w:line="450" w:lineRule="atLeast"/>
        <w:ind w:firstLineChars="200" w:firstLine="640"/>
        <w:rPr>
          <w:rFonts w:ascii="仿宋_GB2312" w:eastAsia="仿宋_GB2312" w:hAnsi="仿宋_GB2312" w:cs="仿宋_GB2312"/>
          <w:color w:val="000000"/>
          <w:sz w:val="32"/>
          <w:szCs w:val="32"/>
          <w:shd w:val="clear" w:color="auto" w:fill="F8F8F8"/>
        </w:rPr>
      </w:pPr>
      <w:r>
        <w:rPr>
          <w:rFonts w:ascii="仿宋_GB2312" w:eastAsia="仿宋_GB2312"/>
          <w:sz w:val="32"/>
          <w:szCs w:val="32"/>
        </w:rPr>
        <w:t>2</w:t>
      </w:r>
      <w:r>
        <w:rPr>
          <w:rFonts w:ascii="仿宋_GB2312" w:eastAsia="仿宋_GB2312" w:hint="eastAsia"/>
          <w:sz w:val="32"/>
          <w:szCs w:val="32"/>
        </w:rPr>
        <w:t>7</w:t>
      </w:r>
      <w:r>
        <w:rPr>
          <w:rFonts w:ascii="仿宋_GB2312" w:eastAsia="仿宋_GB2312"/>
          <w:sz w:val="32"/>
          <w:szCs w:val="32"/>
        </w:rPr>
        <w:t>.</w:t>
      </w:r>
      <w:r>
        <w:rPr>
          <w:rFonts w:ascii="仿宋_GB2312" w:eastAsia="仿宋_GB2312" w:hAnsi="仿宋_GB2312" w:cs="仿宋_GB2312" w:hint="eastAsia"/>
          <w:color w:val="000000"/>
          <w:sz w:val="32"/>
          <w:szCs w:val="32"/>
          <w:shd w:val="clear" w:color="auto" w:fill="F8F8F8"/>
        </w:rPr>
        <w:t xml:space="preserve"> 住房保障支出（类）住房改革支出（款）住房公积金（项）：指放映行政事业单位按人力资源和社会保障部、财政部规定的基本工资和津贴补贴以及规定比例为职工缴纳的住房公积金。</w:t>
      </w:r>
    </w:p>
    <w:p w:rsidR="00BA116A" w:rsidRDefault="003D1702">
      <w:pPr>
        <w:pStyle w:val="a7"/>
        <w:widowControl/>
        <w:shd w:val="clear" w:color="auto" w:fill="F8F8F8"/>
        <w:spacing w:before="0" w:beforeAutospacing="0" w:after="0" w:afterAutospacing="0" w:line="450" w:lineRule="atLeast"/>
        <w:ind w:firstLine="640"/>
        <w:rPr>
          <w:rFonts w:ascii="仿宋_GB2312" w:eastAsia="仿宋_GB2312" w:hAnsi="仿宋_GB2312" w:cs="仿宋_GB2312"/>
          <w:color w:val="000000"/>
          <w:sz w:val="32"/>
          <w:szCs w:val="32"/>
          <w:shd w:val="clear" w:color="auto" w:fill="F8F8F8"/>
        </w:rPr>
      </w:pPr>
      <w:r>
        <w:rPr>
          <w:rFonts w:ascii="仿宋_GB2312" w:eastAsia="仿宋_GB2312" w:hAnsi="仿宋_GB2312" w:cs="仿宋_GB2312" w:hint="eastAsia"/>
          <w:color w:val="000000"/>
          <w:sz w:val="32"/>
          <w:szCs w:val="32"/>
          <w:shd w:val="clear" w:color="auto" w:fill="F8F8F8"/>
        </w:rPr>
        <w:lastRenderedPageBreak/>
        <w:t>28. 国有资本经营预算（类）解决历史遗留问题及改革成本支出（款）  国有企业退休人员社会化管理补助支出（项）：指反映国有资本经营预算收入安排的支持国有企业退休人员移交社区实现社会化管理的支出。</w:t>
      </w:r>
    </w:p>
    <w:p w:rsidR="00BA116A" w:rsidRDefault="003D1702">
      <w:pPr>
        <w:pStyle w:val="a7"/>
        <w:widowControl/>
        <w:shd w:val="clear" w:color="auto" w:fill="F8F8F8"/>
        <w:spacing w:before="0" w:beforeAutospacing="0" w:after="0" w:afterAutospacing="0" w:line="450" w:lineRule="atLeast"/>
        <w:ind w:firstLineChars="200" w:firstLine="640"/>
        <w:rPr>
          <w:rFonts w:ascii="仿宋_GB2312" w:eastAsia="仿宋_GB2312" w:hAnsi="仿宋_GB2312" w:cs="仿宋_GB2312"/>
          <w:color w:val="000000"/>
          <w:sz w:val="32"/>
          <w:szCs w:val="32"/>
          <w:shd w:val="clear" w:color="auto" w:fill="F8F8F8"/>
        </w:rPr>
      </w:pPr>
      <w:r>
        <w:rPr>
          <w:rFonts w:ascii="仿宋_GB2312" w:eastAsia="仿宋_GB2312" w:hAnsi="仿宋_GB2312" w:cs="仿宋_GB2312" w:hint="eastAsia"/>
          <w:color w:val="000000"/>
          <w:sz w:val="32"/>
          <w:szCs w:val="32"/>
          <w:shd w:val="clear" w:color="auto" w:fill="F8F8F8"/>
        </w:rPr>
        <w:t>29.其他支出（类）其他政府性基金及对应专项债务收入安排的支出（款）其他地方自行试点项目收益专项债券收入安排的支出（项）：指反映其他地方自行试点项目收益专项债券收入安排的支出。</w:t>
      </w:r>
    </w:p>
    <w:p w:rsidR="00BA116A" w:rsidRDefault="003D1702">
      <w:pPr>
        <w:ind w:firstLineChars="200" w:firstLine="640"/>
        <w:rPr>
          <w:rFonts w:ascii="仿宋_GB2312" w:eastAsia="仿宋_GB2312"/>
          <w:sz w:val="32"/>
          <w:szCs w:val="32"/>
        </w:rPr>
      </w:pPr>
      <w:r>
        <w:rPr>
          <w:rFonts w:ascii="仿宋_GB2312" w:eastAsia="仿宋_GB2312" w:hint="eastAsia"/>
          <w:sz w:val="32"/>
          <w:szCs w:val="32"/>
        </w:rPr>
        <w:t>30</w:t>
      </w:r>
      <w:r>
        <w:rPr>
          <w:rFonts w:ascii="仿宋_GB2312" w:eastAsia="仿宋_GB2312"/>
          <w:sz w:val="32"/>
          <w:szCs w:val="32"/>
        </w:rPr>
        <w:t>.</w:t>
      </w:r>
      <w:r>
        <w:rPr>
          <w:rFonts w:ascii="仿宋_GB2312" w:eastAsia="仿宋_GB2312" w:hint="eastAsia"/>
          <w:sz w:val="32"/>
          <w:szCs w:val="32"/>
        </w:rPr>
        <w:t>基本支出：指为保障机构正常运转、完成日常工作任务而发生的人员支出和公用支出。</w:t>
      </w:r>
    </w:p>
    <w:p w:rsidR="00BA116A" w:rsidRDefault="003D1702">
      <w:pPr>
        <w:ind w:firstLineChars="200" w:firstLine="640"/>
        <w:rPr>
          <w:rFonts w:ascii="仿宋_GB2312" w:eastAsia="仿宋_GB2312"/>
          <w:sz w:val="32"/>
          <w:szCs w:val="32"/>
        </w:rPr>
      </w:pPr>
      <w:r>
        <w:rPr>
          <w:rFonts w:ascii="仿宋_GB2312" w:eastAsia="仿宋_GB2312" w:hint="eastAsia"/>
          <w:sz w:val="32"/>
          <w:szCs w:val="32"/>
        </w:rPr>
        <w:t>31</w:t>
      </w:r>
      <w:r>
        <w:rPr>
          <w:rFonts w:ascii="仿宋_GB2312" w:eastAsia="仿宋_GB2312"/>
          <w:sz w:val="32"/>
          <w:szCs w:val="32"/>
        </w:rPr>
        <w:t>.</w:t>
      </w:r>
      <w:r>
        <w:rPr>
          <w:rFonts w:ascii="仿宋_GB2312" w:eastAsia="仿宋_GB2312" w:hint="eastAsia"/>
          <w:sz w:val="32"/>
          <w:szCs w:val="32"/>
        </w:rPr>
        <w:t>项目支出：指在基本支出之外为完成特定行政任务和事业发展目标所发生的支出。</w:t>
      </w:r>
    </w:p>
    <w:p w:rsidR="00BA116A" w:rsidRDefault="003D1702">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3</w:t>
      </w:r>
      <w:r>
        <w:rPr>
          <w:rFonts w:ascii="仿宋_GB2312" w:eastAsia="仿宋_GB2312" w:hint="eastAsia"/>
          <w:color w:val="auto"/>
          <w:sz w:val="32"/>
          <w:szCs w:val="32"/>
        </w:rPr>
        <w:t>2</w:t>
      </w:r>
      <w:r>
        <w:rPr>
          <w:rFonts w:ascii="仿宋_GB2312" w:eastAsia="仿宋_GB2312"/>
          <w:color w:val="auto"/>
          <w:sz w:val="32"/>
          <w:szCs w:val="32"/>
        </w:rPr>
        <w:t>.</w:t>
      </w:r>
      <w:r>
        <w:rPr>
          <w:rFonts w:ascii="仿宋_GB2312" w:eastAsia="仿宋_GB2312" w:hint="eastAsia"/>
          <w:color w:val="auto"/>
          <w:sz w:val="32"/>
          <w:szCs w:val="32"/>
        </w:rPr>
        <w:t>“三公”经费：指单位用财政拨款安排的因公出国（境）费、公务用车购置及运行费和公务接待费。其中，因公出国（境）</w:t>
      </w:r>
      <w:proofErr w:type="gramStart"/>
      <w:r>
        <w:rPr>
          <w:rFonts w:ascii="仿宋_GB2312" w:eastAsia="仿宋_GB2312" w:hint="eastAsia"/>
          <w:color w:val="auto"/>
          <w:sz w:val="32"/>
          <w:szCs w:val="32"/>
        </w:rPr>
        <w:t>费反映</w:t>
      </w:r>
      <w:proofErr w:type="gramEnd"/>
      <w:r>
        <w:rPr>
          <w:rFonts w:ascii="仿宋_GB2312" w:eastAsia="仿宋_GB2312" w:hint="eastAsia"/>
          <w:color w:val="auto"/>
          <w:sz w:val="32"/>
          <w:szCs w:val="32"/>
        </w:rPr>
        <w:t>单位公务出国（境）的国际旅费、国外城市间交通费、住宿费、伙食费、培训费、公杂费等支出；公务用车购置及运行</w:t>
      </w:r>
      <w:proofErr w:type="gramStart"/>
      <w:r>
        <w:rPr>
          <w:rFonts w:ascii="仿宋_GB2312" w:eastAsia="仿宋_GB2312" w:hint="eastAsia"/>
          <w:color w:val="auto"/>
          <w:sz w:val="32"/>
          <w:szCs w:val="32"/>
        </w:rPr>
        <w:t>费反映</w:t>
      </w:r>
      <w:proofErr w:type="gramEnd"/>
      <w:r>
        <w:rPr>
          <w:rFonts w:ascii="仿宋_GB2312" w:eastAsia="仿宋_GB2312" w:hint="eastAsia"/>
          <w:color w:val="auto"/>
          <w:sz w:val="32"/>
          <w:szCs w:val="32"/>
        </w:rPr>
        <w:t>单位公务用车车辆购置支出（</w:t>
      </w:r>
      <w:proofErr w:type="gramStart"/>
      <w:r>
        <w:rPr>
          <w:rFonts w:ascii="仿宋_GB2312" w:eastAsia="仿宋_GB2312" w:hint="eastAsia"/>
          <w:color w:val="auto"/>
          <w:sz w:val="32"/>
          <w:szCs w:val="32"/>
        </w:rPr>
        <w:t>含车辆</w:t>
      </w:r>
      <w:proofErr w:type="gramEnd"/>
      <w:r>
        <w:rPr>
          <w:rFonts w:ascii="仿宋_GB2312" w:eastAsia="仿宋_GB2312" w:hint="eastAsia"/>
          <w:color w:val="auto"/>
          <w:sz w:val="32"/>
          <w:szCs w:val="32"/>
        </w:rPr>
        <w:t>购置税）及租用费、燃料费、维修费、过路过桥费、保险费等支出；公务接待</w:t>
      </w:r>
      <w:proofErr w:type="gramStart"/>
      <w:r>
        <w:rPr>
          <w:rFonts w:ascii="仿宋_GB2312" w:eastAsia="仿宋_GB2312" w:hint="eastAsia"/>
          <w:color w:val="auto"/>
          <w:sz w:val="32"/>
          <w:szCs w:val="32"/>
        </w:rPr>
        <w:t>费反映</w:t>
      </w:r>
      <w:proofErr w:type="gramEnd"/>
      <w:r>
        <w:rPr>
          <w:rFonts w:ascii="仿宋_GB2312" w:eastAsia="仿宋_GB2312" w:hint="eastAsia"/>
          <w:color w:val="auto"/>
          <w:sz w:val="32"/>
          <w:szCs w:val="32"/>
        </w:rPr>
        <w:t>单位按规定开支的各类公务接待（含外宾接待）支出。</w:t>
      </w:r>
    </w:p>
    <w:p w:rsidR="00BA116A" w:rsidRDefault="003D1702">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3</w:t>
      </w:r>
      <w:r>
        <w:rPr>
          <w:rFonts w:ascii="仿宋_GB2312" w:eastAsia="仿宋_GB2312" w:hint="eastAsia"/>
          <w:color w:val="auto"/>
          <w:sz w:val="32"/>
          <w:szCs w:val="32"/>
        </w:rPr>
        <w:t>3</w:t>
      </w:r>
      <w:r>
        <w:rPr>
          <w:rFonts w:ascii="仿宋_GB2312" w:eastAsia="仿宋_GB2312"/>
          <w:color w:val="auto"/>
          <w:sz w:val="32"/>
          <w:szCs w:val="32"/>
        </w:rPr>
        <w:t>.</w:t>
      </w:r>
      <w:r>
        <w:rPr>
          <w:rFonts w:ascii="仿宋_GB2312" w:eastAsia="仿宋_GB2312" w:hint="eastAsia"/>
          <w:color w:val="auto"/>
          <w:sz w:val="32"/>
          <w:szCs w:val="32"/>
        </w:rPr>
        <w:t>机关运行经费：为保障行政单位（含参照公务员法管理的事业单位）运行用于购买货物和服务的各项资金，包括办公及印刷费、邮电费、差旅费、会议费、福利费、日常</w:t>
      </w:r>
      <w:r>
        <w:rPr>
          <w:rFonts w:ascii="仿宋_GB2312" w:eastAsia="仿宋_GB2312" w:hint="eastAsia"/>
          <w:color w:val="auto"/>
          <w:sz w:val="32"/>
          <w:szCs w:val="32"/>
        </w:rPr>
        <w:lastRenderedPageBreak/>
        <w:t>维修费、专用材料及一般设备购置费、办公用房水电费、办公用房取暖费、办公用房物业管理费、公务用车运行维护费以及其他费用。</w:t>
      </w:r>
    </w:p>
    <w:p w:rsidR="00BA116A" w:rsidRDefault="00BA116A">
      <w:pPr>
        <w:pStyle w:val="Default"/>
        <w:spacing w:line="560" w:lineRule="exact"/>
        <w:ind w:firstLineChars="200" w:firstLine="640"/>
        <w:rPr>
          <w:rFonts w:ascii="仿宋_GB2312" w:eastAsia="仿宋_GB2312" w:cs="黑体"/>
          <w:color w:val="auto"/>
          <w:sz w:val="32"/>
          <w:szCs w:val="32"/>
        </w:rPr>
      </w:pPr>
    </w:p>
    <w:p w:rsidR="00BA116A" w:rsidRDefault="003D1702">
      <w:pPr>
        <w:spacing w:line="600" w:lineRule="exact"/>
        <w:ind w:firstLineChars="700" w:firstLine="3080"/>
        <w:outlineLvl w:val="0"/>
        <w:rPr>
          <w:rStyle w:val="1Char"/>
          <w:rFonts w:ascii="黑体" w:eastAsia="黑体" w:hAnsi="黑体"/>
          <w:b w:val="0"/>
        </w:rPr>
      </w:pPr>
      <w:bookmarkStart w:id="51" w:name="_Toc15396614"/>
      <w:bookmarkStart w:id="52" w:name="_Toc15377226"/>
      <w:r>
        <w:rPr>
          <w:rFonts w:ascii="黑体" w:eastAsia="黑体" w:hAnsi="黑体" w:hint="eastAsia"/>
          <w:sz w:val="44"/>
          <w:szCs w:val="44"/>
        </w:rPr>
        <w:t>第</w:t>
      </w:r>
      <w:r>
        <w:rPr>
          <w:rStyle w:val="1Char"/>
          <w:rFonts w:ascii="黑体" w:eastAsia="黑体" w:hAnsi="黑体" w:hint="eastAsia"/>
          <w:b w:val="0"/>
        </w:rPr>
        <w:t>四部分 附件</w:t>
      </w:r>
      <w:bookmarkEnd w:id="51"/>
    </w:p>
    <w:p w:rsidR="00BA116A" w:rsidRDefault="00BA116A">
      <w:pPr>
        <w:spacing w:line="572" w:lineRule="exact"/>
        <w:jc w:val="left"/>
        <w:outlineLvl w:val="0"/>
        <w:rPr>
          <w:rFonts w:ascii="仿宋_GB2312" w:eastAsia="仿宋_GB2312" w:hAnsi="仿宋_GB2312" w:cs="仿宋_GB2312"/>
          <w:sz w:val="32"/>
          <w:szCs w:val="32"/>
        </w:rPr>
      </w:pPr>
    </w:p>
    <w:p w:rsidR="00BA116A" w:rsidRDefault="003D1702">
      <w:pPr>
        <w:spacing w:line="600" w:lineRule="exact"/>
        <w:jc w:val="center"/>
        <w:outlineLvl w:val="0"/>
        <w:rPr>
          <w:rFonts w:ascii="宋体" w:hAnsi="宋体" w:cs="宋体"/>
          <w:kern w:val="0"/>
          <w:sz w:val="32"/>
          <w:szCs w:val="32"/>
        </w:rPr>
      </w:pPr>
      <w:bookmarkStart w:id="53" w:name="_Toc15396618"/>
      <w:r>
        <w:rPr>
          <w:rFonts w:ascii="宋体" w:hAnsi="宋体" w:cs="宋体" w:hint="eastAsia"/>
          <w:kern w:val="0"/>
          <w:sz w:val="32"/>
          <w:szCs w:val="32"/>
        </w:rPr>
        <w:t>部门预算项目支出绩效自评表（2022年度）见附件</w:t>
      </w:r>
      <w:r w:rsidR="00F0630B">
        <w:rPr>
          <w:rFonts w:ascii="宋体" w:hAnsi="宋体" w:cs="宋体" w:hint="eastAsia"/>
          <w:kern w:val="0"/>
          <w:sz w:val="32"/>
          <w:szCs w:val="32"/>
        </w:rPr>
        <w:t>3。</w:t>
      </w:r>
    </w:p>
    <w:p w:rsidR="00BA116A" w:rsidRDefault="00BA116A">
      <w:pPr>
        <w:spacing w:line="600" w:lineRule="exact"/>
        <w:jc w:val="left"/>
        <w:outlineLvl w:val="0"/>
        <w:rPr>
          <w:rFonts w:ascii="仿宋_GB2312" w:eastAsia="仿宋_GB2312" w:hAnsi="Calibri" w:cs="仿宋"/>
          <w:kern w:val="0"/>
          <w:sz w:val="32"/>
          <w:szCs w:val="32"/>
        </w:rPr>
      </w:pPr>
    </w:p>
    <w:p w:rsidR="00BA116A" w:rsidRDefault="00BA116A">
      <w:pPr>
        <w:spacing w:line="600" w:lineRule="exact"/>
        <w:ind w:firstLineChars="700" w:firstLine="3080"/>
        <w:outlineLvl w:val="0"/>
        <w:rPr>
          <w:rFonts w:ascii="黑体" w:eastAsia="黑体" w:hAnsi="黑体"/>
          <w:sz w:val="44"/>
          <w:szCs w:val="44"/>
        </w:rPr>
      </w:pPr>
    </w:p>
    <w:p w:rsidR="00BA116A" w:rsidRDefault="003D1702">
      <w:pPr>
        <w:spacing w:line="600" w:lineRule="exact"/>
        <w:ind w:firstLineChars="700" w:firstLine="3080"/>
        <w:outlineLvl w:val="0"/>
        <w:rPr>
          <w:rFonts w:ascii="仿宋" w:eastAsia="仿宋" w:hAnsi="仿宋"/>
        </w:rPr>
      </w:pPr>
      <w:bookmarkStart w:id="54" w:name="_GoBack"/>
      <w:bookmarkEnd w:id="54"/>
      <w:r>
        <w:rPr>
          <w:rFonts w:ascii="黑体" w:eastAsia="黑体" w:hAnsi="黑体" w:hint="eastAsia"/>
          <w:sz w:val="44"/>
          <w:szCs w:val="44"/>
        </w:rPr>
        <w:t>第</w:t>
      </w:r>
      <w:r>
        <w:rPr>
          <w:rStyle w:val="1Char"/>
          <w:rFonts w:ascii="黑体" w:eastAsia="黑体" w:hAnsi="黑体" w:hint="eastAsia"/>
          <w:b w:val="0"/>
        </w:rPr>
        <w:t>五部分 附表</w:t>
      </w:r>
      <w:bookmarkStart w:id="55" w:name="_Toc15396619"/>
      <w:bookmarkEnd w:id="52"/>
      <w:bookmarkEnd w:id="53"/>
    </w:p>
    <w:p w:rsidR="00BA116A" w:rsidRDefault="003D1702">
      <w:pPr>
        <w:pStyle w:val="2"/>
        <w:rPr>
          <w:rFonts w:ascii="仿宋" w:eastAsia="仿宋" w:hAnsi="仿宋"/>
        </w:rPr>
      </w:pPr>
      <w:r>
        <w:rPr>
          <w:rFonts w:ascii="仿宋" w:eastAsia="仿宋" w:hAnsi="仿宋" w:hint="eastAsia"/>
          <w:b w:val="0"/>
        </w:rPr>
        <w:lastRenderedPageBreak/>
        <w:t>一、收</w:t>
      </w:r>
      <w:r>
        <w:rPr>
          <w:rStyle w:val="2Char"/>
          <w:rFonts w:ascii="仿宋" w:eastAsia="仿宋" w:hAnsi="仿宋" w:hint="eastAsia"/>
        </w:rPr>
        <w:t>入支出决算总表</w:t>
      </w:r>
      <w:bookmarkEnd w:id="55"/>
    </w:p>
    <w:p w:rsidR="00BA116A" w:rsidRDefault="003D1702">
      <w:pPr>
        <w:pStyle w:val="2"/>
        <w:rPr>
          <w:rFonts w:ascii="仿宋" w:eastAsia="仿宋" w:hAnsi="仿宋"/>
        </w:rPr>
      </w:pPr>
      <w:bookmarkStart w:id="56" w:name="_Toc15396620"/>
      <w:r>
        <w:rPr>
          <w:rFonts w:ascii="仿宋" w:eastAsia="仿宋" w:hAnsi="仿宋" w:hint="eastAsia"/>
          <w:b w:val="0"/>
        </w:rPr>
        <w:t>二、收</w:t>
      </w:r>
      <w:r>
        <w:rPr>
          <w:rStyle w:val="2Char"/>
          <w:rFonts w:ascii="仿宋" w:eastAsia="仿宋" w:hAnsi="仿宋" w:hint="eastAsia"/>
        </w:rPr>
        <w:t>入决算表</w:t>
      </w:r>
      <w:bookmarkEnd w:id="56"/>
    </w:p>
    <w:p w:rsidR="00BA116A" w:rsidRDefault="003D1702">
      <w:pPr>
        <w:pStyle w:val="2"/>
        <w:rPr>
          <w:rFonts w:ascii="仿宋" w:eastAsia="仿宋" w:hAnsi="仿宋"/>
        </w:rPr>
      </w:pPr>
      <w:bookmarkStart w:id="57" w:name="_Toc15396621"/>
      <w:r>
        <w:rPr>
          <w:rStyle w:val="2Char"/>
          <w:rFonts w:ascii="仿宋" w:eastAsia="仿宋" w:hAnsi="仿宋" w:hint="eastAsia"/>
        </w:rPr>
        <w:t>三、</w:t>
      </w:r>
      <w:r>
        <w:rPr>
          <w:rFonts w:ascii="仿宋" w:eastAsia="仿宋" w:hAnsi="仿宋" w:hint="eastAsia"/>
          <w:b w:val="0"/>
        </w:rPr>
        <w:t>支</w:t>
      </w:r>
      <w:r>
        <w:rPr>
          <w:rStyle w:val="2Char"/>
          <w:rFonts w:ascii="仿宋" w:eastAsia="仿宋" w:hAnsi="仿宋" w:hint="eastAsia"/>
        </w:rPr>
        <w:t>出决算表</w:t>
      </w:r>
      <w:bookmarkEnd w:id="57"/>
    </w:p>
    <w:p w:rsidR="00BA116A" w:rsidRDefault="003D1702">
      <w:pPr>
        <w:pStyle w:val="2"/>
        <w:rPr>
          <w:rFonts w:ascii="仿宋" w:eastAsia="仿宋" w:hAnsi="仿宋"/>
          <w:b w:val="0"/>
        </w:rPr>
      </w:pPr>
      <w:bookmarkStart w:id="58" w:name="_Toc15396622"/>
      <w:r>
        <w:rPr>
          <w:rStyle w:val="2Char"/>
          <w:rFonts w:ascii="仿宋" w:eastAsia="仿宋" w:hAnsi="仿宋" w:hint="eastAsia"/>
        </w:rPr>
        <w:t>四、</w:t>
      </w:r>
      <w:r>
        <w:rPr>
          <w:rFonts w:ascii="仿宋" w:eastAsia="仿宋" w:hAnsi="仿宋" w:hint="eastAsia"/>
          <w:b w:val="0"/>
        </w:rPr>
        <w:t>财</w:t>
      </w:r>
      <w:r>
        <w:rPr>
          <w:rStyle w:val="2Char"/>
          <w:rFonts w:ascii="仿宋" w:eastAsia="仿宋" w:hAnsi="仿宋" w:hint="eastAsia"/>
        </w:rPr>
        <w:t>政拨款收入支出决算总表</w:t>
      </w:r>
      <w:bookmarkEnd w:id="58"/>
    </w:p>
    <w:p w:rsidR="00BA116A" w:rsidRDefault="003D1702">
      <w:pPr>
        <w:pStyle w:val="2"/>
        <w:rPr>
          <w:rStyle w:val="2Char"/>
          <w:rFonts w:ascii="仿宋" w:eastAsia="仿宋" w:hAnsi="仿宋"/>
        </w:rPr>
      </w:pPr>
      <w:bookmarkStart w:id="59" w:name="_Toc15396623"/>
      <w:r>
        <w:rPr>
          <w:rStyle w:val="2Char"/>
          <w:rFonts w:ascii="仿宋" w:eastAsia="仿宋" w:hAnsi="仿宋" w:hint="eastAsia"/>
        </w:rPr>
        <w:t>五、</w:t>
      </w:r>
      <w:r>
        <w:rPr>
          <w:rFonts w:ascii="仿宋" w:eastAsia="仿宋" w:hAnsi="仿宋" w:hint="eastAsia"/>
          <w:b w:val="0"/>
        </w:rPr>
        <w:t>财</w:t>
      </w:r>
      <w:r>
        <w:rPr>
          <w:rStyle w:val="2Char"/>
          <w:rFonts w:ascii="仿宋" w:eastAsia="仿宋" w:hAnsi="仿宋" w:hint="eastAsia"/>
        </w:rPr>
        <w:t>政拨款支出决算明细表</w:t>
      </w:r>
      <w:bookmarkStart w:id="60" w:name="_Toc15396624"/>
      <w:bookmarkEnd w:id="59"/>
    </w:p>
    <w:p w:rsidR="00BA116A" w:rsidRDefault="003D1702">
      <w:pPr>
        <w:pStyle w:val="2"/>
        <w:rPr>
          <w:rFonts w:ascii="仿宋" w:eastAsia="仿宋" w:hAnsi="仿宋"/>
        </w:rPr>
      </w:pPr>
      <w:r>
        <w:rPr>
          <w:rStyle w:val="2Char"/>
          <w:rFonts w:ascii="仿宋" w:eastAsia="仿宋" w:hAnsi="仿宋" w:hint="eastAsia"/>
        </w:rPr>
        <w:t>六、</w:t>
      </w:r>
      <w:r>
        <w:rPr>
          <w:rFonts w:ascii="仿宋" w:eastAsia="仿宋" w:hAnsi="仿宋" w:hint="eastAsia"/>
          <w:b w:val="0"/>
        </w:rPr>
        <w:t>一</w:t>
      </w:r>
      <w:r>
        <w:rPr>
          <w:rStyle w:val="2Char"/>
          <w:rFonts w:ascii="仿宋" w:eastAsia="仿宋" w:hAnsi="仿宋" w:hint="eastAsia"/>
        </w:rPr>
        <w:t>般公共预算财政拨款支出决算表</w:t>
      </w:r>
      <w:bookmarkEnd w:id="60"/>
    </w:p>
    <w:p w:rsidR="00BA116A" w:rsidRDefault="003D1702">
      <w:pPr>
        <w:pStyle w:val="2"/>
        <w:rPr>
          <w:rFonts w:ascii="仿宋" w:eastAsia="仿宋" w:hAnsi="仿宋"/>
        </w:rPr>
      </w:pPr>
      <w:bookmarkStart w:id="61" w:name="_Toc15396625"/>
      <w:r>
        <w:rPr>
          <w:rStyle w:val="2Char"/>
          <w:rFonts w:ascii="仿宋" w:eastAsia="仿宋" w:hAnsi="仿宋" w:hint="eastAsia"/>
        </w:rPr>
        <w:t>七、</w:t>
      </w:r>
      <w:r>
        <w:rPr>
          <w:rFonts w:ascii="仿宋" w:eastAsia="仿宋" w:hAnsi="仿宋" w:hint="eastAsia"/>
          <w:b w:val="0"/>
        </w:rPr>
        <w:t>一</w:t>
      </w:r>
      <w:r>
        <w:rPr>
          <w:rStyle w:val="2Char"/>
          <w:rFonts w:ascii="仿宋" w:eastAsia="仿宋" w:hAnsi="仿宋" w:hint="eastAsia"/>
        </w:rPr>
        <w:t>般公共预算财政拨款支出决算明细表</w:t>
      </w:r>
      <w:bookmarkEnd w:id="61"/>
    </w:p>
    <w:p w:rsidR="00BA116A" w:rsidRDefault="003D1702">
      <w:pPr>
        <w:pStyle w:val="2"/>
        <w:rPr>
          <w:rFonts w:ascii="仿宋" w:eastAsia="仿宋" w:hAnsi="仿宋"/>
        </w:rPr>
      </w:pPr>
      <w:bookmarkStart w:id="62" w:name="_Toc15396626"/>
      <w:r>
        <w:rPr>
          <w:rStyle w:val="2Char"/>
          <w:rFonts w:ascii="仿宋" w:eastAsia="仿宋" w:hAnsi="仿宋" w:hint="eastAsia"/>
        </w:rPr>
        <w:t>八、</w:t>
      </w:r>
      <w:r>
        <w:rPr>
          <w:rFonts w:ascii="仿宋" w:eastAsia="仿宋" w:hAnsi="仿宋" w:hint="eastAsia"/>
          <w:b w:val="0"/>
        </w:rPr>
        <w:t>一</w:t>
      </w:r>
      <w:r>
        <w:rPr>
          <w:rStyle w:val="2Char"/>
          <w:rFonts w:ascii="仿宋" w:eastAsia="仿宋" w:hAnsi="仿宋" w:hint="eastAsia"/>
        </w:rPr>
        <w:t>般公共预算财政拨款基本支出决算表</w:t>
      </w:r>
      <w:bookmarkEnd w:id="62"/>
    </w:p>
    <w:p w:rsidR="00BA116A" w:rsidRDefault="003D1702">
      <w:pPr>
        <w:pStyle w:val="2"/>
        <w:rPr>
          <w:rFonts w:ascii="仿宋" w:eastAsia="仿宋" w:hAnsi="仿宋"/>
        </w:rPr>
      </w:pPr>
      <w:bookmarkStart w:id="63" w:name="_Toc15396627"/>
      <w:r>
        <w:rPr>
          <w:rStyle w:val="2Char"/>
          <w:rFonts w:ascii="仿宋" w:eastAsia="仿宋" w:hAnsi="仿宋" w:hint="eastAsia"/>
        </w:rPr>
        <w:t>九、</w:t>
      </w:r>
      <w:r>
        <w:rPr>
          <w:rFonts w:ascii="仿宋" w:eastAsia="仿宋" w:hAnsi="仿宋" w:hint="eastAsia"/>
          <w:b w:val="0"/>
        </w:rPr>
        <w:t>一</w:t>
      </w:r>
      <w:r>
        <w:rPr>
          <w:rStyle w:val="2Char"/>
          <w:rFonts w:ascii="仿宋" w:eastAsia="仿宋" w:hAnsi="仿宋" w:hint="eastAsia"/>
        </w:rPr>
        <w:t>般公共预算财政拨款项目支出决算表</w:t>
      </w:r>
      <w:bookmarkEnd w:id="63"/>
    </w:p>
    <w:p w:rsidR="00BA116A" w:rsidRDefault="003D1702">
      <w:pPr>
        <w:pStyle w:val="2"/>
        <w:rPr>
          <w:rFonts w:ascii="仿宋" w:eastAsia="仿宋" w:hAnsi="仿宋"/>
        </w:rPr>
      </w:pPr>
      <w:bookmarkStart w:id="64" w:name="_Toc15396628"/>
      <w:r>
        <w:rPr>
          <w:rStyle w:val="2Char"/>
          <w:rFonts w:ascii="仿宋" w:eastAsia="仿宋" w:hAnsi="仿宋" w:hint="eastAsia"/>
        </w:rPr>
        <w:t>十、</w:t>
      </w:r>
      <w:bookmarkEnd w:id="64"/>
      <w:r>
        <w:rPr>
          <w:rFonts w:ascii="仿宋" w:eastAsia="仿宋" w:hAnsi="仿宋" w:hint="eastAsia"/>
          <w:b w:val="0"/>
        </w:rPr>
        <w:t>政</w:t>
      </w:r>
      <w:r>
        <w:rPr>
          <w:rStyle w:val="2Char"/>
          <w:rFonts w:ascii="仿宋" w:eastAsia="仿宋" w:hAnsi="仿宋" w:hint="eastAsia"/>
        </w:rPr>
        <w:t>府性基金预算财政拨款收入支出决算表</w:t>
      </w:r>
    </w:p>
    <w:p w:rsidR="00BA116A" w:rsidRDefault="003D1702">
      <w:pPr>
        <w:pStyle w:val="2"/>
        <w:rPr>
          <w:rFonts w:ascii="仿宋" w:eastAsia="仿宋" w:hAnsi="仿宋"/>
        </w:rPr>
      </w:pPr>
      <w:bookmarkStart w:id="65" w:name="_Toc15396629"/>
      <w:r>
        <w:rPr>
          <w:rStyle w:val="2Char"/>
          <w:rFonts w:ascii="仿宋" w:eastAsia="仿宋" w:hAnsi="仿宋" w:hint="eastAsia"/>
        </w:rPr>
        <w:t>十一、</w:t>
      </w:r>
      <w:bookmarkEnd w:id="65"/>
      <w:r>
        <w:rPr>
          <w:rFonts w:ascii="仿宋" w:eastAsia="仿宋" w:hAnsi="仿宋" w:hint="eastAsia"/>
          <w:b w:val="0"/>
        </w:rPr>
        <w:t>国</w:t>
      </w:r>
      <w:r>
        <w:rPr>
          <w:rStyle w:val="2Char"/>
          <w:rFonts w:ascii="仿宋" w:eastAsia="仿宋" w:hAnsi="仿宋" w:hint="eastAsia"/>
        </w:rPr>
        <w:t>有资本经营预算财政拨款收入支出决算表</w:t>
      </w:r>
    </w:p>
    <w:p w:rsidR="00BA116A" w:rsidRDefault="003D1702">
      <w:pPr>
        <w:pStyle w:val="2"/>
        <w:rPr>
          <w:rFonts w:ascii="仿宋" w:eastAsia="仿宋" w:hAnsi="仿宋"/>
        </w:rPr>
      </w:pPr>
      <w:bookmarkStart w:id="66" w:name="_Toc15396630"/>
      <w:r>
        <w:rPr>
          <w:rStyle w:val="2Char"/>
          <w:rFonts w:ascii="仿宋" w:eastAsia="仿宋" w:hAnsi="仿宋" w:hint="eastAsia"/>
        </w:rPr>
        <w:t>十二、</w:t>
      </w:r>
      <w:bookmarkEnd w:id="66"/>
      <w:r>
        <w:rPr>
          <w:rStyle w:val="2Char"/>
          <w:rFonts w:ascii="仿宋" w:eastAsia="仿宋" w:hAnsi="仿宋" w:hint="eastAsia"/>
        </w:rPr>
        <w:t>国有资本经营预算财政拨款支出决算表</w:t>
      </w:r>
    </w:p>
    <w:p w:rsidR="00BA116A" w:rsidRDefault="003D1702">
      <w:pPr>
        <w:pStyle w:val="2"/>
        <w:rPr>
          <w:rFonts w:eastAsia="仿宋"/>
        </w:rPr>
      </w:pPr>
      <w:bookmarkStart w:id="67" w:name="_Toc15396631"/>
      <w:r>
        <w:rPr>
          <w:rStyle w:val="2Char"/>
          <w:rFonts w:ascii="仿宋" w:eastAsia="仿宋" w:hAnsi="仿宋" w:hint="eastAsia"/>
        </w:rPr>
        <w:t>十三、</w:t>
      </w:r>
      <w:bookmarkEnd w:id="67"/>
      <w:r>
        <w:rPr>
          <w:rStyle w:val="2Char"/>
          <w:rFonts w:ascii="仿宋" w:eastAsia="仿宋" w:hAnsi="仿宋" w:hint="eastAsia"/>
        </w:rPr>
        <w:t>财政拨款“三公”经费支出决算表</w:t>
      </w:r>
    </w:p>
    <w:sectPr w:rsidR="00BA116A" w:rsidSect="00BA116A">
      <w:headerReference w:type="default" r:id="rId14"/>
      <w:footerReference w:type="default" r:id="rId15"/>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116A" w:rsidRDefault="00BA116A" w:rsidP="00BA116A">
      <w:r>
        <w:separator/>
      </w:r>
    </w:p>
  </w:endnote>
  <w:endnote w:type="continuationSeparator" w:id="1">
    <w:p w:rsidR="00BA116A" w:rsidRDefault="00BA116A" w:rsidP="00BA11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charset w:val="86"/>
    <w:family w:val="auto"/>
    <w:pitch w:val="default"/>
    <w:sig w:usb0="00000000" w:usb1="38CF7CFA" w:usb2="00000016" w:usb3="00000000" w:csb0="00040001" w:csb1="00000000"/>
  </w:font>
  <w:font w:name="方正小标宋简体">
    <w:altName w:val="黑体"/>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BA116A" w:rsidRDefault="00E000EA">
        <w:pPr>
          <w:pStyle w:val="a5"/>
          <w:jc w:val="center"/>
        </w:pPr>
        <w:r w:rsidRPr="00E000EA">
          <w:fldChar w:fldCharType="begin"/>
        </w:r>
        <w:r w:rsidR="003D1702">
          <w:instrText>PAGE   \* MERGEFORMAT</w:instrText>
        </w:r>
        <w:r w:rsidRPr="00E000EA">
          <w:fldChar w:fldCharType="separate"/>
        </w:r>
        <w:r w:rsidR="00A1713E" w:rsidRPr="00A1713E">
          <w:rPr>
            <w:noProof/>
            <w:lang w:val="zh-CN"/>
          </w:rPr>
          <w:t>2</w:t>
        </w:r>
        <w:r>
          <w:rPr>
            <w:lang w:val="zh-CN"/>
          </w:rPr>
          <w:fldChar w:fldCharType="end"/>
        </w:r>
      </w:p>
    </w:sdtContent>
  </w:sdt>
  <w:p w:rsidR="00BA116A" w:rsidRDefault="00BA116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116A" w:rsidRDefault="00BA116A" w:rsidP="00BA116A">
      <w:r>
        <w:separator/>
      </w:r>
    </w:p>
  </w:footnote>
  <w:footnote w:type="continuationSeparator" w:id="1">
    <w:p w:rsidR="00BA116A" w:rsidRDefault="00BA116A" w:rsidP="00BA11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16A" w:rsidRDefault="00BA116A">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ascii="黑体" w:eastAsia="黑体" w:hAnsi="黑体" w:cs="黑体" w:hint="eastAsia"/>
        <w:sz w:val="44"/>
        <w:szCs w:val="44"/>
      </w:rPr>
    </w:lvl>
  </w:abstractNum>
  <w:abstractNum w:abstractNumId="2">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3818A09A"/>
    <w:multiLevelType w:val="singleLevel"/>
    <w:tmpl w:val="3818A09A"/>
    <w:lvl w:ilvl="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DUyMTIzNDhlZTA4NDQzOGM0ZTIyOTg2NjZkNDYwMmMifQ=="/>
  </w:docVars>
  <w:rsids>
    <w:rsidRoot w:val="00F1361C"/>
    <w:rsid w:val="9E3A10E2"/>
    <w:rsid w:val="F2E1F9D4"/>
    <w:rsid w:val="F7880819"/>
    <w:rsid w:val="000222C6"/>
    <w:rsid w:val="0002549F"/>
    <w:rsid w:val="00036BE6"/>
    <w:rsid w:val="00037B28"/>
    <w:rsid w:val="000468DB"/>
    <w:rsid w:val="000642C8"/>
    <w:rsid w:val="0006487A"/>
    <w:rsid w:val="00065F8F"/>
    <w:rsid w:val="00070A43"/>
    <w:rsid w:val="0007639F"/>
    <w:rsid w:val="000768F2"/>
    <w:rsid w:val="0008687A"/>
    <w:rsid w:val="0009184B"/>
    <w:rsid w:val="00094236"/>
    <w:rsid w:val="0009593C"/>
    <w:rsid w:val="00097322"/>
    <w:rsid w:val="000A6A92"/>
    <w:rsid w:val="000B047F"/>
    <w:rsid w:val="000B5923"/>
    <w:rsid w:val="000B5A48"/>
    <w:rsid w:val="000B6FF3"/>
    <w:rsid w:val="000C3467"/>
    <w:rsid w:val="000C3CA6"/>
    <w:rsid w:val="000D1267"/>
    <w:rsid w:val="000D1760"/>
    <w:rsid w:val="000D1D50"/>
    <w:rsid w:val="000D5782"/>
    <w:rsid w:val="000E6613"/>
    <w:rsid w:val="000E7119"/>
    <w:rsid w:val="000F3D30"/>
    <w:rsid w:val="00114E9B"/>
    <w:rsid w:val="00123991"/>
    <w:rsid w:val="00142216"/>
    <w:rsid w:val="00144D6A"/>
    <w:rsid w:val="0014729F"/>
    <w:rsid w:val="00151213"/>
    <w:rsid w:val="00157BAB"/>
    <w:rsid w:val="001654D1"/>
    <w:rsid w:val="00166365"/>
    <w:rsid w:val="00166E95"/>
    <w:rsid w:val="001731E0"/>
    <w:rsid w:val="00174518"/>
    <w:rsid w:val="0018106D"/>
    <w:rsid w:val="001864D2"/>
    <w:rsid w:val="001877A7"/>
    <w:rsid w:val="00191536"/>
    <w:rsid w:val="001956EE"/>
    <w:rsid w:val="00196687"/>
    <w:rsid w:val="001A09A9"/>
    <w:rsid w:val="001C020C"/>
    <w:rsid w:val="001C0962"/>
    <w:rsid w:val="001D3672"/>
    <w:rsid w:val="001D7531"/>
    <w:rsid w:val="001E737D"/>
    <w:rsid w:val="001F0592"/>
    <w:rsid w:val="001F0CBA"/>
    <w:rsid w:val="001F7506"/>
    <w:rsid w:val="002006CD"/>
    <w:rsid w:val="00202B36"/>
    <w:rsid w:val="00204B7A"/>
    <w:rsid w:val="00204CDE"/>
    <w:rsid w:val="0021101A"/>
    <w:rsid w:val="002118A4"/>
    <w:rsid w:val="00216BF0"/>
    <w:rsid w:val="00220536"/>
    <w:rsid w:val="00235629"/>
    <w:rsid w:val="00260950"/>
    <w:rsid w:val="00260C38"/>
    <w:rsid w:val="00260C9E"/>
    <w:rsid w:val="002616C0"/>
    <w:rsid w:val="00265372"/>
    <w:rsid w:val="002662AA"/>
    <w:rsid w:val="00280496"/>
    <w:rsid w:val="00294DC9"/>
    <w:rsid w:val="00295495"/>
    <w:rsid w:val="002A31DE"/>
    <w:rsid w:val="002B2613"/>
    <w:rsid w:val="002B5369"/>
    <w:rsid w:val="002C5931"/>
    <w:rsid w:val="002C64FE"/>
    <w:rsid w:val="002C69C6"/>
    <w:rsid w:val="002D6D05"/>
    <w:rsid w:val="002E1686"/>
    <w:rsid w:val="002F1818"/>
    <w:rsid w:val="002F567B"/>
    <w:rsid w:val="002F67DA"/>
    <w:rsid w:val="003079DE"/>
    <w:rsid w:val="003216A9"/>
    <w:rsid w:val="003345B0"/>
    <w:rsid w:val="00335A74"/>
    <w:rsid w:val="00343C07"/>
    <w:rsid w:val="0036561B"/>
    <w:rsid w:val="0037013F"/>
    <w:rsid w:val="00376386"/>
    <w:rsid w:val="00380C92"/>
    <w:rsid w:val="00384B42"/>
    <w:rsid w:val="003957F9"/>
    <w:rsid w:val="003A484F"/>
    <w:rsid w:val="003A4883"/>
    <w:rsid w:val="003B0BE0"/>
    <w:rsid w:val="003B0C1B"/>
    <w:rsid w:val="003B688C"/>
    <w:rsid w:val="003C0291"/>
    <w:rsid w:val="003C39AE"/>
    <w:rsid w:val="003C7B60"/>
    <w:rsid w:val="003D0C0F"/>
    <w:rsid w:val="003D1702"/>
    <w:rsid w:val="003D1FB2"/>
    <w:rsid w:val="003D66DA"/>
    <w:rsid w:val="003E11F8"/>
    <w:rsid w:val="003E1310"/>
    <w:rsid w:val="003E1543"/>
    <w:rsid w:val="003E34E9"/>
    <w:rsid w:val="003E6F55"/>
    <w:rsid w:val="003F0818"/>
    <w:rsid w:val="003F2D7D"/>
    <w:rsid w:val="003F7A3F"/>
    <w:rsid w:val="00406254"/>
    <w:rsid w:val="00413EC1"/>
    <w:rsid w:val="004223DE"/>
    <w:rsid w:val="00426E57"/>
    <w:rsid w:val="00434489"/>
    <w:rsid w:val="00437085"/>
    <w:rsid w:val="00443880"/>
    <w:rsid w:val="004464F4"/>
    <w:rsid w:val="004558B0"/>
    <w:rsid w:val="00460D5D"/>
    <w:rsid w:val="00464B39"/>
    <w:rsid w:val="00471401"/>
    <w:rsid w:val="00473F31"/>
    <w:rsid w:val="00481D3B"/>
    <w:rsid w:val="0048263A"/>
    <w:rsid w:val="00485945"/>
    <w:rsid w:val="00487E5D"/>
    <w:rsid w:val="004A4E7B"/>
    <w:rsid w:val="004A711F"/>
    <w:rsid w:val="004B199D"/>
    <w:rsid w:val="004B4690"/>
    <w:rsid w:val="004B6F5D"/>
    <w:rsid w:val="004C353A"/>
    <w:rsid w:val="004D784B"/>
    <w:rsid w:val="004E0A2D"/>
    <w:rsid w:val="004E206B"/>
    <w:rsid w:val="004E6DF7"/>
    <w:rsid w:val="004E704B"/>
    <w:rsid w:val="004F0FBD"/>
    <w:rsid w:val="004F29BC"/>
    <w:rsid w:val="00505A47"/>
    <w:rsid w:val="00512FDA"/>
    <w:rsid w:val="00517197"/>
    <w:rsid w:val="00520DA0"/>
    <w:rsid w:val="00535898"/>
    <w:rsid w:val="00560C5E"/>
    <w:rsid w:val="005664BB"/>
    <w:rsid w:val="00566FFA"/>
    <w:rsid w:val="0057481D"/>
    <w:rsid w:val="00575E86"/>
    <w:rsid w:val="0057756C"/>
    <w:rsid w:val="0058486E"/>
    <w:rsid w:val="00585B33"/>
    <w:rsid w:val="0059014D"/>
    <w:rsid w:val="005A049A"/>
    <w:rsid w:val="005B5C64"/>
    <w:rsid w:val="005B5CE4"/>
    <w:rsid w:val="005C5337"/>
    <w:rsid w:val="005C5FB1"/>
    <w:rsid w:val="005C6BD0"/>
    <w:rsid w:val="005D1C8B"/>
    <w:rsid w:val="005D468D"/>
    <w:rsid w:val="005D5CED"/>
    <w:rsid w:val="005E6066"/>
    <w:rsid w:val="005F05FB"/>
    <w:rsid w:val="005F1A4C"/>
    <w:rsid w:val="005F66BD"/>
    <w:rsid w:val="00602FD8"/>
    <w:rsid w:val="00605688"/>
    <w:rsid w:val="006070AF"/>
    <w:rsid w:val="00607E6C"/>
    <w:rsid w:val="006101B1"/>
    <w:rsid w:val="00614E44"/>
    <w:rsid w:val="006224D3"/>
    <w:rsid w:val="0062270A"/>
    <w:rsid w:val="00622830"/>
    <w:rsid w:val="00623DA0"/>
    <w:rsid w:val="00623E31"/>
    <w:rsid w:val="00624D44"/>
    <w:rsid w:val="00630AEF"/>
    <w:rsid w:val="006325F8"/>
    <w:rsid w:val="00633463"/>
    <w:rsid w:val="00634C9A"/>
    <w:rsid w:val="006440E4"/>
    <w:rsid w:val="006548D0"/>
    <w:rsid w:val="0066343B"/>
    <w:rsid w:val="00664777"/>
    <w:rsid w:val="006748A4"/>
    <w:rsid w:val="00681A31"/>
    <w:rsid w:val="00683E73"/>
    <w:rsid w:val="006A3141"/>
    <w:rsid w:val="006A5E34"/>
    <w:rsid w:val="006B09CD"/>
    <w:rsid w:val="006B2422"/>
    <w:rsid w:val="006B2B9A"/>
    <w:rsid w:val="006C1937"/>
    <w:rsid w:val="006D2E41"/>
    <w:rsid w:val="006E5616"/>
    <w:rsid w:val="006F020C"/>
    <w:rsid w:val="006F1BB5"/>
    <w:rsid w:val="00705B3E"/>
    <w:rsid w:val="007127B7"/>
    <w:rsid w:val="0071798E"/>
    <w:rsid w:val="007240C0"/>
    <w:rsid w:val="007416B6"/>
    <w:rsid w:val="00746F48"/>
    <w:rsid w:val="0075404D"/>
    <w:rsid w:val="0076182A"/>
    <w:rsid w:val="00765576"/>
    <w:rsid w:val="0076597E"/>
    <w:rsid w:val="00767B7E"/>
    <w:rsid w:val="0077224F"/>
    <w:rsid w:val="007770C3"/>
    <w:rsid w:val="00784D24"/>
    <w:rsid w:val="00785FBA"/>
    <w:rsid w:val="00786E4A"/>
    <w:rsid w:val="007875EB"/>
    <w:rsid w:val="007926EC"/>
    <w:rsid w:val="0079426B"/>
    <w:rsid w:val="007B0635"/>
    <w:rsid w:val="007B53F8"/>
    <w:rsid w:val="007C2B5F"/>
    <w:rsid w:val="007D1682"/>
    <w:rsid w:val="007D2A0C"/>
    <w:rsid w:val="007D312A"/>
    <w:rsid w:val="007D3F19"/>
    <w:rsid w:val="007E23B0"/>
    <w:rsid w:val="007E23E5"/>
    <w:rsid w:val="007E3DE3"/>
    <w:rsid w:val="007F1991"/>
    <w:rsid w:val="007F2C2F"/>
    <w:rsid w:val="007F55FC"/>
    <w:rsid w:val="007F5665"/>
    <w:rsid w:val="00800112"/>
    <w:rsid w:val="00813348"/>
    <w:rsid w:val="008249D0"/>
    <w:rsid w:val="00824D25"/>
    <w:rsid w:val="008253BB"/>
    <w:rsid w:val="0083706E"/>
    <w:rsid w:val="008408F6"/>
    <w:rsid w:val="008423A5"/>
    <w:rsid w:val="008460DF"/>
    <w:rsid w:val="00846DF6"/>
    <w:rsid w:val="00850625"/>
    <w:rsid w:val="00853718"/>
    <w:rsid w:val="00855221"/>
    <w:rsid w:val="00860645"/>
    <w:rsid w:val="0086262F"/>
    <w:rsid w:val="008636E4"/>
    <w:rsid w:val="00871F71"/>
    <w:rsid w:val="00872FD8"/>
    <w:rsid w:val="008821A4"/>
    <w:rsid w:val="00885888"/>
    <w:rsid w:val="00885AF4"/>
    <w:rsid w:val="008939CD"/>
    <w:rsid w:val="008A7A8A"/>
    <w:rsid w:val="008B768C"/>
    <w:rsid w:val="008C4DB1"/>
    <w:rsid w:val="008C4EAF"/>
    <w:rsid w:val="008C5176"/>
    <w:rsid w:val="008C7FD0"/>
    <w:rsid w:val="008E1DE7"/>
    <w:rsid w:val="008E23A2"/>
    <w:rsid w:val="008E3185"/>
    <w:rsid w:val="008E707C"/>
    <w:rsid w:val="008F053B"/>
    <w:rsid w:val="008F2176"/>
    <w:rsid w:val="00900B08"/>
    <w:rsid w:val="00902155"/>
    <w:rsid w:val="00902FA3"/>
    <w:rsid w:val="00906ECA"/>
    <w:rsid w:val="00915D8D"/>
    <w:rsid w:val="00923564"/>
    <w:rsid w:val="0092392E"/>
    <w:rsid w:val="009315F9"/>
    <w:rsid w:val="00933499"/>
    <w:rsid w:val="00935C98"/>
    <w:rsid w:val="00946945"/>
    <w:rsid w:val="00951248"/>
    <w:rsid w:val="0095152F"/>
    <w:rsid w:val="00952EAB"/>
    <w:rsid w:val="00954C49"/>
    <w:rsid w:val="00955E37"/>
    <w:rsid w:val="00961E7D"/>
    <w:rsid w:val="009641D5"/>
    <w:rsid w:val="0097099F"/>
    <w:rsid w:val="00971997"/>
    <w:rsid w:val="00971FFC"/>
    <w:rsid w:val="00980214"/>
    <w:rsid w:val="0098660A"/>
    <w:rsid w:val="009931C3"/>
    <w:rsid w:val="00993245"/>
    <w:rsid w:val="009B2C43"/>
    <w:rsid w:val="009B4EAE"/>
    <w:rsid w:val="009B7573"/>
    <w:rsid w:val="009C22F4"/>
    <w:rsid w:val="009C2A4B"/>
    <w:rsid w:val="009C2E98"/>
    <w:rsid w:val="009C3A7C"/>
    <w:rsid w:val="009D3447"/>
    <w:rsid w:val="009D4711"/>
    <w:rsid w:val="009D5B5D"/>
    <w:rsid w:val="009F1185"/>
    <w:rsid w:val="009F18CD"/>
    <w:rsid w:val="009F2A13"/>
    <w:rsid w:val="009F7527"/>
    <w:rsid w:val="00A04EB0"/>
    <w:rsid w:val="00A13CC1"/>
    <w:rsid w:val="00A16847"/>
    <w:rsid w:val="00A1713E"/>
    <w:rsid w:val="00A237D8"/>
    <w:rsid w:val="00A24F50"/>
    <w:rsid w:val="00A268C4"/>
    <w:rsid w:val="00A307CD"/>
    <w:rsid w:val="00A331C8"/>
    <w:rsid w:val="00A35860"/>
    <w:rsid w:val="00A40A00"/>
    <w:rsid w:val="00A4142F"/>
    <w:rsid w:val="00A415CC"/>
    <w:rsid w:val="00A422EB"/>
    <w:rsid w:val="00A45BB7"/>
    <w:rsid w:val="00A52EF7"/>
    <w:rsid w:val="00A56DF2"/>
    <w:rsid w:val="00A56E6E"/>
    <w:rsid w:val="00A64FE2"/>
    <w:rsid w:val="00A67AB5"/>
    <w:rsid w:val="00A733B2"/>
    <w:rsid w:val="00A741C2"/>
    <w:rsid w:val="00A91760"/>
    <w:rsid w:val="00A92680"/>
    <w:rsid w:val="00A93B00"/>
    <w:rsid w:val="00A93C21"/>
    <w:rsid w:val="00AA0520"/>
    <w:rsid w:val="00AA47F7"/>
    <w:rsid w:val="00AA4F85"/>
    <w:rsid w:val="00AB64C9"/>
    <w:rsid w:val="00AB6D17"/>
    <w:rsid w:val="00AC1E6B"/>
    <w:rsid w:val="00AC3C6A"/>
    <w:rsid w:val="00AD5620"/>
    <w:rsid w:val="00AD656B"/>
    <w:rsid w:val="00AD7C1B"/>
    <w:rsid w:val="00AE16BA"/>
    <w:rsid w:val="00AE1EBE"/>
    <w:rsid w:val="00B03C9D"/>
    <w:rsid w:val="00B060AE"/>
    <w:rsid w:val="00B10517"/>
    <w:rsid w:val="00B14E76"/>
    <w:rsid w:val="00B161B8"/>
    <w:rsid w:val="00B2048C"/>
    <w:rsid w:val="00B310B9"/>
    <w:rsid w:val="00B32CD9"/>
    <w:rsid w:val="00B35F3F"/>
    <w:rsid w:val="00B36CBB"/>
    <w:rsid w:val="00B425E0"/>
    <w:rsid w:val="00B440AA"/>
    <w:rsid w:val="00B44B70"/>
    <w:rsid w:val="00B47D57"/>
    <w:rsid w:val="00B50583"/>
    <w:rsid w:val="00B53C56"/>
    <w:rsid w:val="00B57DAF"/>
    <w:rsid w:val="00B643AA"/>
    <w:rsid w:val="00B70163"/>
    <w:rsid w:val="00B77EA6"/>
    <w:rsid w:val="00B81598"/>
    <w:rsid w:val="00B841F1"/>
    <w:rsid w:val="00B87B0D"/>
    <w:rsid w:val="00B944D6"/>
    <w:rsid w:val="00B97E87"/>
    <w:rsid w:val="00BA116A"/>
    <w:rsid w:val="00BB4DF0"/>
    <w:rsid w:val="00BC0E92"/>
    <w:rsid w:val="00BC289F"/>
    <w:rsid w:val="00BC2D50"/>
    <w:rsid w:val="00BC5361"/>
    <w:rsid w:val="00BC5460"/>
    <w:rsid w:val="00BC6B50"/>
    <w:rsid w:val="00BD0E25"/>
    <w:rsid w:val="00BD7BB8"/>
    <w:rsid w:val="00BE2221"/>
    <w:rsid w:val="00BE6201"/>
    <w:rsid w:val="00BF5BD6"/>
    <w:rsid w:val="00C03E31"/>
    <w:rsid w:val="00C17ED8"/>
    <w:rsid w:val="00C33209"/>
    <w:rsid w:val="00C33E72"/>
    <w:rsid w:val="00C354B2"/>
    <w:rsid w:val="00C35554"/>
    <w:rsid w:val="00C37E89"/>
    <w:rsid w:val="00C42709"/>
    <w:rsid w:val="00C533CC"/>
    <w:rsid w:val="00C5751C"/>
    <w:rsid w:val="00C61BFC"/>
    <w:rsid w:val="00C62B85"/>
    <w:rsid w:val="00C65438"/>
    <w:rsid w:val="00C7524A"/>
    <w:rsid w:val="00C77CCE"/>
    <w:rsid w:val="00C87FD8"/>
    <w:rsid w:val="00C912D2"/>
    <w:rsid w:val="00C91381"/>
    <w:rsid w:val="00C91CBB"/>
    <w:rsid w:val="00CA78C5"/>
    <w:rsid w:val="00CB4E70"/>
    <w:rsid w:val="00CC09B6"/>
    <w:rsid w:val="00CC666F"/>
    <w:rsid w:val="00CC79B9"/>
    <w:rsid w:val="00CD1E3F"/>
    <w:rsid w:val="00CE44F6"/>
    <w:rsid w:val="00CE49DA"/>
    <w:rsid w:val="00CE7B61"/>
    <w:rsid w:val="00D00095"/>
    <w:rsid w:val="00D0381F"/>
    <w:rsid w:val="00D114F0"/>
    <w:rsid w:val="00D15D2A"/>
    <w:rsid w:val="00D20620"/>
    <w:rsid w:val="00D254F7"/>
    <w:rsid w:val="00D26091"/>
    <w:rsid w:val="00D2685C"/>
    <w:rsid w:val="00D34E7C"/>
    <w:rsid w:val="00D35489"/>
    <w:rsid w:val="00D36AFE"/>
    <w:rsid w:val="00D51276"/>
    <w:rsid w:val="00D7035F"/>
    <w:rsid w:val="00D86996"/>
    <w:rsid w:val="00DA4BBA"/>
    <w:rsid w:val="00DA634F"/>
    <w:rsid w:val="00DA65AC"/>
    <w:rsid w:val="00DB1913"/>
    <w:rsid w:val="00DB3076"/>
    <w:rsid w:val="00DB7409"/>
    <w:rsid w:val="00DC410D"/>
    <w:rsid w:val="00DC5A81"/>
    <w:rsid w:val="00DC68CA"/>
    <w:rsid w:val="00DC7CBA"/>
    <w:rsid w:val="00DD73B7"/>
    <w:rsid w:val="00DE502F"/>
    <w:rsid w:val="00DE5A4C"/>
    <w:rsid w:val="00DF28BC"/>
    <w:rsid w:val="00DF2BE2"/>
    <w:rsid w:val="00DF34B9"/>
    <w:rsid w:val="00DF6604"/>
    <w:rsid w:val="00E000EA"/>
    <w:rsid w:val="00E01053"/>
    <w:rsid w:val="00E049C2"/>
    <w:rsid w:val="00E0721D"/>
    <w:rsid w:val="00E07ACF"/>
    <w:rsid w:val="00E331A1"/>
    <w:rsid w:val="00E33202"/>
    <w:rsid w:val="00E336A9"/>
    <w:rsid w:val="00E472B1"/>
    <w:rsid w:val="00E50624"/>
    <w:rsid w:val="00E568DF"/>
    <w:rsid w:val="00E64269"/>
    <w:rsid w:val="00E80775"/>
    <w:rsid w:val="00E82267"/>
    <w:rsid w:val="00E853CE"/>
    <w:rsid w:val="00E867B6"/>
    <w:rsid w:val="00EA010F"/>
    <w:rsid w:val="00EC4369"/>
    <w:rsid w:val="00ED1B63"/>
    <w:rsid w:val="00ED3C1F"/>
    <w:rsid w:val="00ED4085"/>
    <w:rsid w:val="00ED420E"/>
    <w:rsid w:val="00ED6FBE"/>
    <w:rsid w:val="00EE2F57"/>
    <w:rsid w:val="00EF4C34"/>
    <w:rsid w:val="00EF77C6"/>
    <w:rsid w:val="00F05438"/>
    <w:rsid w:val="00F0630B"/>
    <w:rsid w:val="00F1361C"/>
    <w:rsid w:val="00F156F0"/>
    <w:rsid w:val="00F160C7"/>
    <w:rsid w:val="00F2408F"/>
    <w:rsid w:val="00F240E9"/>
    <w:rsid w:val="00F36D8F"/>
    <w:rsid w:val="00F417B1"/>
    <w:rsid w:val="00F45853"/>
    <w:rsid w:val="00F5067E"/>
    <w:rsid w:val="00F602DF"/>
    <w:rsid w:val="00F754A1"/>
    <w:rsid w:val="00F77E94"/>
    <w:rsid w:val="00F81FD9"/>
    <w:rsid w:val="00F841AA"/>
    <w:rsid w:val="00F84A94"/>
    <w:rsid w:val="00F87E96"/>
    <w:rsid w:val="00FA23E8"/>
    <w:rsid w:val="00FB1F5B"/>
    <w:rsid w:val="00FC4D0F"/>
    <w:rsid w:val="00FC57FB"/>
    <w:rsid w:val="00FD3CC1"/>
    <w:rsid w:val="00FF1E02"/>
    <w:rsid w:val="00FF30B4"/>
    <w:rsid w:val="053A62B5"/>
    <w:rsid w:val="05D112B4"/>
    <w:rsid w:val="0A2032A3"/>
    <w:rsid w:val="0B8A37D8"/>
    <w:rsid w:val="0D7C07BE"/>
    <w:rsid w:val="10C055FF"/>
    <w:rsid w:val="118107EC"/>
    <w:rsid w:val="11DD6519"/>
    <w:rsid w:val="14E54E9B"/>
    <w:rsid w:val="164E3BC6"/>
    <w:rsid w:val="16BB723D"/>
    <w:rsid w:val="18015F3F"/>
    <w:rsid w:val="1BE8440E"/>
    <w:rsid w:val="1D155CEE"/>
    <w:rsid w:val="1D434E54"/>
    <w:rsid w:val="20F57F95"/>
    <w:rsid w:val="21492926"/>
    <w:rsid w:val="240371BF"/>
    <w:rsid w:val="25711CC6"/>
    <w:rsid w:val="25C741E6"/>
    <w:rsid w:val="27842671"/>
    <w:rsid w:val="27C546B8"/>
    <w:rsid w:val="29FD04D3"/>
    <w:rsid w:val="2ABE7A3E"/>
    <w:rsid w:val="2B1842D0"/>
    <w:rsid w:val="2CA234A8"/>
    <w:rsid w:val="2D833E1B"/>
    <w:rsid w:val="2E0028ED"/>
    <w:rsid w:val="2EFA178C"/>
    <w:rsid w:val="2FC04C12"/>
    <w:rsid w:val="30B46D73"/>
    <w:rsid w:val="319F7F4E"/>
    <w:rsid w:val="383D272C"/>
    <w:rsid w:val="384B0C09"/>
    <w:rsid w:val="39AE70AB"/>
    <w:rsid w:val="39B744F9"/>
    <w:rsid w:val="3C0C0783"/>
    <w:rsid w:val="3D9D3A82"/>
    <w:rsid w:val="3F9F3A96"/>
    <w:rsid w:val="47240E13"/>
    <w:rsid w:val="48BF60AB"/>
    <w:rsid w:val="493C27E9"/>
    <w:rsid w:val="496F39ED"/>
    <w:rsid w:val="49FF41D3"/>
    <w:rsid w:val="4BE068DB"/>
    <w:rsid w:val="4BF6002B"/>
    <w:rsid w:val="4ECE2238"/>
    <w:rsid w:val="51DB4B86"/>
    <w:rsid w:val="55333C3E"/>
    <w:rsid w:val="5685098A"/>
    <w:rsid w:val="60D64C64"/>
    <w:rsid w:val="64CA39A1"/>
    <w:rsid w:val="680846A1"/>
    <w:rsid w:val="69630ADE"/>
    <w:rsid w:val="6C4A05C8"/>
    <w:rsid w:val="6D3B1A89"/>
    <w:rsid w:val="6E1C6F03"/>
    <w:rsid w:val="71BF4EC2"/>
    <w:rsid w:val="72734D90"/>
    <w:rsid w:val="7412278C"/>
    <w:rsid w:val="79E7B28D"/>
    <w:rsid w:val="7F9F20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A116A"/>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BA116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BA116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BA116A"/>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BA116A"/>
    <w:pPr>
      <w:spacing w:beforeLines="30"/>
    </w:pPr>
    <w:rPr>
      <w:rFonts w:ascii="仿宋_GB2312" w:eastAsia="仿宋_GB2312"/>
      <w:kern w:val="0"/>
      <w:sz w:val="30"/>
    </w:rPr>
  </w:style>
  <w:style w:type="paragraph" w:styleId="30">
    <w:name w:val="toc 3"/>
    <w:basedOn w:val="a"/>
    <w:next w:val="a"/>
    <w:uiPriority w:val="39"/>
    <w:unhideWhenUsed/>
    <w:qFormat/>
    <w:rsid w:val="00BA116A"/>
    <w:pPr>
      <w:tabs>
        <w:tab w:val="right" w:leader="dot" w:pos="8296"/>
      </w:tabs>
      <w:ind w:leftChars="400" w:left="840"/>
    </w:pPr>
  </w:style>
  <w:style w:type="paragraph" w:styleId="a4">
    <w:name w:val="Balloon Text"/>
    <w:basedOn w:val="a"/>
    <w:link w:val="Char0"/>
    <w:uiPriority w:val="99"/>
    <w:semiHidden/>
    <w:unhideWhenUsed/>
    <w:qFormat/>
    <w:rsid w:val="00BA116A"/>
    <w:rPr>
      <w:sz w:val="18"/>
      <w:szCs w:val="18"/>
    </w:rPr>
  </w:style>
  <w:style w:type="paragraph" w:styleId="a5">
    <w:name w:val="footer"/>
    <w:basedOn w:val="a"/>
    <w:link w:val="Char1"/>
    <w:uiPriority w:val="99"/>
    <w:qFormat/>
    <w:rsid w:val="00BA116A"/>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BA116A"/>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BA116A"/>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BA116A"/>
    <w:pPr>
      <w:tabs>
        <w:tab w:val="right" w:leader="dot" w:pos="8296"/>
      </w:tabs>
      <w:ind w:leftChars="200" w:left="420"/>
    </w:pPr>
  </w:style>
  <w:style w:type="paragraph" w:styleId="a7">
    <w:name w:val="Normal (Web)"/>
    <w:basedOn w:val="a"/>
    <w:qFormat/>
    <w:rsid w:val="00BA116A"/>
    <w:pPr>
      <w:spacing w:before="100" w:beforeAutospacing="1" w:after="100" w:afterAutospacing="1"/>
      <w:jc w:val="left"/>
    </w:pPr>
    <w:rPr>
      <w:rFonts w:ascii="Calibri" w:hAnsi="Calibri"/>
      <w:kern w:val="0"/>
      <w:sz w:val="24"/>
    </w:rPr>
  </w:style>
  <w:style w:type="character" w:styleId="a8">
    <w:name w:val="Strong"/>
    <w:basedOn w:val="a1"/>
    <w:uiPriority w:val="99"/>
    <w:qFormat/>
    <w:rsid w:val="00BA116A"/>
    <w:rPr>
      <w:b/>
    </w:rPr>
  </w:style>
  <w:style w:type="character" w:styleId="a9">
    <w:name w:val="Hyperlink"/>
    <w:basedOn w:val="a1"/>
    <w:uiPriority w:val="99"/>
    <w:unhideWhenUsed/>
    <w:qFormat/>
    <w:rsid w:val="00BA116A"/>
    <w:rPr>
      <w:color w:val="0000FF" w:themeColor="hyperlink"/>
      <w:u w:val="single"/>
    </w:rPr>
  </w:style>
  <w:style w:type="character" w:customStyle="1" w:styleId="HeaderChar">
    <w:name w:val="Header Char"/>
    <w:basedOn w:val="a1"/>
    <w:uiPriority w:val="99"/>
    <w:semiHidden/>
    <w:qFormat/>
    <w:rsid w:val="00BA116A"/>
    <w:rPr>
      <w:rFonts w:ascii="Times New Roman" w:hAnsi="Times New Roman"/>
      <w:sz w:val="18"/>
      <w:szCs w:val="18"/>
    </w:rPr>
  </w:style>
  <w:style w:type="character" w:customStyle="1" w:styleId="Char2">
    <w:name w:val="页眉 Char"/>
    <w:link w:val="a6"/>
    <w:uiPriority w:val="99"/>
    <w:semiHidden/>
    <w:qFormat/>
    <w:locked/>
    <w:rsid w:val="00BA116A"/>
    <w:rPr>
      <w:sz w:val="18"/>
    </w:rPr>
  </w:style>
  <w:style w:type="character" w:customStyle="1" w:styleId="FooterChar">
    <w:name w:val="Footer Char"/>
    <w:basedOn w:val="a1"/>
    <w:uiPriority w:val="99"/>
    <w:semiHidden/>
    <w:qFormat/>
    <w:rsid w:val="00BA116A"/>
    <w:rPr>
      <w:rFonts w:ascii="Times New Roman" w:hAnsi="Times New Roman"/>
      <w:sz w:val="18"/>
      <w:szCs w:val="18"/>
    </w:rPr>
  </w:style>
  <w:style w:type="character" w:customStyle="1" w:styleId="Char1">
    <w:name w:val="页脚 Char"/>
    <w:link w:val="a5"/>
    <w:uiPriority w:val="99"/>
    <w:qFormat/>
    <w:locked/>
    <w:rsid w:val="00BA116A"/>
    <w:rPr>
      <w:sz w:val="18"/>
    </w:rPr>
  </w:style>
  <w:style w:type="character" w:customStyle="1" w:styleId="BodyTextChar">
    <w:name w:val="Body Text Char"/>
    <w:basedOn w:val="a1"/>
    <w:uiPriority w:val="99"/>
    <w:semiHidden/>
    <w:qFormat/>
    <w:rsid w:val="00BA116A"/>
    <w:rPr>
      <w:rFonts w:ascii="Times New Roman" w:hAnsi="Times New Roman"/>
      <w:szCs w:val="24"/>
    </w:rPr>
  </w:style>
  <w:style w:type="character" w:customStyle="1" w:styleId="Char">
    <w:name w:val="正文文本 Char"/>
    <w:link w:val="a0"/>
    <w:uiPriority w:val="99"/>
    <w:qFormat/>
    <w:locked/>
    <w:rsid w:val="00BA116A"/>
    <w:rPr>
      <w:rFonts w:ascii="仿宋_GB2312" w:eastAsia="仿宋_GB2312" w:hAnsi="Times New Roman"/>
      <w:sz w:val="24"/>
    </w:rPr>
  </w:style>
  <w:style w:type="paragraph" w:customStyle="1" w:styleId="Default">
    <w:name w:val="Default"/>
    <w:uiPriority w:val="99"/>
    <w:qFormat/>
    <w:rsid w:val="00BA116A"/>
    <w:pPr>
      <w:widowControl w:val="0"/>
      <w:autoSpaceDE w:val="0"/>
      <w:autoSpaceDN w:val="0"/>
      <w:adjustRightInd w:val="0"/>
    </w:pPr>
    <w:rPr>
      <w:rFonts w:ascii="仿宋" w:eastAsia="仿宋" w:hAnsi="Calibri" w:cs="仿宋"/>
      <w:color w:val="000000"/>
      <w:sz w:val="24"/>
      <w:szCs w:val="24"/>
    </w:rPr>
  </w:style>
  <w:style w:type="paragraph" w:styleId="aa">
    <w:name w:val="List Paragraph"/>
    <w:basedOn w:val="a"/>
    <w:uiPriority w:val="34"/>
    <w:qFormat/>
    <w:rsid w:val="00BA116A"/>
    <w:pPr>
      <w:ind w:firstLineChars="200" w:firstLine="420"/>
    </w:pPr>
  </w:style>
  <w:style w:type="character" w:customStyle="1" w:styleId="1Char">
    <w:name w:val="标题 1 Char"/>
    <w:basedOn w:val="a1"/>
    <w:link w:val="1"/>
    <w:uiPriority w:val="9"/>
    <w:qFormat/>
    <w:rsid w:val="00BA116A"/>
    <w:rPr>
      <w:rFonts w:ascii="Times New Roman" w:hAnsi="Times New Roman"/>
      <w:b/>
      <w:bCs/>
      <w:kern w:val="44"/>
      <w:sz w:val="44"/>
      <w:szCs w:val="44"/>
    </w:rPr>
  </w:style>
  <w:style w:type="character" w:customStyle="1" w:styleId="2Char">
    <w:name w:val="标题 2 Char"/>
    <w:basedOn w:val="a1"/>
    <w:link w:val="2"/>
    <w:uiPriority w:val="9"/>
    <w:qFormat/>
    <w:rsid w:val="00BA116A"/>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BA116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4"/>
    <w:uiPriority w:val="99"/>
    <w:semiHidden/>
    <w:qFormat/>
    <w:rsid w:val="00BA116A"/>
    <w:rPr>
      <w:rFonts w:ascii="Times New Roman" w:hAnsi="Times New Roman"/>
      <w:kern w:val="2"/>
      <w:sz w:val="18"/>
      <w:szCs w:val="18"/>
    </w:rPr>
  </w:style>
  <w:style w:type="character" w:customStyle="1" w:styleId="3Char">
    <w:name w:val="标题 3 Char"/>
    <w:basedOn w:val="a1"/>
    <w:link w:val="3"/>
    <w:uiPriority w:val="9"/>
    <w:qFormat/>
    <w:rsid w:val="00BA116A"/>
    <w:rPr>
      <w:rFonts w:ascii="Times New Roman" w:hAnsi="Times New Roman"/>
      <w:b/>
      <w:bCs/>
      <w:kern w:val="2"/>
      <w:sz w:val="32"/>
      <w:szCs w:val="32"/>
    </w:rPr>
  </w:style>
  <w:style w:type="paragraph" w:customStyle="1" w:styleId="TOC2">
    <w:name w:val="TOC 标题2"/>
    <w:basedOn w:val="1"/>
    <w:next w:val="a"/>
    <w:uiPriority w:val="39"/>
    <w:unhideWhenUsed/>
    <w:qFormat/>
    <w:rsid w:val="00BA116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sus\Desktop\&#39292;&#29366;&#22270;&#12289;&#26609;&#29366;&#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sus\Desktop\&#39292;&#29366;&#22270;&#12289;&#26609;&#29366;&#2227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sus\Desktop\&#39292;&#29366;&#22270;&#12289;&#26609;&#29366;&#2227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asus\Desktop\&#39292;&#29366;&#22270;&#12289;&#26609;&#29366;&#2227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sus\Desktop\&#39292;&#29366;&#22270;&#12289;&#26609;&#29366;&#2227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sus\Desktop\&#39292;&#29366;&#22270;&#12289;&#26609;&#29366;&#2227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sus\Desktop\&#39292;&#29366;&#22270;&#12289;&#26609;&#29366;&#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a:t>
            </a:r>
          </a:p>
        </c:rich>
      </c:tx>
      <c:layout>
        <c:manualLayout>
          <c:xMode val="edge"/>
          <c:yMode val="edge"/>
          <c:x val="0.25611111111111079"/>
          <c:y val="3.6111111111111142E-2"/>
        </c:manualLayout>
      </c:layout>
      <c:spPr>
        <a:noFill/>
        <a:ln>
          <a:noFill/>
        </a:ln>
        <a:effectLst/>
      </c:spPr>
    </c:title>
    <c:plotArea>
      <c:layout/>
      <c:barChart>
        <c:barDir val="col"/>
        <c:grouping val="stacked"/>
        <c:ser>
          <c:idx val="0"/>
          <c:order val="0"/>
          <c:spPr>
            <a:solidFill>
              <a:schemeClr val="accent1"/>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[饼状图、柱状图.xlsx]Sheet1!$Q$7:$Q$8</c:f>
              <c:strCache>
                <c:ptCount val="2"/>
                <c:pt idx="0">
                  <c:v>2022年度</c:v>
                </c:pt>
                <c:pt idx="1">
                  <c:v>2021年度</c:v>
                </c:pt>
              </c:strCache>
            </c:strRef>
          </c:cat>
          <c:val>
            <c:numRef>
              <c:f>[饼状图、柱状图.xlsx]Sheet1!$R$7:$R$8</c:f>
              <c:numCache>
                <c:formatCode>General</c:formatCode>
                <c:ptCount val="2"/>
                <c:pt idx="0">
                  <c:v>27325.920000000009</c:v>
                </c:pt>
                <c:pt idx="1">
                  <c:v>37013.5</c:v>
                </c:pt>
              </c:numCache>
            </c:numRef>
          </c:val>
        </c:ser>
        <c:dLbls>
          <c:showVal val="1"/>
        </c:dLbls>
        <c:overlap val="100"/>
        <c:axId val="96020352"/>
        <c:axId val="96021888"/>
      </c:barChart>
      <c:catAx>
        <c:axId val="96020352"/>
        <c:scaling>
          <c:orientation val="minMax"/>
        </c:scaling>
        <c:axPos val="b"/>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96021888"/>
        <c:crosses val="autoZero"/>
        <c:auto val="1"/>
        <c:lblAlgn val="ctr"/>
        <c:lblOffset val="100"/>
      </c:catAx>
      <c:valAx>
        <c:axId val="9602188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9602035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rtl="0">
              <a:defRPr lang="zh-CN" sz="900" b="0" i="0" u="none" strike="noStrike" kern="1200" baseline="0">
                <a:solidFill>
                  <a:schemeClr val="tx1">
                    <a:lumMod val="65000"/>
                    <a:lumOff val="35000"/>
                  </a:schemeClr>
                </a:solidFill>
                <a:latin typeface="+mn-lt"/>
                <a:ea typeface="+mn-ea"/>
                <a:cs typeface="+mn-cs"/>
              </a:defRPr>
            </a:pPr>
            <a:endParaRPr lang="zh-CN"/>
          </a:p>
        </c:txPr>
      </c:dTable>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forceAA="0"/>
          <a:lstStyle/>
          <a:p>
            <a:pPr defTabSz="914400">
              <a:defRPr lang="zh-CN" sz="1400" b="0" i="0" u="none" strike="noStrike" kern="1200" spc="0" baseline="0">
                <a:solidFill>
                  <a:schemeClr val="tx1">
                    <a:lumMod val="65000"/>
                    <a:lumOff val="35000"/>
                  </a:schemeClr>
                </a:solidFill>
                <a:latin typeface="微软雅黑" panose="020B0503020204020204" pitchFamily="34" charset="-122"/>
                <a:ea typeface="微软雅黑" panose="020B0503020204020204" pitchFamily="34" charset="-122"/>
                <a:cs typeface="+mn-cs"/>
              </a:defRPr>
            </a:pPr>
            <a:r>
              <a:rPr lang="en-US" altLang="zh-CN"/>
              <a:t>2022</a:t>
            </a:r>
            <a:r>
              <a:rPr altLang="en-US"/>
              <a:t>年收入决算结构图</a:t>
            </a:r>
            <a:endParaRPr lang="en-US" altLang="zh-CN"/>
          </a:p>
        </c:rich>
      </c:tx>
      <c:spPr>
        <a:noFill/>
        <a:ln>
          <a:noFill/>
        </a:ln>
        <a:effectLst/>
      </c:spPr>
    </c:title>
    <c:plotArea>
      <c:layout/>
      <c:pieChart>
        <c:varyColors val="1"/>
        <c:ser>
          <c:idx val="0"/>
          <c:order val="0"/>
          <c:spPr>
            <a:effectLst>
              <a:outerShdw blurRad="50800" dist="38100" dir="2700000" algn="tl" rotWithShape="0">
                <a:prstClr val="black">
                  <a:alpha val="40000"/>
                </a:prstClr>
              </a:outerShdw>
            </a:effectLst>
          </c:spPr>
          <c:explosion val="4"/>
          <c:dPt>
            <c:idx val="0"/>
            <c:explosion val="0"/>
            <c:spPr>
              <a:solidFill>
                <a:schemeClr val="accent1"/>
              </a:solidFill>
              <a:ln w="19050">
                <a:solidFill>
                  <a:schemeClr val="lt1"/>
                </a:solidFill>
              </a:ln>
              <a:effectLst>
                <a:outerShdw blurRad="50800" dist="38100" dir="2700000" algn="tl" rotWithShape="0">
                  <a:prstClr val="black">
                    <a:alpha val="40000"/>
                  </a:prstClr>
                </a:outerShdw>
              </a:effectLst>
            </c:spPr>
          </c:dPt>
          <c:dPt>
            <c:idx val="1"/>
            <c:explosion val="0"/>
            <c:spPr>
              <a:solidFill>
                <a:schemeClr val="accent2"/>
              </a:solidFill>
              <a:ln w="19050">
                <a:solidFill>
                  <a:schemeClr val="lt1"/>
                </a:solidFill>
              </a:ln>
              <a:effectLst>
                <a:outerShdw blurRad="50800" dist="38100" dir="2700000" algn="tl" rotWithShape="0">
                  <a:prstClr val="black">
                    <a:alpha val="40000"/>
                  </a:prstClr>
                </a:outerShdw>
              </a:effectLst>
            </c:spPr>
          </c:dPt>
          <c:dPt>
            <c:idx val="2"/>
            <c:explosion val="0"/>
            <c:spPr>
              <a:solidFill>
                <a:schemeClr val="accent3"/>
              </a:solidFill>
              <a:ln w="19050">
                <a:solidFill>
                  <a:schemeClr val="lt1"/>
                </a:solidFill>
              </a:ln>
              <a:effectLst>
                <a:outerShdw blurRad="50800" dist="38100" dir="2700000" algn="tl" rotWithShape="0">
                  <a:prstClr val="black">
                    <a:alpha val="40000"/>
                  </a:prstClr>
                </a:outerShdw>
              </a:effectLst>
            </c:spPr>
          </c:dPt>
          <c:dPt>
            <c:idx val="3"/>
            <c:explosion val="0"/>
            <c:spPr>
              <a:solidFill>
                <a:schemeClr val="accent4"/>
              </a:solidFill>
              <a:ln w="19050">
                <a:solidFill>
                  <a:schemeClr val="lt1"/>
                </a:solidFill>
              </a:ln>
              <a:effectLst>
                <a:outerShdw blurRad="50800" dist="38100" dir="2700000" algn="tl" rotWithShape="0">
                  <a:prstClr val="black">
                    <a:alpha val="40000"/>
                  </a:prstClr>
                </a:outerShdw>
              </a:effectLst>
            </c:spPr>
          </c:dPt>
          <c:dPt>
            <c:idx val="4"/>
            <c:explosion val="0"/>
            <c:spPr>
              <a:solidFill>
                <a:schemeClr val="accent5"/>
              </a:solidFill>
              <a:ln w="19050">
                <a:solidFill>
                  <a:schemeClr val="lt1"/>
                </a:solidFill>
              </a:ln>
              <a:effectLst>
                <a:outerShdw blurRad="50800" dist="38100" dir="2700000" algn="tl" rotWithShape="0">
                  <a:prstClr val="black">
                    <a:alpha val="40000"/>
                  </a:prstClr>
                </a:outerShdw>
              </a:effectLst>
            </c:spPr>
          </c:dPt>
          <c:dPt>
            <c:idx val="5"/>
            <c:spPr>
              <a:solidFill>
                <a:schemeClr val="accent6"/>
              </a:solidFill>
              <a:ln w="19050">
                <a:solidFill>
                  <a:schemeClr val="lt1"/>
                </a:solidFill>
              </a:ln>
              <a:effectLst>
                <a:outerShdw blurRad="50800" dist="38100" dir="2700000" algn="tl" rotWithShape="0">
                  <a:prstClr val="black">
                    <a:alpha val="40000"/>
                  </a:prstClr>
                </a:outerShdw>
              </a:effectLst>
            </c:spPr>
          </c:dPt>
          <c:dPt>
            <c:idx val="6"/>
            <c:spPr>
              <a:solidFill>
                <a:schemeClr val="accent1">
                  <a:lumMod val="60000"/>
                </a:schemeClr>
              </a:solidFill>
              <a:ln w="19050">
                <a:solidFill>
                  <a:schemeClr val="lt1"/>
                </a:solidFill>
              </a:ln>
              <a:effectLst>
                <a:outerShdw blurRad="50800" dist="38100" dir="2700000" algn="tl" rotWithShape="0">
                  <a:prstClr val="black">
                    <a:alpha val="40000"/>
                  </a:prstClr>
                </a:outerShdw>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[饼状图、柱状图.xlsx]Sheet1!$A$8:$A$14</c:f>
              <c:strCache>
                <c:ptCount val="7"/>
                <c:pt idx="0">
                  <c:v>一般公共预算财政拨款收入</c:v>
                </c:pt>
                <c:pt idx="1">
                  <c:v>政府性基金预算财政拨款收入</c:v>
                </c:pt>
                <c:pt idx="2">
                  <c:v>其他收入</c:v>
                </c:pt>
                <c:pt idx="3">
                  <c:v>国有资本经营预算财政拨款收入</c:v>
                </c:pt>
              </c:strCache>
            </c:strRef>
          </c:cat>
          <c:val>
            <c:numRef>
              <c:f>[饼状图、柱状图.xlsx]Sheet1!$B$8:$B$14</c:f>
              <c:numCache>
                <c:formatCode>General</c:formatCode>
                <c:ptCount val="7"/>
                <c:pt idx="0">
                  <c:v>16885.87</c:v>
                </c:pt>
                <c:pt idx="1">
                  <c:v>2272.7599999999998</c:v>
                </c:pt>
                <c:pt idx="2">
                  <c:v>0.47000000000000008</c:v>
                </c:pt>
                <c:pt idx="3">
                  <c:v>2580</c:v>
                </c:pt>
              </c:numCache>
            </c:numRef>
          </c:val>
        </c:ser>
        <c:dLbls>
          <c:showVal val="1"/>
        </c:dLbls>
        <c:firstSliceAng val="0"/>
      </c:pieChart>
      <c:spPr>
        <a:noFill/>
        <a:ln>
          <a:noFill/>
        </a:ln>
        <a:effectLst/>
      </c:spPr>
    </c:plotArea>
    <c:legend>
      <c:legendPos val="r"/>
      <c:legendEntry>
        <c:idx val="5"/>
        <c:delete val="1"/>
      </c:legendEntry>
      <c:legendEntry>
        <c:idx val="6"/>
        <c:delete val="1"/>
      </c:legendEntry>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no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forceAA="0"/>
          <a:lstStyle/>
          <a:p>
            <a:pPr defTabSz="914400">
              <a:defRPr lang="zh-CN" sz="1400" b="0" i="0" u="none" strike="noStrike" kern="1200" spc="0" baseline="0">
                <a:solidFill>
                  <a:schemeClr val="tx1">
                    <a:lumMod val="65000"/>
                    <a:lumOff val="35000"/>
                  </a:schemeClr>
                </a:solidFill>
                <a:latin typeface="微软雅黑" panose="020B0503020204020204" pitchFamily="34" charset="-122"/>
                <a:ea typeface="微软雅黑" panose="020B0503020204020204" pitchFamily="34" charset="-122"/>
                <a:cs typeface="+mn-cs"/>
              </a:defRPr>
            </a:pPr>
            <a:r>
              <a:rPr lang="en-US" altLang="zh-CN"/>
              <a:t>2022</a:t>
            </a:r>
            <a:r>
              <a:rPr altLang="en-US"/>
              <a:t>年支出决算结构图</a:t>
            </a:r>
            <a:endParaRPr lang="en-US" altLang="zh-CN"/>
          </a:p>
        </c:rich>
      </c:tx>
      <c:spPr>
        <a:noFill/>
        <a:ln>
          <a:noFill/>
        </a:ln>
        <a:effectLst/>
      </c:spPr>
    </c:title>
    <c:plotArea>
      <c:layout/>
      <c:pieChart>
        <c:varyColors val="1"/>
        <c:ser>
          <c:idx val="0"/>
          <c:order val="0"/>
          <c:spPr>
            <a:effectLst>
              <a:outerShdw blurRad="50800" dist="38100" dir="2700000" algn="tl" rotWithShape="0">
                <a:prstClr val="black">
                  <a:alpha val="40000"/>
                </a:prstClr>
              </a:outerShdw>
            </a:effectLst>
          </c:spPr>
          <c:explosion val="4"/>
          <c:dPt>
            <c:idx val="0"/>
            <c:explosion val="0"/>
            <c:spPr>
              <a:solidFill>
                <a:schemeClr val="accent1"/>
              </a:solidFill>
              <a:ln w="19050">
                <a:solidFill>
                  <a:schemeClr val="lt1"/>
                </a:solidFill>
              </a:ln>
              <a:effectLst>
                <a:outerShdw blurRad="50800" dist="38100" dir="2700000" algn="tl" rotWithShape="0">
                  <a:prstClr val="black">
                    <a:alpha val="40000"/>
                  </a:prstClr>
                </a:outerShdw>
              </a:effectLst>
            </c:spPr>
          </c:dPt>
          <c:dPt>
            <c:idx val="1"/>
            <c:explosion val="0"/>
            <c:spPr>
              <a:solidFill>
                <a:schemeClr val="accent2"/>
              </a:solidFill>
              <a:ln w="19050">
                <a:solidFill>
                  <a:schemeClr val="lt1"/>
                </a:solidFill>
              </a:ln>
              <a:effectLst>
                <a:outerShdw blurRad="50800" dist="38100" dir="2700000" algn="tl" rotWithShape="0">
                  <a:prstClr val="black">
                    <a:alpha val="40000"/>
                  </a:prstClr>
                </a:outerShdw>
              </a:effectLst>
            </c:spPr>
          </c:dPt>
          <c:dPt>
            <c:idx val="2"/>
            <c:explosion val="0"/>
            <c:spPr>
              <a:solidFill>
                <a:schemeClr val="accent3"/>
              </a:solidFill>
              <a:ln w="19050">
                <a:solidFill>
                  <a:schemeClr val="lt1"/>
                </a:solidFill>
              </a:ln>
              <a:effectLst>
                <a:outerShdw blurRad="50800" dist="38100" dir="2700000" algn="tl" rotWithShape="0">
                  <a:prstClr val="black">
                    <a:alpha val="40000"/>
                  </a:prstClr>
                </a:outerShdw>
              </a:effectLst>
            </c:spPr>
          </c:dPt>
          <c:dPt>
            <c:idx val="3"/>
            <c:explosion val="0"/>
            <c:spPr>
              <a:solidFill>
                <a:schemeClr val="accent4"/>
              </a:solidFill>
              <a:ln w="19050">
                <a:solidFill>
                  <a:schemeClr val="lt1"/>
                </a:solidFill>
              </a:ln>
              <a:effectLst>
                <a:outerShdw blurRad="50800" dist="38100" dir="2700000" algn="tl" rotWithShape="0">
                  <a:prstClr val="black">
                    <a:alpha val="40000"/>
                  </a:prstClr>
                </a:outerShdw>
              </a:effectLst>
            </c:spPr>
          </c:dPt>
          <c:dPt>
            <c:idx val="4"/>
            <c:explosion val="0"/>
            <c:spPr>
              <a:solidFill>
                <a:schemeClr val="accent5"/>
              </a:solidFill>
              <a:ln w="19050">
                <a:solidFill>
                  <a:schemeClr val="lt1"/>
                </a:solidFill>
              </a:ln>
              <a:effectLst>
                <a:outerShdw blurRad="50800" dist="38100" dir="2700000" algn="tl" rotWithShape="0">
                  <a:prstClr val="black">
                    <a:alpha val="40000"/>
                  </a:prstClr>
                </a:outerShdw>
              </a:effectLst>
            </c:spPr>
          </c:dPt>
          <c:dPt>
            <c:idx val="5"/>
            <c:spPr>
              <a:solidFill>
                <a:schemeClr val="accent6"/>
              </a:solidFill>
              <a:ln w="19050">
                <a:solidFill>
                  <a:schemeClr val="lt1"/>
                </a:solidFill>
              </a:ln>
              <a:effectLst>
                <a:outerShdw blurRad="50800" dist="38100" dir="2700000" algn="tl" rotWithShape="0">
                  <a:prstClr val="black">
                    <a:alpha val="40000"/>
                  </a:prstClr>
                </a:outerShdw>
              </a:effectLst>
            </c:spPr>
          </c:dPt>
          <c:dPt>
            <c:idx val="6"/>
            <c:spPr>
              <a:solidFill>
                <a:schemeClr val="accent1">
                  <a:lumMod val="60000"/>
                </a:schemeClr>
              </a:solidFill>
              <a:ln w="19050">
                <a:solidFill>
                  <a:schemeClr val="lt1"/>
                </a:solidFill>
              </a:ln>
              <a:effectLst>
                <a:outerShdw blurRad="50800" dist="38100" dir="2700000" algn="tl" rotWithShape="0">
                  <a:prstClr val="black">
                    <a:alpha val="40000"/>
                  </a:prstClr>
                </a:outerShdw>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[饼状图、柱状图.xlsx]Sheet1!$A$8:$A$14</c:f>
              <c:strCache>
                <c:ptCount val="7"/>
                <c:pt idx="0">
                  <c:v>基本支出</c:v>
                </c:pt>
                <c:pt idx="1">
                  <c:v>项目支出</c:v>
                </c:pt>
              </c:strCache>
            </c:strRef>
          </c:cat>
          <c:val>
            <c:numRef>
              <c:f>[饼状图、柱状图.xlsx]Sheet1!$B$8:$B$14</c:f>
              <c:numCache>
                <c:formatCode>General</c:formatCode>
                <c:ptCount val="7"/>
                <c:pt idx="0">
                  <c:v>439.63</c:v>
                </c:pt>
                <c:pt idx="1">
                  <c:v>26885.960000000014</c:v>
                </c:pt>
              </c:numCache>
            </c:numRef>
          </c:val>
        </c:ser>
        <c:dLbls>
          <c:showVal val="1"/>
        </c:dLbls>
        <c:firstSliceAng val="0"/>
      </c:pieChart>
      <c:spPr>
        <a:noFill/>
        <a:ln>
          <a:noFill/>
        </a:ln>
        <a:effectLst/>
      </c:spPr>
    </c:plotArea>
    <c:legend>
      <c:legendPos val="r"/>
      <c:legendEntry>
        <c:idx val="5"/>
        <c:delete val="1"/>
      </c:legendEntry>
      <c:legendEntry>
        <c:idx val="6"/>
        <c:delete val="1"/>
      </c:legendEntry>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no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a:t>
            </a:r>
          </a:p>
        </c:rich>
      </c:tx>
      <c:layout>
        <c:manualLayout>
          <c:xMode val="edge"/>
          <c:yMode val="edge"/>
          <c:x val="0.25611111111111079"/>
          <c:y val="3.6111111111111135E-2"/>
        </c:manualLayout>
      </c:layout>
      <c:spPr>
        <a:noFill/>
        <a:ln>
          <a:noFill/>
        </a:ln>
        <a:effectLst/>
      </c:spPr>
    </c:title>
    <c:plotArea>
      <c:layout/>
      <c:barChart>
        <c:barDir val="col"/>
        <c:grouping val="stacked"/>
        <c:ser>
          <c:idx val="0"/>
          <c:order val="0"/>
          <c:spPr>
            <a:solidFill>
              <a:schemeClr val="accent1"/>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[饼状图、柱状图.xlsx]Sheet1!$Q$7:$Q$8</c:f>
              <c:strCache>
                <c:ptCount val="2"/>
                <c:pt idx="0">
                  <c:v>2022年度</c:v>
                </c:pt>
                <c:pt idx="1">
                  <c:v>2021年度</c:v>
                </c:pt>
              </c:strCache>
            </c:strRef>
          </c:cat>
          <c:val>
            <c:numRef>
              <c:f>[饼状图、柱状图.xlsx]Sheet1!$R$7:$R$8</c:f>
              <c:numCache>
                <c:formatCode>General</c:formatCode>
                <c:ptCount val="2"/>
                <c:pt idx="0">
                  <c:v>27325.4</c:v>
                </c:pt>
                <c:pt idx="1">
                  <c:v>37007.72</c:v>
                </c:pt>
              </c:numCache>
            </c:numRef>
          </c:val>
        </c:ser>
        <c:dLbls>
          <c:showVal val="1"/>
        </c:dLbls>
        <c:overlap val="100"/>
        <c:axId val="96363648"/>
        <c:axId val="96365184"/>
      </c:barChart>
      <c:catAx>
        <c:axId val="96363648"/>
        <c:scaling>
          <c:orientation val="minMax"/>
        </c:scaling>
        <c:axPos val="b"/>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96365184"/>
        <c:crosses val="autoZero"/>
        <c:auto val="1"/>
        <c:lblAlgn val="ctr"/>
        <c:lblOffset val="100"/>
      </c:catAx>
      <c:valAx>
        <c:axId val="9636518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9636364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rtl="0">
              <a:defRPr lang="zh-CN" sz="900" b="0" i="0" u="none" strike="noStrike" kern="1200" baseline="0">
                <a:solidFill>
                  <a:schemeClr val="tx1">
                    <a:lumMod val="65000"/>
                    <a:lumOff val="35000"/>
                  </a:schemeClr>
                </a:solidFill>
                <a:latin typeface="+mn-lt"/>
                <a:ea typeface="+mn-ea"/>
                <a:cs typeface="+mn-cs"/>
              </a:defRPr>
            </a:pPr>
            <a:endParaRPr lang="zh-CN"/>
          </a:p>
        </c:txPr>
      </c:dTable>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a:t>
            </a:r>
          </a:p>
        </c:rich>
      </c:tx>
      <c:layout>
        <c:manualLayout>
          <c:xMode val="edge"/>
          <c:yMode val="edge"/>
          <c:x val="0.25611111111111079"/>
          <c:y val="3.6111111111111135E-2"/>
        </c:manualLayout>
      </c:layout>
      <c:spPr>
        <a:noFill/>
        <a:ln>
          <a:noFill/>
        </a:ln>
        <a:effectLst/>
      </c:spPr>
    </c:title>
    <c:plotArea>
      <c:layout/>
      <c:barChart>
        <c:barDir val="col"/>
        <c:grouping val="stacked"/>
        <c:ser>
          <c:idx val="0"/>
          <c:order val="0"/>
          <c:spPr>
            <a:solidFill>
              <a:schemeClr val="accent1"/>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[饼状图、柱状图.xlsx]Sheet1!$Q$7:$Q$8</c:f>
              <c:strCache>
                <c:ptCount val="2"/>
                <c:pt idx="0">
                  <c:v>2022年度</c:v>
                </c:pt>
                <c:pt idx="1">
                  <c:v>2021年度</c:v>
                </c:pt>
              </c:strCache>
            </c:strRef>
          </c:cat>
          <c:val>
            <c:numRef>
              <c:f>[饼状图、柱状图.xlsx]Sheet1!$R$7:$R$8</c:f>
              <c:numCache>
                <c:formatCode>General</c:formatCode>
                <c:ptCount val="2"/>
                <c:pt idx="0">
                  <c:v>19211.420000000009</c:v>
                </c:pt>
                <c:pt idx="1">
                  <c:v>18499.609999999986</c:v>
                </c:pt>
              </c:numCache>
            </c:numRef>
          </c:val>
        </c:ser>
        <c:dLbls>
          <c:showVal val="1"/>
        </c:dLbls>
        <c:overlap val="100"/>
        <c:axId val="96412032"/>
        <c:axId val="96413568"/>
      </c:barChart>
      <c:catAx>
        <c:axId val="96412032"/>
        <c:scaling>
          <c:orientation val="minMax"/>
        </c:scaling>
        <c:axPos val="b"/>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96413568"/>
        <c:crosses val="autoZero"/>
        <c:auto val="1"/>
        <c:lblAlgn val="ctr"/>
        <c:lblOffset val="100"/>
      </c:catAx>
      <c:valAx>
        <c:axId val="9641356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9641203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rtl="0">
              <a:defRPr lang="zh-CN" sz="900" b="0" i="0" u="none" strike="noStrike" kern="1200" baseline="0">
                <a:solidFill>
                  <a:schemeClr val="tx1">
                    <a:lumMod val="65000"/>
                    <a:lumOff val="35000"/>
                  </a:schemeClr>
                </a:solidFill>
                <a:latin typeface="+mn-lt"/>
                <a:ea typeface="+mn-ea"/>
                <a:cs typeface="+mn-cs"/>
              </a:defRPr>
            </a:pPr>
            <a:endParaRPr lang="zh-CN"/>
          </a:p>
        </c:txPr>
      </c:dTable>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一般公共预算财政拨款支出决算结构</a:t>
            </a:r>
          </a:p>
          <a:p>
            <a:pPr defTabSz="914400">
              <a:defRPr lang="zh-CN" sz="1400" b="1" i="0" u="none" strike="noStrike" kern="1200" baseline="0">
                <a:solidFill>
                  <a:schemeClr val="dk1">
                    <a:lumMod val="75000"/>
                    <a:lumOff val="25000"/>
                  </a:schemeClr>
                </a:solidFill>
                <a:latin typeface="+mn-lt"/>
                <a:ea typeface="+mn-ea"/>
                <a:cs typeface="+mn-cs"/>
              </a:defRPr>
            </a:pPr>
            <a:endParaRPr/>
          </a:p>
        </c:rich>
      </c:tx>
      <c:spPr>
        <a:noFill/>
        <a:ln>
          <a:noFill/>
        </a:ln>
        <a:effectLst/>
      </c:spPr>
    </c:title>
    <c:plotArea>
      <c:layout/>
      <c:pieChart>
        <c:varyColors val="1"/>
        <c:ser>
          <c:idx val="0"/>
          <c:order val="0"/>
          <c:dPt>
            <c:idx val="0"/>
            <c:spPr>
              <a:solidFill>
                <a:schemeClr val="accent1"/>
              </a:solidFill>
              <a:ln>
                <a:solidFill>
                  <a:schemeClr val="bg1"/>
                </a:solidFill>
              </a:ln>
              <a:effectLst/>
            </c:spPr>
          </c:dPt>
          <c:dPt>
            <c:idx val="1"/>
            <c:spPr>
              <a:solidFill>
                <a:schemeClr val="accent2"/>
              </a:solidFill>
              <a:ln>
                <a:solidFill>
                  <a:schemeClr val="bg1"/>
                </a:solidFill>
              </a:ln>
              <a:effectLst/>
            </c:spPr>
          </c:dPt>
          <c:dPt>
            <c:idx val="2"/>
            <c:spPr>
              <a:solidFill>
                <a:schemeClr val="accent3"/>
              </a:solidFill>
              <a:ln>
                <a:solidFill>
                  <a:schemeClr val="bg1"/>
                </a:solidFill>
              </a:ln>
              <a:effectLst/>
            </c:spPr>
          </c:dPt>
          <c:dPt>
            <c:idx val="3"/>
            <c:spPr>
              <a:solidFill>
                <a:schemeClr val="accent4"/>
              </a:solidFill>
              <a:ln>
                <a:solidFill>
                  <a:schemeClr val="bg1"/>
                </a:solidFill>
              </a:ln>
              <a:effectLst/>
            </c:spPr>
          </c:dPt>
          <c:dPt>
            <c:idx val="4"/>
            <c:spPr>
              <a:solidFill>
                <a:schemeClr val="accent5"/>
              </a:solidFill>
              <a:ln>
                <a:solidFill>
                  <a:schemeClr val="bg1"/>
                </a:solidFill>
              </a:ln>
              <a:effectLst/>
            </c:spPr>
          </c:dPt>
          <c:dPt>
            <c:idx val="5"/>
            <c:spPr>
              <a:solidFill>
                <a:schemeClr val="accent6"/>
              </a:solidFill>
              <a:ln>
                <a:solidFill>
                  <a:schemeClr val="bg1"/>
                </a:solidFill>
              </a:ln>
              <a:effectLst/>
            </c:spPr>
          </c:dPt>
          <c:dPt>
            <c:idx val="6"/>
            <c:spPr>
              <a:solidFill>
                <a:schemeClr val="accent1">
                  <a:lumMod val="60000"/>
                </a:schemeClr>
              </a:solidFill>
              <a:ln>
                <a:solidFill>
                  <a:schemeClr val="bg1"/>
                </a:solidFill>
              </a:ln>
              <a:effectLst/>
            </c:spPr>
          </c:dPt>
          <c:dLbls>
            <c:dLbl>
              <c:idx val="0"/>
              <c:layout>
                <c:manualLayout>
                  <c:x val="2.3685622010941806E-2"/>
                  <c:y val="-5.2959236757417726E-2"/>
                </c:manualLayout>
              </c:layout>
              <c:dLblPos val="bestFit"/>
              <c:showVal val="1"/>
              <c:extLst>
                <c:ext xmlns:c15="http://schemas.microsoft.com/office/drawing/2012/chart" uri="{CE6537A1-D6FC-4f65-9D91-7224C49458BB}">
                  <c15:layout/>
                </c:ext>
              </c:extLst>
            </c:dLbl>
            <c:dLbl>
              <c:idx val="1"/>
              <c:layout>
                <c:manualLayout>
                  <c:x val="-9.0021229613314616E-2"/>
                  <c:y val="-3.3515235234868795E-2"/>
                </c:manualLayout>
              </c:layout>
              <c:dLblPos val="bestFit"/>
              <c:showVal val="1"/>
              <c:extLst>
                <c:ext xmlns:c15="http://schemas.microsoft.com/office/drawing/2012/chart" uri="{CE6537A1-D6FC-4f65-9D91-7224C49458BB}">
                  <c15:layout/>
                </c:ext>
              </c:extLst>
            </c:dLbl>
            <c:dLbl>
              <c:idx val="2"/>
              <c:layout>
                <c:manualLayout>
                  <c:x val="0.10853117927566409"/>
                  <c:y val="-2.9604771628336923E-3"/>
                </c:manualLayout>
              </c:layout>
              <c:dLblPos val="bestFit"/>
              <c:showVal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[饼状图、柱状图.xlsx]Sheet1!$A$8:$A$14</c:f>
              <c:strCache>
                <c:ptCount val="7"/>
                <c:pt idx="0">
                  <c:v>一般公共服务支出</c:v>
                </c:pt>
                <c:pt idx="1">
                  <c:v>社会保障和就业支出</c:v>
                </c:pt>
                <c:pt idx="2">
                  <c:v>卫生健康支出</c:v>
                </c:pt>
                <c:pt idx="3">
                  <c:v>节能环保支出</c:v>
                </c:pt>
                <c:pt idx="4">
                  <c:v>城乡社区支出</c:v>
                </c:pt>
                <c:pt idx="5">
                  <c:v>农林水支出</c:v>
                </c:pt>
                <c:pt idx="6">
                  <c:v>住房保障支出</c:v>
                </c:pt>
              </c:strCache>
            </c:strRef>
          </c:cat>
          <c:val>
            <c:numRef>
              <c:f>[饼状图、柱状图.xlsx]Sheet1!$B$8:$B$14</c:f>
              <c:numCache>
                <c:formatCode>General</c:formatCode>
                <c:ptCount val="7"/>
                <c:pt idx="0">
                  <c:v>31</c:v>
                </c:pt>
                <c:pt idx="1">
                  <c:v>52</c:v>
                </c:pt>
                <c:pt idx="2">
                  <c:v>20.190000000000001</c:v>
                </c:pt>
                <c:pt idx="3">
                  <c:v>1850</c:v>
                </c:pt>
                <c:pt idx="4">
                  <c:v>12785.98</c:v>
                </c:pt>
                <c:pt idx="5">
                  <c:v>2180</c:v>
                </c:pt>
                <c:pt idx="6">
                  <c:v>2292.25</c:v>
                </c:pt>
              </c:numCache>
            </c:numRef>
          </c:val>
        </c:ser>
        <c:dLbls>
          <c:showVal val="1"/>
        </c:dLbls>
        <c:firstSliceAng val="0"/>
      </c:pieChart>
      <c:spPr>
        <a:noFill/>
        <a:ln>
          <a:noFill/>
        </a:ln>
        <a:effectLst/>
      </c:spPr>
    </c:plotArea>
    <c:legend>
      <c:legendPos val="r"/>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forceAA="0"/>
          <a:lstStyle/>
          <a:p>
            <a:pPr defTabSz="914400">
              <a:defRPr lang="zh-CN" sz="1400" b="0" i="0" u="none" strike="noStrike" kern="1200" spc="0" baseline="0">
                <a:solidFill>
                  <a:schemeClr val="tx1">
                    <a:lumMod val="65000"/>
                    <a:lumOff val="35000"/>
                  </a:schemeClr>
                </a:solidFill>
                <a:latin typeface="微软雅黑" panose="020B0503020204020204" pitchFamily="34" charset="-122"/>
                <a:ea typeface="微软雅黑" panose="020B0503020204020204" pitchFamily="34" charset="-122"/>
                <a:cs typeface="+mn-cs"/>
              </a:defRPr>
            </a:pPr>
            <a:r>
              <a:rPr lang="en-US" altLang="zh-CN"/>
              <a:t>“三公”经费财政拨款支出结构</a:t>
            </a:r>
          </a:p>
        </c:rich>
      </c:tx>
      <c:layout>
        <c:manualLayout>
          <c:xMode val="edge"/>
          <c:yMode val="edge"/>
          <c:x val="0.21117507195594989"/>
          <c:y val="1.7478556400712105E-2"/>
        </c:manualLayout>
      </c:layout>
      <c:spPr>
        <a:noFill/>
        <a:ln>
          <a:noFill/>
        </a:ln>
        <a:effectLst/>
      </c:spPr>
    </c:title>
    <c:plotArea>
      <c:layout/>
      <c:pieChart>
        <c:varyColors val="1"/>
        <c:ser>
          <c:idx val="0"/>
          <c:order val="0"/>
          <c:spPr>
            <a:effectLst>
              <a:outerShdw blurRad="50800" dist="38100" dir="2700000" algn="tl" rotWithShape="0">
                <a:prstClr val="black">
                  <a:alpha val="40000"/>
                </a:prstClr>
              </a:outerShdw>
            </a:effectLst>
          </c:spPr>
          <c:explosion val="4"/>
          <c:dPt>
            <c:idx val="0"/>
            <c:explosion val="0"/>
            <c:spPr>
              <a:solidFill>
                <a:schemeClr val="accent1"/>
              </a:solidFill>
              <a:ln w="19050">
                <a:solidFill>
                  <a:schemeClr val="lt1"/>
                </a:solidFill>
              </a:ln>
              <a:effectLst>
                <a:outerShdw blurRad="50800" dist="38100" dir="2700000" algn="tl" rotWithShape="0">
                  <a:prstClr val="black">
                    <a:alpha val="40000"/>
                  </a:prstClr>
                </a:outerShdw>
              </a:effectLst>
            </c:spPr>
          </c:dPt>
          <c:dPt>
            <c:idx val="1"/>
            <c:explosion val="0"/>
            <c:spPr>
              <a:solidFill>
                <a:schemeClr val="accent2"/>
              </a:solidFill>
              <a:ln w="19050">
                <a:solidFill>
                  <a:schemeClr val="lt1"/>
                </a:solidFill>
              </a:ln>
              <a:effectLst>
                <a:outerShdw blurRad="50800" dist="38100" dir="2700000" algn="tl" rotWithShape="0">
                  <a:prstClr val="black">
                    <a:alpha val="40000"/>
                  </a:prstClr>
                </a:outerShdw>
              </a:effectLst>
            </c:spPr>
          </c:dPt>
          <c:dPt>
            <c:idx val="2"/>
            <c:explosion val="0"/>
            <c:spPr>
              <a:solidFill>
                <a:schemeClr val="accent3"/>
              </a:solidFill>
              <a:ln w="19050">
                <a:solidFill>
                  <a:schemeClr val="lt1"/>
                </a:solidFill>
              </a:ln>
              <a:effectLst>
                <a:outerShdw blurRad="50800" dist="38100" dir="2700000" algn="tl" rotWithShape="0">
                  <a:prstClr val="black">
                    <a:alpha val="40000"/>
                  </a:prstClr>
                </a:outerShdw>
              </a:effectLst>
            </c:spPr>
          </c:dPt>
          <c:dPt>
            <c:idx val="3"/>
            <c:explosion val="0"/>
            <c:spPr>
              <a:solidFill>
                <a:schemeClr val="accent4"/>
              </a:solidFill>
              <a:ln w="19050">
                <a:solidFill>
                  <a:schemeClr val="lt1"/>
                </a:solidFill>
              </a:ln>
              <a:effectLst>
                <a:outerShdw blurRad="50800" dist="38100" dir="2700000" algn="tl" rotWithShape="0">
                  <a:prstClr val="black">
                    <a:alpha val="40000"/>
                  </a:prstClr>
                </a:outerShdw>
              </a:effectLst>
            </c:spPr>
          </c:dPt>
          <c:dPt>
            <c:idx val="4"/>
            <c:explosion val="0"/>
            <c:spPr>
              <a:solidFill>
                <a:schemeClr val="accent5"/>
              </a:solidFill>
              <a:ln w="19050">
                <a:solidFill>
                  <a:schemeClr val="lt1"/>
                </a:solidFill>
              </a:ln>
              <a:effectLst>
                <a:outerShdw blurRad="50800" dist="38100" dir="2700000" algn="tl" rotWithShape="0">
                  <a:prstClr val="black">
                    <a:alpha val="40000"/>
                  </a:prstClr>
                </a:outerShdw>
              </a:effectLst>
            </c:spPr>
          </c:dPt>
          <c:dPt>
            <c:idx val="5"/>
            <c:spPr>
              <a:solidFill>
                <a:schemeClr val="accent6"/>
              </a:solidFill>
              <a:ln w="19050">
                <a:solidFill>
                  <a:schemeClr val="lt1"/>
                </a:solidFill>
              </a:ln>
              <a:effectLst>
                <a:outerShdw blurRad="50800" dist="38100" dir="2700000" algn="tl" rotWithShape="0">
                  <a:prstClr val="black">
                    <a:alpha val="40000"/>
                  </a:prstClr>
                </a:outerShdw>
              </a:effectLst>
            </c:spPr>
          </c:dPt>
          <c:dPt>
            <c:idx val="6"/>
            <c:spPr>
              <a:solidFill>
                <a:schemeClr val="accent1">
                  <a:lumMod val="60000"/>
                </a:schemeClr>
              </a:solidFill>
              <a:ln w="19050">
                <a:solidFill>
                  <a:schemeClr val="lt1"/>
                </a:solidFill>
              </a:ln>
              <a:effectLst>
                <a:outerShdw blurRad="50800" dist="38100" dir="2700000" algn="tl" rotWithShape="0">
                  <a:prstClr val="black">
                    <a:alpha val="40000"/>
                  </a:prstClr>
                </a:outerShdw>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[饼状图、柱状图.xlsx]Sheet1!$A$8:$A$14</c:f>
              <c:strCache>
                <c:ptCount val="7"/>
                <c:pt idx="0">
                  <c:v>公务用车购置及运行维护费支出</c:v>
                </c:pt>
                <c:pt idx="1">
                  <c:v>公务接待费支出</c:v>
                </c:pt>
              </c:strCache>
            </c:strRef>
          </c:cat>
          <c:val>
            <c:numRef>
              <c:f>[饼状图、柱状图.xlsx]Sheet1!$B$8:$B$14</c:f>
              <c:numCache>
                <c:formatCode>General</c:formatCode>
                <c:ptCount val="7"/>
                <c:pt idx="0">
                  <c:v>2.5</c:v>
                </c:pt>
                <c:pt idx="1">
                  <c:v>0.43000000000000022</c:v>
                </c:pt>
              </c:numCache>
            </c:numRef>
          </c:val>
        </c:ser>
        <c:dLbls>
          <c:showVal val="1"/>
        </c:dLbls>
        <c:firstSliceAng val="0"/>
      </c:pieChart>
      <c:spPr>
        <a:noFill/>
        <a:ln>
          <a:noFill/>
        </a:ln>
        <a:effectLst/>
      </c:spPr>
    </c:plotArea>
    <c:legend>
      <c:legendPos val="r"/>
      <c:legendEntry>
        <c:idx val="5"/>
        <c:delete val="1"/>
      </c:legendEntry>
      <c:legendEntry>
        <c:idx val="6"/>
        <c:delete val="1"/>
      </c:legendEntry>
      <c:layout>
        <c:manualLayout>
          <c:xMode val="edge"/>
          <c:yMode val="edge"/>
          <c:x val="0.74546364660242803"/>
          <c:y val="0.31882181582780467"/>
          <c:w val="0.2507821298961328"/>
          <c:h val="0.38064411717106322"/>
        </c:manualLayout>
      </c:layout>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no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922</TotalTime>
  <Pages>23</Pages>
  <Words>6900</Words>
  <Characters>898</Characters>
  <Application>Microsoft Office Word</Application>
  <DocSecurity>0</DocSecurity>
  <Lines>7</Lines>
  <Paragraphs>15</Paragraphs>
  <ScaleCrop>false</ScaleCrop>
  <Company>四川省财政厅</Company>
  <LinksUpToDate>false</LinksUpToDate>
  <CharactersWithSpaces>7783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攀枝花市西区创建办</cp:lastModifiedBy>
  <cp:revision>65</cp:revision>
  <cp:lastPrinted>2023-10-30T07:01:00Z</cp:lastPrinted>
  <dcterms:created xsi:type="dcterms:W3CDTF">2020-08-05T01:49:00Z</dcterms:created>
  <dcterms:modified xsi:type="dcterms:W3CDTF">2023-10-31T00:19:00Z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46250A3C7F81477E9398D00FE0508E05_12</vt:lpwstr>
  </property>
</Properties>
</file>