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96475"/>
      <w:bookmarkStart w:id="2" w:name="_Toc15378441"/>
      <w:bookmarkStart w:id="3" w:name="_Toc15377193"/>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78442"/>
      <w:bookmarkStart w:id="7" w:name="_Toc15396476"/>
      <w:bookmarkStart w:id="8" w:name="_Toc15377194"/>
      <w:bookmarkStart w:id="9" w:name="_Toc15377426"/>
      <w:bookmarkStart w:id="10" w:name="_Toc15396598"/>
      <w:r>
        <w:rPr>
          <w:rFonts w:hint="eastAsia" w:ascii="方正小标宋简体" w:hAnsi="方正小标宋简体" w:eastAsia="方正小标宋简体" w:cs="方正小标宋简体"/>
          <w:sz w:val="72"/>
          <w:szCs w:val="72"/>
          <w:lang w:val="en-US" w:eastAsia="zh-CN"/>
        </w:rPr>
        <w:t>攀枝花市西区</w:t>
      </w:r>
      <w:bookmarkEnd w:id="5"/>
      <w:bookmarkStart w:id="11" w:name="_Toc15306268"/>
      <w:r>
        <w:rPr>
          <w:rFonts w:hint="eastAsia" w:ascii="方正小标宋简体" w:hAnsi="方正小标宋简体" w:eastAsia="方正小标宋简体" w:cs="方正小标宋简体"/>
          <w:sz w:val="72"/>
          <w:szCs w:val="72"/>
          <w:lang w:val="en-US" w:eastAsia="zh-CN"/>
        </w:rPr>
        <w:t>发展和</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改革局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w:t>
      </w:r>
      <w:r>
        <w:rPr>
          <w:rFonts w:hint="eastAsia"/>
          <w:lang w:val="en-US" w:eastAsia="zh-CN"/>
        </w:rPr>
        <w:t>10</w:t>
      </w:r>
      <w:r>
        <w:rPr>
          <w:rFonts w:hint="eastAsia"/>
        </w:rPr>
        <w:t>月</w:t>
      </w:r>
      <w:r>
        <w:rPr>
          <w:rFonts w:hint="eastAsia"/>
          <w:lang w:val="en-US" w:eastAsia="zh-CN"/>
        </w:rPr>
        <w:t>31</w:t>
      </w:r>
      <w:r>
        <w:rPr>
          <w:rFonts w:hint="eastAsia"/>
        </w:rPr>
        <w:t>日</w:t>
      </w:r>
      <w:bookmarkStart w:id="92" w:name="_GoBack"/>
      <w:bookmarkEnd w:id="92"/>
    </w:p>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lang w:val="en-US" w:eastAsia="zh-CN"/>
        </w:rPr>
        <w:t>4</w:t>
      </w:r>
    </w:p>
    <w:p>
      <w:pPr>
        <w:pStyle w:val="13"/>
        <w:adjustRightInd w:val="0"/>
        <w:snapToGrid w:val="0"/>
        <w:spacing w:line="440" w:lineRule="exact"/>
        <w:jc w:val="left"/>
        <w:rPr>
          <w:rFonts w:hint="eastAsia" w:ascii="仿宋" w:hAnsi="仿宋" w:eastAsia="宋体"/>
          <w:sz w:val="24"/>
          <w:lang w:val="en-US" w:eastAsia="zh-CN"/>
        </w:rPr>
      </w:pPr>
      <w:r>
        <w:rPr>
          <w:rFonts w:hint="eastAsia"/>
          <w:sz w:val="24"/>
        </w:rPr>
        <w:t>一、部门职责</w:t>
      </w:r>
      <w:r>
        <w:rPr>
          <w:rFonts w:cstheme="minorBidi"/>
          <w:sz w:val="24"/>
        </w:rPr>
        <w:tab/>
      </w:r>
      <w:r>
        <w:rPr>
          <w:rFonts w:hint="eastAsia" w:cstheme="minorBidi"/>
          <w:sz w:val="24"/>
          <w:lang w:val="en-US" w:eastAsia="zh-CN"/>
        </w:rPr>
        <w:t>4</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rPr>
          <w:rFonts w:cstheme="minorBidi"/>
          <w:sz w:val="24"/>
        </w:rPr>
        <w:tab/>
      </w:r>
      <w:r>
        <w:rPr>
          <w:rFonts w:hint="eastAsia" w:cstheme="minorBidi"/>
          <w:sz w:val="24"/>
          <w:lang w:val="en-US" w:eastAsia="zh-CN"/>
        </w:rPr>
        <w:t>7</w:t>
      </w:r>
    </w:p>
    <w:p>
      <w:pPr>
        <w:pStyle w:val="12"/>
        <w:adjustRightInd w:val="0"/>
        <w:snapToGrid w:val="0"/>
        <w:spacing w:before="0" w:line="440" w:lineRule="exact"/>
        <w:jc w:val="left"/>
        <w:rPr>
          <w:rFonts w:hint="eastAsia" w:eastAsia="仿宋"/>
          <w:sz w:val="24"/>
          <w:szCs w:val="24"/>
          <w:lang w:val="en-US" w:eastAsia="zh-CN"/>
        </w:rPr>
      </w:pPr>
      <w:r>
        <w:rPr>
          <w:rFonts w:hint="eastAsia"/>
          <w:sz w:val="24"/>
        </w:rPr>
        <w:t>第二部分 2022年度部门决算情况说明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rPr>
        <w:tab/>
      </w:r>
      <w:r>
        <w:rPr>
          <w:rFonts w:hint="eastAsia" w:cstheme="minorBidi"/>
          <w:sz w:val="24"/>
          <w:lang w:val="en-US" w:eastAsia="zh-CN"/>
        </w:rPr>
        <w:t>8</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rPr>
        <w:tab/>
      </w:r>
      <w:r>
        <w:rPr>
          <w:rFonts w:hint="eastAsia" w:cstheme="minorBidi"/>
          <w:sz w:val="24"/>
          <w:lang w:val="en-US" w:eastAsia="zh-CN"/>
        </w:rPr>
        <w:t>8</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rPr>
        <w:tab/>
      </w:r>
      <w:r>
        <w:rPr>
          <w:rFonts w:hint="eastAsia" w:cstheme="minorBidi"/>
          <w:sz w:val="24"/>
          <w:lang w:val="en-US" w:eastAsia="zh-CN"/>
        </w:rPr>
        <w:t>9</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rPr>
        <w:tab/>
      </w:r>
      <w:r>
        <w:rPr>
          <w:rFonts w:hint="eastAsia" w:cstheme="minorBidi"/>
          <w:sz w:val="24"/>
          <w:lang w:val="en-US" w:eastAsia="zh-CN"/>
        </w:rPr>
        <w:t>9</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cstheme="minorBidi"/>
          <w:sz w:val="24"/>
        </w:rPr>
        <w:tab/>
      </w:r>
      <w:r>
        <w:rPr>
          <w:rFonts w:hint="eastAsia" w:cstheme="minorBidi"/>
          <w:sz w:val="24"/>
          <w:lang w:val="en-US" w:eastAsia="zh-CN"/>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11</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rPr>
        <w:tab/>
      </w:r>
      <w:r>
        <w:rPr>
          <w:rFonts w:hint="eastAsia" w:cstheme="minorBidi"/>
          <w:sz w:val="24"/>
          <w:lang w:val="en-US" w:eastAsia="zh-CN"/>
        </w:rPr>
        <w:t>12</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rPr>
        <w:tab/>
      </w:r>
      <w:r>
        <w:rPr>
          <w:rFonts w:hint="eastAsia" w:cstheme="minorBidi"/>
          <w:sz w:val="24"/>
          <w:lang w:val="en-US" w:eastAsia="zh-CN"/>
        </w:rPr>
        <w:t>14</w:t>
      </w:r>
    </w:p>
    <w:p>
      <w:pPr>
        <w:pStyle w:val="13"/>
        <w:adjustRightInd w:val="0"/>
        <w:snapToGrid w:val="0"/>
        <w:spacing w:line="440" w:lineRule="exact"/>
        <w:ind w:leftChars="0"/>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lang w:val="en-US" w:eastAsia="zh-CN"/>
        </w:rPr>
        <w:t>14</w:t>
      </w:r>
    </w:p>
    <w:p>
      <w:pPr>
        <w:pStyle w:val="13"/>
        <w:adjustRightInd w:val="0"/>
        <w:snapToGrid w:val="0"/>
        <w:spacing w:line="440" w:lineRule="exact"/>
        <w:jc w:val="left"/>
        <w:rPr>
          <w:rFonts w:hint="default" w:ascii="仿宋" w:hAnsi="仿宋" w:eastAsia="宋体" w:cstheme="minorBidi"/>
          <w:sz w:val="24"/>
          <w:lang w:val="en-US" w:eastAsia="zh-CN"/>
        </w:rPr>
      </w:pPr>
      <w:r>
        <w:rPr>
          <w:rStyle w:val="20"/>
          <w:rFonts w:hint="eastAsia" w:asciiTheme="minorEastAsia" w:hAnsiTheme="minorEastAsia" w:eastAsiaTheme="minorEastAsia" w:cstheme="minorEastAsia"/>
          <w:color w:val="auto"/>
          <w:sz w:val="24"/>
          <w:u w:val="none"/>
        </w:rPr>
        <w:t>十、</w:t>
      </w:r>
      <w:r>
        <w:rPr>
          <w:rFonts w:hint="eastAsia" w:ascii="Times New Roman" w:hAnsi="Times New Roman" w:eastAsia="宋体" w:cs="Times New Roman"/>
          <w:kern w:val="2"/>
          <w:sz w:val="24"/>
          <w:szCs w:val="24"/>
          <w:lang w:val="en-US" w:eastAsia="zh-CN" w:bidi="ar-SA"/>
        </w:rPr>
        <w:t>其他重要事项的情况说明</w:t>
      </w:r>
      <w:r>
        <w:rPr>
          <w:rFonts w:cstheme="minorBidi"/>
          <w:sz w:val="24"/>
        </w:rPr>
        <w:tab/>
      </w:r>
      <w:r>
        <w:rPr>
          <w:rFonts w:hint="eastAsia" w:cstheme="minorBidi"/>
          <w:sz w:val="24"/>
          <w:lang w:val="en-US" w:eastAsia="zh-CN"/>
        </w:rPr>
        <w:t>14</w:t>
      </w:r>
    </w:p>
    <w:p>
      <w:pPr>
        <w:pStyle w:val="12"/>
        <w:adjustRightInd w:val="0"/>
        <w:snapToGrid w:val="0"/>
        <w:spacing w:before="0" w:line="440" w:lineRule="exact"/>
        <w:jc w:val="left"/>
        <w:rPr>
          <w:rFonts w:hint="eastAsia" w:ascii="Times New Roman" w:hAnsi="Times New Roman" w:eastAsia="仿宋" w:cs="Times New Roman"/>
          <w:color w:val="auto"/>
          <w:sz w:val="24"/>
          <w:lang w:val="en-US" w:eastAsia="zh-CN"/>
        </w:rPr>
      </w:pPr>
      <w:bookmarkStart w:id="12" w:name="_Toc15396599"/>
      <w:bookmarkStart w:id="13" w:name="_Toc15377196"/>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_Toc17935_WPSOffice_Level1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1cc99231-0bd3-4aa2-8ad0-bdf2ae9a6c2f}"/>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第三部分 名词解释</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fldChar w:fldCharType="end"/>
      </w:r>
      <w:r>
        <w:rPr>
          <w:rFonts w:hint="eastAsia" w:ascii="Times New Roman" w:hAnsi="Times New Roman" w:cs="Times New Roman"/>
          <w:color w:val="auto"/>
          <w:sz w:val="24"/>
          <w:lang w:val="en-US" w:eastAsia="zh-CN"/>
        </w:rPr>
        <w:t>6</w:t>
      </w:r>
    </w:p>
    <w:p>
      <w:pPr>
        <w:pStyle w:val="12"/>
        <w:adjustRightInd w:val="0"/>
        <w:snapToGrid w:val="0"/>
        <w:spacing w:before="0" w:line="440" w:lineRule="exact"/>
        <w:jc w:val="left"/>
        <w:rPr>
          <w:rFonts w:hint="eastAsia" w:ascii="Times New Roman" w:hAnsi="Times New Roman" w:eastAsia="仿宋"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_Toc11336_WPSOffice_Level1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c7ef6dab-a303-4db5-a3d7-60783f8a8323}"/>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第四部分 附件</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fldChar w:fldCharType="end"/>
      </w:r>
      <w:r>
        <w:rPr>
          <w:rFonts w:hint="eastAsia" w:ascii="Times New Roman" w:hAnsi="Times New Roman" w:cs="Times New Roman"/>
          <w:color w:val="auto"/>
          <w:sz w:val="24"/>
          <w:lang w:val="en-US" w:eastAsia="zh-CN"/>
        </w:rPr>
        <w:t>0</w:t>
      </w:r>
    </w:p>
    <w:p>
      <w:pPr>
        <w:pStyle w:val="12"/>
        <w:adjustRightInd w:val="0"/>
        <w:snapToGrid w:val="0"/>
        <w:spacing w:before="0" w:line="440" w:lineRule="exact"/>
        <w:jc w:val="left"/>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_Toc23588_WPSOffice_Level1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0da5eccc-6575-43fc-bba6-fec72b3602a1}"/>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第五部分 附表</w:t>
          </w:r>
        </w:sdtContent>
      </w:sdt>
      <w:r>
        <w:rPr>
          <w:rFonts w:hint="default" w:ascii="Times New Roman" w:hAnsi="Times New Roman" w:cs="Times New Roman"/>
          <w:color w:val="auto"/>
          <w:sz w:val="24"/>
        </w:rPr>
        <w:tab/>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fldChar w:fldCharType="end"/>
      </w:r>
      <w:r>
        <w:rPr>
          <w:rFonts w:hint="eastAsia" w:ascii="Times New Roman" w:hAnsi="Times New Roman" w:cs="Times New Roman"/>
          <w:color w:val="auto"/>
          <w:sz w:val="24"/>
          <w:lang w:val="en-US" w:eastAsia="zh-CN"/>
        </w:rPr>
        <w:t>0</w:t>
      </w:r>
    </w:p>
    <w:p>
      <w:pPr>
        <w:pStyle w:val="13"/>
        <w:adjustRightInd w:val="0"/>
        <w:snapToGrid w:val="0"/>
        <w:spacing w:line="440" w:lineRule="exact"/>
        <w:jc w:val="left"/>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_Toc17181_WPSOffice_Level2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254efb36-3a24-4579-bbf8-6b6a5e5c5604}"/>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一、收入支出决算总表</w:t>
          </w:r>
        </w:sdtContent>
      </w:sdt>
      <w:r>
        <w:rPr>
          <w:rFonts w:hint="default" w:ascii="Times New Roman" w:hAnsi="Times New Roman" w:cs="Times New Roman"/>
          <w:color w:val="auto"/>
          <w:sz w:val="24"/>
        </w:rPr>
        <w:tab/>
      </w:r>
      <w:r>
        <w:rPr>
          <w:rFonts w:hint="eastAsia" w:cs="Times New Roman"/>
          <w:color w:val="auto"/>
          <w:sz w:val="24"/>
          <w:lang w:val="en-US" w:eastAsia="zh-CN"/>
        </w:rPr>
        <w:t>4</w:t>
      </w:r>
      <w:r>
        <w:rPr>
          <w:rFonts w:hint="default" w:ascii="Times New Roman" w:hAnsi="Times New Roman" w:cs="Times New Roman"/>
          <w:color w:val="auto"/>
          <w:sz w:val="24"/>
        </w:rPr>
        <w:fldChar w:fldCharType="end"/>
      </w:r>
      <w:r>
        <w:rPr>
          <w:rFonts w:hint="eastAsia" w:cs="Times New Roman"/>
          <w:color w:val="auto"/>
          <w:sz w:val="24"/>
          <w:lang w:val="en-US" w:eastAsia="zh-CN"/>
        </w:rPr>
        <w:t>0</w:t>
      </w:r>
    </w:p>
    <w:p>
      <w:pPr>
        <w:pStyle w:val="13"/>
        <w:adjustRightInd w:val="0"/>
        <w:snapToGrid w:val="0"/>
        <w:spacing w:line="440" w:lineRule="exact"/>
        <w:jc w:val="left"/>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_Toc28663_WPSOffice_Level2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fa99a417-8d05-45b4-ae78-b22d29a2c6a7}"/>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二、收入决算表</w:t>
          </w:r>
        </w:sdtContent>
      </w:sdt>
      <w:r>
        <w:rPr>
          <w:rFonts w:hint="default" w:ascii="Times New Roman" w:hAnsi="Times New Roman" w:cs="Times New Roman"/>
          <w:color w:val="auto"/>
          <w:sz w:val="24"/>
        </w:rPr>
        <w:tab/>
      </w:r>
      <w:r>
        <w:rPr>
          <w:rFonts w:hint="eastAsia" w:cs="Times New Roman"/>
          <w:color w:val="auto"/>
          <w:sz w:val="24"/>
          <w:lang w:val="en-US" w:eastAsia="zh-CN"/>
        </w:rPr>
        <w:t>4</w:t>
      </w:r>
      <w:r>
        <w:rPr>
          <w:rFonts w:hint="default" w:ascii="Times New Roman" w:hAnsi="Times New Roman" w:cs="Times New Roman"/>
          <w:color w:val="auto"/>
          <w:sz w:val="24"/>
        </w:rPr>
        <w:fldChar w:fldCharType="end"/>
      </w:r>
      <w:r>
        <w:rPr>
          <w:rFonts w:hint="eastAsia" w:cs="Times New Roman"/>
          <w:color w:val="auto"/>
          <w:sz w:val="24"/>
          <w:lang w:val="en-US" w:eastAsia="zh-CN"/>
        </w:rPr>
        <w:t>0</w:t>
      </w:r>
    </w:p>
    <w:p>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_Toc7222_WPSOffice_Level2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378a0e99-eb72-4f4c-a27c-b41d54e63689}"/>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三、支出决算表</w:t>
          </w:r>
        </w:sdtContent>
      </w:sdt>
      <w:r>
        <w:rPr>
          <w:rFonts w:hint="default" w:ascii="Times New Roman" w:hAnsi="Times New Roman" w:cs="Times New Roman"/>
          <w:color w:val="auto"/>
          <w:sz w:val="24"/>
        </w:rPr>
        <w:tab/>
      </w:r>
      <w:r>
        <w:rPr>
          <w:rFonts w:hint="eastAsia" w:cs="Times New Roman"/>
          <w:color w:val="auto"/>
          <w:sz w:val="24"/>
          <w:lang w:val="en-US" w:eastAsia="zh-CN"/>
        </w:rPr>
        <w:t>4</w:t>
      </w:r>
      <w:r>
        <w:rPr>
          <w:rFonts w:hint="default" w:ascii="Times New Roman" w:hAnsi="Times New Roman" w:cs="Times New Roman"/>
          <w:color w:val="auto"/>
          <w:sz w:val="24"/>
        </w:rPr>
        <w:fldChar w:fldCharType="end"/>
      </w:r>
      <w:r>
        <w:rPr>
          <w:rFonts w:hint="eastAsia" w:cs="Times New Roman"/>
          <w:color w:val="auto"/>
          <w:sz w:val="24"/>
          <w:lang w:val="en-US" w:eastAsia="zh-CN"/>
        </w:rPr>
        <w:t>0</w:t>
      </w:r>
    </w:p>
    <w:p>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_Toc1351_WPSOffice_Level2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51615100-784b-4e9e-a7d6-8846b176d55b}"/>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四、财政拨款收入支出决算总表</w:t>
          </w:r>
        </w:sdtContent>
      </w:sdt>
      <w:r>
        <w:rPr>
          <w:rFonts w:hint="default" w:ascii="Times New Roman" w:hAnsi="Times New Roman" w:cs="Times New Roman"/>
          <w:color w:val="auto"/>
          <w:sz w:val="24"/>
        </w:rPr>
        <w:tab/>
      </w:r>
      <w:r>
        <w:rPr>
          <w:rFonts w:hint="eastAsia" w:cs="Times New Roman"/>
          <w:color w:val="auto"/>
          <w:sz w:val="24"/>
          <w:lang w:val="en-US" w:eastAsia="zh-CN"/>
        </w:rPr>
        <w:t>4</w:t>
      </w:r>
      <w:r>
        <w:rPr>
          <w:rFonts w:hint="default" w:ascii="Times New Roman" w:hAnsi="Times New Roman" w:cs="Times New Roman"/>
          <w:color w:val="auto"/>
          <w:sz w:val="24"/>
        </w:rPr>
        <w:fldChar w:fldCharType="end"/>
      </w:r>
      <w:r>
        <w:rPr>
          <w:rFonts w:hint="eastAsia" w:cs="Times New Roman"/>
          <w:color w:val="auto"/>
          <w:sz w:val="24"/>
          <w:lang w:val="en-US" w:eastAsia="zh-CN"/>
        </w:rPr>
        <w:t>0</w:t>
      </w:r>
    </w:p>
    <w:p>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_Toc11805_WPSOffice_Level2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6c0a4e26-0247-435c-8c6f-cacd687fefc7}"/>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五、财政拨款支出决算明细表</w:t>
          </w:r>
        </w:sdtContent>
      </w:sdt>
      <w:r>
        <w:rPr>
          <w:rFonts w:hint="default" w:ascii="Times New Roman" w:hAnsi="Times New Roman" w:cs="Times New Roman"/>
          <w:color w:val="auto"/>
          <w:sz w:val="24"/>
        </w:rPr>
        <w:tab/>
      </w:r>
      <w:r>
        <w:rPr>
          <w:rFonts w:hint="eastAsia" w:cs="Times New Roman"/>
          <w:color w:val="auto"/>
          <w:sz w:val="24"/>
          <w:lang w:val="en-US" w:eastAsia="zh-CN"/>
        </w:rPr>
        <w:t>4</w:t>
      </w:r>
      <w:r>
        <w:rPr>
          <w:rFonts w:hint="default" w:ascii="Times New Roman" w:hAnsi="Times New Roman" w:cs="Times New Roman"/>
          <w:color w:val="auto"/>
          <w:sz w:val="24"/>
        </w:rPr>
        <w:fldChar w:fldCharType="end"/>
      </w:r>
      <w:r>
        <w:rPr>
          <w:rFonts w:hint="eastAsia" w:cs="Times New Roman"/>
          <w:color w:val="auto"/>
          <w:sz w:val="24"/>
          <w:lang w:val="en-US" w:eastAsia="zh-CN"/>
        </w:rPr>
        <w:t>0</w:t>
      </w:r>
    </w:p>
    <w:p>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_Toc16172_WPSOffice_Level2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c8cec181-5b07-4cc7-822b-1040783d3b60}"/>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六、一般公共预算财政拨款支出决算表</w:t>
          </w:r>
        </w:sdtContent>
      </w:sdt>
      <w:r>
        <w:rPr>
          <w:rFonts w:hint="default" w:ascii="Times New Roman" w:hAnsi="Times New Roman" w:cs="Times New Roman"/>
          <w:color w:val="auto"/>
          <w:sz w:val="24"/>
        </w:rPr>
        <w:tab/>
      </w:r>
      <w:r>
        <w:rPr>
          <w:rFonts w:hint="eastAsia" w:cs="Times New Roman"/>
          <w:color w:val="auto"/>
          <w:sz w:val="24"/>
          <w:lang w:val="en-US" w:eastAsia="zh-CN"/>
        </w:rPr>
        <w:t>4</w:t>
      </w:r>
      <w:r>
        <w:rPr>
          <w:rFonts w:hint="default" w:ascii="Times New Roman" w:hAnsi="Times New Roman" w:cs="Times New Roman"/>
          <w:color w:val="auto"/>
          <w:sz w:val="24"/>
        </w:rPr>
        <w:fldChar w:fldCharType="end"/>
      </w:r>
      <w:r>
        <w:rPr>
          <w:rFonts w:hint="eastAsia" w:cs="Times New Roman"/>
          <w:color w:val="auto"/>
          <w:sz w:val="24"/>
          <w:lang w:val="en-US" w:eastAsia="zh-CN"/>
        </w:rPr>
        <w:t>0</w:t>
      </w:r>
    </w:p>
    <w:p>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_Toc572_WPSOffice_Level2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f0143ff0-9e40-4e89-9b25-bc138384f3a8}"/>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七、一般公共预算财政拨款支出决算明细表</w:t>
          </w:r>
        </w:sdtContent>
      </w:sdt>
      <w:r>
        <w:rPr>
          <w:rFonts w:hint="default" w:ascii="Times New Roman" w:hAnsi="Times New Roman" w:cs="Times New Roman"/>
          <w:color w:val="auto"/>
          <w:sz w:val="24"/>
        </w:rPr>
        <w:tab/>
      </w:r>
      <w:r>
        <w:rPr>
          <w:rFonts w:hint="eastAsia" w:cs="Times New Roman"/>
          <w:color w:val="auto"/>
          <w:sz w:val="24"/>
          <w:lang w:val="en-US" w:eastAsia="zh-CN"/>
        </w:rPr>
        <w:t>40</w:t>
      </w:r>
      <w:r>
        <w:rPr>
          <w:rFonts w:hint="default" w:ascii="Times New Roman" w:hAnsi="Times New Roman" w:cs="Times New Roman"/>
          <w:color w:val="auto"/>
          <w:sz w:val="24"/>
        </w:rPr>
        <w:fldChar w:fldCharType="end"/>
      </w:r>
    </w:p>
    <w:p>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_Toc19336_WPSOffice_Level2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1bec913f-26a6-46bb-897d-5eeb4370cf0b}"/>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八、一般公共预算财政拨款基本支出决算表</w:t>
          </w:r>
        </w:sdtContent>
      </w:sdt>
      <w:r>
        <w:rPr>
          <w:rFonts w:hint="default" w:ascii="Times New Roman" w:hAnsi="Times New Roman" w:cs="Times New Roman"/>
          <w:color w:val="auto"/>
          <w:sz w:val="24"/>
        </w:rPr>
        <w:tab/>
      </w:r>
      <w:r>
        <w:rPr>
          <w:rFonts w:hint="eastAsia" w:cs="Times New Roman"/>
          <w:color w:val="auto"/>
          <w:sz w:val="24"/>
          <w:lang w:val="en-US" w:eastAsia="zh-CN"/>
        </w:rPr>
        <w:t>4</w:t>
      </w:r>
      <w:r>
        <w:rPr>
          <w:rFonts w:hint="default" w:ascii="Times New Roman" w:hAnsi="Times New Roman" w:cs="Times New Roman"/>
          <w:color w:val="auto"/>
          <w:sz w:val="24"/>
        </w:rPr>
        <w:fldChar w:fldCharType="end"/>
      </w:r>
      <w:r>
        <w:rPr>
          <w:rFonts w:hint="eastAsia" w:cs="Times New Roman"/>
          <w:color w:val="auto"/>
          <w:sz w:val="24"/>
          <w:lang w:val="en-US" w:eastAsia="zh-CN"/>
        </w:rPr>
        <w:t>0</w:t>
      </w:r>
    </w:p>
    <w:p>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_Toc6300_WPSOffice_Level2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d4073920-f437-4b6c-a7ad-c39f5b4eaf40}"/>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九、一般公共预算财政拨款项目支出决算表</w:t>
          </w:r>
        </w:sdtContent>
      </w:sdt>
      <w:r>
        <w:rPr>
          <w:rFonts w:hint="default" w:ascii="Times New Roman" w:hAnsi="Times New Roman" w:cs="Times New Roman"/>
          <w:color w:val="auto"/>
          <w:sz w:val="24"/>
        </w:rPr>
        <w:tab/>
      </w:r>
      <w:r>
        <w:rPr>
          <w:rFonts w:hint="eastAsia" w:cs="Times New Roman"/>
          <w:color w:val="auto"/>
          <w:sz w:val="24"/>
          <w:lang w:val="en-US" w:eastAsia="zh-CN"/>
        </w:rPr>
        <w:t>4</w:t>
      </w:r>
      <w:r>
        <w:rPr>
          <w:rFonts w:hint="default" w:ascii="Times New Roman" w:hAnsi="Times New Roman" w:cs="Times New Roman"/>
          <w:color w:val="auto"/>
          <w:sz w:val="24"/>
        </w:rPr>
        <w:fldChar w:fldCharType="end"/>
      </w:r>
      <w:r>
        <w:rPr>
          <w:rFonts w:hint="eastAsia" w:cs="Times New Roman"/>
          <w:color w:val="auto"/>
          <w:sz w:val="24"/>
          <w:lang w:val="en-US" w:eastAsia="zh-CN"/>
        </w:rPr>
        <w:t>0</w:t>
      </w:r>
    </w:p>
    <w:p>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_Toc21801_WPSOffice_Level2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e397f65a-8417-4ddf-9891-8efdf51b65f7}"/>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十、政府性基金预算财政拨款收入支出决算表</w:t>
          </w:r>
        </w:sdtContent>
      </w:sdt>
      <w:r>
        <w:rPr>
          <w:rFonts w:hint="default" w:ascii="Times New Roman" w:hAnsi="Times New Roman" w:cs="Times New Roman"/>
          <w:color w:val="auto"/>
          <w:sz w:val="24"/>
        </w:rPr>
        <w:tab/>
      </w:r>
      <w:r>
        <w:rPr>
          <w:rFonts w:hint="default" w:ascii="Times New Roman" w:hAnsi="Times New Roman" w:cs="Times New Roman"/>
          <w:color w:val="auto"/>
          <w:sz w:val="24"/>
        </w:rPr>
        <w:fldChar w:fldCharType="end"/>
      </w:r>
      <w:r>
        <w:rPr>
          <w:rFonts w:hint="eastAsia" w:cs="Times New Roman"/>
          <w:color w:val="auto"/>
          <w:sz w:val="24"/>
          <w:lang w:val="en-US" w:eastAsia="zh-CN"/>
        </w:rPr>
        <w:t>40</w:t>
      </w:r>
    </w:p>
    <w:p>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_Toc6167_WPSOffice_Level2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578115e9-bc41-4328-b5af-a3e019e5725a}"/>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十一、国有资本经营预算财政拨款收入支出决算表</w:t>
          </w:r>
        </w:sdtContent>
      </w:sdt>
      <w:r>
        <w:rPr>
          <w:rFonts w:hint="default" w:ascii="Times New Roman" w:hAnsi="Times New Roman" w:cs="Times New Roman"/>
          <w:color w:val="auto"/>
          <w:sz w:val="24"/>
        </w:rPr>
        <w:tab/>
      </w:r>
      <w:r>
        <w:rPr>
          <w:rFonts w:hint="eastAsia" w:cs="Times New Roman"/>
          <w:color w:val="auto"/>
          <w:sz w:val="24"/>
          <w:lang w:val="en-US" w:eastAsia="zh-CN"/>
        </w:rPr>
        <w:t>4</w:t>
      </w:r>
      <w:r>
        <w:rPr>
          <w:rFonts w:hint="default" w:ascii="Times New Roman" w:hAnsi="Times New Roman" w:cs="Times New Roman"/>
          <w:color w:val="auto"/>
          <w:sz w:val="24"/>
        </w:rPr>
        <w:fldChar w:fldCharType="end"/>
      </w:r>
      <w:r>
        <w:rPr>
          <w:rFonts w:hint="eastAsia" w:cs="Times New Roman"/>
          <w:color w:val="auto"/>
          <w:sz w:val="24"/>
          <w:lang w:val="en-US" w:eastAsia="zh-CN"/>
        </w:rPr>
        <w:t>0</w:t>
      </w:r>
    </w:p>
    <w:p>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_Toc31159_WPSOffice_Level2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f4846331-c38a-4c61-a662-c8a757ba64dd}"/>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十二、国有资本经营预算财政拨款支出决算表</w:t>
          </w:r>
        </w:sdtContent>
      </w:sdt>
      <w:r>
        <w:rPr>
          <w:rFonts w:hint="default" w:ascii="Times New Roman" w:hAnsi="Times New Roman" w:cs="Times New Roman"/>
          <w:color w:val="auto"/>
          <w:sz w:val="24"/>
        </w:rPr>
        <w:tab/>
      </w:r>
      <w:r>
        <w:rPr>
          <w:rFonts w:hint="eastAsia" w:cs="Times New Roman"/>
          <w:color w:val="auto"/>
          <w:sz w:val="24"/>
          <w:lang w:val="en-US" w:eastAsia="zh-CN"/>
        </w:rPr>
        <w:t>4</w:t>
      </w:r>
      <w:r>
        <w:rPr>
          <w:rFonts w:hint="default" w:ascii="Times New Roman" w:hAnsi="Times New Roman" w:cs="Times New Roman"/>
          <w:color w:val="auto"/>
          <w:sz w:val="24"/>
        </w:rPr>
        <w:fldChar w:fldCharType="end"/>
      </w:r>
      <w:r>
        <w:rPr>
          <w:rFonts w:hint="eastAsia" w:cs="Times New Roman"/>
          <w:color w:val="auto"/>
          <w:sz w:val="24"/>
          <w:lang w:val="en-US" w:eastAsia="zh-CN"/>
        </w:rPr>
        <w:t>0</w:t>
      </w:r>
    </w:p>
    <w:p>
      <w:pPr>
        <w:pStyle w:val="13"/>
        <w:adjustRightInd w:val="0"/>
        <w:snapToGrid w:val="0"/>
        <w:spacing w:line="440" w:lineRule="exact"/>
        <w:jc w:val="lef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_Toc22793_WPSOffice_Level2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b8268f20-ec60-48ab-b5da-095acafd35c5}"/>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十三、财政拨款“三公”经费支出决算表</w:t>
          </w:r>
        </w:sdtContent>
      </w:sdt>
      <w:r>
        <w:rPr>
          <w:rFonts w:hint="default" w:ascii="Times New Roman" w:hAnsi="Times New Roman" w:cs="Times New Roman"/>
          <w:color w:val="auto"/>
          <w:sz w:val="24"/>
        </w:rPr>
        <w:tab/>
      </w:r>
      <w:r>
        <w:rPr>
          <w:rFonts w:hint="eastAsia" w:cs="Times New Roman"/>
          <w:color w:val="auto"/>
          <w:sz w:val="24"/>
          <w:lang w:val="en-US" w:eastAsia="zh-CN"/>
        </w:rPr>
        <w:t>4</w:t>
      </w:r>
      <w:r>
        <w:rPr>
          <w:rFonts w:hint="default" w:ascii="Times New Roman" w:hAnsi="Times New Roman" w:cs="Times New Roman"/>
          <w:color w:val="auto"/>
          <w:sz w:val="24"/>
        </w:rPr>
        <w:fldChar w:fldCharType="end"/>
      </w:r>
      <w:r>
        <w:rPr>
          <w:rFonts w:hint="eastAsia" w:cs="Times New Roman"/>
          <w:color w:val="auto"/>
          <w:sz w:val="24"/>
          <w:lang w:val="en-US" w:eastAsia="zh-CN"/>
        </w:rPr>
        <w:t>0</w:t>
      </w:r>
    </w:p>
    <w:p>
      <w:pPr>
        <w:pStyle w:val="6"/>
        <w:rPr>
          <w:rFonts w:hint="default" w:ascii="Times New Roman" w:hAnsi="Times New Roman" w:cs="Times New Roman"/>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bookmarkEnd w:id="12"/>
    <w:bookmarkEnd w:id="13"/>
    <w:p>
      <w:pPr>
        <w:widowControl/>
        <w:jc w:val="left"/>
        <w:rPr>
          <w:rFonts w:ascii="黑体" w:eastAsia="黑体"/>
          <w:sz w:val="32"/>
          <w:szCs w:val="32"/>
        </w:rPr>
      </w:pPr>
    </w:p>
    <w:p>
      <w:pPr>
        <w:widowControl/>
        <w:jc w:val="left"/>
        <w:rPr>
          <w:rFonts w:ascii="黑体" w:eastAsia="黑体"/>
          <w:sz w:val="32"/>
          <w:szCs w:val="32"/>
        </w:rPr>
      </w:pPr>
    </w:p>
    <w:p>
      <w:pPr>
        <w:widowControl/>
        <w:jc w:val="left"/>
        <w:rPr>
          <w:rFonts w:ascii="黑体" w:eastAsia="黑体"/>
          <w:sz w:val="32"/>
          <w:szCs w:val="32"/>
        </w:rPr>
      </w:pPr>
    </w:p>
    <w:p>
      <w:pPr>
        <w:widowControl/>
        <w:jc w:val="left"/>
        <w:rPr>
          <w:rFonts w:ascii="黑体" w:eastAsia="黑体"/>
          <w:sz w:val="32"/>
          <w:szCs w:val="32"/>
        </w:rPr>
      </w:pPr>
    </w:p>
    <w:p>
      <w:pPr>
        <w:pStyle w:val="2"/>
        <w:ind w:firstLine="2200" w:firstLineChars="500"/>
        <w:jc w:val="both"/>
        <w:rPr>
          <w:rFonts w:ascii="黑体" w:eastAsia="黑体"/>
          <w:sz w:val="32"/>
          <w:szCs w:val="32"/>
        </w:rPr>
      </w:pPr>
      <w:r>
        <w:rPr>
          <w:rFonts w:hint="eastAsia" w:ascii="黑体" w:hAnsi="黑体" w:eastAsia="黑体"/>
          <w:b w:val="0"/>
        </w:rPr>
        <w:t xml:space="preserve">第一部分 </w:t>
      </w:r>
      <w:r>
        <w:rPr>
          <w:rStyle w:val="32"/>
          <w:rFonts w:hint="eastAsia" w:ascii="黑体" w:hAnsi="黑体" w:eastAsia="黑体"/>
          <w:b w:val="0"/>
          <w:bCs w:val="0"/>
        </w:rPr>
        <w:t>部门概况</w:t>
      </w:r>
    </w:p>
    <w:p>
      <w:pPr>
        <w:pStyle w:val="3"/>
        <w:numPr>
          <w:ilvl w:val="0"/>
          <w:numId w:val="0"/>
        </w:numPr>
        <w:ind w:leftChars="0" w:firstLine="640" w:firstLineChars="200"/>
        <w:rPr>
          <w:rFonts w:hint="eastAsia" w:ascii="黑体" w:hAnsi="黑体" w:eastAsia="黑体"/>
          <w:b w:val="0"/>
          <w:lang w:eastAsia="zh-CN"/>
        </w:rPr>
      </w:pPr>
      <w:r>
        <w:rPr>
          <w:rFonts w:hint="eastAsia" w:ascii="黑体" w:hAnsi="黑体" w:eastAsia="黑体"/>
          <w:b w:val="0"/>
          <w:lang w:eastAsia="zh-CN"/>
        </w:rPr>
        <w:t>一、</w:t>
      </w:r>
      <w:r>
        <w:rPr>
          <w:rFonts w:hint="eastAsia" w:ascii="黑体" w:hAnsi="黑体" w:eastAsia="黑体"/>
          <w:b w:val="0"/>
        </w:rPr>
        <w:t>部门职责</w:t>
      </w:r>
    </w:p>
    <w:p>
      <w:pPr>
        <w:spacing w:line="560" w:lineRule="exact"/>
        <w:ind w:firstLine="640" w:firstLineChars="200"/>
        <w:rPr>
          <w:rFonts w:ascii="仿宋_GB2312" w:hAnsi="仿宋" w:eastAsia="仿宋_GB2312"/>
          <w:sz w:val="32"/>
          <w:szCs w:val="32"/>
        </w:rPr>
      </w:pPr>
      <w:bookmarkStart w:id="14" w:name="_Toc15377200"/>
      <w:bookmarkStart w:id="15" w:name="_Toc15396601"/>
      <w:r>
        <w:rPr>
          <w:rFonts w:hint="eastAsia" w:ascii="仿宋_GB2312" w:hAnsi="仿宋" w:eastAsia="仿宋_GB2312"/>
          <w:sz w:val="32"/>
          <w:szCs w:val="32"/>
          <w:lang w:val="en-US" w:eastAsia="zh-CN"/>
        </w:rPr>
        <w:t>1.</w:t>
      </w:r>
      <w:r>
        <w:rPr>
          <w:rFonts w:hint="eastAsia" w:ascii="仿宋_GB2312" w:hAnsi="仿宋" w:eastAsia="仿宋_GB2312"/>
          <w:sz w:val="32"/>
          <w:szCs w:val="32"/>
        </w:rPr>
        <w:t>贯彻执行国家有关国民经济和社会发展战略、经济体制方针政策和法律法规，拟订并组织实施全区国民经济和社会发展中长期规划和年度计划；受区政府委托向区人大作全区经济社会发展计划报告。</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统筹协调全区经济社会发展。研究分析全区经济和社会发展形势，进行宏观经济预测预警和信息引导。对发展中的重大问题和热点、难点问题，提出宏观调控对策建议，综合协调财政、金融、价格和产业政策等经济杠杆，保证全区国民经济发展规划和计划的实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承担指导推进和综合协调全区经济体制改革责任。组织拟订综合性经济体制改革方案，协调有关专项经济体制改革方案，会同有关部门搞好专项经济体制改革间的衔接，组织、指导和协调综合配套改革试点和重大专项经济体制改革试点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贯彻执行国家和省、市有关价格法律、法规和方针、政策，编制和执行价格改革、价格调整中长期规划和年度计划，组织实施年度价格总水平调控目标及价格调控措施，负责权限范围内价格的制定调整，承担行政事业性收费管理工作，负责全区价格成本调查监审、价格监测、价格认证等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负责全区投资宏观管理和协调推进重大项目建设。拟订全社会固定资产投资总规模、投资结构的调控目标和政策措施，编制年度投资计划，安排财政性建设资金，指导和监督政策性贷款的使用方向，按规定权限审批、核准、备案或转报固定资产投资项目（企业技术改革项目除外）和资源开发利用、外资、境外投资项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推进经济结构战略性调整。组织拟订全区综合性产业政策，负责协调第一、二、三产业发展重大问题，衔接平衡相关发展规划和重大政策。拟订重大产业发展规划，引导全区重大生产力合理布局，协调推进全区重大技术装备推广应用和重大产业基地建设，会同有关部门拟订服务业、现代物流业发展战略、规划和重大政策。组织拟订高技术产业发展、产业技术进步的战略规划和重大政策，推进重大科技成果产业化。</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促进城乡区域协调发展。研究分析区域经济和城镇化发展情况，组织拟订区域经济协调发展战略规划和重大政策，研究提出城镇化发展战略和统筹城乡发展的政策措施。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负责重要商品的总量平衡和宏观调控。研究分析区内外市场和对外贸易运行情况，编制重要农产品、工业品和原材料进出口总量计划并监督执行。提出重要商品市场、生产要素市场的发展规划、总体布局和重大调控措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推进可持续发展战略。负责全区节能综合协调工作，组织拟订并协调实施全区发展循环经济、能源资源节约和综合利用规划及政策措施，参与编制生态建设、环境保护规划，协调生态建设、能源资源节约和综合利用的重大问题，综合协调环保产业和清洁产业促进有关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11.</w:t>
      </w:r>
      <w:r>
        <w:rPr>
          <w:rFonts w:hint="eastAsia" w:ascii="仿宋_GB2312" w:hAnsi="仿宋" w:eastAsia="仿宋_GB2312"/>
          <w:sz w:val="32"/>
          <w:szCs w:val="32"/>
        </w:rPr>
        <w:t>负责指导和协调全区招标投标工作。贯彻执行招标投标配套规定，核准必须进行招标投标项目的具体范围、规模标准。按照职责权限对重大建设项目建设过程中的招标投标活动实施监督检查。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12.</w:t>
      </w:r>
      <w:r>
        <w:rPr>
          <w:rFonts w:hint="eastAsia" w:ascii="仿宋_GB2312" w:hAnsi="仿宋" w:eastAsia="仿宋_GB2312"/>
          <w:sz w:val="32"/>
          <w:szCs w:val="32"/>
        </w:rPr>
        <w:t>负责粮食流通行业管理。负责全区粮食（含食用植物油，下同）宏观调控、粮食流通管理工作；负责全区粮食流通统计和社会粮油供需平衡调查工作；负责落实地方储备粮食任务和储备粮油日常监管；负责全区粮食工业统计分析工作；负责全区粮食仓储设施和粮食流通基础设施的安全管理和粮食储藏安全工作；负责贯彻落实粮食行业食品安全法规及国家粮食质量标准，履行储备粮质量、粮食行业食品安全监管职责；负责监督指导辖区内粮油仓储单位备案管理工作；指导粮食部门安全生产工作；指导粮食综合行政执法；负责粮油库存检查；监督管理全区粮食专项扶持资金的使用；会同有关部门拟订区级储备粮财务管理制度，监督管理粮食风险基金、政策性粮食财务挂账、政策性粮食补贴资金；负责救灾物资储备、管理、调拨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13.</w:t>
      </w:r>
      <w:r>
        <w:rPr>
          <w:rFonts w:ascii="仿宋_GB2312" w:hAnsi="仿宋" w:eastAsia="仿宋_GB2312"/>
          <w:sz w:val="32"/>
          <w:szCs w:val="32"/>
        </w:rPr>
        <w:t>负责职责范围内的安全生产和职业健康、生态环境保护、审批服务便民化等工作。</w:t>
      </w:r>
    </w:p>
    <w:p>
      <w:pPr>
        <w:pStyle w:val="6"/>
        <w:ind w:firstLine="640"/>
      </w:pPr>
      <w:r>
        <w:rPr>
          <w:rFonts w:hint="eastAsia" w:ascii="仿宋_GB2312" w:hAnsi="仿宋" w:eastAsia="仿宋_GB2312"/>
          <w:sz w:val="32"/>
          <w:szCs w:val="32"/>
          <w:lang w:val="en-US" w:eastAsia="zh-CN"/>
        </w:rPr>
        <w:t>14.</w:t>
      </w:r>
      <w:r>
        <w:rPr>
          <w:rFonts w:ascii="仿宋_GB2312" w:hAnsi="仿宋" w:eastAsia="仿宋_GB2312"/>
          <w:sz w:val="32"/>
          <w:szCs w:val="32"/>
        </w:rPr>
        <w:t>完成区委、区政府交办的其他任务。</w:t>
      </w:r>
    </w:p>
    <w:p>
      <w:pPr>
        <w:pStyle w:val="3"/>
        <w:ind w:firstLine="640" w:firstLineChars="200"/>
        <w:rPr>
          <w:rStyle w:val="33"/>
          <w:b w:val="0"/>
          <w:bCs w:val="0"/>
        </w:rPr>
      </w:pPr>
      <w:r>
        <w:rPr>
          <w:rFonts w:hint="eastAsia" w:ascii="黑体" w:eastAsia="黑体"/>
          <w:b w:val="0"/>
        </w:rPr>
        <w:t>二、</w:t>
      </w:r>
      <w:r>
        <w:rPr>
          <w:rFonts w:hint="eastAsia" w:ascii="黑体" w:hAnsi="黑体" w:eastAsia="黑体"/>
          <w:b w:val="0"/>
        </w:rPr>
        <w:t>机</w:t>
      </w:r>
      <w:r>
        <w:rPr>
          <w:rStyle w:val="33"/>
          <w:rFonts w:hint="eastAsia" w:ascii="黑体" w:hAnsi="黑体" w:eastAsia="黑体"/>
          <w:b w:val="0"/>
          <w:bCs w:val="0"/>
        </w:rPr>
        <w:t>构设置</w:t>
      </w:r>
      <w:bookmarkEnd w:id="14"/>
      <w:bookmarkEnd w:id="15"/>
    </w:p>
    <w:p>
      <w:pPr>
        <w:ind w:firstLine="640"/>
        <w:jc w:val="center"/>
        <w:rPr>
          <w:rFonts w:hint="eastAsia" w:ascii="仿宋_GB2312" w:hAnsi="仿宋" w:eastAsia="仿宋_GB2312" w:cs="Times New Roman"/>
          <w:sz w:val="32"/>
          <w:szCs w:val="32"/>
          <w:lang w:eastAsia="zh-CN"/>
        </w:rPr>
      </w:pPr>
      <w:r>
        <w:rPr>
          <w:rFonts w:hint="eastAsia" w:ascii="仿宋_GB2312" w:hAnsi="仿宋" w:eastAsia="仿宋_GB2312"/>
          <w:sz w:val="32"/>
          <w:szCs w:val="32"/>
        </w:rPr>
        <w:t>西区发展和改革局机关内设：办公室（行政审批股）、综合股（重大项目管理股）、体改股、物价股、粮食和物资储备股（康养产业发展综合股）五个内设机构。</w:t>
      </w:r>
      <w:r>
        <w:rPr>
          <w:rFonts w:hint="eastAsia" w:ascii="仿宋_GB2312" w:hAnsi="仿宋" w:eastAsia="仿宋_GB2312" w:cs="Times New Roman"/>
          <w:sz w:val="32"/>
          <w:szCs w:val="32"/>
        </w:rPr>
        <w:t>下设：</w:t>
      </w:r>
      <w:r>
        <w:rPr>
          <w:rFonts w:hint="eastAsia" w:ascii="仿宋_GB2312" w:hAnsi="仿宋" w:eastAsia="仿宋_GB2312" w:cs="Times New Roman"/>
          <w:sz w:val="32"/>
          <w:szCs w:val="32"/>
          <w:lang w:eastAsia="zh-CN"/>
        </w:rPr>
        <w:t>攀枝</w:t>
      </w:r>
    </w:p>
    <w:p>
      <w:pPr>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花市西区项目协调服务中心（攀枝花市西区康养产业发展服务中心）、攀枝花市西区价格认证中心、</w:t>
      </w:r>
      <w:r>
        <w:rPr>
          <w:rFonts w:hint="eastAsia" w:ascii="仿宋_GB2312" w:hAnsi="仿宋" w:eastAsia="仿宋_GB2312" w:cs="Times New Roman"/>
          <w:sz w:val="32"/>
          <w:szCs w:val="32"/>
        </w:rPr>
        <w:t>攀枝花市西区</w:t>
      </w:r>
      <w:r>
        <w:rPr>
          <w:rFonts w:hint="eastAsia" w:ascii="仿宋_GB2312" w:hAnsi="仿宋" w:eastAsia="仿宋_GB2312" w:cs="Times New Roman"/>
          <w:sz w:val="32"/>
          <w:szCs w:val="32"/>
          <w:lang w:eastAsia="zh-CN"/>
        </w:rPr>
        <w:t>物流枢纽建设服务中心三</w:t>
      </w:r>
      <w:r>
        <w:rPr>
          <w:rFonts w:hint="eastAsia" w:ascii="仿宋_GB2312" w:hAnsi="仿宋" w:eastAsia="仿宋_GB2312" w:cs="Times New Roman"/>
          <w:sz w:val="32"/>
          <w:szCs w:val="32"/>
        </w:rPr>
        <w:t>个二级单位。</w:t>
      </w:r>
    </w:p>
    <w:p>
      <w:pPr>
        <w:ind w:firstLine="640" w:firstLineChars="20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rPr>
        <w:t>无独立核算二级单位</w:t>
      </w:r>
      <w:r>
        <w:rPr>
          <w:rFonts w:hint="eastAsia" w:ascii="仿宋_GB2312" w:hAnsi="仿宋" w:eastAsia="仿宋_GB2312" w:cs="Times New Roman"/>
          <w:sz w:val="32"/>
          <w:szCs w:val="32"/>
          <w:lang w:eastAsia="zh-CN"/>
        </w:rPr>
        <w:t>。</w:t>
      </w:r>
    </w:p>
    <w:p>
      <w:pPr>
        <w:pStyle w:val="2"/>
        <w:ind w:right="440"/>
        <w:jc w:val="center"/>
        <w:rPr>
          <w:rStyle w:val="32"/>
          <w:rFonts w:ascii="黑体" w:hAnsi="黑体" w:eastAsia="黑体"/>
          <w:b w:val="0"/>
          <w:bCs/>
        </w:rPr>
      </w:pPr>
      <w:bookmarkStart w:id="16" w:name="_Toc15377204"/>
      <w:bookmarkStart w:id="17" w:name="_Toc15396602"/>
      <w:r>
        <w:rPr>
          <w:rFonts w:hint="eastAsia" w:ascii="黑体" w:hAnsi="黑体" w:eastAsia="黑体"/>
          <w:b w:val="0"/>
          <w:lang w:val="en-US" w:eastAsia="zh-CN"/>
        </w:rPr>
        <w:t xml:space="preserve"> </w:t>
      </w:r>
      <w:r>
        <w:rPr>
          <w:rFonts w:hint="eastAsia" w:ascii="黑体" w:hAnsi="黑体" w:eastAsia="黑体"/>
          <w:b w:val="0"/>
        </w:rPr>
        <w:t>第二部分 2022年度</w:t>
      </w:r>
      <w:r>
        <w:rPr>
          <w:rStyle w:val="32"/>
          <w:rFonts w:hint="eastAsia" w:ascii="黑体" w:hAnsi="黑体" w:eastAsia="黑体"/>
          <w:b w:val="0"/>
          <w:bCs/>
        </w:rPr>
        <w:t>部门决算情况说明</w:t>
      </w:r>
      <w:bookmarkEnd w:id="16"/>
      <w:bookmarkEnd w:id="17"/>
    </w:p>
    <w:p/>
    <w:p>
      <w:pPr>
        <w:pStyle w:val="31"/>
        <w:numPr>
          <w:ilvl w:val="0"/>
          <w:numId w:val="1"/>
        </w:numPr>
        <w:spacing w:line="600" w:lineRule="exact"/>
        <w:ind w:firstLineChars="0"/>
        <w:outlineLvl w:val="1"/>
        <w:rPr>
          <w:rStyle w:val="33"/>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33"/>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2022年度收、支总计817.27万元。与2021年相比，收、支总计各</w:t>
      </w:r>
      <w:r>
        <w:rPr>
          <w:rFonts w:hint="eastAsia" w:ascii="仿宋" w:hAnsi="仿宋" w:eastAsia="仿宋"/>
          <w:sz w:val="32"/>
          <w:szCs w:val="32"/>
          <w:lang w:eastAsia="zh-CN"/>
        </w:rPr>
        <w:t>增加</w:t>
      </w:r>
      <w:r>
        <w:rPr>
          <w:rFonts w:hint="eastAsia" w:ascii="仿宋" w:hAnsi="仿宋" w:eastAsia="仿宋"/>
          <w:sz w:val="32"/>
          <w:szCs w:val="32"/>
          <w:lang w:val="en-US" w:eastAsia="zh-CN"/>
        </w:rPr>
        <w:t>152.37</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项目工作增加，经费收、支随之增加</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2"/>
      </w:pPr>
      <w:r>
        <w:rPr>
          <w:rFonts w:hint="eastAsia"/>
          <w:lang w:val="en-US" w:eastAsia="zh-CN"/>
        </w:rPr>
        <w:t xml:space="preserve">    </w:t>
      </w:r>
      <w:r>
        <w:drawing>
          <wp:inline distT="0" distB="0" distL="114300" distR="114300">
            <wp:extent cx="4876800" cy="2231390"/>
            <wp:effectExtent l="0" t="0" r="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876800" cy="2231390"/>
                    </a:xfrm>
                    <a:prstGeom prst="rect">
                      <a:avLst/>
                    </a:prstGeom>
                    <a:noFill/>
                    <a:ln>
                      <a:noFill/>
                    </a:ln>
                  </pic:spPr>
                </pic:pic>
              </a:graphicData>
            </a:graphic>
          </wp:inline>
        </w:drawing>
      </w:r>
    </w:p>
    <w:p>
      <w:pPr>
        <w:pStyle w:val="31"/>
        <w:numPr>
          <w:ilvl w:val="0"/>
          <w:numId w:val="1"/>
        </w:numPr>
        <w:spacing w:line="600" w:lineRule="exact"/>
        <w:ind w:firstLineChars="0"/>
        <w:outlineLvl w:val="1"/>
        <w:rPr>
          <w:rStyle w:val="33"/>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33"/>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22年本年收入合计676.2</w:t>
      </w:r>
      <w:r>
        <w:rPr>
          <w:rFonts w:hint="eastAsia" w:ascii="仿宋" w:hAnsi="仿宋" w:eastAsia="仿宋"/>
          <w:sz w:val="32"/>
          <w:szCs w:val="32"/>
          <w:lang w:val="en-US" w:eastAsia="zh-CN"/>
        </w:rPr>
        <w:t>0</w:t>
      </w:r>
      <w:r>
        <w:rPr>
          <w:rFonts w:hint="eastAsia" w:ascii="仿宋" w:hAnsi="仿宋" w:eastAsia="仿宋"/>
          <w:sz w:val="32"/>
          <w:szCs w:val="32"/>
        </w:rPr>
        <w:t>万元，其中：一般公共预算财政拨款收入529.67万元，占</w:t>
      </w:r>
      <w:r>
        <w:rPr>
          <w:rFonts w:hint="eastAsia" w:ascii="仿宋" w:hAnsi="仿宋" w:eastAsia="仿宋"/>
          <w:sz w:val="32"/>
          <w:szCs w:val="32"/>
          <w:lang w:val="en-US" w:eastAsia="zh-CN"/>
        </w:rPr>
        <w:t>78</w:t>
      </w:r>
      <w:r>
        <w:rPr>
          <w:rFonts w:ascii="仿宋" w:hAnsi="仿宋" w:eastAsia="仿宋"/>
          <w:sz w:val="32"/>
          <w:szCs w:val="32"/>
        </w:rPr>
        <w:t>%</w:t>
      </w:r>
      <w:r>
        <w:rPr>
          <w:rFonts w:hint="eastAsia" w:ascii="仿宋" w:hAnsi="仿宋" w:eastAsia="仿宋"/>
          <w:sz w:val="32"/>
          <w:szCs w:val="32"/>
        </w:rPr>
        <w:t>；政府性基金预算财政拨款收入146.47万元，占</w:t>
      </w:r>
      <w:r>
        <w:rPr>
          <w:rFonts w:hint="eastAsia" w:ascii="仿宋" w:hAnsi="仿宋" w:eastAsia="仿宋"/>
          <w:sz w:val="32"/>
          <w:szCs w:val="32"/>
          <w:lang w:val="en-US" w:eastAsia="zh-CN"/>
        </w:rPr>
        <w:t>22</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0.06</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pStyle w:val="22"/>
      </w:pPr>
      <w:r>
        <w:rPr>
          <w:rFonts w:hint="eastAsia"/>
          <w:lang w:val="en-US" w:eastAsia="zh-CN"/>
        </w:rPr>
        <w:t xml:space="preserve">     </w:t>
      </w:r>
      <w:r>
        <w:drawing>
          <wp:inline distT="0" distB="0" distL="114300" distR="114300">
            <wp:extent cx="4888865" cy="2218690"/>
            <wp:effectExtent l="0" t="0" r="317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888865" cy="2218690"/>
                    </a:xfrm>
                    <a:prstGeom prst="rect">
                      <a:avLst/>
                    </a:prstGeom>
                    <a:noFill/>
                    <a:ln>
                      <a:noFill/>
                    </a:ln>
                  </pic:spPr>
                </pic:pic>
              </a:graphicData>
            </a:graphic>
          </wp:inline>
        </w:drawing>
      </w:r>
    </w:p>
    <w:p>
      <w:pPr>
        <w:pStyle w:val="31"/>
        <w:numPr>
          <w:ilvl w:val="0"/>
          <w:numId w:val="1"/>
        </w:numPr>
        <w:spacing w:line="600" w:lineRule="exact"/>
        <w:ind w:firstLineChars="0"/>
        <w:outlineLvl w:val="1"/>
        <w:rPr>
          <w:rStyle w:val="33"/>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3"/>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22年本年支出合计805.67万元，其中：基本支出413.87万元，占</w:t>
      </w:r>
      <w:r>
        <w:rPr>
          <w:rFonts w:hint="eastAsia" w:ascii="仿宋" w:hAnsi="仿宋" w:eastAsia="仿宋"/>
          <w:sz w:val="32"/>
          <w:szCs w:val="32"/>
          <w:lang w:val="en-US" w:eastAsia="zh-CN"/>
        </w:rPr>
        <w:t>51</w:t>
      </w:r>
      <w:r>
        <w:rPr>
          <w:rFonts w:ascii="仿宋" w:hAnsi="仿宋" w:eastAsia="仿宋"/>
          <w:sz w:val="32"/>
          <w:szCs w:val="32"/>
        </w:rPr>
        <w:t>%</w:t>
      </w:r>
      <w:r>
        <w:rPr>
          <w:rFonts w:hint="eastAsia" w:ascii="仿宋" w:hAnsi="仿宋" w:eastAsia="仿宋"/>
          <w:sz w:val="32"/>
          <w:szCs w:val="32"/>
        </w:rPr>
        <w:t>；项目支出391.8万元，占</w:t>
      </w:r>
      <w:r>
        <w:rPr>
          <w:rFonts w:hint="eastAsia" w:ascii="仿宋" w:hAnsi="仿宋" w:eastAsia="仿宋"/>
          <w:sz w:val="32"/>
          <w:szCs w:val="32"/>
          <w:lang w:val="en-US" w:eastAsia="zh-CN"/>
        </w:rPr>
        <w:t>49</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2"/>
      </w:pPr>
      <w:r>
        <w:rPr>
          <w:rFonts w:hint="eastAsia"/>
          <w:lang w:val="en-US" w:eastAsia="zh-CN"/>
        </w:rPr>
        <w:t xml:space="preserve">     </w:t>
      </w:r>
      <w:r>
        <w:drawing>
          <wp:inline distT="0" distB="0" distL="114300" distR="114300">
            <wp:extent cx="4858385" cy="2200910"/>
            <wp:effectExtent l="0" t="0" r="3175"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4858385" cy="2200910"/>
                    </a:xfrm>
                    <a:prstGeom prst="rect">
                      <a:avLst/>
                    </a:prstGeom>
                    <a:noFill/>
                    <a:ln>
                      <a:noFill/>
                    </a:ln>
                  </pic:spPr>
                </pic:pic>
              </a:graphicData>
            </a:graphic>
          </wp:inline>
        </w:drawing>
      </w:r>
    </w:p>
    <w:p>
      <w:pPr>
        <w:spacing w:line="600" w:lineRule="exact"/>
        <w:ind w:firstLine="640" w:firstLineChars="200"/>
        <w:outlineLvl w:val="1"/>
        <w:rPr>
          <w:rStyle w:val="33"/>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22年财政拨款收、支总计816.69万元。与</w:t>
      </w:r>
      <w:r>
        <w:rPr>
          <w:rFonts w:ascii="仿宋" w:hAnsi="仿宋" w:eastAsia="仿宋"/>
          <w:sz w:val="32"/>
          <w:szCs w:val="32"/>
        </w:rPr>
        <w:t>20</w:t>
      </w:r>
      <w:r>
        <w:rPr>
          <w:rFonts w:hint="eastAsia" w:ascii="仿宋" w:hAnsi="仿宋" w:eastAsia="仿宋"/>
          <w:sz w:val="32"/>
          <w:szCs w:val="32"/>
        </w:rPr>
        <w:t>21年相比，财政拨款收、支总计各</w:t>
      </w:r>
      <w:r>
        <w:rPr>
          <w:rFonts w:hint="eastAsia" w:ascii="仿宋" w:hAnsi="仿宋" w:eastAsia="仿宋"/>
          <w:sz w:val="32"/>
          <w:szCs w:val="32"/>
          <w:lang w:eastAsia="zh-CN"/>
        </w:rPr>
        <w:t>增加</w:t>
      </w:r>
      <w:r>
        <w:rPr>
          <w:rFonts w:hint="eastAsia" w:ascii="仿宋" w:hAnsi="仿宋" w:eastAsia="仿宋"/>
          <w:sz w:val="32"/>
          <w:szCs w:val="32"/>
          <w:lang w:val="en-US" w:eastAsia="zh-CN"/>
        </w:rPr>
        <w:t>152.35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项目工作增加，经费收、支随之增加。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pStyle w:val="22"/>
      </w:pPr>
      <w:r>
        <w:rPr>
          <w:rFonts w:hint="eastAsia"/>
          <w:lang w:val="en-US" w:eastAsia="zh-CN"/>
        </w:rPr>
        <w:t xml:space="preserve">     </w:t>
      </w:r>
      <w:r>
        <w:drawing>
          <wp:inline distT="0" distB="0" distL="114300" distR="114300">
            <wp:extent cx="4864735" cy="2218690"/>
            <wp:effectExtent l="0" t="0" r="12065"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4864735" cy="2218690"/>
                    </a:xfrm>
                    <a:prstGeom prst="rect">
                      <a:avLst/>
                    </a:prstGeom>
                    <a:noFill/>
                    <a:ln>
                      <a:noFill/>
                    </a:ln>
                  </pic:spPr>
                </pic:pic>
              </a:graphicData>
            </a:graphic>
          </wp:inline>
        </w:drawing>
      </w:r>
    </w:p>
    <w:p>
      <w:pPr>
        <w:spacing w:line="600" w:lineRule="exact"/>
        <w:ind w:firstLine="640" w:firstLineChars="200"/>
        <w:outlineLvl w:val="1"/>
        <w:rPr>
          <w:rStyle w:val="33"/>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22年一般公共预算财政拨款支出572.67万元，占本年支出合计的</w:t>
      </w:r>
      <w:r>
        <w:rPr>
          <w:rFonts w:hint="eastAsia" w:ascii="仿宋" w:hAnsi="仿宋" w:eastAsia="仿宋"/>
          <w:sz w:val="32"/>
          <w:szCs w:val="32"/>
          <w:lang w:val="en-US" w:eastAsia="zh-CN"/>
        </w:rPr>
        <w:t>71</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w:t>
      </w:r>
      <w:r>
        <w:rPr>
          <w:rFonts w:hint="eastAsia" w:ascii="仿宋" w:hAnsi="仿宋" w:eastAsia="仿宋"/>
          <w:sz w:val="32"/>
          <w:szCs w:val="32"/>
          <w:lang w:eastAsia="zh-CN"/>
        </w:rPr>
        <w:t>增加</w:t>
      </w:r>
      <w:r>
        <w:rPr>
          <w:rFonts w:hint="eastAsia" w:ascii="仿宋" w:hAnsi="仿宋" w:eastAsia="仿宋"/>
          <w:sz w:val="32"/>
          <w:szCs w:val="32"/>
          <w:lang w:val="en-US" w:eastAsia="zh-CN"/>
        </w:rPr>
        <w:t>111.04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项目工作增加，经费支出随之增加。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2"/>
        <w:rPr>
          <w:rFonts w:hint="eastAsia"/>
          <w:lang w:val="en-US" w:eastAsia="zh-CN"/>
        </w:rPr>
      </w:pPr>
      <w:r>
        <w:rPr>
          <w:rFonts w:hint="eastAsia"/>
          <w:lang w:val="en-US" w:eastAsia="zh-CN"/>
        </w:rPr>
        <w:t xml:space="preserve">      </w:t>
      </w:r>
    </w:p>
    <w:p>
      <w:r>
        <w:rPr>
          <w:rFonts w:hint="eastAsia"/>
          <w:lang w:val="en-US" w:eastAsia="zh-CN"/>
        </w:rPr>
        <w:t xml:space="preserve">    </w:t>
      </w:r>
      <w:r>
        <w:drawing>
          <wp:inline distT="0" distB="0" distL="114300" distR="114300">
            <wp:extent cx="4852670" cy="2301875"/>
            <wp:effectExtent l="0" t="0" r="8890" b="1460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4852670" cy="230187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22年一般公共预算财政拨款支出572.67万元，主要用于以下方面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450.28万元，占</w:t>
      </w:r>
      <w:r>
        <w:rPr>
          <w:rFonts w:hint="eastAsia" w:ascii="仿宋" w:hAnsi="仿宋" w:eastAsia="仿宋"/>
          <w:sz w:val="32"/>
          <w:szCs w:val="32"/>
          <w:lang w:val="en-US" w:eastAsia="zh-CN"/>
        </w:rPr>
        <w:t>79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30.57万元，占</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22.36万元，占</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城乡社区支出</w:t>
      </w:r>
      <w:r>
        <w:rPr>
          <w:rFonts w:hint="eastAsia" w:ascii="仿宋" w:hAnsi="仿宋" w:eastAsia="仿宋"/>
          <w:sz w:val="32"/>
          <w:szCs w:val="32"/>
        </w:rPr>
        <w:t>40万元，占</w:t>
      </w: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29.46万元，占</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2"/>
      </w:pPr>
      <w:r>
        <w:rPr>
          <w:rFonts w:hint="eastAsia"/>
          <w:lang w:val="en-US" w:eastAsia="zh-CN"/>
        </w:rPr>
        <w:t xml:space="preserve">     </w:t>
      </w:r>
      <w:r>
        <w:drawing>
          <wp:inline distT="0" distB="0" distL="114300" distR="114300">
            <wp:extent cx="4858385" cy="2225040"/>
            <wp:effectExtent l="0" t="0" r="3175"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a:stretch>
                      <a:fillRect/>
                    </a:stretch>
                  </pic:blipFill>
                  <pic:spPr>
                    <a:xfrm>
                      <a:off x="0" y="0"/>
                      <a:ext cx="4858385" cy="222504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2022年一般公共预算支出决算数为</w:t>
      </w:r>
      <w:r>
        <w:rPr>
          <w:rFonts w:hint="eastAsia" w:ascii="仿宋" w:hAnsi="仿宋" w:eastAsia="仿宋"/>
          <w:sz w:val="32"/>
          <w:szCs w:val="32"/>
        </w:rPr>
        <w:t>572.67万元，</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1"/>
      <w:bookmarkEnd w:id="32"/>
      <w:bookmarkEnd w:id="33"/>
    </w:p>
    <w:p>
      <w:pPr>
        <w:numPr>
          <w:ilvl w:val="0"/>
          <w:numId w:val="0"/>
        </w:numPr>
        <w:spacing w:line="600" w:lineRule="exact"/>
        <w:ind w:firstLine="643" w:firstLineChars="200"/>
        <w:rPr>
          <w:rStyle w:val="18"/>
          <w:rFonts w:hint="eastAsia" w:ascii="仿宋" w:hAnsi="仿宋" w:eastAsia="仿宋"/>
          <w:b w:val="0"/>
          <w:bCs/>
          <w:color w:val="000000"/>
          <w:sz w:val="32"/>
          <w:szCs w:val="32"/>
          <w:lang w:eastAsia="zh-CN"/>
        </w:rPr>
      </w:pPr>
      <w:r>
        <w:rPr>
          <w:rStyle w:val="18"/>
          <w:rFonts w:hint="eastAsia" w:ascii="仿宋" w:hAnsi="仿宋" w:eastAsia="仿宋"/>
          <w:bCs/>
          <w:sz w:val="32"/>
          <w:szCs w:val="32"/>
          <w:lang w:val="en-US" w:eastAsia="zh-CN"/>
        </w:rPr>
        <w:t>1.</w:t>
      </w:r>
      <w:r>
        <w:rPr>
          <w:rStyle w:val="18"/>
          <w:rFonts w:hint="eastAsia" w:ascii="仿宋" w:hAnsi="仿宋" w:eastAsia="仿宋"/>
          <w:bCs/>
          <w:sz w:val="32"/>
          <w:szCs w:val="32"/>
        </w:rPr>
        <w:t>一般公共服务（类）</w:t>
      </w:r>
      <w:r>
        <w:rPr>
          <w:rStyle w:val="18"/>
          <w:rFonts w:hint="eastAsia" w:ascii="仿宋" w:hAnsi="仿宋" w:eastAsia="仿宋"/>
          <w:bCs/>
          <w:color w:val="000000"/>
          <w:sz w:val="32"/>
          <w:szCs w:val="32"/>
        </w:rPr>
        <w:t>发展与改革事务（款）行政运行</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支出决算为184.08万元，完成预算100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；事业运行</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支出决算为147.4</w:t>
      </w:r>
      <w:r>
        <w:rPr>
          <w:rStyle w:val="18"/>
          <w:rFonts w:hint="eastAsia" w:ascii="仿宋" w:hAnsi="仿宋" w:eastAsia="仿宋"/>
          <w:b w:val="0"/>
          <w:bCs/>
          <w:sz w:val="32"/>
          <w:szCs w:val="32"/>
          <w:lang w:val="en-US" w:eastAsia="zh-CN"/>
        </w:rPr>
        <w:t>0</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Style w:val="18"/>
          <w:rFonts w:hint="eastAsia" w:ascii="仿宋" w:hAnsi="仿宋" w:eastAsia="仿宋"/>
          <w:bCs/>
          <w:color w:val="000000"/>
          <w:sz w:val="32"/>
          <w:szCs w:val="32"/>
        </w:rPr>
        <w:t>其他发展与改革事务支出（项）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支出决算为63.5</w:t>
      </w:r>
      <w:r>
        <w:rPr>
          <w:rStyle w:val="18"/>
          <w:rFonts w:hint="eastAsia" w:ascii="仿宋" w:hAnsi="仿宋" w:eastAsia="仿宋"/>
          <w:b w:val="0"/>
          <w:bCs/>
          <w:color w:val="000000"/>
          <w:sz w:val="32"/>
          <w:szCs w:val="32"/>
          <w:lang w:val="en-US" w:eastAsia="zh-CN"/>
        </w:rPr>
        <w:t>0</w:t>
      </w:r>
      <w:r>
        <w:rPr>
          <w:rStyle w:val="18"/>
          <w:rFonts w:hint="eastAsia" w:ascii="仿宋" w:hAnsi="仿宋" w:eastAsia="仿宋"/>
          <w:b w:val="0"/>
          <w:bCs/>
          <w:color w:val="000000"/>
          <w:sz w:val="32"/>
          <w:szCs w:val="32"/>
        </w:rPr>
        <w:t>万元，完成预算10</w:t>
      </w:r>
      <w:r>
        <w:rPr>
          <w:rStyle w:val="18"/>
          <w:rFonts w:hint="eastAsia" w:ascii="仿宋" w:hAnsi="仿宋" w:eastAsia="仿宋"/>
          <w:b w:val="0"/>
          <w:bCs/>
          <w:color w:val="000000"/>
          <w:sz w:val="32"/>
          <w:szCs w:val="32"/>
          <w:lang w:val="en-US" w:eastAsia="zh-CN"/>
        </w:rPr>
        <w:t>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p>
    <w:p>
      <w:pPr>
        <w:spacing w:line="480" w:lineRule="auto"/>
        <w:ind w:firstLine="643" w:firstLineChars="200"/>
        <w:rPr>
          <w:rStyle w:val="18"/>
          <w:rFonts w:hint="eastAsia" w:ascii="仿宋_GB2312" w:hAnsi="仿宋" w:eastAsia="仿宋_GB2312"/>
          <w:b w:val="0"/>
          <w:bCs w:val="0"/>
          <w:color w:val="000000"/>
          <w:sz w:val="32"/>
          <w:szCs w:val="32"/>
          <w:lang w:eastAsia="zh-CN"/>
        </w:rPr>
      </w:pPr>
      <w:r>
        <w:rPr>
          <w:rStyle w:val="18"/>
          <w:rFonts w:hint="eastAsia" w:ascii="仿宋_GB2312" w:hAnsi="仿宋" w:eastAsia="仿宋_GB2312"/>
          <w:bCs/>
          <w:color w:val="000000"/>
          <w:sz w:val="32"/>
          <w:szCs w:val="32"/>
        </w:rPr>
        <w:t xml:space="preserve">2.社会保障和就业支出（类）行政事业单位养老支出（款）行政单位离退休（项）: </w:t>
      </w:r>
      <w:r>
        <w:rPr>
          <w:rStyle w:val="18"/>
          <w:rFonts w:hint="eastAsia" w:ascii="仿宋_GB2312" w:hAnsi="仿宋" w:eastAsia="仿宋_GB2312"/>
          <w:b w:val="0"/>
          <w:bCs w:val="0"/>
          <w:color w:val="000000"/>
          <w:sz w:val="32"/>
          <w:szCs w:val="32"/>
        </w:rPr>
        <w:t>支出决算为4.87万元，完成预算100%；</w:t>
      </w:r>
      <w:r>
        <w:rPr>
          <w:rStyle w:val="18"/>
          <w:rFonts w:hint="eastAsia" w:ascii="仿宋_GB2312" w:hAnsi="仿宋" w:eastAsia="仿宋_GB2312"/>
          <w:b/>
          <w:bCs/>
          <w:color w:val="000000"/>
          <w:sz w:val="32"/>
          <w:szCs w:val="32"/>
          <w:lang w:eastAsia="zh-CN"/>
        </w:rPr>
        <w:t>事业</w:t>
      </w:r>
      <w:r>
        <w:rPr>
          <w:rStyle w:val="18"/>
          <w:rFonts w:hint="eastAsia" w:ascii="仿宋_GB2312" w:hAnsi="仿宋" w:eastAsia="仿宋_GB2312"/>
          <w:bCs/>
          <w:color w:val="000000"/>
          <w:sz w:val="32"/>
          <w:szCs w:val="32"/>
        </w:rPr>
        <w:t xml:space="preserve">单位离退休（项）: </w:t>
      </w:r>
      <w:r>
        <w:rPr>
          <w:rStyle w:val="18"/>
          <w:rFonts w:hint="eastAsia" w:ascii="仿宋_GB2312" w:hAnsi="仿宋" w:eastAsia="仿宋_GB2312"/>
          <w:b w:val="0"/>
          <w:bCs w:val="0"/>
          <w:color w:val="000000"/>
          <w:sz w:val="32"/>
          <w:szCs w:val="32"/>
        </w:rPr>
        <w:t>支出决算为1.63万元，完成预算100%；</w:t>
      </w:r>
      <w:r>
        <w:rPr>
          <w:rStyle w:val="18"/>
          <w:rFonts w:hint="eastAsia" w:ascii="仿宋_GB2312" w:hAnsi="仿宋" w:eastAsia="仿宋_GB2312"/>
          <w:bCs/>
          <w:color w:val="000000"/>
          <w:sz w:val="32"/>
          <w:szCs w:val="32"/>
        </w:rPr>
        <w:t>机关事业单位基本养老保险缴费支出（项）:</w:t>
      </w:r>
      <w:r>
        <w:rPr>
          <w:rStyle w:val="18"/>
          <w:rFonts w:hint="eastAsia" w:ascii="仿宋_GB2312" w:hAnsi="仿宋" w:eastAsia="仿宋_GB2312"/>
          <w:b w:val="0"/>
          <w:bCs w:val="0"/>
          <w:color w:val="000000"/>
          <w:sz w:val="32"/>
          <w:szCs w:val="32"/>
        </w:rPr>
        <w:t xml:space="preserve"> 支出决算为24.07万元，完成预算100%</w:t>
      </w:r>
      <w:r>
        <w:rPr>
          <w:rStyle w:val="18"/>
          <w:rFonts w:hint="eastAsia" w:ascii="仿宋_GB2312" w:hAnsi="仿宋" w:eastAsia="仿宋_GB2312"/>
          <w:b w:val="0"/>
          <w:bCs w:val="0"/>
          <w:color w:val="000000"/>
          <w:sz w:val="32"/>
          <w:szCs w:val="32"/>
          <w:lang w:eastAsia="zh-CN"/>
        </w:rPr>
        <w:t>。</w:t>
      </w:r>
    </w:p>
    <w:p>
      <w:pPr>
        <w:spacing w:line="480" w:lineRule="auto"/>
        <w:ind w:firstLine="643" w:firstLineChars="200"/>
        <w:rPr>
          <w:rStyle w:val="18"/>
          <w:rFonts w:hint="eastAsia" w:ascii="仿宋_GB2312" w:hAnsi="仿宋" w:eastAsia="仿宋_GB2312"/>
          <w:b w:val="0"/>
          <w:bCs w:val="0"/>
          <w:color w:val="000000"/>
          <w:sz w:val="32"/>
          <w:szCs w:val="32"/>
          <w:lang w:eastAsia="zh-CN"/>
        </w:rPr>
      </w:pPr>
      <w:r>
        <w:rPr>
          <w:rStyle w:val="18"/>
          <w:rFonts w:hint="eastAsia" w:ascii="仿宋_GB2312" w:hAnsi="仿宋" w:eastAsia="仿宋_GB2312"/>
          <w:b/>
          <w:bCs/>
          <w:color w:val="000000"/>
          <w:sz w:val="32"/>
          <w:szCs w:val="32"/>
        </w:rPr>
        <w:t>3.卫生健康支出（类）行政事业单位医疗（款）行政单</w:t>
      </w:r>
      <w:r>
        <w:rPr>
          <w:rStyle w:val="18"/>
          <w:rFonts w:hint="eastAsia" w:ascii="仿宋_GB2312" w:hAnsi="仿宋" w:eastAsia="仿宋_GB2312"/>
          <w:bCs/>
          <w:color w:val="000000"/>
          <w:sz w:val="32"/>
          <w:szCs w:val="32"/>
        </w:rPr>
        <w:t>位医疗（项）:</w:t>
      </w:r>
      <w:r>
        <w:rPr>
          <w:rStyle w:val="18"/>
          <w:rFonts w:hint="eastAsia" w:ascii="仿宋_GB2312" w:hAnsi="仿宋" w:eastAsia="仿宋_GB2312"/>
          <w:b w:val="0"/>
          <w:bCs w:val="0"/>
          <w:color w:val="000000"/>
          <w:sz w:val="32"/>
          <w:szCs w:val="32"/>
        </w:rPr>
        <w:t>支出决算为9.07万元，完成预算100%</w:t>
      </w:r>
      <w:r>
        <w:rPr>
          <w:rStyle w:val="18"/>
          <w:rFonts w:hint="eastAsia" w:ascii="仿宋_GB2312" w:hAnsi="仿宋" w:eastAsia="仿宋_GB2312"/>
          <w:b w:val="0"/>
          <w:bCs w:val="0"/>
          <w:color w:val="000000"/>
          <w:sz w:val="32"/>
          <w:szCs w:val="32"/>
          <w:lang w:eastAsia="zh-CN"/>
        </w:rPr>
        <w:t>；</w:t>
      </w:r>
      <w:r>
        <w:rPr>
          <w:rStyle w:val="18"/>
          <w:rFonts w:hint="eastAsia" w:ascii="仿宋_GB2312" w:hAnsi="仿宋" w:eastAsia="仿宋_GB2312"/>
          <w:bCs/>
          <w:color w:val="000000"/>
          <w:sz w:val="32"/>
          <w:szCs w:val="32"/>
          <w:lang w:eastAsia="zh-CN"/>
        </w:rPr>
        <w:t>事业</w:t>
      </w:r>
      <w:r>
        <w:rPr>
          <w:rStyle w:val="18"/>
          <w:rFonts w:hint="eastAsia" w:ascii="仿宋_GB2312" w:hAnsi="仿宋" w:eastAsia="仿宋_GB2312"/>
          <w:bCs/>
          <w:color w:val="000000"/>
          <w:sz w:val="32"/>
          <w:szCs w:val="32"/>
        </w:rPr>
        <w:t>单位医疗（项）:</w:t>
      </w:r>
      <w:r>
        <w:rPr>
          <w:rStyle w:val="18"/>
          <w:rFonts w:hint="eastAsia" w:ascii="仿宋_GB2312" w:hAnsi="仿宋" w:eastAsia="仿宋_GB2312"/>
          <w:b w:val="0"/>
          <w:bCs w:val="0"/>
          <w:color w:val="000000"/>
          <w:sz w:val="32"/>
          <w:szCs w:val="32"/>
        </w:rPr>
        <w:t>支出决算为11.05万元，完成预算100%</w:t>
      </w:r>
      <w:r>
        <w:rPr>
          <w:rStyle w:val="18"/>
          <w:rFonts w:hint="eastAsia" w:ascii="仿宋_GB2312" w:hAnsi="仿宋" w:eastAsia="仿宋_GB2312"/>
          <w:b w:val="0"/>
          <w:bCs w:val="0"/>
          <w:color w:val="000000"/>
          <w:sz w:val="32"/>
          <w:szCs w:val="32"/>
          <w:lang w:eastAsia="zh-CN"/>
        </w:rPr>
        <w:t>；</w:t>
      </w:r>
      <w:r>
        <w:rPr>
          <w:rStyle w:val="18"/>
          <w:rFonts w:hint="eastAsia" w:ascii="仿宋_GB2312" w:hAnsi="仿宋" w:eastAsia="仿宋_GB2312"/>
          <w:b/>
          <w:bCs/>
          <w:color w:val="000000"/>
          <w:sz w:val="32"/>
          <w:szCs w:val="32"/>
        </w:rPr>
        <w:t>公务员医疗补助（项）:</w:t>
      </w:r>
      <w:r>
        <w:rPr>
          <w:rStyle w:val="18"/>
          <w:rFonts w:hint="eastAsia" w:ascii="仿宋_GB2312" w:hAnsi="仿宋" w:eastAsia="仿宋_GB2312"/>
          <w:b w:val="0"/>
          <w:bCs w:val="0"/>
          <w:color w:val="000000"/>
          <w:sz w:val="32"/>
          <w:szCs w:val="32"/>
        </w:rPr>
        <w:t>支出决算为1.15万元，完成预算100%</w:t>
      </w:r>
      <w:r>
        <w:rPr>
          <w:rStyle w:val="18"/>
          <w:rFonts w:hint="eastAsia" w:ascii="仿宋_GB2312" w:hAnsi="仿宋" w:eastAsia="仿宋_GB2312"/>
          <w:b w:val="0"/>
          <w:bCs w:val="0"/>
          <w:color w:val="000000"/>
          <w:sz w:val="32"/>
          <w:szCs w:val="32"/>
          <w:lang w:eastAsia="zh-CN"/>
        </w:rPr>
        <w:t>。</w:t>
      </w:r>
    </w:p>
    <w:p>
      <w:pPr>
        <w:spacing w:line="480" w:lineRule="auto"/>
        <w:ind w:firstLine="643" w:firstLineChars="200"/>
        <w:rPr>
          <w:rFonts w:hint="eastAsia"/>
          <w:lang w:eastAsia="zh-CN"/>
        </w:rPr>
      </w:pPr>
      <w:r>
        <w:rPr>
          <w:rStyle w:val="18"/>
          <w:rFonts w:hint="eastAsia" w:ascii="仿宋_GB2312" w:hAnsi="仿宋" w:eastAsia="仿宋_GB2312"/>
          <w:b/>
          <w:bCs/>
          <w:color w:val="000000"/>
          <w:sz w:val="32"/>
          <w:szCs w:val="32"/>
          <w:lang w:val="en-US" w:eastAsia="zh-CN"/>
        </w:rPr>
        <w:t>4.城乡社区支出</w:t>
      </w:r>
      <w:r>
        <w:rPr>
          <w:rStyle w:val="18"/>
          <w:rFonts w:hint="eastAsia" w:ascii="仿宋_GB2312" w:hAnsi="仿宋" w:eastAsia="仿宋_GB2312"/>
          <w:b/>
          <w:bCs/>
          <w:color w:val="000000"/>
          <w:sz w:val="32"/>
          <w:szCs w:val="32"/>
        </w:rPr>
        <w:t>（类）其他城乡社区支出（款）其他城乡社区支出（项）:</w:t>
      </w:r>
      <w:r>
        <w:rPr>
          <w:rStyle w:val="18"/>
          <w:rFonts w:hint="eastAsia" w:ascii="仿宋_GB2312" w:hAnsi="仿宋" w:eastAsia="仿宋_GB2312"/>
          <w:b w:val="0"/>
          <w:bCs w:val="0"/>
          <w:color w:val="000000"/>
          <w:sz w:val="32"/>
          <w:szCs w:val="32"/>
        </w:rPr>
        <w:t>支出决算为</w:t>
      </w:r>
      <w:r>
        <w:rPr>
          <w:rStyle w:val="18"/>
          <w:rFonts w:hint="eastAsia" w:ascii="仿宋_GB2312" w:hAnsi="仿宋" w:eastAsia="仿宋_GB2312"/>
          <w:b w:val="0"/>
          <w:bCs w:val="0"/>
          <w:color w:val="000000"/>
          <w:sz w:val="32"/>
          <w:szCs w:val="32"/>
          <w:lang w:val="en-US" w:eastAsia="zh-CN"/>
        </w:rPr>
        <w:t>40</w:t>
      </w:r>
      <w:r>
        <w:rPr>
          <w:rStyle w:val="18"/>
          <w:rFonts w:hint="eastAsia" w:ascii="仿宋_GB2312" w:hAnsi="仿宋" w:eastAsia="仿宋_GB2312"/>
          <w:b w:val="0"/>
          <w:bCs w:val="0"/>
          <w:color w:val="000000"/>
          <w:sz w:val="32"/>
          <w:szCs w:val="32"/>
        </w:rPr>
        <w:t>万元，完成预算100%</w:t>
      </w:r>
      <w:r>
        <w:rPr>
          <w:rStyle w:val="18"/>
          <w:rFonts w:hint="eastAsia" w:ascii="仿宋_GB2312" w:hAnsi="仿宋" w:eastAsia="仿宋_GB2312"/>
          <w:b w:val="0"/>
          <w:bCs w:val="0"/>
          <w:color w:val="000000"/>
          <w:sz w:val="32"/>
          <w:szCs w:val="32"/>
          <w:lang w:eastAsia="zh-CN"/>
        </w:rPr>
        <w:t>。</w:t>
      </w:r>
    </w:p>
    <w:p>
      <w:pPr>
        <w:spacing w:line="240" w:lineRule="auto"/>
        <w:ind w:firstLine="640" w:firstLineChars="200"/>
        <w:rPr>
          <w:rStyle w:val="18"/>
          <w:rFonts w:hint="eastAsia" w:ascii="仿宋_GB2312" w:hAnsi="仿宋" w:eastAsia="仿宋_GB2312"/>
          <w:b w:val="0"/>
          <w:bCs w:val="0"/>
          <w:color w:val="000000"/>
          <w:sz w:val="32"/>
          <w:szCs w:val="32"/>
        </w:rPr>
      </w:pPr>
      <w:r>
        <w:rPr>
          <w:rStyle w:val="18"/>
          <w:rFonts w:hint="eastAsia" w:ascii="仿宋_GB2312" w:hAnsi="仿宋" w:eastAsia="仿宋_GB2312"/>
          <w:b w:val="0"/>
          <w:bCs w:val="0"/>
          <w:color w:val="000000"/>
          <w:sz w:val="32"/>
          <w:szCs w:val="32"/>
          <w:lang w:val="en-US" w:eastAsia="zh-CN"/>
        </w:rPr>
        <w:t xml:space="preserve"> </w:t>
      </w:r>
      <w:r>
        <w:rPr>
          <w:rStyle w:val="18"/>
          <w:rFonts w:hint="eastAsia" w:ascii="仿宋_GB2312" w:hAnsi="仿宋" w:eastAsia="仿宋_GB2312"/>
          <w:bCs/>
          <w:color w:val="000000"/>
          <w:sz w:val="32"/>
          <w:szCs w:val="32"/>
          <w:lang w:val="en-US" w:eastAsia="zh-CN"/>
        </w:rPr>
        <w:t>5</w:t>
      </w:r>
      <w:r>
        <w:rPr>
          <w:rStyle w:val="18"/>
          <w:rFonts w:hint="eastAsia" w:ascii="仿宋_GB2312" w:hAnsi="仿宋" w:eastAsia="仿宋_GB2312"/>
          <w:bCs/>
          <w:color w:val="000000"/>
          <w:sz w:val="32"/>
          <w:szCs w:val="32"/>
        </w:rPr>
        <w:t>.住房保障支出（类）住房改革支出（款）住房公积金（项）:</w:t>
      </w:r>
      <w:r>
        <w:rPr>
          <w:rStyle w:val="18"/>
          <w:rFonts w:hint="eastAsia" w:ascii="仿宋_GB2312" w:hAnsi="仿宋" w:eastAsia="仿宋_GB2312"/>
          <w:b w:val="0"/>
          <w:bCs w:val="0"/>
          <w:color w:val="000000"/>
          <w:sz w:val="32"/>
          <w:szCs w:val="32"/>
        </w:rPr>
        <w:t>支出决算为22.2</w:t>
      </w:r>
      <w:r>
        <w:rPr>
          <w:rStyle w:val="18"/>
          <w:rFonts w:hint="eastAsia" w:ascii="仿宋_GB2312" w:hAnsi="仿宋" w:eastAsia="仿宋_GB2312"/>
          <w:b w:val="0"/>
          <w:bCs w:val="0"/>
          <w:color w:val="000000"/>
          <w:sz w:val="32"/>
          <w:szCs w:val="32"/>
          <w:lang w:val="en-US" w:eastAsia="zh-CN"/>
        </w:rPr>
        <w:t>1</w:t>
      </w:r>
      <w:r>
        <w:rPr>
          <w:rStyle w:val="18"/>
          <w:rFonts w:hint="eastAsia" w:ascii="仿宋_GB2312" w:hAnsi="仿宋" w:eastAsia="仿宋_GB2312"/>
          <w:b w:val="0"/>
          <w:bCs w:val="0"/>
          <w:color w:val="000000"/>
          <w:sz w:val="32"/>
          <w:szCs w:val="32"/>
        </w:rPr>
        <w:t>万元，完成预算100%。</w:t>
      </w:r>
      <w:bookmarkStart w:id="34" w:name="_Toc15377214"/>
      <w:bookmarkStart w:id="35" w:name="_Toc15396608"/>
    </w:p>
    <w:p>
      <w:pPr>
        <w:tabs>
          <w:tab w:val="right" w:pos="8306"/>
        </w:tabs>
        <w:spacing w:line="600" w:lineRule="exact"/>
        <w:ind w:firstLine="640"/>
        <w:outlineLvl w:val="1"/>
        <w:rPr>
          <w:rStyle w:val="33"/>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34"/>
      <w:bookmarkEnd w:id="35"/>
      <w:r>
        <w:rPr>
          <w:rStyle w:val="33"/>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22年一般公共预算财政拨款基本支出413.87万元，其中：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380.57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公用经费33.3</w:t>
      </w:r>
      <w:r>
        <w:rPr>
          <w:rFonts w:hint="eastAsia" w:ascii="仿宋" w:hAnsi="仿宋" w:eastAsia="仿宋"/>
          <w:sz w:val="32"/>
          <w:szCs w:val="32"/>
          <w:lang w:val="en-US" w:eastAsia="zh-CN"/>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3"/>
          <w:rFonts w:ascii="黑体" w:hAnsi="黑体" w:eastAsia="黑体"/>
          <w:b w:val="0"/>
        </w:rPr>
      </w:pPr>
      <w:bookmarkStart w:id="36" w:name="_Toc15396609"/>
      <w:bookmarkStart w:id="37" w:name="_Toc15377215"/>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0.60</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0.15</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20</w:t>
      </w:r>
      <w:r>
        <w:rPr>
          <w:rFonts w:hint="eastAsia" w:ascii="仿宋" w:hAnsi="仿宋" w:eastAsia="仿宋"/>
          <w:sz w:val="32"/>
          <w:szCs w:val="32"/>
        </w:rPr>
        <w:t>%。决算数与预算数持平</w:t>
      </w:r>
      <w:r>
        <w:rPr>
          <w:rFonts w:hint="eastAsia" w:ascii="仿宋" w:hAnsi="仿宋" w:eastAsia="仿宋"/>
          <w:sz w:val="32"/>
          <w:szCs w:val="32"/>
          <w:lang w:eastAsia="zh-CN"/>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0.60</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w:t>
      </w:r>
    </w:p>
    <w:p>
      <w:pPr>
        <w:pStyle w:val="22"/>
      </w:pPr>
      <w:r>
        <w:rPr>
          <w:rFonts w:hint="eastAsia"/>
          <w:lang w:val="en-US" w:eastAsia="zh-CN"/>
        </w:rPr>
        <w:t xml:space="preserve">    </w:t>
      </w:r>
      <w:r>
        <w:drawing>
          <wp:inline distT="0" distB="0" distL="114300" distR="114300">
            <wp:extent cx="4846320" cy="20485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846320" cy="2048510"/>
                    </a:xfrm>
                    <a:prstGeom prst="rect">
                      <a:avLst/>
                    </a:prstGeom>
                    <a:noFill/>
                    <a:ln>
                      <a:noFill/>
                    </a:ln>
                  </pic:spPr>
                </pic:pic>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0.60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sz w:val="32"/>
          <w:szCs w:val="32"/>
          <w:lang w:eastAsia="zh-CN"/>
        </w:rPr>
        <w:t>减少</w:t>
      </w:r>
      <w:r>
        <w:rPr>
          <w:rFonts w:hint="eastAsia" w:ascii="仿宋" w:hAnsi="仿宋" w:eastAsia="仿宋"/>
          <w:sz w:val="32"/>
          <w:szCs w:val="32"/>
          <w:lang w:val="en-US" w:eastAsia="zh-CN"/>
        </w:rPr>
        <w:t>0.15</w:t>
      </w:r>
      <w:r>
        <w:rPr>
          <w:rFonts w:hint="eastAsia" w:ascii="仿宋_GB2312" w:eastAsia="仿宋_GB2312"/>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20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严格控制接待范围、接待标准和接待人次</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0.60</w:t>
      </w:r>
      <w:r>
        <w:rPr>
          <w:rFonts w:hint="eastAsia" w:ascii="仿宋_GB2312" w:eastAsia="仿宋_GB2312"/>
          <w:sz w:val="32"/>
          <w:szCs w:val="32"/>
        </w:rPr>
        <w:t>万元，主要用于执行公务、开展业务活动开支的用餐费。国内公务接待</w:t>
      </w:r>
      <w:r>
        <w:rPr>
          <w:rFonts w:hint="eastAsia" w:ascii="仿宋_GB2312" w:eastAsia="仿宋_GB2312"/>
          <w:sz w:val="32"/>
          <w:szCs w:val="32"/>
          <w:lang w:val="en-US" w:eastAsia="zh-CN"/>
        </w:rPr>
        <w:t>2</w:t>
      </w:r>
      <w:r>
        <w:rPr>
          <w:rFonts w:hint="eastAsia" w:ascii="仿宋_GB2312" w:eastAsia="仿宋_GB2312"/>
          <w:sz w:val="32"/>
          <w:szCs w:val="32"/>
        </w:rPr>
        <w:t>批次，</w:t>
      </w:r>
      <w:r>
        <w:rPr>
          <w:rFonts w:hint="eastAsia" w:ascii="仿宋_GB2312" w:eastAsia="仿宋_GB2312"/>
          <w:sz w:val="32"/>
          <w:szCs w:val="32"/>
          <w:lang w:val="en-US" w:eastAsia="zh-CN"/>
        </w:rPr>
        <w:t>18</w:t>
      </w:r>
      <w:r>
        <w:rPr>
          <w:rFonts w:hint="eastAsia" w:ascii="仿宋_GB2312" w:eastAsia="仿宋_GB2312"/>
          <w:sz w:val="32"/>
          <w:szCs w:val="32"/>
        </w:rPr>
        <w:t>人次，共计支出</w:t>
      </w:r>
      <w:r>
        <w:rPr>
          <w:rFonts w:hint="eastAsia" w:ascii="仿宋_GB2312" w:eastAsia="仿宋_GB2312"/>
          <w:sz w:val="32"/>
          <w:szCs w:val="32"/>
          <w:lang w:val="en-US" w:eastAsia="zh-CN"/>
        </w:rPr>
        <w:t>0.60</w:t>
      </w:r>
      <w:r>
        <w:rPr>
          <w:rFonts w:hint="eastAsia" w:ascii="仿宋_GB2312" w:eastAsia="仿宋_GB2312"/>
          <w:sz w:val="32"/>
          <w:szCs w:val="32"/>
        </w:rPr>
        <w:t>万元，具体内容包括：</w:t>
      </w:r>
      <w:r>
        <w:rPr>
          <w:rFonts w:hint="eastAsia" w:ascii="仿宋_GB2312" w:eastAsia="仿宋_GB2312"/>
          <w:sz w:val="32"/>
          <w:szCs w:val="32"/>
          <w:lang w:eastAsia="zh-CN"/>
        </w:rPr>
        <w:t>重点项目调研工作</w:t>
      </w:r>
      <w:r>
        <w:rPr>
          <w:rFonts w:hint="eastAsia" w:ascii="仿宋_GB2312" w:eastAsia="仿宋_GB2312"/>
          <w:sz w:val="32"/>
          <w:szCs w:val="32"/>
          <w:lang w:val="en-US" w:eastAsia="zh-CN"/>
        </w:rPr>
        <w:t>0.29万元，中央、省预算内投资项目调研工作0.21万元，开展农村人居环境整体推进项目检查工作0.10万元</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0" w:name="_Toc15396610"/>
      <w:bookmarkStart w:id="41" w:name="_Toc15377218"/>
    </w:p>
    <w:p>
      <w:pPr>
        <w:spacing w:line="600" w:lineRule="exact"/>
        <w:ind w:firstLine="640"/>
        <w:outlineLvl w:val="1"/>
        <w:rPr>
          <w:rStyle w:val="33"/>
          <w:rFonts w:ascii="黑体" w:hAnsi="黑体" w:eastAsia="黑体"/>
        </w:rPr>
      </w:pPr>
      <w:r>
        <w:rPr>
          <w:rFonts w:hint="eastAsia" w:ascii="黑体" w:eastAsia="黑体"/>
          <w:sz w:val="32"/>
          <w:szCs w:val="32"/>
        </w:rPr>
        <w:t>八、</w:t>
      </w:r>
      <w:r>
        <w:rPr>
          <w:rStyle w:val="33"/>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b w:val="0"/>
          <w:bCs w:val="0"/>
          <w:sz w:val="32"/>
          <w:szCs w:val="32"/>
        </w:rPr>
        <w:t>233</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33"/>
          <w:rFonts w:ascii="黑体" w:hAnsi="黑体" w:eastAsia="黑体"/>
          <w:b w:val="0"/>
        </w:rPr>
      </w:pPr>
      <w:bookmarkStart w:id="42" w:name="_Toc15396611"/>
      <w:bookmarkStart w:id="43" w:name="_Toc15377219"/>
      <w:r>
        <w:rPr>
          <w:rStyle w:val="33"/>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33"/>
          <w:rFonts w:ascii="黑体" w:hAnsi="黑体" w:eastAsia="黑体"/>
          <w:b w:val="0"/>
        </w:rPr>
      </w:pPr>
      <w:bookmarkStart w:id="44" w:name="_Toc15396612"/>
      <w:bookmarkStart w:id="45" w:name="_Toc15377221"/>
      <w:r>
        <w:rPr>
          <w:rStyle w:val="33"/>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000000"/>
          <w:sz w:val="32"/>
          <w:szCs w:val="32"/>
        </w:rPr>
        <w:t>攀枝花市西区</w:t>
      </w:r>
      <w:r>
        <w:rPr>
          <w:rFonts w:hint="eastAsia" w:ascii="仿宋_GB2312" w:eastAsia="仿宋_GB2312"/>
          <w:color w:val="000000"/>
          <w:sz w:val="32"/>
          <w:szCs w:val="32"/>
          <w:lang w:eastAsia="zh-CN"/>
        </w:rPr>
        <w:t>发展和改革局</w:t>
      </w:r>
      <w:r>
        <w:rPr>
          <w:rFonts w:hint="eastAsia" w:ascii="仿宋_GB2312" w:eastAsia="仿宋_GB2312"/>
          <w:sz w:val="32"/>
          <w:szCs w:val="32"/>
        </w:rPr>
        <w:t>机关运行经费支出</w:t>
      </w:r>
      <w:r>
        <w:rPr>
          <w:rFonts w:hint="eastAsia" w:ascii="仿宋_GB2312" w:eastAsia="仿宋_GB2312"/>
          <w:sz w:val="32"/>
          <w:szCs w:val="32"/>
          <w:lang w:val="en-US" w:eastAsia="zh-CN"/>
        </w:rPr>
        <w:t>33.30</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增加</w:t>
      </w:r>
      <w:r>
        <w:rPr>
          <w:rFonts w:hint="eastAsia" w:ascii="仿宋_GB2312" w:eastAsia="仿宋_GB2312"/>
          <w:sz w:val="32"/>
          <w:szCs w:val="32"/>
          <w:lang w:val="en-US" w:eastAsia="zh-CN"/>
        </w:rPr>
        <w:t>5.56</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电费、差旅费、其他交通费用等运行经费支出增加</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000000"/>
          <w:sz w:val="32"/>
          <w:szCs w:val="32"/>
        </w:rPr>
        <w:t>攀枝花市西区</w:t>
      </w:r>
      <w:r>
        <w:rPr>
          <w:rFonts w:hint="eastAsia" w:ascii="仿宋_GB2312" w:eastAsia="仿宋_GB2312"/>
          <w:color w:val="000000"/>
          <w:sz w:val="32"/>
          <w:szCs w:val="32"/>
          <w:lang w:eastAsia="zh-CN"/>
        </w:rPr>
        <w:t>发展和改革局</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攀枝花市西区</w:t>
      </w:r>
      <w:r>
        <w:rPr>
          <w:rFonts w:hint="eastAsia" w:ascii="仿宋_GB2312" w:eastAsia="仿宋_GB2312"/>
          <w:color w:val="000000"/>
          <w:sz w:val="32"/>
          <w:szCs w:val="32"/>
          <w:lang w:eastAsia="zh-CN"/>
        </w:rPr>
        <w:t>发展和改革局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w:t>
      </w:r>
      <w:r>
        <w:rPr>
          <w:rFonts w:hint="eastAsia" w:ascii="仿宋_GB2312" w:hAnsi="仿宋_GB2312" w:eastAsia="仿宋_GB2312" w:cs="仿宋_GB2312"/>
          <w:sz w:val="32"/>
          <w:szCs w:val="32"/>
          <w:lang w:eastAsia="zh-CN"/>
        </w:rPr>
        <w:t>节能审查和可行性研究报告评估咨询</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、区级重点项目策划及推进工作项目、固定资产投资及康养产业工作项目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个项目开展绩效监控。</w:t>
      </w:r>
    </w:p>
    <w:p>
      <w:pPr>
        <w:widowControl/>
        <w:ind w:firstLine="640" w:firstLineChars="200"/>
        <w:jc w:val="left"/>
        <w:rPr>
          <w:rFonts w:ascii="仿宋_GB2312" w:eastAsia="仿宋_GB2312"/>
          <w:b/>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攀枝花市西区发展和改革局</w:t>
      </w:r>
      <w:r>
        <w:rPr>
          <w:rFonts w:hint="eastAsia" w:ascii="仿宋_GB2312" w:hAnsi="仿宋_GB2312" w:eastAsia="仿宋_GB2312" w:cs="仿宋_GB2312"/>
          <w:sz w:val="32"/>
          <w:szCs w:val="32"/>
        </w:rPr>
        <w:t>整体（含部门预算项目）绩效自评报告，</w:t>
      </w:r>
      <w:r>
        <w:rPr>
          <w:rFonts w:hint="eastAsia" w:ascii="仿宋" w:hAnsi="仿宋" w:eastAsia="仿宋"/>
          <w:sz w:val="32"/>
          <w:szCs w:val="32"/>
        </w:rPr>
        <w:t>其中，</w:t>
      </w:r>
      <w:r>
        <w:rPr>
          <w:rFonts w:hint="eastAsia" w:ascii="仿宋_GB2312" w:hAnsi="仿宋_GB2312" w:eastAsia="仿宋_GB2312" w:cs="仿宋_GB2312"/>
          <w:sz w:val="32"/>
          <w:szCs w:val="32"/>
          <w:lang w:eastAsia="zh-CN"/>
        </w:rPr>
        <w:t>西区发展和改革局</w:t>
      </w:r>
      <w:r>
        <w:rPr>
          <w:rFonts w:hint="eastAsia" w:ascii="仿宋" w:hAnsi="仿宋" w:eastAsia="仿宋"/>
          <w:sz w:val="32"/>
          <w:szCs w:val="32"/>
        </w:rPr>
        <w:t>部门整体（含部门预算项目）绩效自评得分为93分，绩效自评综述：支出绩效总体良好，各项目标基本达到了相应时期执行进度，使财政收支预算执行都得到了良好的制度保障和实施效果。</w:t>
      </w: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32"/>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32"/>
          <w:rFonts w:hint="eastAsia" w:ascii="黑体" w:hAnsi="黑体" w:eastAsia="黑体"/>
          <w:b w:val="0"/>
        </w:rPr>
        <w:t>词解释</w:t>
      </w:r>
      <w:bookmarkEnd w:id="49"/>
      <w:bookmarkEnd w:id="50"/>
    </w:p>
    <w:p>
      <w:pPr>
        <w:spacing w:line="600" w:lineRule="exact"/>
        <w:jc w:val="left"/>
        <w:rPr>
          <w:rFonts w:ascii="宋体"/>
          <w:b/>
          <w:sz w:val="44"/>
          <w:szCs w:val="44"/>
        </w:rPr>
      </w:pP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30"/>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利息收入</w:t>
      </w:r>
      <w:r>
        <w:rPr>
          <w:rFonts w:hint="eastAsia" w:ascii="仿宋_GB2312" w:eastAsia="仿宋_GB2312"/>
          <w:color w:val="auto"/>
          <w:sz w:val="32"/>
          <w:szCs w:val="32"/>
        </w:rPr>
        <w:t>。</w:t>
      </w:r>
      <w:r>
        <w:rPr>
          <w:rFonts w:ascii="仿宋_GB2312" w:eastAsia="仿宋_GB2312"/>
          <w:color w:val="auto"/>
          <w:sz w:val="32"/>
          <w:szCs w:val="32"/>
        </w:rPr>
        <w:t xml:space="preserve"> </w:t>
      </w: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ascii="仿宋" w:hAnsi="仿宋" w:eastAsia="仿宋"/>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 xml:space="preserve"> 一般公共服务（类）</w:t>
      </w:r>
      <w:r>
        <w:rPr>
          <w:rFonts w:hint="eastAsia" w:ascii="仿宋" w:hAnsi="仿宋" w:eastAsia="仿宋"/>
          <w:color w:val="000000"/>
          <w:sz w:val="32"/>
          <w:szCs w:val="32"/>
        </w:rPr>
        <w:t>发展与改革事务（款）行政运行（项）：反映行政单位（包括实行公务员管理的事业单位）的基本支出；一般行政管理事务（项）：反映行政单位（包括实行公务员管理的事业单位）未单独设置项级科目的其他项目支出</w:t>
      </w:r>
      <w:r>
        <w:rPr>
          <w:rFonts w:hint="eastAsia" w:ascii="仿宋" w:hAnsi="仿宋" w:eastAsia="仿宋"/>
          <w:color w:val="000000"/>
          <w:sz w:val="32"/>
          <w:szCs w:val="32"/>
          <w:lang w:eastAsia="zh-CN"/>
        </w:rPr>
        <w:t>；</w:t>
      </w:r>
      <w:r>
        <w:rPr>
          <w:rFonts w:hint="eastAsia" w:ascii="仿宋" w:hAnsi="仿宋" w:eastAsia="仿宋"/>
          <w:color w:val="000000"/>
          <w:sz w:val="32"/>
          <w:szCs w:val="32"/>
        </w:rPr>
        <w:t>事业运行（项）：反映事业单位的基本支出，不包括行政单位（包括实行公务员管理的事业单位）后勤服务中心、医务室等附属事业单位；其他发展与改革事务支出（项）：反映</w:t>
      </w:r>
      <w:r>
        <w:rPr>
          <w:rFonts w:hint="eastAsia" w:ascii="仿宋" w:hAnsi="仿宋" w:eastAsia="仿宋"/>
          <w:color w:val="000000"/>
          <w:sz w:val="32"/>
          <w:szCs w:val="32"/>
          <w:lang w:eastAsia="zh-CN"/>
        </w:rPr>
        <w:t>除上述项目以外的</w:t>
      </w:r>
      <w:r>
        <w:rPr>
          <w:rFonts w:hint="eastAsia" w:ascii="仿宋" w:hAnsi="仿宋" w:eastAsia="仿宋"/>
          <w:color w:val="000000"/>
          <w:sz w:val="32"/>
          <w:szCs w:val="32"/>
        </w:rPr>
        <w:t>其他发展与改革事务支出。</w:t>
      </w:r>
    </w:p>
    <w:p>
      <w:pPr>
        <w:spacing w:line="600" w:lineRule="exact"/>
        <w:ind w:firstLine="640" w:firstLineChars="200"/>
        <w:rPr>
          <w:rFonts w:hint="eastAsia" w:ascii="仿宋" w:hAnsi="仿宋" w:eastAsia="仿宋"/>
          <w:color w:val="000000"/>
          <w:sz w:val="32"/>
          <w:szCs w:val="32"/>
        </w:rPr>
      </w:pPr>
      <w:r>
        <w:rPr>
          <w:rFonts w:hint="eastAsia" w:ascii="仿宋_GB2312" w:eastAsia="仿宋_GB2312"/>
          <w:color w:val="000000"/>
          <w:sz w:val="32"/>
          <w:szCs w:val="32"/>
        </w:rPr>
        <w:t>10.社会保障和就业支出（类）行政事业单位养老支出（款）</w:t>
      </w:r>
      <w:r>
        <w:rPr>
          <w:rFonts w:hint="eastAsia" w:ascii="仿宋" w:hAnsi="仿宋" w:eastAsia="仿宋"/>
          <w:color w:val="000000"/>
          <w:sz w:val="32"/>
          <w:szCs w:val="32"/>
        </w:rPr>
        <w:t>行政单位离退休（项）：反映行政单位（包括实行公务员管理的事业单位）开支的离退休经费；事业单位离退休（项）：反映</w:t>
      </w:r>
      <w:r>
        <w:rPr>
          <w:rFonts w:hint="eastAsia" w:ascii="仿宋" w:hAnsi="仿宋" w:eastAsia="仿宋"/>
          <w:color w:val="000000"/>
          <w:sz w:val="32"/>
          <w:szCs w:val="32"/>
          <w:lang w:eastAsia="zh-CN"/>
        </w:rPr>
        <w:t>事业</w:t>
      </w:r>
      <w:r>
        <w:rPr>
          <w:rFonts w:hint="eastAsia" w:ascii="仿宋" w:hAnsi="仿宋" w:eastAsia="仿宋"/>
          <w:color w:val="000000"/>
          <w:sz w:val="32"/>
          <w:szCs w:val="32"/>
        </w:rPr>
        <w:t>单位开支的离退休经费；</w:t>
      </w:r>
      <w:r>
        <w:rPr>
          <w:rFonts w:hint="eastAsia" w:ascii="仿宋_GB2312" w:eastAsia="仿宋_GB2312"/>
          <w:color w:val="000000"/>
          <w:sz w:val="32"/>
          <w:szCs w:val="32"/>
        </w:rPr>
        <w:t>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 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w:t>
      </w:r>
      <w:r>
        <w:rPr>
          <w:rFonts w:hint="eastAsia" w:ascii="仿宋_GB2312" w:eastAsia="仿宋_GB2312"/>
          <w:color w:val="000000"/>
          <w:sz w:val="32"/>
          <w:szCs w:val="32"/>
          <w:lang w:eastAsia="zh-CN"/>
        </w:rPr>
        <w:t>事业</w:t>
      </w:r>
      <w:r>
        <w:rPr>
          <w:rFonts w:hint="eastAsia" w:ascii="仿宋_GB2312" w:eastAsia="仿宋_GB2312"/>
          <w:color w:val="000000"/>
          <w:sz w:val="32"/>
          <w:szCs w:val="32"/>
        </w:rPr>
        <w:t>单位医疗（项）：反映财政部门安排的</w:t>
      </w:r>
      <w:r>
        <w:rPr>
          <w:rFonts w:hint="eastAsia" w:ascii="仿宋_GB2312" w:eastAsia="仿宋_GB2312"/>
          <w:color w:val="000000"/>
          <w:sz w:val="32"/>
          <w:szCs w:val="32"/>
          <w:lang w:eastAsia="zh-CN"/>
        </w:rPr>
        <w:t>事业</w:t>
      </w:r>
      <w:r>
        <w:rPr>
          <w:rFonts w:hint="eastAsia" w:ascii="仿宋_GB2312" w:eastAsia="仿宋_GB2312"/>
          <w:color w:val="000000"/>
          <w:sz w:val="32"/>
          <w:szCs w:val="32"/>
        </w:rPr>
        <w:t>单位基本医疗保险缴费经费，未参加医疗保险的</w:t>
      </w:r>
      <w:r>
        <w:rPr>
          <w:rFonts w:hint="eastAsia" w:ascii="仿宋_GB2312" w:eastAsia="仿宋_GB2312"/>
          <w:color w:val="000000"/>
          <w:sz w:val="32"/>
          <w:szCs w:val="32"/>
          <w:lang w:eastAsia="zh-CN"/>
        </w:rPr>
        <w:t>事业</w:t>
      </w:r>
      <w:r>
        <w:rPr>
          <w:rFonts w:hint="eastAsia" w:ascii="仿宋_GB2312" w:eastAsia="仿宋_GB2312"/>
          <w:color w:val="000000"/>
          <w:sz w:val="32"/>
          <w:szCs w:val="32"/>
        </w:rPr>
        <w:t>单位的公费医疗保险经费，按国家规定享受离休人员待遇人员的医疗经费；公务员医疗补助（项）：反映财政部门集中安排的公务员医疗补助经费</w:t>
      </w:r>
      <w:r>
        <w:rPr>
          <w:rFonts w:hint="eastAsia" w:ascii="仿宋_GB2312" w:eastAsia="仿宋_GB2312"/>
          <w:color w:val="000000"/>
          <w:sz w:val="32"/>
          <w:szCs w:val="32"/>
          <w:lang w:eastAsia="zh-CN"/>
        </w:rPr>
        <w:t>；其他行政事业单位医疗支出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：反映除上述项目以外的其他用于行政事业单位医疗方面的支出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 w:hAnsi="仿宋" w:eastAsia="仿宋"/>
          <w:color w:val="000000"/>
          <w:sz w:val="32"/>
          <w:szCs w:val="32"/>
        </w:rPr>
        <w:t>12. 城乡社区支出（类）国有土地使用权出让收入及对应专项债务收入安排的支出（款）土地开发支出（项）：反映新疆生产建设兵团和地方政府用于前期土地开发性支出以及与前期土地开发相关的费用等支出。其他城乡社区支出（款）其他城乡社区支出（项）：反映</w:t>
      </w:r>
      <w:r>
        <w:rPr>
          <w:rFonts w:hint="eastAsia" w:ascii="仿宋_GB2312" w:eastAsia="仿宋_GB2312"/>
          <w:color w:val="000000"/>
          <w:sz w:val="32"/>
          <w:szCs w:val="32"/>
          <w:lang w:eastAsia="zh-CN"/>
        </w:rPr>
        <w:t>除上述项目以外其他用于</w:t>
      </w:r>
      <w:r>
        <w:rPr>
          <w:rFonts w:hint="eastAsia" w:ascii="仿宋" w:hAnsi="仿宋" w:eastAsia="仿宋"/>
          <w:color w:val="000000"/>
          <w:sz w:val="32"/>
          <w:szCs w:val="32"/>
        </w:rPr>
        <w:t>城乡社区</w:t>
      </w:r>
      <w:r>
        <w:rPr>
          <w:rFonts w:hint="eastAsia" w:ascii="仿宋_GB2312" w:eastAsia="仿宋_GB2312"/>
          <w:color w:val="000000"/>
          <w:sz w:val="32"/>
          <w:szCs w:val="32"/>
          <w:lang w:eastAsia="zh-CN"/>
        </w:rPr>
        <w:t>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p>
    <w:p>
      <w:pPr>
        <w:spacing w:line="600" w:lineRule="exact"/>
        <w:jc w:val="center"/>
        <w:outlineLvl w:val="0"/>
        <w:rPr>
          <w:rStyle w:val="32"/>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32"/>
          <w:rFonts w:hint="eastAsia" w:ascii="黑体" w:hAnsi="黑体" w:eastAsia="黑体"/>
          <w:b w:val="0"/>
        </w:rPr>
        <w:t>四部分 附件</w:t>
      </w:r>
      <w:bookmarkEnd w:id="52"/>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widowControl/>
        <w:spacing w:line="560" w:lineRule="exact"/>
        <w:contextualSpacing/>
        <w:jc w:val="center"/>
        <w:rPr>
          <w:rFonts w:hint="eastAsia" w:ascii="宋体" w:hAnsi="宋体" w:eastAsia="宋体"/>
          <w:b/>
          <w:sz w:val="32"/>
          <w:szCs w:val="32"/>
          <w:shd w:val="clear" w:color="auto" w:fill="FFFFFF"/>
          <w:lang w:eastAsia="zh-CN"/>
        </w:rPr>
      </w:pPr>
      <w:r>
        <w:rPr>
          <w:rFonts w:hint="eastAsia" w:ascii="宋体" w:hAnsi="宋体"/>
          <w:b/>
          <w:sz w:val="32"/>
          <w:szCs w:val="32"/>
          <w:shd w:val="clear" w:color="auto" w:fill="FFFFFF"/>
        </w:rPr>
        <w:t>2023年攀枝花市西区</w:t>
      </w:r>
      <w:r>
        <w:rPr>
          <w:rFonts w:hint="eastAsia" w:ascii="宋体" w:hAnsi="宋体"/>
          <w:b/>
          <w:sz w:val="32"/>
          <w:szCs w:val="32"/>
          <w:shd w:val="clear" w:color="auto" w:fill="FFFFFF"/>
          <w:lang w:eastAsia="zh-CN"/>
        </w:rPr>
        <w:t>发展和改革局</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整体绩效评价报告</w:t>
      </w:r>
    </w:p>
    <w:p>
      <w:pPr>
        <w:widowControl/>
        <w:adjustRightInd w:val="0"/>
        <w:snapToGrid w:val="0"/>
        <w:spacing w:line="560" w:lineRule="exact"/>
        <w:ind w:firstLine="640" w:firstLineChars="200"/>
        <w:contextualSpacing/>
        <w:jc w:val="left"/>
        <w:rPr>
          <w:rFonts w:hint="eastAsia" w:ascii="黑体" w:hAnsi="宋体" w:eastAsia="黑体" w:cs="宋体"/>
          <w:kern w:val="0"/>
          <w:sz w:val="32"/>
          <w:szCs w:val="32"/>
          <w:shd w:val="clear" w:color="auto" w:fill="FFFFFF"/>
          <w:lang w:val="en-US" w:eastAsia="zh-CN"/>
        </w:rPr>
      </w:pPr>
      <w:r>
        <w:rPr>
          <w:rFonts w:hint="eastAsia" w:ascii="黑体" w:hAnsi="宋体" w:eastAsia="黑体" w:cs="宋体"/>
          <w:kern w:val="0"/>
          <w:sz w:val="32"/>
          <w:szCs w:val="32"/>
          <w:shd w:val="clear" w:color="auto" w:fill="FFFFFF"/>
          <w:lang w:val="en-US" w:eastAsia="zh-CN"/>
        </w:rPr>
        <w:t xml:space="preserve">  </w:t>
      </w:r>
    </w:p>
    <w:p>
      <w:pPr>
        <w:pStyle w:val="22"/>
        <w:rPr>
          <w:rFonts w:hint="default"/>
          <w:lang w:val="en-US" w:eastAsia="zh-CN"/>
        </w:rPr>
      </w:pPr>
    </w:p>
    <w:p>
      <w:pPr>
        <w:widowControl/>
        <w:numPr>
          <w:ilvl w:val="0"/>
          <w:numId w:val="4"/>
        </w:numPr>
        <w:adjustRightInd w:val="0"/>
        <w:snapToGrid w:val="0"/>
        <w:spacing w:line="360" w:lineRule="auto"/>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numPr>
          <w:ilvl w:val="0"/>
          <w:numId w:val="5"/>
        </w:numPr>
        <w:adjustRightInd w:val="0"/>
        <w:snapToGrid w:val="0"/>
        <w:spacing w:line="360" w:lineRule="auto"/>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ind w:firstLine="640"/>
        <w:jc w:val="center"/>
        <w:rPr>
          <w:rFonts w:hint="eastAsia" w:ascii="仿宋_GB2312" w:hAnsi="仿宋" w:eastAsia="仿宋_GB2312" w:cs="Times New Roman"/>
          <w:sz w:val="32"/>
          <w:szCs w:val="32"/>
          <w:lang w:eastAsia="zh-CN"/>
        </w:rPr>
      </w:pPr>
      <w:r>
        <w:rPr>
          <w:rFonts w:hint="eastAsia" w:ascii="仿宋_GB2312" w:hAnsi="仿宋" w:eastAsia="仿宋_GB2312"/>
          <w:sz w:val="32"/>
          <w:szCs w:val="32"/>
        </w:rPr>
        <w:t xml:space="preserve"> 西区发展和改革局机关内设：办公室（行政审批股）、综合股（重大项目管理股）、体改股、物价股、粮食和物资储备股（康养产业发展综合股）五个内设机构。</w:t>
      </w:r>
      <w:r>
        <w:rPr>
          <w:rFonts w:hint="eastAsia" w:ascii="仿宋_GB2312" w:hAnsi="仿宋" w:eastAsia="仿宋_GB2312" w:cs="Times New Roman"/>
          <w:sz w:val="32"/>
          <w:szCs w:val="32"/>
        </w:rPr>
        <w:t>下设：</w:t>
      </w:r>
      <w:r>
        <w:rPr>
          <w:rFonts w:hint="eastAsia" w:ascii="仿宋_GB2312" w:hAnsi="仿宋" w:eastAsia="仿宋_GB2312" w:cs="Times New Roman"/>
          <w:sz w:val="32"/>
          <w:szCs w:val="32"/>
          <w:lang w:eastAsia="zh-CN"/>
        </w:rPr>
        <w:t>攀枝</w:t>
      </w:r>
    </w:p>
    <w:p>
      <w:pPr>
        <w:jc w:val="both"/>
        <w:rPr>
          <w:rFonts w:hint="eastAsia" w:ascii="仿宋_GB2312" w:hAnsi="仿宋" w:eastAsia="仿宋_GB2312"/>
          <w:sz w:val="32"/>
          <w:szCs w:val="32"/>
        </w:rPr>
      </w:pPr>
      <w:r>
        <w:rPr>
          <w:rFonts w:hint="eastAsia" w:ascii="仿宋_GB2312" w:hAnsi="仿宋" w:eastAsia="仿宋_GB2312" w:cs="Times New Roman"/>
          <w:sz w:val="32"/>
          <w:szCs w:val="32"/>
          <w:lang w:eastAsia="zh-CN"/>
        </w:rPr>
        <w:t>花市西区项目协调服务中心（攀枝花市西区康养产业发展服务中心）、攀枝花市西区价格认证中心、</w:t>
      </w:r>
      <w:r>
        <w:rPr>
          <w:rFonts w:hint="eastAsia" w:ascii="仿宋_GB2312" w:hAnsi="仿宋" w:eastAsia="仿宋_GB2312" w:cs="Times New Roman"/>
          <w:sz w:val="32"/>
          <w:szCs w:val="32"/>
        </w:rPr>
        <w:t>攀枝花市西区</w:t>
      </w:r>
      <w:r>
        <w:rPr>
          <w:rFonts w:hint="eastAsia" w:ascii="仿宋_GB2312" w:hAnsi="仿宋" w:eastAsia="仿宋_GB2312" w:cs="Times New Roman"/>
          <w:sz w:val="32"/>
          <w:szCs w:val="32"/>
          <w:lang w:eastAsia="zh-CN"/>
        </w:rPr>
        <w:t>物流枢纽建设服务中心三</w:t>
      </w:r>
      <w:r>
        <w:rPr>
          <w:rFonts w:hint="eastAsia" w:ascii="仿宋_GB2312" w:hAnsi="仿宋" w:eastAsia="仿宋_GB2312" w:cs="Times New Roman"/>
          <w:sz w:val="32"/>
          <w:szCs w:val="32"/>
        </w:rPr>
        <w:t>个二级单位。</w:t>
      </w:r>
    </w:p>
    <w:p>
      <w:pPr>
        <w:widowControl/>
        <w:numPr>
          <w:ilvl w:val="0"/>
          <w:numId w:val="5"/>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pStyle w:val="6"/>
        <w:numPr>
          <w:ilvl w:val="0"/>
          <w:numId w:val="0"/>
        </w:numPr>
        <w:ind w:firstLine="643" w:firstLineChars="200"/>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en-US" w:eastAsia="zh-CN"/>
        </w:rPr>
        <w:t>1.</w:t>
      </w:r>
      <w:r>
        <w:rPr>
          <w:rFonts w:hint="eastAsia" w:ascii="楷体_GB2312" w:hAnsi="楷体_GB2312" w:eastAsia="楷体_GB2312" w:cs="楷体_GB2312"/>
          <w:b/>
          <w:bCs/>
          <w:kern w:val="0"/>
          <w:sz w:val="32"/>
          <w:szCs w:val="32"/>
          <w:shd w:val="clear" w:color="auto" w:fill="FFFFFF"/>
          <w:lang w:val="zh-CN"/>
        </w:rPr>
        <w:t>机构职能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贯彻执行国家有关国民经济和社会发展战略、经济体制方针政策和法律法规，拟订并组织实施全区国民经济和社会发展中长期规划和年度计划；受区政府委托向区人大作全区经济社会发展计划报告。</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统筹协调全区经济社会发展。研究分析全区经济和社会发展形势，进行宏观经济预测预警和信息引导。对发展中的重大问题和热点、难点问题，提出宏观调控对策建议，综合协调财政、金融、价格和产业政策等经济杠杆，保证全区国民经济发展规划和计划的实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承担指导推进和综合协调全区经济体制改革责任。组织拟订综合性经济体制改革方案，协调有关专项经济体制改革方案，会同有关部门搞好专项经济体制改革间的衔接，组织、指导和协调综合配套改革试点和重大专项经济体制改革试点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贯彻执行国家和省、市有关价格法律、法规和方针、政策，编制和执行价格改革、价格调整中长期规划和年度计划，组织实施年度价格总水平调控目标及价格调控措施，负责权限范围内价格的制定调整，承担行政事业性收费管理工作，负责全区价格成本调查监审、价格监测、价格认证等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负责全区投资宏观管理和协调推进重大项目建设。拟订全社会固定资产投资总规模、投资结构的调控目标和政策措施，编制年度投资计划，安排财政性建设资金，指导和监督政策性贷款的使用方向，按规定权限审批、核准、备案或转报固定资产投资项目（企业技术改革项目除外）和资源开发利用、外资、境外投资项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推进经济结构战略性调整。组织拟订全区综合性产业政策，负责协调第一、二、三产业发展重大问题，衔接平衡相关发展规划和重大政策。拟订重大产业发展规划，引导全区重大生产力合理布局，协调推进全区重大技术装备推广应用和重大产业基地建设，会同有关部门拟订服务业、现代物流业发展战略、规划和重大政策。组织拟订高技术产业发展、产业技术进步的战略规划和重大政策，推进重大科技成果产业化。</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促进城乡区域协调发展。研究分析区域经济和城镇化发展情况，组织拟订区域经济协调发展战略规划和重大政策，研究提出城镇化发展战略和统筹城乡发展的政策措施。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负责重要商品的总量平衡和宏观调控。研究分析区内外市场和对外贸易运行情况，编制重要农产品、工业品和原材料进出口总量计划并监督执行。提出重要商品市场、生产要素市场的发展规划、总体布局和重大调控措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推进可持续发展战略。负责全区节能综合协调工作，组织拟订并协调实施全区发展循环经济、能源资源节约和综合利用规划及政策措施，参与编制生态建设、环境保护规划，协调生态建设、能源资源节约和综合利用的重大问题，综合协调环保产业和清洁产业促进有关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11.</w:t>
      </w:r>
      <w:r>
        <w:rPr>
          <w:rFonts w:hint="eastAsia" w:ascii="仿宋_GB2312" w:hAnsi="仿宋" w:eastAsia="仿宋_GB2312"/>
          <w:sz w:val="32"/>
          <w:szCs w:val="32"/>
        </w:rPr>
        <w:t>负责指导和协调全区招标投标工作。贯彻执行招标投标配套规定，核准必须进行招标投标项目的具体范围、规模标准。按照职责权限对重大建设项目建设过程中的招标投标活动实施监督检查。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12.</w:t>
      </w:r>
      <w:r>
        <w:rPr>
          <w:rFonts w:hint="eastAsia" w:ascii="仿宋_GB2312" w:hAnsi="仿宋" w:eastAsia="仿宋_GB2312"/>
          <w:sz w:val="32"/>
          <w:szCs w:val="32"/>
        </w:rPr>
        <w:t>负责粮食流通行业管理。负责全区粮食（含食用植物油，下同）宏观调控、粮食流通管理工作；负责全区粮食流通统计和社会粮油供需平衡调查工作；负责落实地方储备粮食任务和储备粮油日常监管；负责全区粮食工业统计分析工作；负责全区粮食仓储设施和粮食流通基础设施的安全管理和粮食储藏安全工作；负责贯彻落实粮食行业食品安全法规及国家粮食质量标准，履行储备粮质量、粮食行业食品安全监管职责；负责监督指导辖区内粮油仓储单位备案管理工作；指导粮食部门安全生产工作；指导粮食综合行政执法；负责粮油库存检查；监督管理全区粮食专项扶持资金的使用；会同有关部门拟订区级储备粮财务管理制度，监督管理粮食风险基金、政策性粮食财务挂账、政策性粮食补贴资金；负责救灾物资储备、管理、调拨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13.</w:t>
      </w:r>
      <w:r>
        <w:rPr>
          <w:rFonts w:ascii="仿宋_GB2312" w:hAnsi="仿宋" w:eastAsia="仿宋_GB2312"/>
          <w:sz w:val="32"/>
          <w:szCs w:val="32"/>
        </w:rPr>
        <w:t>负责职责范围内的安全生产和职业健康、生态环境保护、审批服务便民化等工作。</w:t>
      </w:r>
    </w:p>
    <w:p>
      <w:pPr>
        <w:pStyle w:val="6"/>
        <w:ind w:firstLine="640"/>
      </w:pPr>
      <w:r>
        <w:rPr>
          <w:rFonts w:hint="eastAsia" w:ascii="仿宋_GB2312" w:hAnsi="仿宋" w:eastAsia="仿宋_GB2312"/>
          <w:sz w:val="32"/>
          <w:szCs w:val="32"/>
          <w:lang w:val="en-US" w:eastAsia="zh-CN"/>
        </w:rPr>
        <w:t>14.</w:t>
      </w:r>
      <w:r>
        <w:rPr>
          <w:rFonts w:ascii="仿宋_GB2312" w:hAnsi="仿宋" w:eastAsia="仿宋_GB2312"/>
          <w:sz w:val="32"/>
          <w:szCs w:val="32"/>
        </w:rPr>
        <w:t>完成区委、区政府交办的其他任务。</w:t>
      </w:r>
    </w:p>
    <w:p>
      <w:pPr>
        <w:pStyle w:val="6"/>
        <w:numPr>
          <w:ilvl w:val="0"/>
          <w:numId w:val="0"/>
        </w:numPr>
        <w:spacing w:line="360" w:lineRule="auto"/>
        <w:ind w:firstLine="643" w:firstLineChars="200"/>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en-US" w:eastAsia="zh-CN"/>
        </w:rPr>
        <w:t>2.</w:t>
      </w:r>
      <w:r>
        <w:rPr>
          <w:rFonts w:hint="eastAsia" w:ascii="楷体_GB2312" w:hAnsi="楷体_GB2312" w:eastAsia="楷体_GB2312" w:cs="楷体_GB2312"/>
          <w:b/>
          <w:bCs/>
          <w:kern w:val="0"/>
          <w:sz w:val="32"/>
          <w:szCs w:val="32"/>
          <w:shd w:val="clear" w:color="auto" w:fill="FFFFFF"/>
          <w:lang w:val="zh-CN"/>
        </w:rPr>
        <w:t>人员概况</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本部门</w:t>
      </w:r>
      <w:r>
        <w:rPr>
          <w:rFonts w:hint="eastAsia" w:ascii="仿宋_GB2312" w:hAnsi="仿宋" w:eastAsia="仿宋_GB2312"/>
          <w:sz w:val="32"/>
          <w:szCs w:val="32"/>
        </w:rPr>
        <w:t>三定方案核定：行政人员编制</w:t>
      </w:r>
      <w:r>
        <w:rPr>
          <w:rFonts w:ascii="仿宋_GB2312" w:hAnsi="仿宋" w:eastAsia="仿宋_GB2312"/>
          <w:sz w:val="32"/>
          <w:szCs w:val="32"/>
        </w:rPr>
        <w:t>8</w:t>
      </w:r>
      <w:r>
        <w:rPr>
          <w:rFonts w:hint="eastAsia" w:ascii="仿宋_GB2312" w:hAnsi="仿宋" w:eastAsia="仿宋_GB2312"/>
          <w:sz w:val="32"/>
          <w:szCs w:val="32"/>
        </w:rPr>
        <w:t>人，实有8人；事业人员编制</w:t>
      </w:r>
      <w:r>
        <w:rPr>
          <w:rFonts w:hint="eastAsia" w:ascii="仿宋_GB2312" w:hAnsi="仿宋" w:eastAsia="仿宋_GB2312"/>
          <w:sz w:val="32"/>
          <w:szCs w:val="32"/>
          <w:lang w:val="en-US" w:eastAsia="zh-CN"/>
        </w:rPr>
        <w:t>15</w:t>
      </w:r>
      <w:r>
        <w:rPr>
          <w:rFonts w:hint="eastAsia" w:ascii="仿宋_GB2312" w:hAnsi="仿宋" w:eastAsia="仿宋_GB2312"/>
          <w:sz w:val="32"/>
          <w:szCs w:val="32"/>
        </w:rPr>
        <w:t>人，实有</w:t>
      </w:r>
      <w:r>
        <w:rPr>
          <w:rFonts w:ascii="仿宋_GB2312" w:hAnsi="仿宋" w:eastAsia="仿宋_GB2312"/>
          <w:sz w:val="32"/>
          <w:szCs w:val="32"/>
        </w:rPr>
        <w:t>1</w:t>
      </w:r>
      <w:r>
        <w:rPr>
          <w:rFonts w:hint="eastAsia" w:ascii="仿宋_GB2312" w:hAnsi="仿宋" w:eastAsia="仿宋_GB2312"/>
          <w:sz w:val="32"/>
          <w:szCs w:val="32"/>
          <w:lang w:val="en-US" w:eastAsia="zh-CN"/>
        </w:rPr>
        <w:t>1</w:t>
      </w:r>
      <w:r>
        <w:rPr>
          <w:rFonts w:hint="eastAsia" w:ascii="仿宋_GB2312" w:hAnsi="仿宋" w:eastAsia="仿宋_GB2312"/>
          <w:sz w:val="32"/>
          <w:szCs w:val="32"/>
        </w:rPr>
        <w:t>人；实有参照公务员法管理事业人员2人；聘用人员编制</w:t>
      </w:r>
      <w:r>
        <w:rPr>
          <w:rFonts w:ascii="仿宋_GB2312" w:hAnsi="仿宋" w:eastAsia="仿宋_GB2312"/>
          <w:sz w:val="32"/>
          <w:szCs w:val="32"/>
        </w:rPr>
        <w:t>12</w:t>
      </w:r>
      <w:r>
        <w:rPr>
          <w:rFonts w:hint="eastAsia" w:ascii="仿宋_GB2312" w:hAnsi="仿宋" w:eastAsia="仿宋_GB2312"/>
          <w:sz w:val="32"/>
          <w:szCs w:val="32"/>
        </w:rPr>
        <w:t>人，实有</w:t>
      </w:r>
      <w:r>
        <w:rPr>
          <w:rFonts w:hint="eastAsia" w:ascii="仿宋_GB2312" w:hAnsi="仿宋" w:eastAsia="仿宋_GB2312"/>
          <w:sz w:val="32"/>
          <w:szCs w:val="32"/>
          <w:lang w:val="en-US" w:eastAsia="zh-CN"/>
        </w:rPr>
        <w:t>8</w:t>
      </w:r>
      <w:r>
        <w:rPr>
          <w:rFonts w:hint="eastAsia" w:ascii="仿宋_GB2312" w:hAnsi="仿宋" w:eastAsia="仿宋_GB2312"/>
          <w:sz w:val="32"/>
          <w:szCs w:val="32"/>
        </w:rPr>
        <w:t>人。与去年同期相比行政人员</w:t>
      </w:r>
      <w:r>
        <w:rPr>
          <w:rFonts w:hint="eastAsia" w:ascii="仿宋_GB2312" w:hAnsi="仿宋" w:eastAsia="仿宋_GB2312"/>
          <w:sz w:val="32"/>
          <w:szCs w:val="32"/>
          <w:lang w:eastAsia="zh-CN"/>
        </w:rPr>
        <w:t>没变化</w:t>
      </w:r>
      <w:r>
        <w:rPr>
          <w:rFonts w:hint="eastAsia" w:ascii="仿宋_GB2312" w:hAnsi="仿宋" w:eastAsia="仿宋_GB2312"/>
          <w:sz w:val="32"/>
          <w:szCs w:val="32"/>
        </w:rPr>
        <w:t>，</w:t>
      </w:r>
      <w:r>
        <w:rPr>
          <w:rFonts w:hint="eastAsia" w:ascii="仿宋_GB2312" w:hAnsi="仿宋" w:eastAsia="仿宋_GB2312"/>
          <w:sz w:val="32"/>
          <w:szCs w:val="32"/>
          <w:lang w:eastAsia="zh-CN"/>
        </w:rPr>
        <w:t>增加</w:t>
      </w:r>
      <w:r>
        <w:rPr>
          <w:rFonts w:hint="eastAsia" w:ascii="仿宋_GB2312" w:hAnsi="仿宋" w:eastAsia="仿宋_GB2312"/>
          <w:sz w:val="32"/>
          <w:szCs w:val="32"/>
        </w:rPr>
        <w:t>事业人员增加1人，聘用人员减少</w:t>
      </w:r>
      <w:r>
        <w:rPr>
          <w:rFonts w:hint="eastAsia" w:ascii="仿宋_GB2312" w:hAnsi="仿宋" w:eastAsia="仿宋_GB2312"/>
          <w:sz w:val="32"/>
          <w:szCs w:val="32"/>
          <w:lang w:val="en-US" w:eastAsia="zh-CN"/>
        </w:rPr>
        <w:t>1</w:t>
      </w:r>
      <w:r>
        <w:rPr>
          <w:rFonts w:hint="eastAsia" w:ascii="仿宋_GB2312" w:hAnsi="仿宋" w:eastAsia="仿宋_GB2312"/>
          <w:sz w:val="32"/>
          <w:szCs w:val="32"/>
        </w:rPr>
        <w:t>人。</w:t>
      </w:r>
    </w:p>
    <w:p>
      <w:pPr>
        <w:snapToGrid w:val="0"/>
        <w:spacing w:line="360" w:lineRule="auto"/>
        <w:ind w:firstLine="643" w:firstLineChars="200"/>
        <w:rPr>
          <w:rFonts w:hint="eastAsia" w:ascii="仿宋_GB2312" w:hAnsi="仿宋" w:eastAsia="仿宋_GB2312" w:cs="Times New Roman"/>
          <w:b/>
          <w:bCs/>
          <w:sz w:val="32"/>
          <w:szCs w:val="32"/>
          <w:lang w:val="zh-CN"/>
        </w:rPr>
      </w:pPr>
      <w:r>
        <w:rPr>
          <w:rFonts w:hint="eastAsia" w:ascii="楷体_GB2312" w:hAnsi="楷体_GB2312" w:eastAsia="楷体_GB2312" w:cs="楷体_GB2312"/>
          <w:b/>
          <w:bCs/>
          <w:kern w:val="0"/>
          <w:sz w:val="32"/>
          <w:szCs w:val="32"/>
          <w:shd w:val="clear" w:color="auto" w:fill="FFFFFF"/>
          <w:lang w:val="zh-CN" w:eastAsia="zh-CN"/>
        </w:rPr>
        <w:t>（三）</w:t>
      </w:r>
      <w:r>
        <w:rPr>
          <w:rFonts w:hint="eastAsia" w:ascii="楷体_GB2312" w:hAnsi="楷体_GB2312" w:eastAsia="楷体_GB2312" w:cs="楷体_GB2312"/>
          <w:b/>
          <w:bCs/>
          <w:kern w:val="0"/>
          <w:sz w:val="32"/>
          <w:szCs w:val="32"/>
          <w:shd w:val="clear" w:color="auto" w:fill="FFFFFF"/>
          <w:lang w:val="zh-CN"/>
        </w:rPr>
        <w:t>年度主要工作任务。</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2022年，在区委、区政府的坚强领导下，以习近平新时代中国特色社会主义思想为指导，认真贯彻落实党中央决策部署、省委“一极一源、两中心两地”、市委“一三三三”总体发展战略，区委“攀西工业强区”和“山水灵秀新城”建设目标、“六个提升、六项变革”重点任务和“项目攻坚突破年”工作要求，围绕推动经济高质量发展这个核心任务，凝心聚力，攻坚克难，扎实开展各项工作。2022年三季度西区地区生产总值（GDP）实现67.48 亿元，同比增长0.1%。其中，第一产业增加值1.85 亿元，同比增长4.1%；第二产业增加值47.61 亿元，同比下降1.0%；第三产业增加值18.02 亿元，同比增长2.7%。现将相关情况报告如下：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color w:val="auto"/>
          <w:sz w:val="33"/>
          <w:szCs w:val="33"/>
        </w:rPr>
      </w:pPr>
      <w:r>
        <w:rPr>
          <w:rFonts w:hint="eastAsia" w:ascii="Times New Roman" w:hAnsi="Times New Roman" w:eastAsia="方正楷体_GBK" w:cs="Times New Roman"/>
          <w:b/>
          <w:bCs w:val="0"/>
          <w:color w:val="auto"/>
          <w:sz w:val="33"/>
          <w:szCs w:val="33"/>
          <w:lang w:val="en-US" w:eastAsia="zh-CN"/>
        </w:rPr>
        <w:t xml:space="preserve">1. </w:t>
      </w:r>
      <w:r>
        <w:rPr>
          <w:rFonts w:hint="default" w:ascii="Times New Roman" w:hAnsi="Times New Roman" w:eastAsia="方正楷体_GBK" w:cs="Times New Roman"/>
          <w:b/>
          <w:bCs w:val="0"/>
          <w:color w:val="auto"/>
          <w:sz w:val="33"/>
          <w:szCs w:val="33"/>
        </w:rPr>
        <w:t>突出目标导向，推进经济社会稳步发展</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color w:val="auto"/>
          <w:kern w:val="34"/>
          <w:sz w:val="33"/>
          <w:szCs w:val="33"/>
        </w:rPr>
      </w:pPr>
      <w:r>
        <w:rPr>
          <w:rFonts w:hint="eastAsia" w:ascii="Times New Roman" w:hAnsi="Times New Roman" w:eastAsia="方正仿宋_GBK" w:cs="Times New Roman"/>
          <w:b/>
          <w:bCs w:val="0"/>
          <w:color w:val="auto"/>
          <w:kern w:val="34"/>
          <w:sz w:val="33"/>
          <w:szCs w:val="33"/>
          <w:lang w:eastAsia="zh-CN"/>
        </w:rPr>
        <w:t>（</w:t>
      </w:r>
      <w:r>
        <w:rPr>
          <w:rFonts w:hint="default" w:ascii="Times New Roman" w:hAnsi="Times New Roman" w:eastAsia="方正仿宋_GBK" w:cs="Times New Roman"/>
          <w:b/>
          <w:bCs w:val="0"/>
          <w:color w:val="auto"/>
          <w:kern w:val="34"/>
          <w:sz w:val="33"/>
          <w:szCs w:val="33"/>
        </w:rPr>
        <w:t>1</w:t>
      </w:r>
      <w:r>
        <w:rPr>
          <w:rFonts w:hint="eastAsia" w:ascii="Times New Roman" w:hAnsi="Times New Roman" w:eastAsia="方正仿宋_GBK" w:cs="Times New Roman"/>
          <w:b/>
          <w:bCs w:val="0"/>
          <w:color w:val="auto"/>
          <w:kern w:val="34"/>
          <w:sz w:val="33"/>
          <w:szCs w:val="33"/>
          <w:lang w:eastAsia="zh-CN"/>
        </w:rPr>
        <w:t>）</w:t>
      </w:r>
      <w:r>
        <w:rPr>
          <w:rFonts w:hint="default" w:ascii="Times New Roman" w:hAnsi="Times New Roman" w:eastAsia="方正仿宋_GBK" w:cs="Times New Roman"/>
          <w:b/>
          <w:bCs w:val="0"/>
          <w:color w:val="auto"/>
          <w:kern w:val="34"/>
          <w:sz w:val="33"/>
          <w:szCs w:val="33"/>
        </w:rPr>
        <w:t>政策</w:t>
      </w:r>
      <w:r>
        <w:rPr>
          <w:rFonts w:hint="default" w:ascii="Times New Roman" w:hAnsi="Times New Roman" w:eastAsia="方正仿宋_GBK" w:cs="Times New Roman"/>
          <w:b/>
          <w:bCs w:val="0"/>
          <w:color w:val="auto"/>
          <w:kern w:val="34"/>
          <w:sz w:val="33"/>
          <w:szCs w:val="33"/>
          <w:lang w:val="en-US" w:eastAsia="zh-CN"/>
        </w:rPr>
        <w:t>经济</w:t>
      </w:r>
      <w:r>
        <w:rPr>
          <w:rFonts w:hint="default" w:ascii="Times New Roman" w:hAnsi="Times New Roman" w:eastAsia="方正仿宋_GBK" w:cs="Times New Roman"/>
          <w:b/>
          <w:bCs w:val="0"/>
          <w:color w:val="auto"/>
          <w:kern w:val="34"/>
          <w:sz w:val="33"/>
          <w:szCs w:val="33"/>
        </w:rPr>
        <w:t>研究抓实抓细。</w:t>
      </w:r>
      <w:r>
        <w:rPr>
          <w:rFonts w:hint="default" w:ascii="Times New Roman" w:hAnsi="Times New Roman" w:eastAsia="方正仿宋_GBK" w:cs="Times New Roman"/>
          <w:b w:val="0"/>
          <w:bCs/>
          <w:color w:val="auto"/>
          <w:kern w:val="34"/>
          <w:sz w:val="33"/>
          <w:szCs w:val="33"/>
          <w:lang w:val="en-US" w:eastAsia="zh-CN"/>
        </w:rPr>
        <w:t>加强对国家重点产业政策、发展导向和全区宏观经济形势分析与研究，形成切实可行的调查研究报告和政策建议。牵头编制《西区稳定经济增长二十三条措施》，</w:t>
      </w:r>
      <w:r>
        <w:rPr>
          <w:rFonts w:hint="default" w:ascii="Times New Roman" w:hAnsi="Times New Roman" w:eastAsia="方正仿宋_GBK" w:cs="Times New Roman"/>
          <w:bCs/>
          <w:color w:val="auto"/>
          <w:kern w:val="34"/>
          <w:sz w:val="33"/>
          <w:szCs w:val="33"/>
          <w:lang w:eastAsia="zh-CN"/>
        </w:rPr>
        <w:t>草拟</w:t>
      </w:r>
      <w:r>
        <w:rPr>
          <w:rFonts w:hint="default" w:ascii="Times New Roman" w:hAnsi="Times New Roman" w:eastAsia="方正仿宋_GBK" w:cs="Times New Roman"/>
          <w:bCs/>
          <w:color w:val="auto"/>
          <w:kern w:val="34"/>
          <w:sz w:val="33"/>
          <w:szCs w:val="33"/>
        </w:rPr>
        <w:t>《关于建设共同富裕试验区政策诉求（征求意见稿）》</w:t>
      </w:r>
      <w:r>
        <w:rPr>
          <w:rFonts w:hint="default" w:ascii="Times New Roman" w:hAnsi="Times New Roman" w:eastAsia="方正仿宋_GBK" w:cs="Times New Roman"/>
          <w:bCs/>
          <w:color w:val="auto"/>
          <w:kern w:val="34"/>
          <w:sz w:val="33"/>
          <w:szCs w:val="33"/>
          <w:lang w:eastAsia="zh-CN"/>
        </w:rPr>
        <w:t>，</w:t>
      </w:r>
      <w:r>
        <w:rPr>
          <w:rFonts w:hint="default" w:ascii="Times New Roman" w:hAnsi="Times New Roman" w:eastAsia="方正仿宋_GBK" w:cs="Times New Roman"/>
          <w:bCs/>
          <w:color w:val="auto"/>
          <w:kern w:val="34"/>
          <w:sz w:val="33"/>
          <w:szCs w:val="33"/>
          <w:lang w:val="en-US" w:eastAsia="zh-CN"/>
        </w:rPr>
        <w:t>完成氢能产业发展等专规编制</w:t>
      </w:r>
      <w:r>
        <w:rPr>
          <w:rFonts w:hint="default" w:ascii="Times New Roman" w:hAnsi="Times New Roman" w:eastAsia="方正仿宋_GBK" w:cs="Times New Roman"/>
          <w:bCs/>
          <w:color w:val="auto"/>
          <w:kern w:val="34"/>
          <w:sz w:val="33"/>
          <w:szCs w:val="33"/>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 w:val="0"/>
          <w:bCs/>
          <w:color w:val="auto"/>
          <w:kern w:val="2"/>
          <w:sz w:val="33"/>
          <w:szCs w:val="33"/>
          <w:lang w:val="en-US" w:eastAsia="zh-CN" w:bidi="ar-SA"/>
        </w:rPr>
      </w:pP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2</w:t>
      </w: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rPr>
        <w:t>固定资产投资</w:t>
      </w:r>
      <w:r>
        <w:rPr>
          <w:rFonts w:hint="default" w:ascii="Times New Roman" w:hAnsi="Times New Roman" w:eastAsia="方正仿宋_GBK" w:cs="Times New Roman"/>
          <w:b/>
          <w:bCs w:val="0"/>
          <w:color w:val="auto"/>
          <w:sz w:val="33"/>
          <w:szCs w:val="33"/>
          <w:lang w:val="en-US" w:eastAsia="zh-CN"/>
        </w:rPr>
        <w:t>提质增效。</w:t>
      </w:r>
      <w:r>
        <w:rPr>
          <w:rFonts w:hint="default" w:ascii="Times New Roman" w:hAnsi="Times New Roman" w:eastAsia="方正仿宋_GBK" w:cs="Times New Roman"/>
          <w:b w:val="0"/>
          <w:bCs/>
          <w:color w:val="auto"/>
          <w:sz w:val="33"/>
          <w:szCs w:val="33"/>
          <w:lang w:val="en-US" w:eastAsia="zh-CN"/>
        </w:rPr>
        <w:t>制定全区固定资产投资项目提质工作方案，联合区统计局对项目台账资料进行核查，优化入库资料，确保每月新项目顺利入库。积极</w:t>
      </w:r>
      <w:r>
        <w:rPr>
          <w:rFonts w:hint="default" w:ascii="Times New Roman" w:hAnsi="Times New Roman" w:eastAsia="方正仿宋_GBK" w:cs="Times New Roman"/>
          <w:b w:val="0"/>
          <w:bCs/>
          <w:color w:val="auto"/>
          <w:kern w:val="2"/>
          <w:sz w:val="33"/>
          <w:szCs w:val="33"/>
          <w:lang w:val="en-US" w:eastAsia="zh-CN" w:bidi="ar-SA"/>
        </w:rPr>
        <w:t>配合区统计局提前开展名录库工作，夯实基本单位名录库质量，确保应入尽入，为全国第五次经济普查做好准备。</w:t>
      </w:r>
      <w:r>
        <w:rPr>
          <w:rFonts w:hint="default" w:ascii="Times New Roman" w:hAnsi="Times New Roman" w:eastAsia="方正仿宋_GBK" w:cs="Times New Roman"/>
          <w:b w:val="0"/>
          <w:bCs/>
          <w:color w:val="auto"/>
          <w:sz w:val="33"/>
          <w:szCs w:val="33"/>
        </w:rPr>
        <w:t>目前，在库项目</w:t>
      </w:r>
      <w:r>
        <w:rPr>
          <w:rFonts w:hint="default" w:ascii="Times New Roman" w:hAnsi="Times New Roman" w:eastAsia="方正仿宋_GBK" w:cs="Times New Roman"/>
          <w:b w:val="0"/>
          <w:bCs/>
          <w:color w:val="auto"/>
          <w:sz w:val="33"/>
          <w:szCs w:val="33"/>
          <w:lang w:val="en-US" w:eastAsia="zh-CN"/>
        </w:rPr>
        <w:t>527</w:t>
      </w:r>
      <w:r>
        <w:rPr>
          <w:rFonts w:hint="default" w:ascii="Times New Roman" w:hAnsi="Times New Roman" w:eastAsia="方正仿宋_GBK" w:cs="Times New Roman"/>
          <w:b w:val="0"/>
          <w:bCs/>
          <w:color w:val="auto"/>
          <w:sz w:val="33"/>
          <w:szCs w:val="33"/>
        </w:rPr>
        <w:t>个</w:t>
      </w:r>
      <w:r>
        <w:rPr>
          <w:rFonts w:hint="default" w:ascii="Times New Roman" w:hAnsi="Times New Roman" w:eastAsia="方正仿宋_GBK" w:cs="Times New Roman"/>
          <w:b w:val="0"/>
          <w:bCs/>
          <w:color w:val="auto"/>
          <w:sz w:val="33"/>
          <w:szCs w:val="33"/>
          <w:lang w:eastAsia="zh-CN"/>
        </w:rPr>
        <w:t>，</w:t>
      </w:r>
      <w:r>
        <w:rPr>
          <w:rFonts w:hint="default" w:ascii="Times New Roman" w:hAnsi="Times New Roman" w:eastAsia="方正仿宋_GBK" w:cs="Times New Roman"/>
          <w:b w:val="0"/>
          <w:bCs/>
          <w:color w:val="auto"/>
          <w:sz w:val="33"/>
          <w:szCs w:val="33"/>
          <w:lang w:val="en-US" w:eastAsia="zh-CN"/>
        </w:rPr>
        <w:t>库存</w:t>
      </w:r>
      <w:r>
        <w:rPr>
          <w:rFonts w:hint="default" w:ascii="Times New Roman" w:hAnsi="Times New Roman" w:eastAsia="方正仿宋_GBK" w:cs="Times New Roman"/>
          <w:b w:val="0"/>
          <w:bCs/>
          <w:color w:val="auto"/>
          <w:sz w:val="33"/>
          <w:szCs w:val="33"/>
        </w:rPr>
        <w:t>投资</w:t>
      </w:r>
      <w:r>
        <w:rPr>
          <w:rFonts w:hint="default" w:ascii="Times New Roman" w:hAnsi="Times New Roman" w:eastAsia="方正仿宋_GBK" w:cs="Times New Roman"/>
          <w:b w:val="0"/>
          <w:bCs/>
          <w:color w:val="auto"/>
          <w:sz w:val="33"/>
          <w:szCs w:val="33"/>
          <w:lang w:val="en-US" w:eastAsia="zh-CN"/>
        </w:rPr>
        <w:t>77.8</w:t>
      </w:r>
      <w:r>
        <w:rPr>
          <w:rFonts w:hint="default" w:ascii="Times New Roman" w:hAnsi="Times New Roman" w:eastAsia="方正仿宋_GBK" w:cs="Times New Roman"/>
          <w:b w:val="0"/>
          <w:bCs/>
          <w:color w:val="auto"/>
          <w:sz w:val="33"/>
          <w:szCs w:val="33"/>
        </w:rPr>
        <w:t>亿元</w:t>
      </w:r>
      <w:r>
        <w:rPr>
          <w:rFonts w:hint="default" w:ascii="Times New Roman" w:hAnsi="Times New Roman" w:eastAsia="方正仿宋_GBK" w:cs="Times New Roman"/>
          <w:b w:val="0"/>
          <w:bCs/>
          <w:color w:val="auto"/>
          <w:sz w:val="33"/>
          <w:szCs w:val="33"/>
          <w:lang w:eastAsia="zh-CN"/>
        </w:rPr>
        <w:t>。</w:t>
      </w:r>
      <w:r>
        <w:rPr>
          <w:rFonts w:hint="default" w:ascii="Times New Roman" w:hAnsi="Times New Roman" w:eastAsia="方正仿宋_GBK" w:cs="Times New Roman"/>
          <w:b w:val="0"/>
          <w:bCs/>
          <w:color w:val="auto"/>
          <w:sz w:val="33"/>
          <w:szCs w:val="33"/>
          <w:lang w:val="en-US" w:eastAsia="zh-CN"/>
        </w:rPr>
        <w:t>1-10月预计完成投资100.7亿元，预计增速8%。全年预计增速8%，预计完成投资116.6亿元。</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楷体_GBK" w:cs="Times New Roman"/>
          <w:b/>
          <w:bCs w:val="0"/>
          <w:color w:val="auto"/>
          <w:sz w:val="33"/>
          <w:szCs w:val="33"/>
          <w:lang w:eastAsia="zh-CN"/>
        </w:rPr>
      </w:pPr>
      <w:r>
        <w:rPr>
          <w:rFonts w:hint="eastAsia" w:ascii="Times New Roman" w:hAnsi="Times New Roman" w:eastAsia="方正楷体_GBK" w:cs="Times New Roman"/>
          <w:b/>
          <w:bCs w:val="0"/>
          <w:color w:val="auto"/>
          <w:sz w:val="33"/>
          <w:szCs w:val="33"/>
          <w:lang w:val="en-US" w:eastAsia="zh-CN"/>
        </w:rPr>
        <w:t xml:space="preserve">2. </w:t>
      </w:r>
      <w:r>
        <w:rPr>
          <w:rFonts w:hint="default" w:ascii="Times New Roman" w:hAnsi="Times New Roman" w:eastAsia="方正楷体_GBK" w:cs="Times New Roman"/>
          <w:b/>
          <w:bCs w:val="0"/>
          <w:color w:val="auto"/>
          <w:sz w:val="33"/>
          <w:szCs w:val="33"/>
          <w:lang w:eastAsia="zh-CN"/>
        </w:rPr>
        <w:t>突出项目支撑，扩大有效投资</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color w:val="FF0000"/>
          <w:sz w:val="33"/>
          <w:szCs w:val="33"/>
          <w:lang w:val="en-US"/>
        </w:rPr>
      </w:pP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3</w:t>
      </w: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rPr>
        <w:t>提升项目调度精度。</w:t>
      </w:r>
      <w:r>
        <w:rPr>
          <w:rFonts w:hint="default" w:ascii="Times New Roman" w:hAnsi="Times New Roman" w:eastAsia="方正仿宋_GBK" w:cs="Times New Roman"/>
          <w:bCs/>
          <w:color w:val="auto"/>
          <w:sz w:val="33"/>
          <w:szCs w:val="33"/>
          <w:lang w:val="en-US" w:eastAsia="zh-CN"/>
        </w:rPr>
        <w:t>定期开展项目调度，加大滞后项目通报力度，梳理问题清单，针对滞后项目一事一议，实现项目有序有效推进。2022年，我区纳入省级重点项目1个，1-9月完成投资2.83亿元，年度投资完成率为90.7%，高出全市新开工省重投资完成率0.7个百分点。10月预计完成投资3.07亿元，投资完成率为98.39%。市级重点项目16个，1-9月完成投资8.02亿元，投资完成率为81.7%，高出全市投资完成率1.71个百分点。10月预计完成投资8.86亿元，投资完成率为90.37%。</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color w:val="auto"/>
          <w:sz w:val="33"/>
          <w:szCs w:val="33"/>
          <w:lang w:val="en-US" w:eastAsia="zh-CN"/>
        </w:rPr>
      </w:pP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4</w:t>
      </w: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rPr>
        <w:t>拓展项目谋划深度。</w:t>
      </w:r>
      <w:r>
        <w:rPr>
          <w:rFonts w:hint="default" w:ascii="Times New Roman" w:hAnsi="Times New Roman" w:eastAsia="方正仿宋_GBK" w:cs="Times New Roman"/>
          <w:bCs/>
          <w:color w:val="auto"/>
          <w:sz w:val="33"/>
          <w:szCs w:val="33"/>
        </w:rPr>
        <w:t>抢抓国家适度超前开展基础设施投资、新增地方政府债券保持较大规模且提速发行等宏观政策“窗口期”，</w:t>
      </w:r>
      <w:r>
        <w:rPr>
          <w:rFonts w:hint="default" w:ascii="Times New Roman" w:hAnsi="Times New Roman" w:eastAsia="方正仿宋_GBK" w:cs="Times New Roman"/>
          <w:b w:val="0"/>
          <w:bCs w:val="0"/>
          <w:kern w:val="0"/>
          <w:sz w:val="33"/>
          <w:szCs w:val="33"/>
          <w:lang w:val="en-US" w:eastAsia="zh-CN"/>
        </w:rPr>
        <w:t>瞄准攀西试验区、新能源发展、城市燃气管网、农林水利等投向，高质量包装储备一批重点项目</w:t>
      </w:r>
      <w:r>
        <w:rPr>
          <w:rFonts w:hint="default"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lang w:val="en-US" w:eastAsia="zh-CN"/>
        </w:rPr>
        <w:t>完成西区“十四五”一区一城专规的建立，包装储备项目325个，总投资263.56亿元，其中，攀西工业强区储备项目79个，总投资151.63亿元；山水灵秀新城储备项目246个，总投资111.92亿元；建立项目专规11个，储备项目313个，总投资240.62亿元。</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sz w:val="33"/>
          <w:szCs w:val="33"/>
        </w:rPr>
      </w:pP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5</w:t>
      </w: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加强资金争取力度。</w:t>
      </w:r>
      <w:r>
        <w:rPr>
          <w:rFonts w:hint="default" w:ascii="Times New Roman" w:hAnsi="Times New Roman" w:eastAsia="方正仿宋_GBK" w:cs="Times New Roman"/>
          <w:bCs/>
          <w:color w:val="auto"/>
          <w:sz w:val="33"/>
          <w:szCs w:val="33"/>
          <w:lang w:val="en-US" w:eastAsia="zh-CN"/>
        </w:rPr>
        <w:t>积极</w:t>
      </w:r>
      <w:r>
        <w:rPr>
          <w:rFonts w:hint="default" w:ascii="Times New Roman" w:hAnsi="Times New Roman" w:eastAsia="方正仿宋_GBK" w:cs="Times New Roman"/>
          <w:bCs/>
          <w:color w:val="auto"/>
          <w:sz w:val="33"/>
          <w:szCs w:val="33"/>
        </w:rPr>
        <w:t>做好中央和省预算内项目、地方政府专项债项目申报工作，争取获得更多政策资金支持。2022年，</w:t>
      </w:r>
      <w:r>
        <w:rPr>
          <w:rFonts w:hint="default" w:ascii="Times New Roman" w:hAnsi="Times New Roman" w:eastAsia="方正仿宋_GBK" w:cs="Times New Roman"/>
          <w:bCs/>
          <w:color w:val="auto"/>
          <w:sz w:val="33"/>
          <w:szCs w:val="33"/>
          <w:lang w:eastAsia="zh-CN"/>
        </w:rPr>
        <w:t>上报</w:t>
      </w:r>
      <w:r>
        <w:rPr>
          <w:rFonts w:hint="default" w:ascii="Times New Roman" w:hAnsi="Times New Roman" w:eastAsia="方正仿宋_GBK" w:cs="Times New Roman"/>
          <w:bCs/>
          <w:color w:val="auto"/>
          <w:sz w:val="33"/>
          <w:szCs w:val="33"/>
        </w:rPr>
        <w:t>中央（省）预算内投资项目</w:t>
      </w:r>
      <w:r>
        <w:rPr>
          <w:rFonts w:hint="default" w:ascii="Times New Roman" w:hAnsi="Times New Roman" w:eastAsia="方正仿宋_GBK" w:cs="Times New Roman"/>
          <w:bCs/>
          <w:color w:val="auto"/>
          <w:sz w:val="33"/>
          <w:szCs w:val="33"/>
          <w:lang w:val="en-US" w:eastAsia="zh-CN"/>
        </w:rPr>
        <w:t>12</w:t>
      </w:r>
      <w:r>
        <w:rPr>
          <w:rFonts w:hint="default" w:ascii="Times New Roman" w:hAnsi="Times New Roman" w:eastAsia="方正仿宋_GBK" w:cs="Times New Roman"/>
          <w:bCs/>
          <w:color w:val="auto"/>
          <w:sz w:val="33"/>
          <w:szCs w:val="33"/>
        </w:rPr>
        <w:t>个，总投资6.91亿元，拟争取资金1.87亿元，</w:t>
      </w:r>
      <w:r>
        <w:rPr>
          <w:rFonts w:hint="default" w:ascii="Times New Roman" w:hAnsi="Times New Roman" w:eastAsia="方正仿宋_GBK" w:cs="Times New Roman"/>
          <w:bCs/>
          <w:color w:val="auto"/>
          <w:sz w:val="33"/>
          <w:szCs w:val="33"/>
          <w:lang w:val="en-US" w:eastAsia="zh-CN"/>
        </w:rPr>
        <w:t>已</w:t>
      </w:r>
      <w:r>
        <w:rPr>
          <w:rFonts w:hint="default" w:ascii="Times New Roman" w:hAnsi="Times New Roman" w:eastAsia="方正仿宋_GBK" w:cs="Times New Roman"/>
          <w:bCs/>
          <w:color w:val="auto"/>
          <w:sz w:val="33"/>
          <w:szCs w:val="33"/>
        </w:rPr>
        <w:t>获批资金1.03亿元。上报地方政府新增专项债券3批次共13个项目，总投资4.02亿元，专项债券需求2.46亿元，通过审核项目4个，获批专项债2800万元；续发专项债券项目2个，续发资金3400万元。上报政策性开发性金融工具项目6个，总投资33.91亿元，拟申请基金5.38亿元。</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楷体_GBK" w:cs="Times New Roman"/>
          <w:b/>
          <w:bCs w:val="0"/>
          <w:color w:val="auto"/>
          <w:sz w:val="33"/>
          <w:szCs w:val="33"/>
          <w:lang w:eastAsia="zh-CN"/>
        </w:rPr>
      </w:pPr>
      <w:r>
        <w:rPr>
          <w:rFonts w:hint="eastAsia" w:ascii="Times New Roman" w:hAnsi="Times New Roman" w:eastAsia="方正楷体_GBK" w:cs="Times New Roman"/>
          <w:b/>
          <w:bCs w:val="0"/>
          <w:color w:val="auto"/>
          <w:sz w:val="33"/>
          <w:szCs w:val="33"/>
          <w:lang w:val="en-US" w:eastAsia="zh-CN"/>
        </w:rPr>
        <w:t xml:space="preserve">3. </w:t>
      </w:r>
      <w:r>
        <w:rPr>
          <w:rFonts w:hint="default" w:ascii="Times New Roman" w:hAnsi="Times New Roman" w:eastAsia="方正楷体_GBK" w:cs="Times New Roman"/>
          <w:b/>
          <w:bCs w:val="0"/>
          <w:color w:val="auto"/>
          <w:sz w:val="33"/>
          <w:szCs w:val="33"/>
          <w:lang w:eastAsia="zh-CN"/>
        </w:rPr>
        <w:t>突出</w:t>
      </w:r>
      <w:r>
        <w:rPr>
          <w:rFonts w:hint="default" w:ascii="Times New Roman" w:hAnsi="Times New Roman" w:eastAsia="方正楷体_GBK" w:cs="Times New Roman"/>
          <w:b/>
          <w:bCs w:val="0"/>
          <w:color w:val="auto"/>
          <w:sz w:val="33"/>
          <w:szCs w:val="33"/>
          <w:lang w:val="en-US" w:eastAsia="zh-CN"/>
        </w:rPr>
        <w:t>生态</w:t>
      </w:r>
      <w:r>
        <w:rPr>
          <w:rFonts w:hint="default" w:ascii="Times New Roman" w:hAnsi="Times New Roman" w:eastAsia="方正楷体_GBK" w:cs="Times New Roman"/>
          <w:b/>
          <w:bCs w:val="0"/>
          <w:color w:val="auto"/>
          <w:sz w:val="33"/>
          <w:szCs w:val="33"/>
          <w:lang w:eastAsia="zh-CN"/>
        </w:rPr>
        <w:t>发展，壮大</w:t>
      </w:r>
      <w:r>
        <w:rPr>
          <w:rFonts w:hint="default" w:ascii="Times New Roman" w:hAnsi="Times New Roman" w:eastAsia="方正楷体_GBK" w:cs="Times New Roman"/>
          <w:b/>
          <w:bCs w:val="0"/>
          <w:color w:val="auto"/>
          <w:sz w:val="33"/>
          <w:szCs w:val="33"/>
          <w:lang w:val="en-US" w:eastAsia="zh-CN"/>
        </w:rPr>
        <w:t>绿色</w:t>
      </w:r>
      <w:r>
        <w:rPr>
          <w:rFonts w:hint="default" w:ascii="Times New Roman" w:hAnsi="Times New Roman" w:eastAsia="方正楷体_GBK" w:cs="Times New Roman"/>
          <w:b/>
          <w:bCs w:val="0"/>
          <w:color w:val="auto"/>
          <w:sz w:val="33"/>
          <w:szCs w:val="33"/>
          <w:lang w:eastAsia="zh-CN"/>
        </w:rPr>
        <w:t>经济</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color w:val="FF0000"/>
          <w:sz w:val="33"/>
          <w:szCs w:val="33"/>
          <w:lang w:val="en-US" w:eastAsia="zh-CN"/>
        </w:rPr>
      </w:pP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6</w:t>
      </w: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rPr>
        <w:t>推进</w:t>
      </w:r>
      <w:r>
        <w:rPr>
          <w:rFonts w:hint="default" w:ascii="Times New Roman" w:hAnsi="Times New Roman" w:eastAsia="方正仿宋_GBK" w:cs="Times New Roman"/>
          <w:b/>
          <w:bCs w:val="0"/>
          <w:color w:val="auto"/>
          <w:sz w:val="33"/>
          <w:szCs w:val="33"/>
          <w:lang w:val="en-US" w:eastAsia="zh-CN"/>
        </w:rPr>
        <w:t>屋顶分布式光伏开发试点建设。</w:t>
      </w:r>
      <w:r>
        <w:rPr>
          <w:rFonts w:hint="default" w:ascii="Times New Roman" w:hAnsi="Times New Roman" w:eastAsia="方正仿宋_GBK" w:cs="Times New Roman"/>
          <w:bCs/>
          <w:color w:val="auto"/>
          <w:sz w:val="33"/>
          <w:szCs w:val="33"/>
          <w:lang w:val="en-US" w:eastAsia="zh-CN"/>
        </w:rPr>
        <w:t>按照“多业主共同开发”模式共同开展屋顶分布式光伏开发试点项目建设。四川能投确定首批12个点位约2.9兆瓦开发量，根据容缺审批机制已完成项目整体备案，正在进行可研编制。华电新能源公司屋顶光伏项目已完成可研编制，正在与西城供电局对接办理消纳，装机规模约0.8兆瓦。攀枝花市丰赢新能源科技有限公司按照谈好一批建设一批思路开展工作，确定首批建设点位8户0.5兆瓦，现已开工建设。</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color w:val="auto"/>
          <w:sz w:val="33"/>
          <w:szCs w:val="33"/>
        </w:rPr>
      </w:pP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7</w:t>
      </w: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积极开展</w:t>
      </w:r>
      <w:r>
        <w:rPr>
          <w:rFonts w:hint="default" w:ascii="Times New Roman" w:hAnsi="Times New Roman" w:eastAsia="方正仿宋_GBK" w:cs="Times New Roman"/>
          <w:b/>
          <w:bCs w:val="0"/>
          <w:color w:val="auto"/>
          <w:sz w:val="33"/>
          <w:szCs w:val="33"/>
        </w:rPr>
        <w:t>节能降碳工作。</w:t>
      </w:r>
      <w:r>
        <w:rPr>
          <w:rFonts w:hint="default" w:ascii="Times New Roman" w:hAnsi="Times New Roman" w:eastAsia="方正仿宋_GBK" w:cs="Times New Roman"/>
          <w:b w:val="0"/>
          <w:bCs/>
          <w:color w:val="auto"/>
          <w:sz w:val="33"/>
          <w:szCs w:val="33"/>
          <w:lang w:val="en-US" w:eastAsia="zh-CN"/>
        </w:rPr>
        <w:t>协调相关部门</w:t>
      </w:r>
      <w:r>
        <w:rPr>
          <w:rFonts w:hint="default" w:ascii="Times New Roman" w:hAnsi="Times New Roman" w:eastAsia="方正仿宋_GBK" w:cs="Times New Roman"/>
          <w:bCs/>
          <w:color w:val="auto"/>
          <w:sz w:val="33"/>
          <w:szCs w:val="33"/>
          <w:lang w:val="en-US" w:eastAsia="zh-CN"/>
        </w:rPr>
        <w:t>梳理用能企业基本情况，聘请专业公司摸排全区能耗总量空间，核查能耗数据，筛选可节能技改企业，核算全区可等量减量替代空间总量，为后续企业引进、现有企业发展做好准备，在确保完成十四五期间单位GDP能耗下降率任务的同时，保障全区经济稳步发展。积极对接省、市发展改革委，完成1个年综合能耗等价值23.5万吨以上项目-焦炉煤气综合利用年产5万吨轻量化镁基材料系列产品项目节能报告审查，省发展改革委已出具审查意见。配合市发展改革委完成“两高”企业项目排查、重点用能单位能耗在线监测系统并网监测、2019-2021年省级节能审查落实情况监督检查、重点用能单位2021年度用能权指标履约清缴等节能工作。</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color w:val="auto"/>
          <w:sz w:val="33"/>
          <w:szCs w:val="33"/>
          <w:lang w:val="en-US" w:eastAsia="zh-CN"/>
        </w:rPr>
      </w:pPr>
      <w:r>
        <w:rPr>
          <w:rFonts w:hint="eastAsia" w:ascii="Times New Roman" w:hAnsi="Times New Roman" w:eastAsia="方正楷体_GBK" w:cs="Times New Roman"/>
          <w:b/>
          <w:bCs w:val="0"/>
          <w:color w:val="auto"/>
          <w:sz w:val="33"/>
          <w:szCs w:val="33"/>
          <w:lang w:val="en-US" w:eastAsia="zh-CN"/>
        </w:rPr>
        <w:t xml:space="preserve">4. </w:t>
      </w:r>
      <w:r>
        <w:rPr>
          <w:rFonts w:hint="default" w:ascii="Times New Roman" w:hAnsi="Times New Roman" w:eastAsia="方正楷体_GBK" w:cs="Times New Roman"/>
          <w:b/>
          <w:bCs w:val="0"/>
          <w:color w:val="auto"/>
          <w:sz w:val="33"/>
          <w:szCs w:val="33"/>
          <w:lang w:eastAsia="zh-CN"/>
        </w:rPr>
        <w:t>突出</w:t>
      </w:r>
      <w:r>
        <w:rPr>
          <w:rFonts w:hint="default" w:ascii="Times New Roman" w:hAnsi="Times New Roman" w:eastAsia="方正楷体_GBK" w:cs="Times New Roman"/>
          <w:b/>
          <w:bCs w:val="0"/>
          <w:color w:val="auto"/>
          <w:sz w:val="33"/>
          <w:szCs w:val="33"/>
          <w:lang w:val="en-US" w:eastAsia="zh-CN"/>
        </w:rPr>
        <w:t>投资监管</w:t>
      </w:r>
      <w:r>
        <w:rPr>
          <w:rFonts w:hint="default" w:ascii="Times New Roman" w:hAnsi="Times New Roman" w:eastAsia="方正楷体_GBK" w:cs="Times New Roman"/>
          <w:b/>
          <w:bCs w:val="0"/>
          <w:color w:val="auto"/>
          <w:sz w:val="33"/>
          <w:szCs w:val="33"/>
          <w:lang w:eastAsia="zh-CN"/>
        </w:rPr>
        <w:t>，</w:t>
      </w:r>
      <w:r>
        <w:rPr>
          <w:rFonts w:hint="default" w:ascii="Times New Roman" w:hAnsi="Times New Roman" w:eastAsia="方正楷体_GBK" w:cs="Times New Roman"/>
          <w:b/>
          <w:bCs w:val="0"/>
          <w:color w:val="auto"/>
          <w:sz w:val="33"/>
          <w:szCs w:val="33"/>
          <w:lang w:val="en-US" w:eastAsia="zh-CN"/>
        </w:rPr>
        <w:t>优化营商环境</w:t>
      </w:r>
    </w:p>
    <w:p>
      <w:pPr>
        <w:pStyle w:val="5"/>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color w:val="FF0000"/>
          <w:sz w:val="33"/>
          <w:szCs w:val="33"/>
          <w:lang w:val="en-US" w:eastAsia="zh-CN"/>
        </w:rPr>
      </w:pPr>
      <w:r>
        <w:rPr>
          <w:rFonts w:hint="eastAsia"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8</w:t>
      </w:r>
      <w:r>
        <w:rPr>
          <w:rFonts w:hint="eastAsia"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强化政府投资全过程管理。</w:t>
      </w:r>
      <w:r>
        <w:rPr>
          <w:rFonts w:hint="default" w:ascii="Times New Roman" w:hAnsi="Times New Roman" w:eastAsia="方正仿宋_GBK" w:cs="Times New Roman"/>
          <w:bCs/>
          <w:color w:val="auto"/>
          <w:sz w:val="33"/>
          <w:szCs w:val="33"/>
        </w:rPr>
        <w:t>加强政府投资项目审批管理，切实提高政府投资效益。截至目前，共审批政府投资项目6个，总投资8650万元。</w:t>
      </w:r>
      <w:r>
        <w:rPr>
          <w:rFonts w:hint="default" w:ascii="Times New Roman" w:hAnsi="Times New Roman" w:eastAsia="方正仿宋_GBK" w:cs="Times New Roman"/>
          <w:bCs/>
          <w:color w:val="auto"/>
          <w:sz w:val="33"/>
          <w:szCs w:val="33"/>
          <w:lang w:val="en-US" w:eastAsia="zh-CN"/>
        </w:rPr>
        <w:t>指导协调全区招投标工作，通过实现招投标全流程电子化、全面取消招标文件备案、开展招投标活动在线监管等措施进一步确保招投标活动效率化、规范化和制度化。截至目前，全区开展招投标活动5次，招标控制总价5211万元，中标总价4896万元，节资率6%。深化工程招投标领域突出问题系统治理</w:t>
      </w:r>
      <w:r>
        <w:rPr>
          <w:rFonts w:hint="eastAsia" w:ascii="Times New Roman" w:hAnsi="Times New Roman" w:eastAsia="方正仿宋_GBK" w:cs="Times New Roman"/>
          <w:bCs/>
          <w:color w:val="auto"/>
          <w:sz w:val="33"/>
          <w:szCs w:val="33"/>
          <w:lang w:val="en-US" w:eastAsia="zh-CN"/>
        </w:rPr>
        <w:t>，</w:t>
      </w:r>
      <w:r>
        <w:rPr>
          <w:rFonts w:hint="default" w:ascii="Times New Roman" w:hAnsi="Times New Roman" w:eastAsia="方正仿宋_GBK" w:cs="Times New Roman"/>
          <w:bCs/>
          <w:color w:val="auto"/>
          <w:sz w:val="33"/>
          <w:szCs w:val="33"/>
          <w:lang w:val="en-US" w:eastAsia="zh-CN"/>
        </w:rPr>
        <w:t>2021年区综合执法局立案查处的违法分包案件已结案并作出行政处罚，对违法单位和个人罚款并没收违法所得19076元，切实保障招投标活动公开、公平、公正。</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color w:val="FF0000"/>
          <w:sz w:val="33"/>
          <w:szCs w:val="33"/>
          <w:lang w:val="en-US" w:eastAsia="zh-CN"/>
        </w:rPr>
      </w:pP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9</w:t>
      </w: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深化投资领域“放管服”改革。</w:t>
      </w:r>
      <w:r>
        <w:rPr>
          <w:rFonts w:hint="default" w:ascii="Times New Roman" w:hAnsi="Times New Roman" w:eastAsia="方正仿宋_GBK" w:cs="Times New Roman"/>
          <w:bCs/>
          <w:color w:val="auto"/>
          <w:sz w:val="33"/>
          <w:szCs w:val="33"/>
          <w:lang w:val="en-US" w:eastAsia="zh-CN"/>
        </w:rPr>
        <w:t>以攀枝花格里坪特色产业园区为重点，对企业投资备案项目实行承诺制，进一步优化审批流程、简化审批环节、缩短审批时限，为企业投资项目尽快开工提供制度保障。</w:t>
      </w:r>
      <w:r>
        <w:rPr>
          <w:rFonts w:hint="default" w:ascii="Times New Roman" w:hAnsi="Times New Roman" w:eastAsia="方正仿宋_GBK" w:cs="Times New Roman"/>
          <w:color w:val="auto"/>
          <w:sz w:val="33"/>
          <w:szCs w:val="33"/>
        </w:rPr>
        <w:t>截至目前，共备案企业投资项目11个，总投资55.58亿元。</w:t>
      </w:r>
      <w:r>
        <w:rPr>
          <w:rFonts w:hint="default" w:ascii="Times New Roman" w:hAnsi="Times New Roman" w:eastAsia="方正仿宋_GBK" w:cs="Times New Roman"/>
          <w:bCs/>
          <w:color w:val="auto"/>
          <w:sz w:val="33"/>
          <w:szCs w:val="33"/>
          <w:lang w:val="en-US" w:eastAsia="zh-CN"/>
        </w:rPr>
        <w:t>创新监管体制机制，严格开展企业投资项目事中事后监管，</w:t>
      </w:r>
      <w:r>
        <w:rPr>
          <w:rFonts w:hint="default" w:ascii="Times New Roman" w:hAnsi="Times New Roman" w:eastAsia="方正仿宋_GBK" w:cs="Times New Roman"/>
          <w:color w:val="auto"/>
          <w:sz w:val="33"/>
          <w:szCs w:val="33"/>
        </w:rPr>
        <w:t>初步形成以信用监管为基础，行政监管、行业自律、社会监督、公众参与的综合监管体系。</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楷体_GBK" w:cs="Times New Roman"/>
          <w:b/>
          <w:bCs w:val="0"/>
          <w:color w:val="auto"/>
          <w:sz w:val="33"/>
          <w:szCs w:val="33"/>
          <w:lang w:eastAsia="zh-CN"/>
        </w:rPr>
      </w:pPr>
      <w:r>
        <w:rPr>
          <w:rFonts w:hint="eastAsia" w:ascii="Times New Roman" w:hAnsi="Times New Roman" w:eastAsia="方正楷体_GBK" w:cs="Times New Roman"/>
          <w:b/>
          <w:bCs w:val="0"/>
          <w:color w:val="auto"/>
          <w:sz w:val="33"/>
          <w:szCs w:val="33"/>
          <w:lang w:val="en-US" w:eastAsia="zh-CN"/>
        </w:rPr>
        <w:t xml:space="preserve">5. </w:t>
      </w:r>
      <w:r>
        <w:rPr>
          <w:rFonts w:hint="default" w:ascii="Times New Roman" w:hAnsi="Times New Roman" w:eastAsia="方正楷体_GBK" w:cs="Times New Roman"/>
          <w:b/>
          <w:bCs w:val="0"/>
          <w:color w:val="auto"/>
          <w:sz w:val="33"/>
          <w:szCs w:val="33"/>
          <w:lang w:eastAsia="zh-CN"/>
        </w:rPr>
        <w:t>突出群众关切，增进民生福祉</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10</w:t>
      </w: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巩固价格工作成效</w:t>
      </w:r>
      <w:r>
        <w:rPr>
          <w:rFonts w:hint="default" w:ascii="Times New Roman" w:hAnsi="Times New Roman" w:eastAsia="方正仿宋_GBK" w:cs="Times New Roman"/>
          <w:b/>
          <w:bCs w:val="0"/>
          <w:color w:val="auto"/>
          <w:sz w:val="33"/>
          <w:szCs w:val="33"/>
        </w:rPr>
        <w:t>。</w:t>
      </w:r>
      <w:r>
        <w:rPr>
          <w:rFonts w:hint="default" w:ascii="Times New Roman" w:hAnsi="Times New Roman" w:eastAsia="方正仿宋_GBK" w:cs="Times New Roman"/>
          <w:bCs/>
          <w:color w:val="auto"/>
          <w:sz w:val="33"/>
          <w:szCs w:val="33"/>
        </w:rPr>
        <w:t>注重防疫用品价格监测，及时掌握主副食品价格动态，</w:t>
      </w:r>
      <w:r>
        <w:rPr>
          <w:rFonts w:hint="default" w:ascii="Times New Roman" w:hAnsi="Times New Roman" w:eastAsia="方正仿宋_GBK" w:cs="Times New Roman"/>
          <w:bCs/>
          <w:color w:val="auto"/>
          <w:sz w:val="33"/>
          <w:szCs w:val="33"/>
          <w:lang w:eastAsia="zh-CN"/>
        </w:rPr>
        <w:t>实</w:t>
      </w:r>
      <w:r>
        <w:rPr>
          <w:rFonts w:hint="default" w:ascii="Times New Roman" w:hAnsi="Times New Roman" w:eastAsia="方正仿宋_GBK" w:cs="Times New Roman"/>
          <w:bCs/>
          <w:color w:val="auto"/>
          <w:sz w:val="33"/>
          <w:szCs w:val="33"/>
        </w:rPr>
        <w:t>时上报监测数据，提出调控市场稳定价格政策建议。</w:t>
      </w:r>
      <w:r>
        <w:rPr>
          <w:rFonts w:hint="default" w:ascii="Times New Roman" w:hAnsi="Times New Roman" w:eastAsia="方正仿宋_GBK" w:cs="Times New Roman"/>
          <w:bCs/>
          <w:color w:val="auto"/>
          <w:sz w:val="33"/>
          <w:szCs w:val="33"/>
          <w:lang w:val="en-US" w:eastAsia="zh-CN"/>
        </w:rPr>
        <w:t>依法做好司法和仲裁领域涉案财物价格鉴定，</w:t>
      </w:r>
      <w:r>
        <w:rPr>
          <w:rFonts w:hint="default" w:ascii="Times New Roman" w:hAnsi="Times New Roman" w:eastAsia="方正仿宋_GBK" w:cs="Times New Roman"/>
          <w:bCs/>
          <w:color w:val="auto"/>
          <w:sz w:val="33"/>
          <w:szCs w:val="33"/>
        </w:rPr>
        <w:t>今年以来，共受理各类价格</w:t>
      </w:r>
      <w:r>
        <w:rPr>
          <w:rFonts w:hint="default" w:ascii="Times New Roman" w:hAnsi="Times New Roman" w:eastAsia="方正仿宋_GBK" w:cs="Times New Roman"/>
          <w:bCs/>
          <w:color w:val="auto"/>
          <w:sz w:val="33"/>
          <w:szCs w:val="33"/>
          <w:lang w:val="en-US" w:eastAsia="zh-CN"/>
        </w:rPr>
        <w:t>鉴定27</w:t>
      </w:r>
      <w:r>
        <w:rPr>
          <w:rFonts w:hint="default" w:ascii="Times New Roman" w:hAnsi="Times New Roman" w:eastAsia="方正仿宋_GBK" w:cs="Times New Roman"/>
          <w:bCs/>
          <w:color w:val="auto"/>
          <w:sz w:val="33"/>
          <w:szCs w:val="33"/>
        </w:rPr>
        <w:t>件，认定标的总额1468.58万元</w:t>
      </w:r>
      <w:r>
        <w:rPr>
          <w:rFonts w:hint="default"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其中涉税4件</w:t>
      </w:r>
      <w:r>
        <w:rPr>
          <w:rFonts w:hint="default" w:ascii="Times New Roman" w:hAnsi="Times New Roman" w:eastAsia="方正仿宋_GBK" w:cs="Times New Roman"/>
          <w:bCs/>
          <w:color w:val="auto"/>
          <w:sz w:val="33"/>
          <w:szCs w:val="33"/>
          <w:lang w:eastAsia="zh-CN"/>
        </w:rPr>
        <w:t>，认定标的总额</w:t>
      </w:r>
      <w:r>
        <w:rPr>
          <w:rFonts w:hint="default" w:ascii="Times New Roman" w:hAnsi="Times New Roman" w:eastAsia="方正仿宋_GBK" w:cs="Times New Roman"/>
          <w:bCs/>
          <w:color w:val="auto"/>
          <w:sz w:val="33"/>
          <w:szCs w:val="33"/>
        </w:rPr>
        <w:t>194.58万元。稳步推进农</w:t>
      </w:r>
      <w:r>
        <w:rPr>
          <w:rFonts w:hint="default" w:ascii="Times New Roman" w:hAnsi="Times New Roman" w:eastAsia="方正仿宋_GBK" w:cs="Times New Roman"/>
          <w:bCs/>
          <w:color w:val="auto"/>
          <w:spacing w:val="-6"/>
          <w:sz w:val="33"/>
          <w:szCs w:val="33"/>
        </w:rPr>
        <w:t>业农村水价改革</w:t>
      </w:r>
      <w:r>
        <w:rPr>
          <w:rFonts w:hint="default" w:ascii="Times New Roman" w:hAnsi="Times New Roman" w:eastAsia="方正仿宋_GBK" w:cs="Times New Roman"/>
          <w:bCs/>
          <w:color w:val="auto"/>
          <w:spacing w:val="-6"/>
          <w:sz w:val="33"/>
          <w:szCs w:val="33"/>
          <w:lang w:eastAsia="zh-CN"/>
        </w:rPr>
        <w:t>，</w:t>
      </w:r>
      <w:r>
        <w:rPr>
          <w:rFonts w:hint="default" w:ascii="Times New Roman" w:hAnsi="Times New Roman" w:eastAsia="方正仿宋_GBK" w:cs="Times New Roman"/>
          <w:color w:val="auto"/>
          <w:spacing w:val="-6"/>
          <w:kern w:val="0"/>
          <w:sz w:val="33"/>
          <w:szCs w:val="33"/>
          <w:lang w:eastAsia="zh-CN"/>
        </w:rPr>
        <w:t>目前已完成全部</w:t>
      </w:r>
      <w:r>
        <w:rPr>
          <w:rFonts w:hint="default" w:ascii="Times New Roman" w:hAnsi="Times New Roman" w:eastAsia="方正仿宋_GBK" w:cs="Times New Roman"/>
          <w:bCs/>
          <w:color w:val="auto"/>
          <w:spacing w:val="-6"/>
          <w:sz w:val="33"/>
          <w:szCs w:val="33"/>
        </w:rPr>
        <w:t>农业水价改革任务0.81万亩</w:t>
      </w:r>
      <w:r>
        <w:rPr>
          <w:rFonts w:hint="default" w:ascii="Times New Roman" w:hAnsi="Times New Roman" w:eastAsia="方正仿宋_GBK" w:cs="Times New Roman"/>
          <w:spacing w:val="-6"/>
          <w:kern w:val="0"/>
          <w:sz w:val="33"/>
          <w:szCs w:val="33"/>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sz w:val="33"/>
          <w:szCs w:val="33"/>
        </w:rPr>
      </w:pP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11</w:t>
      </w: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加强粮食安全管理</w:t>
      </w:r>
      <w:r>
        <w:rPr>
          <w:rFonts w:hint="default" w:ascii="Times New Roman" w:hAnsi="Times New Roman" w:eastAsia="方正仿宋_GBK" w:cs="Times New Roman"/>
          <w:b/>
          <w:bCs w:val="0"/>
          <w:color w:val="auto"/>
          <w:sz w:val="33"/>
          <w:szCs w:val="33"/>
        </w:rPr>
        <w:t>。</w:t>
      </w:r>
      <w:r>
        <w:rPr>
          <w:rFonts w:hint="default" w:ascii="Times New Roman" w:hAnsi="Times New Roman" w:eastAsia="方正仿宋_GBK" w:cs="Times New Roman"/>
          <w:bCs/>
          <w:sz w:val="33"/>
          <w:szCs w:val="33"/>
        </w:rPr>
        <w:t>全面落实粮食安全党政同责，对储备粮数量、质量、仓库日常管理、储备粮收购轮换情况等进行全面清查</w:t>
      </w:r>
      <w:r>
        <w:rPr>
          <w:rFonts w:hint="default" w:ascii="Times New Roman" w:hAnsi="Times New Roman" w:eastAsia="方正仿宋_GBK" w:cs="Times New Roman"/>
          <w:bCs/>
          <w:sz w:val="33"/>
          <w:szCs w:val="33"/>
          <w:lang w:eastAsia="zh-CN"/>
        </w:rPr>
        <w:t>，保质保量完成</w:t>
      </w:r>
      <w:r>
        <w:rPr>
          <w:rFonts w:hint="default" w:ascii="Times New Roman" w:hAnsi="Times New Roman" w:eastAsia="方正仿宋_GBK" w:cs="Times New Roman"/>
          <w:bCs/>
          <w:sz w:val="33"/>
          <w:szCs w:val="33"/>
          <w:lang w:val="en-US" w:eastAsia="zh-CN"/>
        </w:rPr>
        <w:t>2022年度997.31吨区级储备稻谷轮换，区级110吨储备食用油正在依流程进行储备</w:t>
      </w:r>
      <w:r>
        <w:rPr>
          <w:rFonts w:hint="default" w:ascii="Times New Roman" w:hAnsi="Times New Roman" w:eastAsia="方正仿宋_GBK" w:cs="Times New Roman"/>
          <w:bCs/>
          <w:sz w:val="33"/>
          <w:szCs w:val="33"/>
        </w:rPr>
        <w:t>。</w:t>
      </w:r>
      <w:r>
        <w:rPr>
          <w:rFonts w:hint="default" w:ascii="Times New Roman" w:hAnsi="Times New Roman" w:eastAsia="方正仿宋_GBK" w:cs="Times New Roman"/>
          <w:bCs/>
          <w:sz w:val="33"/>
          <w:szCs w:val="33"/>
          <w:lang w:val="en-US" w:eastAsia="zh-CN"/>
        </w:rPr>
        <w:t>认真</w:t>
      </w:r>
      <w:r>
        <w:rPr>
          <w:rFonts w:hint="default" w:ascii="Times New Roman" w:hAnsi="Times New Roman" w:eastAsia="方正仿宋_GBK" w:cs="Times New Roman"/>
          <w:bCs/>
          <w:sz w:val="33"/>
          <w:szCs w:val="33"/>
        </w:rPr>
        <w:t>开展粮食购稍领域专项巡察问题整改</w:t>
      </w:r>
      <w:r>
        <w:rPr>
          <w:rFonts w:hint="default" w:ascii="Times New Roman" w:hAnsi="Times New Roman" w:eastAsia="方正仿宋_GBK" w:cs="Times New Roman"/>
          <w:bCs/>
          <w:sz w:val="33"/>
          <w:szCs w:val="33"/>
          <w:lang w:eastAsia="zh-CN"/>
        </w:rPr>
        <w:t>，</w:t>
      </w:r>
      <w:r>
        <w:rPr>
          <w:rFonts w:hint="default" w:ascii="Times New Roman" w:hAnsi="Times New Roman" w:eastAsia="方正仿宋_GBK" w:cs="Times New Roman"/>
          <w:bCs/>
          <w:sz w:val="33"/>
          <w:szCs w:val="33"/>
        </w:rPr>
        <w:t>截至</w:t>
      </w:r>
      <w:r>
        <w:rPr>
          <w:rFonts w:hint="default" w:ascii="Times New Roman" w:hAnsi="Times New Roman" w:eastAsia="方正仿宋_GBK" w:cs="Times New Roman"/>
          <w:bCs/>
          <w:sz w:val="33"/>
          <w:szCs w:val="33"/>
          <w:lang w:val="en-US" w:eastAsia="zh-CN"/>
        </w:rPr>
        <w:t>目前</w:t>
      </w:r>
      <w:r>
        <w:rPr>
          <w:rFonts w:hint="default" w:ascii="Times New Roman" w:hAnsi="Times New Roman" w:eastAsia="方正仿宋_GBK" w:cs="Times New Roman"/>
          <w:bCs/>
          <w:sz w:val="33"/>
          <w:szCs w:val="33"/>
        </w:rPr>
        <w:t>，</w:t>
      </w:r>
      <w:r>
        <w:rPr>
          <w:rFonts w:hint="default" w:ascii="Times New Roman" w:hAnsi="Times New Roman" w:eastAsia="方正仿宋_GBK" w:cs="Times New Roman"/>
          <w:bCs/>
          <w:sz w:val="33"/>
          <w:szCs w:val="33"/>
          <w:lang w:val="en-US" w:eastAsia="zh-CN"/>
        </w:rPr>
        <w:t>巡察反馈问题完成</w:t>
      </w:r>
      <w:r>
        <w:rPr>
          <w:rFonts w:hint="default" w:ascii="Times New Roman" w:hAnsi="Times New Roman" w:eastAsia="方正仿宋_GBK" w:cs="Times New Roman"/>
          <w:bCs/>
          <w:sz w:val="33"/>
          <w:szCs w:val="33"/>
        </w:rPr>
        <w:t>整改落实1</w:t>
      </w:r>
      <w:r>
        <w:rPr>
          <w:rFonts w:hint="default" w:ascii="Times New Roman" w:hAnsi="Times New Roman" w:eastAsia="方正仿宋_GBK" w:cs="Times New Roman"/>
          <w:bCs/>
          <w:sz w:val="33"/>
          <w:szCs w:val="33"/>
          <w:lang w:val="en-US" w:eastAsia="zh-CN"/>
        </w:rPr>
        <w:t>4</w:t>
      </w:r>
      <w:r>
        <w:rPr>
          <w:rFonts w:hint="default" w:ascii="Times New Roman" w:hAnsi="Times New Roman" w:eastAsia="方正仿宋_GBK" w:cs="Times New Roman"/>
          <w:bCs/>
          <w:sz w:val="33"/>
          <w:szCs w:val="33"/>
        </w:rPr>
        <w:t>个，部分整改落实6个，</w:t>
      </w:r>
      <w:r>
        <w:rPr>
          <w:rFonts w:hint="default" w:ascii="Times New Roman" w:hAnsi="Times New Roman" w:eastAsia="方正仿宋_GBK" w:cs="Times New Roman"/>
          <w:bCs/>
          <w:sz w:val="33"/>
          <w:szCs w:val="33"/>
          <w:lang w:val="en-US" w:eastAsia="zh-CN"/>
        </w:rPr>
        <w:t>正在整改落实5个</w:t>
      </w:r>
      <w:r>
        <w:rPr>
          <w:rFonts w:hint="default" w:ascii="Times New Roman" w:hAnsi="Times New Roman" w:eastAsia="方正仿宋_GBK" w:cs="Times New Roman"/>
          <w:bCs/>
          <w:sz w:val="33"/>
          <w:szCs w:val="33"/>
        </w:rPr>
        <w:t>。</w:t>
      </w:r>
      <w:r>
        <w:rPr>
          <w:rFonts w:hint="default" w:ascii="Times New Roman" w:hAnsi="Times New Roman" w:eastAsia="方正仿宋_GBK" w:cs="Times New Roman"/>
          <w:bCs/>
          <w:sz w:val="33"/>
          <w:szCs w:val="33"/>
          <w:lang w:val="en-US" w:eastAsia="zh-CN"/>
        </w:rPr>
        <w:t>完善粮食应急供应网点保障协议，</w:t>
      </w:r>
      <w:r>
        <w:rPr>
          <w:rFonts w:hint="default" w:ascii="Times New Roman" w:hAnsi="Times New Roman" w:eastAsia="方正仿宋_GBK" w:cs="Times New Roman"/>
          <w:kern w:val="2"/>
          <w:sz w:val="33"/>
          <w:szCs w:val="33"/>
          <w:lang w:val="en-US" w:eastAsia="zh-CN" w:bidi="ar-SA"/>
        </w:rPr>
        <w:t>调整区级粮食供应网点，</w:t>
      </w:r>
      <w:r>
        <w:rPr>
          <w:rFonts w:hint="default" w:ascii="Times New Roman" w:hAnsi="Times New Roman" w:eastAsia="方正仿宋_GBK" w:cs="Times New Roman"/>
          <w:bCs/>
          <w:sz w:val="33"/>
          <w:szCs w:val="33"/>
          <w:lang w:val="en-US" w:eastAsia="zh-CN"/>
        </w:rPr>
        <w:t>目前已与9个应急网点、2个配送中心和1家应急加工企业签订保供协议。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default" w:ascii="Times New Roman" w:hAnsi="Times New Roman" w:eastAsia="方正仿宋_GBK" w:cs="Times New Roman"/>
          <w:b w:val="0"/>
          <w:bCs w:val="0"/>
          <w:sz w:val="33"/>
          <w:szCs w:val="33"/>
          <w:lang w:val="en-US" w:eastAsia="zh-CN"/>
        </w:rPr>
      </w:pPr>
      <w:r>
        <w:rPr>
          <w:rFonts w:hint="eastAsia" w:ascii="Times New Roman" w:hAnsi="Times New Roman" w:eastAsia="方正仿宋_GBK" w:cs="Times New Roman"/>
          <w:b/>
          <w:bCs/>
          <w:sz w:val="33"/>
          <w:szCs w:val="33"/>
          <w:lang w:val="en-US" w:eastAsia="zh-CN"/>
        </w:rPr>
        <w:t>（</w:t>
      </w:r>
      <w:r>
        <w:rPr>
          <w:rFonts w:hint="default" w:ascii="Times New Roman" w:hAnsi="Times New Roman" w:eastAsia="方正仿宋_GBK" w:cs="Times New Roman"/>
          <w:b/>
          <w:bCs/>
          <w:sz w:val="33"/>
          <w:szCs w:val="33"/>
          <w:lang w:val="en-US" w:eastAsia="zh-CN"/>
        </w:rPr>
        <w:t>12</w:t>
      </w:r>
      <w:r>
        <w:rPr>
          <w:rFonts w:hint="eastAsia" w:ascii="Times New Roman" w:hAnsi="Times New Roman" w:eastAsia="方正仿宋_GBK" w:cs="Times New Roman"/>
          <w:b/>
          <w:bCs/>
          <w:sz w:val="33"/>
          <w:szCs w:val="33"/>
          <w:lang w:val="en-US" w:eastAsia="zh-CN"/>
        </w:rPr>
        <w:t>）</w:t>
      </w:r>
      <w:r>
        <w:rPr>
          <w:rFonts w:hint="default" w:ascii="Times New Roman" w:hAnsi="Times New Roman" w:eastAsia="方正仿宋_GBK" w:cs="Times New Roman"/>
          <w:b/>
          <w:bCs/>
          <w:sz w:val="33"/>
          <w:szCs w:val="33"/>
        </w:rPr>
        <w:t>做好应急物资储备保障。</w:t>
      </w:r>
      <w:r>
        <w:rPr>
          <w:rFonts w:hint="default" w:ascii="Times New Roman" w:hAnsi="Times New Roman" w:eastAsia="方正仿宋_GBK" w:cs="Times New Roman"/>
          <w:bCs/>
          <w:sz w:val="33"/>
          <w:szCs w:val="33"/>
        </w:rPr>
        <w:t>牵头制定《攀枝花市西区应对极端条件下的新冠肺炎疫情生活物资保障实施预案》，及时跟踪掌握防疫物资使用和需求情况，按照30天使用量的标准储备防疫应急物资。</w:t>
      </w:r>
      <w:r>
        <w:rPr>
          <w:rFonts w:hint="default" w:ascii="Times New Roman" w:hAnsi="Times New Roman" w:eastAsia="方正仿宋_GBK" w:cs="Times New Roman"/>
          <w:bCs/>
          <w:color w:val="auto"/>
          <w:sz w:val="33"/>
          <w:szCs w:val="33"/>
        </w:rPr>
        <w:t>今年以来，争取</w:t>
      </w:r>
      <w:r>
        <w:rPr>
          <w:rFonts w:hint="default" w:ascii="Times New Roman" w:hAnsi="Times New Roman" w:eastAsia="方正仿宋_GBK" w:cs="Times New Roman"/>
          <w:bCs/>
          <w:color w:val="auto"/>
          <w:sz w:val="33"/>
          <w:szCs w:val="33"/>
          <w:lang w:val="en-US" w:eastAsia="zh-CN"/>
        </w:rPr>
        <w:t>到</w:t>
      </w:r>
      <w:r>
        <w:rPr>
          <w:rFonts w:hint="default" w:ascii="Times New Roman" w:hAnsi="Times New Roman" w:eastAsia="方正仿宋_GBK" w:cs="Times New Roman"/>
          <w:bCs/>
          <w:color w:val="auto"/>
          <w:sz w:val="33"/>
          <w:szCs w:val="33"/>
        </w:rPr>
        <w:t>防疫物资保障经费569744元，开展防疫物资采购工作3次，共计435972元。建立应急救灾物资总台账，动态掌握救灾物资储备情况。</w:t>
      </w:r>
      <w:r>
        <w:rPr>
          <w:rFonts w:hint="default" w:ascii="Times New Roman" w:hAnsi="Times New Roman" w:eastAsia="方正仿宋_GBK" w:cs="Times New Roman"/>
          <w:bCs/>
          <w:color w:val="auto"/>
          <w:sz w:val="33"/>
          <w:szCs w:val="33"/>
          <w:lang w:val="en-US" w:eastAsia="zh-CN"/>
        </w:rPr>
        <w:t>截至目前，全区共储备单帐篷117顶，棉被481床，棉大衣323件，折叠床140张和其它应急物资若干。</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color w:val="FF0000"/>
          <w:sz w:val="33"/>
          <w:szCs w:val="33"/>
        </w:rPr>
      </w:pPr>
      <w:r>
        <w:rPr>
          <w:rFonts w:hint="eastAsia" w:ascii="Times New Roman" w:hAnsi="Times New Roman" w:eastAsia="方正楷体_GBK" w:cs="Times New Roman"/>
          <w:b/>
          <w:bCs w:val="0"/>
          <w:color w:val="auto"/>
          <w:sz w:val="33"/>
          <w:szCs w:val="33"/>
          <w:lang w:val="en-US" w:eastAsia="zh-CN"/>
        </w:rPr>
        <w:t xml:space="preserve">6. </w:t>
      </w:r>
      <w:r>
        <w:rPr>
          <w:rFonts w:hint="default" w:ascii="Times New Roman" w:hAnsi="Times New Roman" w:eastAsia="方正楷体_GBK" w:cs="Times New Roman"/>
          <w:b/>
          <w:bCs w:val="0"/>
          <w:color w:val="auto"/>
          <w:sz w:val="33"/>
          <w:szCs w:val="33"/>
          <w:lang w:eastAsia="zh-CN"/>
        </w:rPr>
        <w:t>突出政治建设，打造廉洁高效机关</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color w:val="auto"/>
          <w:sz w:val="33"/>
          <w:szCs w:val="33"/>
        </w:rPr>
      </w:pP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13</w:t>
      </w: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rPr>
        <w:t>强化政治引领。</w:t>
      </w:r>
      <w:r>
        <w:rPr>
          <w:rFonts w:hint="default" w:ascii="Times New Roman" w:hAnsi="Times New Roman" w:eastAsia="方正仿宋_GBK" w:cs="Times New Roman"/>
          <w:bCs/>
          <w:color w:val="auto"/>
          <w:sz w:val="33"/>
          <w:szCs w:val="33"/>
        </w:rPr>
        <w:t>聚焦党的二十大，深入学习贯彻习近平新时代中国特色社会主义思想和党的十九届历次全会精神。坚持思想引领、学习在先，严格党组中心组理论学习，强化“两个确立”，不断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Cs/>
          <w:color w:val="auto"/>
          <w:sz w:val="33"/>
          <w:szCs w:val="33"/>
        </w:rPr>
      </w:pP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14</w:t>
      </w: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强化作风建设。</w:t>
      </w:r>
      <w:r>
        <w:rPr>
          <w:rFonts w:hint="default" w:ascii="Times New Roman" w:hAnsi="Times New Roman" w:eastAsia="方正仿宋_GBK" w:cs="Times New Roman"/>
          <w:bCs/>
          <w:color w:val="auto"/>
          <w:sz w:val="33"/>
          <w:szCs w:val="33"/>
        </w:rPr>
        <w:t>按照党要管党、从严治党要求，从主要领导到分管领导再到责任股室负责人均签署廉政承诺书，认真落实“一岗双责”制度。针对廉政风险重点</w:t>
      </w:r>
      <w:r>
        <w:rPr>
          <w:rFonts w:hint="default" w:ascii="Times New Roman" w:hAnsi="Times New Roman" w:eastAsia="方正仿宋_GBK" w:cs="Times New Roman"/>
          <w:bCs/>
          <w:color w:val="auto"/>
          <w:sz w:val="33"/>
          <w:szCs w:val="33"/>
          <w:lang w:val="en-US" w:eastAsia="zh-CN"/>
        </w:rPr>
        <w:t>股室</w:t>
      </w:r>
      <w:r>
        <w:rPr>
          <w:rFonts w:hint="default" w:ascii="Times New Roman" w:hAnsi="Times New Roman" w:eastAsia="方正仿宋_GBK" w:cs="Times New Roman"/>
          <w:bCs/>
          <w:color w:val="auto"/>
          <w:sz w:val="33"/>
          <w:szCs w:val="33"/>
        </w:rPr>
        <w:t>和廉政风险重点岗位开展风险排查，切实做到人员清、底数清。组织干部职工扎实开展以案促改教育整顿活动，筑牢拒腐防变思想防线。</w:t>
      </w:r>
    </w:p>
    <w:p>
      <w:pPr>
        <w:widowControl/>
        <w:adjustRightInd w:val="0"/>
        <w:snapToGrid w:val="0"/>
        <w:spacing w:line="560" w:lineRule="exact"/>
        <w:ind w:firstLine="663" w:firstLineChars="200"/>
        <w:contextualSpacing/>
        <w:jc w:val="left"/>
        <w:rPr>
          <w:rFonts w:hint="default" w:ascii="Times New Roman" w:hAnsi="Times New Roman" w:eastAsia="方正仿宋_GBK" w:cs="Times New Roman"/>
          <w:bCs/>
          <w:color w:val="auto"/>
          <w:sz w:val="33"/>
          <w:szCs w:val="33"/>
        </w:rPr>
      </w:pP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15</w:t>
      </w:r>
      <w:r>
        <w:rPr>
          <w:rFonts w:hint="eastAsia" w:ascii="Times New Roman" w:hAnsi="Times New Roman" w:eastAsia="方正仿宋_GBK" w:cs="Times New Roman"/>
          <w:b/>
          <w:bCs w:val="0"/>
          <w:color w:val="auto"/>
          <w:sz w:val="33"/>
          <w:szCs w:val="33"/>
          <w:lang w:val="en-US" w:eastAsia="zh-CN"/>
        </w:rPr>
        <w:t>）</w:t>
      </w:r>
      <w:r>
        <w:rPr>
          <w:rFonts w:hint="default" w:ascii="Times New Roman" w:hAnsi="Times New Roman" w:eastAsia="方正仿宋_GBK" w:cs="Times New Roman"/>
          <w:b/>
          <w:bCs w:val="0"/>
          <w:color w:val="auto"/>
          <w:sz w:val="33"/>
          <w:szCs w:val="33"/>
          <w:lang w:val="en-US" w:eastAsia="zh-CN"/>
        </w:rPr>
        <w:t>强化示范引领。</w:t>
      </w:r>
      <w:r>
        <w:rPr>
          <w:rFonts w:hint="default" w:ascii="Times New Roman" w:hAnsi="Times New Roman" w:eastAsia="方正仿宋_GBK" w:cs="Times New Roman"/>
          <w:bCs/>
          <w:color w:val="auto"/>
          <w:sz w:val="33"/>
          <w:szCs w:val="33"/>
        </w:rPr>
        <w:t>在疫情防控、森林防火工作的紧要关头和关键时段，局党员干部</w:t>
      </w:r>
      <w:r>
        <w:rPr>
          <w:rFonts w:hint="default" w:ascii="Times New Roman" w:hAnsi="Times New Roman" w:eastAsia="方正仿宋_GBK" w:cs="Times New Roman"/>
          <w:bCs/>
          <w:color w:val="auto"/>
          <w:sz w:val="33"/>
          <w:szCs w:val="33"/>
          <w:lang w:val="en-US" w:eastAsia="zh-CN"/>
        </w:rPr>
        <w:t>发挥党员先锋模范带头作用</w:t>
      </w:r>
      <w:r>
        <w:rPr>
          <w:rFonts w:hint="default" w:ascii="Times New Roman" w:hAnsi="Times New Roman" w:eastAsia="方正仿宋_GBK" w:cs="Times New Roman"/>
          <w:bCs/>
          <w:color w:val="auto"/>
          <w:sz w:val="33"/>
          <w:szCs w:val="33"/>
        </w:rPr>
        <w:t>，坚决贯彻区委、区</w:t>
      </w:r>
      <w:r>
        <w:rPr>
          <w:rFonts w:hint="default" w:ascii="Times New Roman" w:hAnsi="Times New Roman" w:eastAsia="方正仿宋_GBK" w:cs="Times New Roman"/>
          <w:bCs/>
          <w:color w:val="auto"/>
          <w:sz w:val="33"/>
          <w:szCs w:val="33"/>
          <w:lang w:val="en-US" w:eastAsia="zh-CN"/>
        </w:rPr>
        <w:t>政府</w:t>
      </w:r>
      <w:r>
        <w:rPr>
          <w:rFonts w:hint="default" w:ascii="Times New Roman" w:hAnsi="Times New Roman" w:eastAsia="方正仿宋_GBK" w:cs="Times New Roman"/>
          <w:bCs/>
          <w:color w:val="auto"/>
          <w:sz w:val="33"/>
          <w:szCs w:val="33"/>
        </w:rPr>
        <w:t>的统一部署，克服困难，积极主动到森林防火、疫情防控卡点值守，做好宣传教育、秩序维护等工作。</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widowControl/>
        <w:adjustRightInd w:val="0"/>
        <w:snapToGrid w:val="0"/>
        <w:spacing w:line="560" w:lineRule="exact"/>
        <w:ind w:firstLine="640" w:firstLineChars="200"/>
        <w:contextualSpacing/>
        <w:jc w:val="left"/>
        <w:rPr>
          <w:rFonts w:hint="eastAsia"/>
          <w:lang w:val="zh-CN"/>
        </w:rPr>
      </w:pPr>
      <w:r>
        <w:rPr>
          <w:rFonts w:eastAsia="仿宋"/>
          <w:color w:val="000000"/>
          <w:sz w:val="32"/>
          <w:szCs w:val="32"/>
        </w:rPr>
        <w:t>严格预算支出管理。在支出预算编制上，人员经费按照配置定额，逐人核定编制，公用经费分类分档，按定额编制；根据“总量控制、计划管理”的要求从严控制行政经费，压缩公务费开支，严格控制“三公”经费，按照预算科目和项目资金的规定使用财政资金，保障部门整体支出的规范化、制度化。</w:t>
      </w:r>
      <w:r>
        <w:rPr>
          <w:rFonts w:hint="default" w:ascii="Times New Roman" w:hAnsi="Times New Roman" w:eastAsia="仿宋_GB2312" w:cs="Times New Roman"/>
          <w:color w:val="auto"/>
          <w:kern w:val="0"/>
          <w:sz w:val="32"/>
          <w:szCs w:val="32"/>
          <w:shd w:val="clear" w:color="auto" w:fill="FFFFFF"/>
          <w:lang w:val="zh-CN"/>
        </w:rPr>
        <w:t>机关落实过紧日子的要求，按期支付日常公用经费，鼓励使用公务卡结算，严控会务、培训、差旅等公务事项审批，加强内部控制管理，公用支出保证了部门的正常运转，项目支出保障了重点工作的开展</w:t>
      </w:r>
      <w:r>
        <w:rPr>
          <w:rFonts w:hint="default" w:ascii="Times New Roman" w:hAnsi="Times New Roman" w:eastAsia="仿宋_GB2312" w:cs="Times New Roman"/>
          <w:color w:val="auto"/>
          <w:sz w:val="32"/>
          <w:szCs w:val="32"/>
        </w:rPr>
        <w:t>。</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22年本年收入合计676.2</w:t>
      </w:r>
      <w:r>
        <w:rPr>
          <w:rFonts w:hint="eastAsia" w:ascii="仿宋" w:hAnsi="仿宋" w:eastAsia="仿宋"/>
          <w:sz w:val="32"/>
          <w:szCs w:val="32"/>
          <w:lang w:val="en-US" w:eastAsia="zh-CN"/>
        </w:rPr>
        <w:t>0</w:t>
      </w:r>
      <w:r>
        <w:rPr>
          <w:rFonts w:hint="eastAsia" w:ascii="仿宋" w:hAnsi="仿宋" w:eastAsia="仿宋"/>
          <w:sz w:val="32"/>
          <w:szCs w:val="32"/>
        </w:rPr>
        <w:t>万元，其中：一般公共预算财政拨款收入529.67万元，占</w:t>
      </w:r>
      <w:r>
        <w:rPr>
          <w:rFonts w:hint="eastAsia" w:ascii="仿宋" w:hAnsi="仿宋" w:eastAsia="仿宋"/>
          <w:sz w:val="32"/>
          <w:szCs w:val="32"/>
          <w:lang w:val="en-US" w:eastAsia="zh-CN"/>
        </w:rPr>
        <w:t>78</w:t>
      </w:r>
      <w:r>
        <w:rPr>
          <w:rFonts w:ascii="仿宋" w:hAnsi="仿宋" w:eastAsia="仿宋"/>
          <w:sz w:val="32"/>
          <w:szCs w:val="32"/>
        </w:rPr>
        <w:t>%</w:t>
      </w:r>
      <w:r>
        <w:rPr>
          <w:rFonts w:hint="eastAsia" w:ascii="仿宋" w:hAnsi="仿宋" w:eastAsia="仿宋"/>
          <w:sz w:val="32"/>
          <w:szCs w:val="32"/>
        </w:rPr>
        <w:t>；政府性基金预算财政拨款收入146.47万元，占</w:t>
      </w:r>
      <w:r>
        <w:rPr>
          <w:rFonts w:hint="eastAsia" w:ascii="仿宋" w:hAnsi="仿宋" w:eastAsia="仿宋"/>
          <w:sz w:val="32"/>
          <w:szCs w:val="32"/>
          <w:lang w:val="en-US" w:eastAsia="zh-CN"/>
        </w:rPr>
        <w:t>22</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0.06</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部门总体支出情况</w:t>
      </w:r>
    </w:p>
    <w:p>
      <w:pPr>
        <w:widowControl/>
        <w:numPr>
          <w:ilvl w:val="0"/>
          <w:numId w:val="0"/>
        </w:numPr>
        <w:adjustRightInd w:val="0"/>
        <w:snapToGrid w:val="0"/>
        <w:spacing w:line="560" w:lineRule="exact"/>
        <w:ind w:firstLine="640" w:firstLineChars="200"/>
        <w:contextualSpacing/>
        <w:jc w:val="left"/>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22年本年支出合计805.67万元，其中：基本支出413.87万元，占</w:t>
      </w:r>
      <w:r>
        <w:rPr>
          <w:rFonts w:hint="eastAsia" w:ascii="仿宋" w:hAnsi="仿宋" w:eastAsia="仿宋"/>
          <w:sz w:val="32"/>
          <w:szCs w:val="32"/>
          <w:lang w:val="en-US" w:eastAsia="zh-CN"/>
        </w:rPr>
        <w:t>51</w:t>
      </w:r>
      <w:r>
        <w:rPr>
          <w:rFonts w:ascii="仿宋" w:hAnsi="仿宋" w:eastAsia="仿宋"/>
          <w:sz w:val="32"/>
          <w:szCs w:val="32"/>
        </w:rPr>
        <w:t>%</w:t>
      </w:r>
      <w:r>
        <w:rPr>
          <w:rFonts w:hint="eastAsia" w:ascii="仿宋" w:hAnsi="仿宋" w:eastAsia="仿宋"/>
          <w:sz w:val="32"/>
          <w:szCs w:val="32"/>
        </w:rPr>
        <w:t>；项目支出391.8</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49</w:t>
      </w:r>
      <w:r>
        <w:rPr>
          <w:rFonts w:ascii="仿宋" w:hAnsi="仿宋" w:eastAsia="仿宋"/>
          <w:sz w:val="32"/>
          <w:szCs w:val="32"/>
        </w:rPr>
        <w:t>%</w:t>
      </w:r>
      <w:r>
        <w:rPr>
          <w:rFonts w:hint="eastAsia" w:ascii="仿宋" w:hAnsi="仿宋" w:eastAsia="仿宋"/>
          <w:sz w:val="32"/>
          <w:szCs w:val="32"/>
        </w:rPr>
        <w:t>。</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部门总体结转结余情况</w:t>
      </w:r>
    </w:p>
    <w:p>
      <w:pPr>
        <w:widowControl/>
        <w:numPr>
          <w:ilvl w:val="0"/>
          <w:numId w:val="0"/>
        </w:numPr>
        <w:adjustRightInd w:val="0"/>
        <w:snapToGrid w:val="0"/>
        <w:spacing w:line="560" w:lineRule="exact"/>
        <w:ind w:firstLine="640" w:firstLineChars="200"/>
        <w:contextualSpacing/>
        <w:jc w:val="left"/>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rPr>
        <w:t>年初结转和结余</w:t>
      </w:r>
      <w:r>
        <w:rPr>
          <w:rFonts w:hint="eastAsia" w:ascii="仿宋_GB2312" w:hAnsi="仿宋_GB2312" w:eastAsia="仿宋_GB2312" w:cs="仿宋_GB2312"/>
          <w:kern w:val="0"/>
          <w:sz w:val="32"/>
          <w:szCs w:val="32"/>
          <w:shd w:val="clear" w:color="auto" w:fill="FFFFFF"/>
          <w:lang w:val="en-US" w:eastAsia="zh-CN"/>
        </w:rPr>
        <w:t>141.07万元，年末结转和结余11.60万元。</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22年本年收入合计676.</w:t>
      </w:r>
      <w:r>
        <w:rPr>
          <w:rFonts w:hint="eastAsia" w:ascii="仿宋" w:hAnsi="仿宋" w:eastAsia="仿宋"/>
          <w:sz w:val="32"/>
          <w:szCs w:val="32"/>
          <w:lang w:val="en-US" w:eastAsia="zh-CN"/>
        </w:rPr>
        <w:t>14</w:t>
      </w:r>
      <w:r>
        <w:rPr>
          <w:rFonts w:hint="eastAsia" w:ascii="仿宋" w:hAnsi="仿宋" w:eastAsia="仿宋"/>
          <w:sz w:val="32"/>
          <w:szCs w:val="32"/>
        </w:rPr>
        <w:t>万元，其中：一般公共预算财政拨款收入529.67万元，占</w:t>
      </w:r>
      <w:r>
        <w:rPr>
          <w:rFonts w:hint="eastAsia" w:ascii="仿宋" w:hAnsi="仿宋" w:eastAsia="仿宋"/>
          <w:sz w:val="32"/>
          <w:szCs w:val="32"/>
          <w:lang w:val="en-US" w:eastAsia="zh-CN"/>
        </w:rPr>
        <w:t>78</w:t>
      </w:r>
      <w:r>
        <w:rPr>
          <w:rFonts w:ascii="仿宋" w:hAnsi="仿宋" w:eastAsia="仿宋"/>
          <w:sz w:val="32"/>
          <w:szCs w:val="32"/>
        </w:rPr>
        <w:t>%</w:t>
      </w:r>
      <w:r>
        <w:rPr>
          <w:rFonts w:hint="eastAsia" w:ascii="仿宋" w:hAnsi="仿宋" w:eastAsia="仿宋"/>
          <w:sz w:val="32"/>
          <w:szCs w:val="32"/>
        </w:rPr>
        <w:t>；政府性基金预算财政拨款收入146.47万元，占</w:t>
      </w:r>
      <w:r>
        <w:rPr>
          <w:rFonts w:hint="eastAsia" w:ascii="仿宋" w:hAnsi="仿宋" w:eastAsia="仿宋"/>
          <w:sz w:val="32"/>
          <w:szCs w:val="32"/>
          <w:lang w:val="en-US" w:eastAsia="zh-CN"/>
        </w:rPr>
        <w:t>22</w:t>
      </w:r>
      <w:r>
        <w:rPr>
          <w:rFonts w:ascii="仿宋" w:hAnsi="仿宋" w:eastAsia="仿宋"/>
          <w:sz w:val="32"/>
          <w:szCs w:val="32"/>
        </w:rPr>
        <w:t>%</w:t>
      </w:r>
      <w:r>
        <w:rPr>
          <w:rFonts w:hint="eastAsia" w:ascii="仿宋" w:hAnsi="仿宋" w:eastAsia="仿宋"/>
          <w:sz w:val="32"/>
          <w:szCs w:val="32"/>
        </w:rPr>
        <w:t>。</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部门财政拨款支出情况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2022年</w:t>
      </w:r>
      <w:r>
        <w:rPr>
          <w:rFonts w:hint="eastAsia" w:ascii="仿宋_GB2312" w:hAnsi="宋体" w:eastAsia="仿宋_GB2312" w:cs="宋体"/>
          <w:color w:val="000000"/>
          <w:kern w:val="0"/>
          <w:sz w:val="32"/>
          <w:szCs w:val="32"/>
          <w:shd w:val="clear" w:color="auto" w:fill="FFFFFF"/>
          <w:lang w:val="zh-CN"/>
        </w:rPr>
        <w:t>财政拨款支出</w:t>
      </w:r>
      <w:r>
        <w:rPr>
          <w:rFonts w:hint="eastAsia" w:ascii="仿宋_GB2312" w:hAnsi="宋体" w:eastAsia="仿宋_GB2312" w:cs="宋体"/>
          <w:color w:val="000000"/>
          <w:kern w:val="0"/>
          <w:sz w:val="32"/>
          <w:szCs w:val="32"/>
          <w:shd w:val="clear" w:color="auto" w:fill="FFFFFF"/>
          <w:lang w:val="en-US" w:eastAsia="zh-CN"/>
        </w:rPr>
        <w:t>805.67万元，其中：</w:t>
      </w:r>
      <w:r>
        <w:rPr>
          <w:rFonts w:hint="eastAsia" w:ascii="仿宋" w:hAnsi="仿宋" w:eastAsia="仿宋"/>
          <w:sz w:val="32"/>
          <w:szCs w:val="32"/>
        </w:rPr>
        <w:t>基本支出</w:t>
      </w:r>
      <w:r>
        <w:rPr>
          <w:rFonts w:hint="eastAsia" w:ascii="仿宋" w:hAnsi="仿宋" w:eastAsia="仿宋"/>
          <w:sz w:val="32"/>
          <w:szCs w:val="32"/>
          <w:lang w:val="en-US" w:eastAsia="zh-CN"/>
        </w:rPr>
        <w:t>413.87</w:t>
      </w:r>
      <w:r>
        <w:rPr>
          <w:rFonts w:hint="eastAsia" w:ascii="仿宋" w:hAnsi="仿宋" w:eastAsia="仿宋"/>
          <w:sz w:val="32"/>
          <w:szCs w:val="32"/>
        </w:rPr>
        <w:t>万元，占</w:t>
      </w:r>
      <w:r>
        <w:rPr>
          <w:rFonts w:hint="eastAsia" w:ascii="仿宋" w:hAnsi="仿宋" w:eastAsia="仿宋"/>
          <w:sz w:val="32"/>
          <w:szCs w:val="32"/>
          <w:lang w:val="en-US" w:eastAsia="zh-CN"/>
        </w:rPr>
        <w:t>51</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391.80</w:t>
      </w:r>
      <w:r>
        <w:rPr>
          <w:rFonts w:hint="eastAsia" w:ascii="仿宋" w:hAnsi="仿宋" w:eastAsia="仿宋"/>
          <w:sz w:val="32"/>
          <w:szCs w:val="32"/>
        </w:rPr>
        <w:t>万元，占</w:t>
      </w:r>
      <w:r>
        <w:rPr>
          <w:rFonts w:hint="eastAsia" w:ascii="仿宋" w:hAnsi="仿宋" w:eastAsia="仿宋"/>
          <w:sz w:val="32"/>
          <w:szCs w:val="32"/>
          <w:lang w:val="en-US" w:eastAsia="zh-CN"/>
        </w:rPr>
        <w:t>49</w:t>
      </w:r>
      <w:r>
        <w:rPr>
          <w:rFonts w:ascii="仿宋" w:hAnsi="仿宋" w:eastAsia="仿宋"/>
          <w:sz w:val="32"/>
          <w:szCs w:val="32"/>
        </w:rPr>
        <w:t>%</w:t>
      </w:r>
      <w:r>
        <w:rPr>
          <w:rFonts w:hint="eastAsia" w:ascii="仿宋" w:hAnsi="仿宋" w:eastAsia="仿宋"/>
          <w:sz w:val="32"/>
          <w:szCs w:val="32"/>
        </w:rPr>
        <w:t>。</w:t>
      </w:r>
    </w:p>
    <w:p>
      <w:pPr>
        <w:widowControl/>
        <w:numPr>
          <w:ilvl w:val="0"/>
          <w:numId w:val="0"/>
        </w:numPr>
        <w:adjustRightInd w:val="0"/>
        <w:snapToGrid w:val="0"/>
        <w:spacing w:line="560" w:lineRule="exact"/>
        <w:ind w:left="672" w:leftChars="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部门财政拨款结转结余情况</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eastAsia="zh-CN"/>
        </w:rPr>
        <w:t>财政拨款</w:t>
      </w:r>
      <w:r>
        <w:rPr>
          <w:rFonts w:hint="eastAsia" w:ascii="仿宋_GB2312" w:hAnsi="仿宋_GB2312" w:eastAsia="仿宋_GB2312" w:cs="仿宋_GB2312"/>
          <w:kern w:val="0"/>
          <w:sz w:val="32"/>
          <w:szCs w:val="32"/>
          <w:shd w:val="clear" w:color="auto" w:fill="FFFFFF"/>
        </w:rPr>
        <w:t>年初结转和结余</w:t>
      </w:r>
      <w:r>
        <w:rPr>
          <w:rFonts w:hint="eastAsia" w:ascii="仿宋_GB2312" w:hAnsi="仿宋_GB2312" w:eastAsia="仿宋_GB2312" w:cs="仿宋_GB2312"/>
          <w:kern w:val="0"/>
          <w:sz w:val="32"/>
          <w:szCs w:val="32"/>
          <w:shd w:val="clear" w:color="auto" w:fill="FFFFFF"/>
          <w:lang w:val="en-US" w:eastAsia="zh-CN"/>
        </w:rPr>
        <w:t>140.55万元，年末结转和结余11.02万元。</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pStyle w:val="6"/>
        <w:ind w:firstLine="640" w:firstLineChars="200"/>
      </w:pPr>
      <w:r>
        <w:rPr>
          <w:rFonts w:ascii="仿宋" w:hAnsi="仿宋" w:eastAsia="仿宋"/>
          <w:sz w:val="32"/>
          <w:szCs w:val="32"/>
        </w:rPr>
        <w:t>2022年及时准确核算发放在职及退休人员的工资和各项待遇，共支出人员经费</w:t>
      </w:r>
      <w:r>
        <w:rPr>
          <w:rFonts w:hint="eastAsia" w:ascii="仿宋" w:hAnsi="仿宋" w:eastAsia="仿宋"/>
          <w:sz w:val="32"/>
          <w:szCs w:val="32"/>
        </w:rPr>
        <w:t>380.57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pPr>
      <w:r>
        <w:rPr>
          <w:rFonts w:ascii="仿宋" w:hAnsi="仿宋" w:eastAsia="仿宋"/>
          <w:sz w:val="32"/>
          <w:szCs w:val="32"/>
        </w:rPr>
        <w:t>2022年贯彻</w:t>
      </w:r>
      <w:r>
        <w:rPr>
          <w:rFonts w:hint="eastAsia" w:ascii="仿宋" w:hAnsi="仿宋" w:eastAsia="仿宋"/>
          <w:sz w:val="32"/>
          <w:szCs w:val="32"/>
        </w:rPr>
        <w:t>区</w:t>
      </w:r>
      <w:r>
        <w:rPr>
          <w:rFonts w:ascii="仿宋" w:hAnsi="仿宋" w:eastAsia="仿宋"/>
          <w:sz w:val="32"/>
          <w:szCs w:val="32"/>
        </w:rPr>
        <w:t>委、</w:t>
      </w:r>
      <w:r>
        <w:rPr>
          <w:rFonts w:hint="eastAsia" w:ascii="仿宋" w:hAnsi="仿宋" w:eastAsia="仿宋"/>
          <w:sz w:val="32"/>
          <w:szCs w:val="32"/>
        </w:rPr>
        <w:t>区</w:t>
      </w:r>
      <w:r>
        <w:rPr>
          <w:rFonts w:ascii="仿宋" w:hAnsi="仿宋" w:eastAsia="仿宋"/>
          <w:sz w:val="32"/>
          <w:szCs w:val="32"/>
        </w:rPr>
        <w:t>政府过紧日子要求，按照厉行节约原则，严格控制“三公经费”支出，强化支出及项目绩效管理，保证机关单位的正常运转，按照规定使用</w:t>
      </w:r>
      <w:r>
        <w:rPr>
          <w:rFonts w:hint="eastAsia" w:ascii="仿宋" w:hAnsi="仿宋" w:eastAsia="仿宋"/>
          <w:sz w:val="32"/>
          <w:szCs w:val="32"/>
        </w:rPr>
        <w:t>公用经费33.3</w:t>
      </w:r>
      <w:r>
        <w:rPr>
          <w:rFonts w:hint="eastAsia" w:ascii="仿宋" w:hAnsi="仿宋" w:eastAsia="仿宋"/>
          <w:sz w:val="32"/>
          <w:szCs w:val="32"/>
          <w:lang w:val="en-US" w:eastAsia="zh-CN"/>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落实部门职责</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发挥部门职能</w:t>
      </w:r>
      <w:r>
        <w:rPr>
          <w:rFonts w:hint="eastAsia" w:eastAsia="仿宋_GB2312" w:cs="Times New Roman"/>
          <w:sz w:val="32"/>
          <w:szCs w:val="32"/>
          <w:lang w:eastAsia="zh-CN"/>
        </w:rPr>
        <w:t>，推进工作开展。</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spacing w:line="580" w:lineRule="exact"/>
        <w:ind w:firstLine="641"/>
        <w:rPr>
          <w:rFonts w:hint="default" w:ascii="Times New Roman" w:hAnsi="Times New Roman" w:eastAsia="仿宋_GB2312" w:cs="Times New Roman"/>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效益指标完成情况：2022年</w:t>
      </w:r>
      <w:r>
        <w:rPr>
          <w:rFonts w:hint="eastAsia" w:ascii="仿宋_GB2312" w:hAnsi="仿宋_GB2312" w:eastAsia="仿宋_GB2312" w:cs="仿宋_GB2312"/>
          <w:kern w:val="0"/>
          <w:sz w:val="32"/>
          <w:szCs w:val="32"/>
          <w:shd w:val="clear" w:color="auto" w:fill="FFFFFF"/>
          <w:lang w:eastAsia="zh-CN"/>
        </w:rPr>
        <w:t>西区发展和改革局</w:t>
      </w:r>
      <w:r>
        <w:rPr>
          <w:rFonts w:hint="eastAsia" w:ascii="仿宋_GB2312" w:hAnsi="仿宋_GB2312" w:eastAsia="仿宋_GB2312" w:cs="仿宋_GB2312"/>
          <w:kern w:val="0"/>
          <w:sz w:val="32"/>
          <w:szCs w:val="32"/>
          <w:shd w:val="clear" w:color="auto" w:fill="FFFFFF"/>
        </w:rPr>
        <w:t>全面</w:t>
      </w:r>
      <w:r>
        <w:rPr>
          <w:rFonts w:hint="eastAsia" w:ascii="仿宋_GB2312" w:hAnsi="仿宋_GB2312" w:eastAsia="仿宋_GB2312" w:cs="仿宋_GB2312"/>
          <w:kern w:val="0"/>
          <w:sz w:val="32"/>
          <w:szCs w:val="32"/>
          <w:shd w:val="clear" w:color="auto" w:fill="FFFFFF"/>
          <w:lang w:eastAsia="zh-CN"/>
        </w:rPr>
        <w:t>规划统筹职能职责</w:t>
      </w:r>
      <w:r>
        <w:rPr>
          <w:rFonts w:hint="eastAsia" w:ascii="仿宋_GB2312" w:hAnsi="仿宋_GB2312" w:eastAsia="仿宋_GB2312" w:cs="仿宋_GB2312"/>
          <w:kern w:val="0"/>
          <w:sz w:val="32"/>
          <w:szCs w:val="32"/>
          <w:shd w:val="clear" w:color="auto" w:fill="FFFFFF"/>
        </w:rPr>
        <w:t>、</w:t>
      </w:r>
      <w:r>
        <w:rPr>
          <w:rFonts w:ascii="Times New Roman" w:hAnsi="Times New Roman" w:eastAsia="仿宋_GB2312" w:cs="Times New Roman"/>
          <w:sz w:val="32"/>
          <w:szCs w:val="32"/>
        </w:rPr>
        <w:t>根据年初工作计划和工作进程，合理安排资金，支出与预算相结合，保障专款专用、重点工作所需经费，充分发挥资金的使用效率，各项目标保质保量完成，全面完成各项考核目标任务。</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eastAsia="仿宋_GB2312"/>
          <w:sz w:val="32"/>
          <w:szCs w:val="32"/>
        </w:rPr>
        <w:t>按照区财政局相关文件要求认真执行部门预算绩效管</w:t>
      </w:r>
    </w:p>
    <w:p>
      <w:pPr>
        <w:widowControl/>
        <w:adjustRightInd w:val="0"/>
        <w:snapToGrid w:val="0"/>
        <w:spacing w:line="560" w:lineRule="exact"/>
        <w:contextualSpacing/>
        <w:jc w:val="left"/>
        <w:rPr>
          <w:rFonts w:ascii="仿宋_GB2312" w:hAnsi="仿宋_GB2312" w:eastAsia="仿宋_GB2312" w:cs="仿宋_GB2312"/>
          <w:kern w:val="0"/>
          <w:sz w:val="32"/>
          <w:szCs w:val="32"/>
          <w:shd w:val="clear" w:color="auto" w:fill="FFFFFF"/>
          <w:lang w:val="zh-CN"/>
        </w:rPr>
      </w:pPr>
      <w:r>
        <w:rPr>
          <w:rFonts w:hint="eastAsia" w:eastAsia="仿宋_GB2312"/>
          <w:sz w:val="32"/>
          <w:szCs w:val="32"/>
        </w:rPr>
        <w:t>内容，</w:t>
      </w:r>
      <w:r>
        <w:rPr>
          <w:rFonts w:ascii="Times New Roman" w:hAnsi="Times New Roman" w:eastAsia="仿宋_GB2312" w:cs="Times New Roman"/>
          <w:sz w:val="32"/>
          <w:szCs w:val="32"/>
        </w:rPr>
        <w:t>自觉接受内外监督，将预算绩效管理纳入内部审计重要内容，</w:t>
      </w:r>
      <w:r>
        <w:rPr>
          <w:rFonts w:hint="eastAsia" w:eastAsia="仿宋_GB2312"/>
          <w:sz w:val="32"/>
          <w:szCs w:val="32"/>
        </w:rPr>
        <w:t>及时、有效的在财政局网站公开预决算和绩效评价，公开内容详细，文表结合，便于理解。绩效自评工作完成后将结果放在西区人民政府网站政务公开栏目中公开公示。</w:t>
      </w:r>
    </w:p>
    <w:p>
      <w:pPr>
        <w:widowControl/>
        <w:numPr>
          <w:ilvl w:val="0"/>
          <w:numId w:val="6"/>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eastAsia="仿宋_GB2312"/>
          <w:color w:val="000000"/>
          <w:sz w:val="32"/>
          <w:szCs w:val="32"/>
        </w:rPr>
      </w:pPr>
      <w:r>
        <w:rPr>
          <w:rFonts w:eastAsia="仿宋_GB2312"/>
          <w:color w:val="000000"/>
          <w:sz w:val="32"/>
          <w:szCs w:val="32"/>
        </w:rPr>
        <w:t>我局的专项预算项目在执行中严格按照资金用途使用资金，资金分配科学，分配及时，不存在超预算支出的情况，使用结果符合要求，确保了专项预算绩效目标的完成。</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pBdr>
          <w:top w:val="single" w:color="FFFFFF" w:sz="4" w:space="0"/>
          <w:left w:val="single" w:color="FFFFFF" w:sz="4" w:space="31"/>
          <w:bottom w:val="single" w:color="FFFFFF" w:sz="4" w:space="31"/>
          <w:right w:val="single" w:color="FFFFFF" w:sz="4" w:space="0"/>
        </w:pBdr>
        <w:adjustRightInd w:val="0"/>
        <w:snapToGrid w:val="0"/>
        <w:spacing w:line="600" w:lineRule="exact"/>
        <w:ind w:firstLine="641"/>
        <w:rPr>
          <w:rFonts w:hint="eastAsia" w:eastAsia="仿宋_GB2312" w:cs="Times New Roman"/>
          <w:sz w:val="32"/>
          <w:szCs w:val="32"/>
          <w:lang w:eastAsia="zh-CN"/>
        </w:rPr>
      </w:pPr>
      <w:r>
        <w:rPr>
          <w:rFonts w:ascii="Times New Roman" w:hAnsi="Times New Roman" w:eastAsia="仿宋_GB2312" w:cs="Times New Roman"/>
          <w:sz w:val="32"/>
          <w:szCs w:val="32"/>
        </w:rPr>
        <w:t>2022年我</w:t>
      </w:r>
      <w:r>
        <w:rPr>
          <w:rFonts w:hint="eastAsia" w:eastAsia="仿宋_GB2312" w:cs="Times New Roman"/>
          <w:sz w:val="32"/>
          <w:szCs w:val="32"/>
          <w:lang w:eastAsia="zh-CN"/>
        </w:rPr>
        <w:t>局</w:t>
      </w:r>
      <w:r>
        <w:rPr>
          <w:rFonts w:hint="eastAsia" w:eastAsia="仿宋_GB2312"/>
          <w:sz w:val="32"/>
          <w:szCs w:val="32"/>
        </w:rPr>
        <w:t>履行了部门职能，</w:t>
      </w:r>
      <w:r>
        <w:rPr>
          <w:rFonts w:ascii="Times New Roman" w:hAnsi="Times New Roman" w:eastAsia="仿宋_GB2312" w:cs="Times New Roman"/>
          <w:sz w:val="32"/>
          <w:szCs w:val="32"/>
        </w:rPr>
        <w:t>所设立的整体绩效目标依据充分，符合客观实际，用以反映和考核部门整体绩效目标与部门履职、年度工作任务情况相符。全年基本支出保障了部门的正常运转，特定目标类项目支出保障了重点工作开展</w:t>
      </w:r>
      <w:r>
        <w:rPr>
          <w:rFonts w:hint="eastAsia" w:eastAsia="仿宋_GB2312" w:cs="Times New Roman"/>
          <w:sz w:val="32"/>
          <w:szCs w:val="32"/>
          <w:lang w:eastAsia="zh-CN"/>
        </w:rPr>
        <w:t>。</w:t>
      </w:r>
    </w:p>
    <w:p>
      <w:pPr>
        <w:pBdr>
          <w:top w:val="single" w:color="FFFFFF" w:sz="4" w:space="0"/>
          <w:left w:val="single" w:color="FFFFFF" w:sz="4" w:space="31"/>
          <w:bottom w:val="single" w:color="FFFFFF" w:sz="4" w:space="31"/>
          <w:right w:val="single" w:color="FFFFFF" w:sz="4" w:space="0"/>
        </w:pBdr>
        <w:adjustRightInd w:val="0"/>
        <w:snapToGrid w:val="0"/>
        <w:spacing w:line="600" w:lineRule="exact"/>
        <w:ind w:firstLine="641"/>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eastAsia="zh-CN"/>
        </w:rPr>
        <w:t>（二）</w:t>
      </w:r>
      <w:r>
        <w:rPr>
          <w:rFonts w:hint="eastAsia" w:ascii="楷体_GB2312" w:hAnsi="楷体_GB2312" w:eastAsia="楷体_GB2312" w:cs="楷体_GB2312"/>
          <w:b/>
          <w:bCs/>
          <w:kern w:val="0"/>
          <w:sz w:val="32"/>
          <w:szCs w:val="32"/>
          <w:shd w:val="clear" w:color="auto" w:fill="FFFFFF"/>
          <w:lang w:val="zh-CN"/>
        </w:rPr>
        <w:t>存在问题。</w:t>
      </w:r>
    </w:p>
    <w:p>
      <w:pPr>
        <w:pBdr>
          <w:top w:val="single" w:color="FFFFFF" w:sz="4" w:space="0"/>
          <w:left w:val="single" w:color="FFFFFF" w:sz="4" w:space="31"/>
          <w:bottom w:val="single" w:color="FFFFFF" w:sz="4" w:space="31"/>
          <w:right w:val="single" w:color="FFFFFF" w:sz="4" w:space="0"/>
        </w:pBdr>
        <w:adjustRightInd w:val="0"/>
        <w:snapToGrid w:val="0"/>
        <w:spacing w:line="600" w:lineRule="exact"/>
        <w:ind w:firstLine="641"/>
        <w:rPr>
          <w:rFonts w:hint="eastAsia" w:ascii="楷体_GB2312" w:hAnsi="楷体_GB2312" w:eastAsia="楷体_GB2312" w:cs="楷体_GB2312"/>
          <w:b/>
          <w:bCs/>
          <w:kern w:val="0"/>
          <w:sz w:val="32"/>
          <w:szCs w:val="32"/>
          <w:shd w:val="clear" w:color="auto" w:fill="FFFFFF"/>
          <w:lang w:val="zh-CN"/>
        </w:rPr>
      </w:pPr>
      <w:r>
        <w:rPr>
          <w:rFonts w:hint="eastAsia" w:ascii="仿宋_GB2312" w:hAnsi="仿宋_GB2312" w:eastAsia="仿宋_GB2312" w:cs="仿宋_GB2312"/>
          <w:sz w:val="32"/>
          <w:szCs w:val="32"/>
          <w:lang w:val="en-US" w:eastAsia="zh-CN"/>
        </w:rPr>
        <w:t>在项目实施工作中，因财政资金紧张，</w:t>
      </w:r>
      <w:r>
        <w:rPr>
          <w:rFonts w:hint="eastAsia" w:ascii="仿宋_GB2312" w:hAnsi="仿宋_GB2312" w:cs="仿宋_GB2312"/>
          <w:sz w:val="32"/>
          <w:szCs w:val="32"/>
          <w:lang w:val="en-US" w:eastAsia="zh-CN"/>
        </w:rPr>
        <w:t>支付上有进度</w:t>
      </w:r>
      <w:r>
        <w:rPr>
          <w:rFonts w:ascii="仿宋_GB2312" w:hAnsi="仿宋_GB2312" w:eastAsia="仿宋_GB2312" w:cs="仿宋_GB2312"/>
          <w:i w:val="0"/>
          <w:iCs w:val="0"/>
          <w:caps w:val="0"/>
          <w:color w:val="000000"/>
          <w:spacing w:val="0"/>
          <w:sz w:val="32"/>
          <w:szCs w:val="32"/>
          <w:shd w:val="clear" w:fill="FFFFFF"/>
        </w:rPr>
        <w:t>滞后情况</w:t>
      </w:r>
      <w:r>
        <w:rPr>
          <w:rFonts w:hint="eastAsia" w:ascii="仿宋_GB2312" w:hAnsi="仿宋_GB2312" w:cs="仿宋_GB2312"/>
          <w:i w:val="0"/>
          <w:iCs w:val="0"/>
          <w:caps w:val="0"/>
          <w:color w:val="000000"/>
          <w:spacing w:val="0"/>
          <w:sz w:val="32"/>
          <w:szCs w:val="32"/>
          <w:shd w:val="clear" w:fill="FFFFFF"/>
          <w:lang w:eastAsia="zh-CN"/>
        </w:rPr>
        <w:t>。</w:t>
      </w:r>
    </w:p>
    <w:p>
      <w:pPr>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600" w:lineRule="exact"/>
        <w:ind w:firstLine="643" w:firstLineChars="200"/>
        <w:textAlignment w:val="auto"/>
        <w:outlineLvl w:val="9"/>
        <w:rPr>
          <w:rFonts w:hint="default" w:ascii="Times New Roman" w:hAnsi="Times New Roman" w:eastAsia="楷体_GB2312" w:cs="Times New Roman"/>
          <w:b/>
          <w:bCs/>
          <w:kern w:val="0"/>
          <w:sz w:val="32"/>
          <w:szCs w:val="32"/>
          <w:shd w:val="clear" w:color="auto" w:fill="FFFFFF"/>
          <w:lang w:val="zh-CN"/>
        </w:rPr>
      </w:pPr>
      <w:r>
        <w:rPr>
          <w:rFonts w:hint="eastAsia" w:eastAsia="楷体_GB2312" w:cs="Times New Roman"/>
          <w:b/>
          <w:bCs/>
          <w:kern w:val="0"/>
          <w:sz w:val="32"/>
          <w:szCs w:val="32"/>
          <w:shd w:val="clear" w:color="auto" w:fill="FFFFFF"/>
          <w:lang w:val="zh-CN"/>
        </w:rPr>
        <w:t>（三）</w:t>
      </w:r>
      <w:r>
        <w:rPr>
          <w:rFonts w:hint="default" w:ascii="Times New Roman" w:hAnsi="Times New Roman" w:eastAsia="楷体_GB2312" w:cs="Times New Roman"/>
          <w:b/>
          <w:bCs/>
          <w:kern w:val="0"/>
          <w:sz w:val="32"/>
          <w:szCs w:val="32"/>
          <w:shd w:val="clear" w:color="auto" w:fill="FFFFFF"/>
          <w:lang w:val="zh-CN"/>
        </w:rPr>
        <w:t>改进建议。</w:t>
      </w:r>
    </w:p>
    <w:p>
      <w:pPr>
        <w:pBdr>
          <w:top w:val="single" w:color="FFFFFF" w:sz="4" w:space="0"/>
          <w:left w:val="single" w:color="FFFFFF" w:sz="4" w:space="31"/>
          <w:bottom w:val="single" w:color="FFFFFF" w:sz="4" w:space="31"/>
          <w:right w:val="single" w:color="FFFFFF" w:sz="4" w:space="0"/>
        </w:pBdr>
        <w:adjustRightInd w:val="0"/>
        <w:snapToGrid w:val="0"/>
        <w:spacing w:line="600" w:lineRule="exact"/>
        <w:ind w:firstLine="64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eastAsia="仿宋_GB2312"/>
          <w:sz w:val="32"/>
          <w:szCs w:val="32"/>
        </w:rPr>
        <w:t>建立健全内部控制制度，加强项目资金往来的核算和管理，严格资金往来审批和控制，确保资金的安全。</w:t>
      </w:r>
    </w:p>
    <w:p>
      <w:pPr>
        <w:numPr>
          <w:numId w:val="0"/>
        </w:numPr>
        <w:pBdr>
          <w:top w:val="single" w:color="FFFFFF" w:sz="4" w:space="0"/>
          <w:left w:val="single" w:color="FFFFFF" w:sz="4" w:space="31"/>
          <w:bottom w:val="single" w:color="FFFFFF" w:sz="4" w:space="31"/>
          <w:right w:val="single" w:color="FFFFFF" w:sz="4" w:space="0"/>
        </w:pBdr>
        <w:adjustRightInd w:val="0"/>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w:t>
      </w:r>
      <w:r>
        <w:rPr>
          <w:rFonts w:hint="eastAsia" w:eastAsia="仿宋_GB2312"/>
          <w:sz w:val="32"/>
          <w:szCs w:val="32"/>
        </w:rPr>
        <w:t>加强资金使用管理，</w:t>
      </w:r>
      <w:r>
        <w:rPr>
          <w:rFonts w:hint="eastAsia" w:ascii="Times New Roman" w:hAnsi="Times New Roman" w:eastAsia="仿宋_GB2312" w:cs="Times New Roman"/>
          <w:sz w:val="32"/>
          <w:szCs w:val="32"/>
          <w:lang w:val="en-US" w:eastAsia="zh-CN"/>
        </w:rPr>
        <w:t>提高预算编制的精确度，提高财政资金使用效率。</w:t>
      </w:r>
    </w:p>
    <w:p>
      <w:pPr>
        <w:numPr>
          <w:ilvl w:val="0"/>
          <w:numId w:val="0"/>
        </w:numPr>
        <w:pBdr>
          <w:top w:val="single" w:color="FFFFFF" w:sz="4" w:space="0"/>
          <w:left w:val="single" w:color="FFFFFF" w:sz="4" w:space="31"/>
          <w:bottom w:val="single" w:color="FFFFFF" w:sz="4" w:space="31"/>
          <w:right w:val="single" w:color="FFFFFF" w:sz="4" w:space="0"/>
        </w:pBdr>
        <w:adjustRightInd w:val="0"/>
        <w:snapToGrid w:val="0"/>
        <w:spacing w:line="600" w:lineRule="exact"/>
        <w:rPr>
          <w:rFonts w:hint="eastAsia" w:ascii="Times New Roman" w:hAnsi="Times New Roman" w:eastAsia="仿宋_GB2312" w:cs="Times New Roman"/>
          <w:sz w:val="32"/>
          <w:lang w:val="en-US" w:eastAsia="zh-CN"/>
        </w:rPr>
      </w:pPr>
      <w:r>
        <w:rPr>
          <w:rFonts w:hint="default" w:ascii="Times New Roman" w:hAnsi="Times New Roman" w:eastAsia="仿宋_GB2312" w:cs="Times New Roman"/>
          <w:sz w:val="32"/>
          <w:lang w:val="zh-CN"/>
        </w:rPr>
        <w:t>附表：</w:t>
      </w:r>
      <w:r>
        <w:rPr>
          <w:rFonts w:hint="default" w:ascii="Times New Roman" w:hAnsi="Times New Roman" w:eastAsia="仿宋_GB2312" w:cs="Times New Roman"/>
          <w:sz w:val="32"/>
        </w:rPr>
        <w:t>部门预算项目支出绩效自评表（2022年度）见附件</w:t>
      </w:r>
      <w:r>
        <w:rPr>
          <w:rFonts w:hint="eastAsia" w:ascii="Times New Roman" w:eastAsia="仿宋_GB2312" w:cs="Times New Roman"/>
          <w:sz w:val="32"/>
          <w:lang w:val="en-US" w:eastAsia="zh-CN"/>
        </w:rPr>
        <w:t>2。</w:t>
      </w:r>
    </w:p>
    <w:p>
      <w:pPr>
        <w:pStyle w:val="6"/>
        <w:spacing w:before="93"/>
        <w:rPr>
          <w:rFonts w:hint="eastAsia" w:ascii="Times New Roman" w:hAnsi="Times New Roman" w:eastAsia="仿宋_GB2312" w:cs="Times New Roman"/>
          <w:sz w:val="32"/>
          <w:szCs w:val="32"/>
          <w:lang w:val="en-US" w:eastAsia="zh-CN"/>
        </w:rPr>
      </w:pPr>
      <w:r>
        <w:rPr>
          <w:rFonts w:hint="default" w:ascii="Times New Roman" w:hAnsi="Times New Roman" w:cs="Times New Roman"/>
          <w:sz w:val="32"/>
          <w:szCs w:val="32"/>
          <w:shd w:val="clear" w:color="auto" w:fill="FFFFFF"/>
          <w:lang w:val="zh-CN"/>
        </w:rPr>
        <w:t>附件</w:t>
      </w:r>
      <w:r>
        <w:rPr>
          <w:rFonts w:hint="default" w:ascii="Times New Roman" w:hAnsi="Times New Roman" w:cs="Times New Roman"/>
          <w:sz w:val="32"/>
          <w:szCs w:val="32"/>
          <w:shd w:val="clear" w:color="auto" w:fill="FFFFFF"/>
        </w:rPr>
        <w:t>2</w:t>
      </w:r>
    </w:p>
    <w:p>
      <w:pPr>
        <w:pStyle w:val="38"/>
        <w:spacing w:line="578" w:lineRule="exact"/>
        <w:jc w:val="center"/>
        <w:rPr>
          <w:rFonts w:ascii="方正小标宋简体" w:hAnsi="方正小标宋简体" w:eastAsia="方正小标宋简体" w:cs="方正小标宋简体"/>
          <w:color w:val="auto"/>
          <w:kern w:val="2"/>
          <w:sz w:val="32"/>
          <w:szCs w:val="32"/>
          <w:highlight w:val="none"/>
          <w:lang w:val="en-US"/>
        </w:rPr>
      </w:pPr>
      <w:r>
        <w:rPr>
          <w:rFonts w:hint="eastAsia" w:ascii="方正小标宋简体" w:hAnsi="方正小标宋简体" w:eastAsia="方正小标宋简体" w:cs="方正小标宋简体"/>
          <w:color w:val="auto"/>
          <w:kern w:val="2"/>
          <w:sz w:val="32"/>
          <w:szCs w:val="32"/>
          <w:highlight w:val="none"/>
          <w:lang w:val="en-US"/>
        </w:rPr>
        <w:t>2023年区级专项资金预算项目绩效自评报告</w:t>
      </w:r>
    </w:p>
    <w:p>
      <w:pPr>
        <w:pStyle w:val="38"/>
        <w:spacing w:line="578" w:lineRule="exact"/>
        <w:ind w:firstLine="640"/>
        <w:jc w:val="center"/>
        <w:rPr>
          <w:rFonts w:ascii="宋体" w:hAnsi="宋体"/>
          <w:color w:val="auto"/>
          <w:kern w:val="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固定资产投资及康养产业工作经费</w:t>
      </w:r>
      <w:r>
        <w:rPr>
          <w:rFonts w:ascii="Times New Roman" w:hAnsi="Times New Roman" w:eastAsia="仿宋_GB2312"/>
          <w:sz w:val="32"/>
          <w:szCs w:val="32"/>
        </w:rPr>
        <w:t>）</w:t>
      </w:r>
    </w:p>
    <w:p>
      <w:pPr>
        <w:pStyle w:val="38"/>
        <w:spacing w:line="578" w:lineRule="exact"/>
        <w:ind w:firstLine="640"/>
        <w:jc w:val="center"/>
        <w:rPr>
          <w:rFonts w:hint="default" w:ascii="Times New Roman" w:hAnsi="Times New Roman" w:cs="Times New Roman"/>
          <w:color w:val="auto"/>
          <w:kern w:val="2"/>
          <w:sz w:val="32"/>
          <w:szCs w:val="32"/>
        </w:rPr>
      </w:pPr>
    </w:p>
    <w:p>
      <w:pPr>
        <w:adjustRightInd w:val="0"/>
        <w:snapToGrid w:val="0"/>
        <w:spacing w:line="578" w:lineRule="exact"/>
        <w:ind w:firstLine="720"/>
        <w:rPr>
          <w:rFonts w:hint="default" w:ascii="Times New Roman" w:hAnsi="Times New Roman" w:eastAsia="黑体" w:cs="Times New Roman"/>
          <w:sz w:val="32"/>
          <w:szCs w:val="32"/>
          <w:lang w:val="zh-CN"/>
        </w:rPr>
      </w:pPr>
      <w:bookmarkStart w:id="53" w:name="_Toc2405"/>
      <w:bookmarkStart w:id="54" w:name="_Toc15035"/>
      <w:bookmarkStart w:id="55" w:name="_Toc3179"/>
      <w:bookmarkStart w:id="56" w:name="_Toc17330"/>
      <w:bookmarkStart w:id="57" w:name="_Toc14239"/>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bookmarkEnd w:id="53"/>
      <w:bookmarkEnd w:id="54"/>
      <w:bookmarkEnd w:id="55"/>
      <w:bookmarkEnd w:id="56"/>
      <w:bookmarkEnd w:id="57"/>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全区固定资产投资工作，每月定期召开全区固定资产投资工作调度会议，分解各职能部门“开门红”、“双过半”、“年度任务”，挖掘全区项目入库储备工作。</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spacing w:line="353" w:lineRule="auto"/>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eastAsia="zh-CN"/>
        </w:rPr>
        <w:t>1．项目主要内容</w:t>
      </w:r>
      <w:r>
        <w:rPr>
          <w:rFonts w:hint="eastAsia" w:ascii="Times New Roman" w:hAnsi="Times New Roman" w:eastAsia="仿宋_GB2312" w:cs="Times New Roman"/>
          <w:kern w:val="0"/>
          <w:sz w:val="32"/>
          <w:szCs w:val="32"/>
          <w:shd w:val="clear" w:color="auto" w:fill="FFFFFF"/>
          <w:lang w:val="zh-CN" w:eastAsia="zh-CN"/>
        </w:rPr>
        <w:t>：</w:t>
      </w:r>
      <w:r>
        <w:rPr>
          <w:rFonts w:hint="eastAsia" w:ascii="Times New Roman" w:hAnsi="Times New Roman" w:eastAsia="仿宋_GB2312" w:cs="Times New Roman"/>
          <w:sz w:val="32"/>
          <w:szCs w:val="32"/>
        </w:rPr>
        <w:t>制定全区固定资产投资工作年度目标任务，量化分解区级各部门任务，制定考核标准。</w:t>
      </w:r>
    </w:p>
    <w:p>
      <w:pPr>
        <w:spacing w:line="353" w:lineRule="auto"/>
        <w:ind w:firstLine="640" w:firstLineChars="200"/>
        <w:rPr>
          <w:rFonts w:hint="eastAsia"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zh-CN"/>
        </w:rPr>
        <w:t>2．项目应实现的具体绩效目标</w:t>
      </w:r>
      <w:r>
        <w:rPr>
          <w:rFonts w:hint="eastAsia" w:eastAsia="仿宋_GB2312" w:cs="Times New Roman"/>
          <w:kern w:val="0"/>
          <w:sz w:val="32"/>
          <w:szCs w:val="32"/>
          <w:shd w:val="clear" w:color="auto" w:fill="FFFFFF"/>
          <w:lang w:val="zh-CN"/>
        </w:rPr>
        <w:t>包括：</w:t>
      </w:r>
      <w:r>
        <w:rPr>
          <w:rFonts w:hint="eastAsia" w:ascii="Times New Roman" w:hAnsi="Times New Roman" w:eastAsia="仿宋_GB2312" w:cs="Times New Roman"/>
          <w:sz w:val="32"/>
          <w:szCs w:val="32"/>
        </w:rPr>
        <w:t>按照项目协调中心职能职责，为确保全年重点区级固定资产投资项目顺利开展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区项目办牵头统筹做好全区新增固定资产项目核查和申报工作，确保全区年度任务完成。</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按照有关规定和工作安排，我单位开展自行评估，通过收集被评估项目相关基础资料，并查阅资料、收集数据信息等，深入论证分析后，形成绩效评估报告。</w:t>
      </w:r>
    </w:p>
    <w:p>
      <w:pPr>
        <w:adjustRightInd w:val="0"/>
        <w:snapToGrid w:val="0"/>
        <w:spacing w:line="578" w:lineRule="exact"/>
        <w:ind w:firstLine="720"/>
        <w:rPr>
          <w:rFonts w:hint="default" w:ascii="Times New Roman" w:hAnsi="Times New Roman" w:eastAsia="黑体" w:cs="Times New Roman"/>
          <w:sz w:val="32"/>
          <w:szCs w:val="32"/>
        </w:rPr>
      </w:pPr>
      <w:bookmarkStart w:id="58" w:name="_Toc12433"/>
      <w:bookmarkStart w:id="59" w:name="_Toc28711"/>
      <w:bookmarkStart w:id="60" w:name="_Toc13414"/>
      <w:bookmarkStart w:id="61" w:name="_Toc21935"/>
      <w:bookmarkStart w:id="62" w:name="_Toc5137"/>
      <w:r>
        <w:rPr>
          <w:rFonts w:hint="default" w:ascii="Times New Roman" w:hAnsi="Times New Roman" w:eastAsia="黑体" w:cs="Times New Roman"/>
          <w:sz w:val="32"/>
          <w:szCs w:val="32"/>
        </w:rPr>
        <w:t>二、项目资金申报及使用情况</w:t>
      </w:r>
      <w:bookmarkEnd w:id="58"/>
      <w:bookmarkEnd w:id="59"/>
      <w:bookmarkEnd w:id="60"/>
      <w:bookmarkEnd w:id="61"/>
      <w:bookmarkEnd w:id="62"/>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lang w:val="en-US" w:eastAsia="zh-CN"/>
        </w:rPr>
        <w:t>纳入本次评价的</w:t>
      </w:r>
      <w:r>
        <w:rPr>
          <w:rFonts w:hint="eastAsia" w:ascii="Times New Roman" w:hAnsi="Times New Roman" w:eastAsia="仿宋_GB2312"/>
          <w:sz w:val="32"/>
          <w:szCs w:val="32"/>
        </w:rPr>
        <w:t>固定资产投资及康养产业工作</w:t>
      </w:r>
      <w:r>
        <w:rPr>
          <w:rFonts w:hint="default" w:ascii="Times New Roman" w:hAnsi="Times New Roman" w:eastAsia="仿宋_GB2312" w:cs="Times New Roman"/>
          <w:color w:val="auto"/>
          <w:sz w:val="32"/>
          <w:szCs w:val="32"/>
          <w:lang w:val="en-US" w:eastAsia="zh-CN"/>
        </w:rPr>
        <w:t>项目由区</w:t>
      </w:r>
      <w:r>
        <w:rPr>
          <w:rFonts w:hint="eastAsia" w:ascii="Times New Roman" w:hAnsi="Times New Roman" w:eastAsia="仿宋_GB2312" w:cs="Times New Roman"/>
          <w:color w:val="auto"/>
          <w:sz w:val="32"/>
          <w:szCs w:val="32"/>
          <w:lang w:val="en-US" w:eastAsia="zh-CN"/>
        </w:rPr>
        <w:t>发展改革</w:t>
      </w:r>
      <w:r>
        <w:rPr>
          <w:rFonts w:hint="default" w:ascii="Times New Roman" w:hAnsi="Times New Roman" w:eastAsia="仿宋_GB2312" w:cs="Times New Roman"/>
          <w:color w:val="auto"/>
          <w:sz w:val="32"/>
          <w:szCs w:val="32"/>
          <w:lang w:val="en-US" w:eastAsia="zh-CN"/>
        </w:rPr>
        <w:t>局根据相关规定年初纳入部门预算，上报区财政局，由区财政局审核后出具正式预算批复。项目批复预算资金</w:t>
      </w:r>
      <w:r>
        <w:rPr>
          <w:rFonts w:hint="eastAsia" w:ascii="Times New Roman" w:hAnsi="Times New Roman" w:eastAsia="仿宋_GB2312" w:cs="Times New Roman"/>
          <w:color w:val="auto"/>
          <w:sz w:val="32"/>
          <w:szCs w:val="32"/>
          <w:lang w:val="en-US" w:eastAsia="zh-CN"/>
        </w:rPr>
        <w:t>47</w:t>
      </w:r>
      <w:r>
        <w:rPr>
          <w:rFonts w:hint="default" w:ascii="Times New Roman" w:hAnsi="Times New Roman" w:eastAsia="仿宋_GB2312" w:cs="Times New Roman"/>
          <w:color w:val="auto"/>
          <w:sz w:val="32"/>
          <w:szCs w:val="32"/>
          <w:lang w:val="en-US" w:eastAsia="zh-CN"/>
        </w:rPr>
        <w:t>万元，年底据实结算</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1．资金计划。</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年申报年初预算</w:t>
      </w:r>
      <w:r>
        <w:rPr>
          <w:rFonts w:hint="eastAsia" w:cs="Times New Roman"/>
          <w:color w:val="auto"/>
          <w:sz w:val="32"/>
          <w:szCs w:val="32"/>
          <w:lang w:val="en-US" w:eastAsia="zh-CN"/>
        </w:rPr>
        <w:t>47</w:t>
      </w:r>
      <w:r>
        <w:rPr>
          <w:rFonts w:hint="default" w:ascii="Times New Roman" w:hAnsi="Times New Roman" w:eastAsia="仿宋_GB2312" w:cs="Times New Roman"/>
          <w:color w:val="auto"/>
          <w:sz w:val="32"/>
          <w:szCs w:val="32"/>
          <w:lang w:val="en-US" w:eastAsia="zh-CN"/>
        </w:rPr>
        <w:t>万元，年底据实结算</w:t>
      </w:r>
      <w:r>
        <w:rPr>
          <w:rFonts w:hint="default" w:ascii="Times New Roman" w:hAnsi="Times New Roman" w:eastAsia="仿宋_GB2312" w:cs="Times New Roman"/>
          <w:color w:val="auto"/>
          <w:sz w:val="32"/>
          <w:szCs w:val="32"/>
        </w:rPr>
        <w:t>。</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2．资金到位。</w:t>
      </w:r>
    </w:p>
    <w:p>
      <w:pPr>
        <w:spacing w:line="353" w:lineRule="auto"/>
        <w:ind w:firstLine="640" w:firstLineChars="200"/>
        <w:rPr>
          <w:rFonts w:hint="eastAsia" w:eastAsia="仿宋_GB2312"/>
          <w:sz w:val="32"/>
          <w:szCs w:val="32"/>
          <w:lang w:val="en-US" w:eastAsia="zh-CN"/>
        </w:rPr>
      </w:pPr>
      <w:r>
        <w:rPr>
          <w:rFonts w:hint="eastAsia" w:eastAsia="楷体_GB2312"/>
          <w:sz w:val="32"/>
          <w:szCs w:val="32"/>
          <w:lang w:val="zh-CN"/>
        </w:rPr>
        <w:t>2</w:t>
      </w:r>
      <w:r>
        <w:rPr>
          <w:rFonts w:eastAsia="楷体_GB2312"/>
          <w:sz w:val="32"/>
          <w:szCs w:val="32"/>
          <w:lang w:val="zh-CN"/>
        </w:rPr>
        <w:t>022</w:t>
      </w:r>
      <w:r>
        <w:rPr>
          <w:rFonts w:hint="eastAsia" w:eastAsia="楷体_GB2312"/>
          <w:sz w:val="32"/>
          <w:szCs w:val="32"/>
          <w:lang w:val="zh-CN"/>
        </w:rPr>
        <w:t>年年初区财政</w:t>
      </w:r>
      <w:r>
        <w:rPr>
          <w:rFonts w:eastAsia="仿宋_GB2312"/>
          <w:sz w:val="32"/>
          <w:szCs w:val="32"/>
        </w:rPr>
        <w:t>批复</w:t>
      </w:r>
      <w:r>
        <w:rPr>
          <w:rFonts w:hint="eastAsia" w:eastAsia="仿宋_GB2312"/>
          <w:sz w:val="32"/>
          <w:szCs w:val="32"/>
        </w:rPr>
        <w:t>该项目</w:t>
      </w:r>
      <w:r>
        <w:rPr>
          <w:rFonts w:eastAsia="仿宋_GB2312"/>
          <w:sz w:val="32"/>
          <w:szCs w:val="32"/>
        </w:rPr>
        <w:t>预算资金</w:t>
      </w:r>
      <w:r>
        <w:rPr>
          <w:rFonts w:hint="eastAsia" w:eastAsia="仿宋_GB2312"/>
          <w:sz w:val="32"/>
          <w:szCs w:val="32"/>
          <w:lang w:val="en-US" w:eastAsia="zh-CN"/>
        </w:rPr>
        <w:t>47万元。</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3．资金使用。</w:t>
      </w:r>
    </w:p>
    <w:p>
      <w:pPr>
        <w:spacing w:line="353" w:lineRule="auto"/>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截止评价时点，202</w:t>
      </w:r>
      <w:r>
        <w:rPr>
          <w:rFonts w:hint="eastAsia"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sz w:val="32"/>
          <w:szCs w:val="32"/>
        </w:rPr>
        <w:t>固定资产投资及康养产业工作</w:t>
      </w:r>
      <w:r>
        <w:rPr>
          <w:rFonts w:hint="eastAsia" w:ascii="Times New Roman" w:hAnsi="Times New Roman" w:eastAsia="仿宋_GB2312"/>
          <w:sz w:val="32"/>
          <w:szCs w:val="32"/>
          <w:lang w:eastAsia="zh-CN"/>
        </w:rPr>
        <w:t>经费</w:t>
      </w:r>
      <w:r>
        <w:rPr>
          <w:rFonts w:hint="default" w:ascii="Times New Roman" w:hAnsi="Times New Roman" w:eastAsia="仿宋_GB2312" w:cs="Times New Roman"/>
          <w:color w:val="auto"/>
          <w:sz w:val="32"/>
          <w:szCs w:val="32"/>
          <w:lang w:val="en-US" w:eastAsia="zh-CN"/>
        </w:rPr>
        <w:t>共支出</w:t>
      </w:r>
      <w:r>
        <w:rPr>
          <w:rFonts w:hint="eastAsia" w:cs="Times New Roman"/>
          <w:color w:val="auto"/>
          <w:sz w:val="32"/>
          <w:szCs w:val="32"/>
          <w:lang w:val="en-US" w:eastAsia="zh-CN"/>
        </w:rPr>
        <w:t>47</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资金用于</w:t>
      </w:r>
      <w:r>
        <w:rPr>
          <w:rFonts w:hint="eastAsia" w:ascii="Times New Roman" w:hAnsi="Times New Roman" w:eastAsia="仿宋_GB2312" w:cs="Times New Roman"/>
          <w:sz w:val="32"/>
          <w:szCs w:val="32"/>
        </w:rPr>
        <w:t>各部门项目申报过程中，项目前期资料要件的查漏补缺工作，项目现场核查等工作</w:t>
      </w:r>
      <w:r>
        <w:rPr>
          <w:rFonts w:hint="eastAsia" w:ascii="Times New Roman" w:hAnsi="Times New Roman" w:eastAsia="仿宋_GB2312" w:cs="Times New Roman"/>
          <w:sz w:val="32"/>
          <w:szCs w:val="32"/>
          <w:lang w:eastAsia="zh-CN"/>
        </w:rPr>
        <w:t>产生的经费开支</w:t>
      </w:r>
      <w:r>
        <w:rPr>
          <w:rFonts w:hint="default" w:ascii="Times New Roman" w:hAnsi="Times New Roman" w:eastAsia="仿宋_GB2312" w:cs="Times New Roman"/>
          <w:color w:val="auto"/>
          <w:sz w:val="32"/>
          <w:szCs w:val="32"/>
          <w:lang w:eastAsia="zh-CN"/>
        </w:rPr>
        <w:t>。</w:t>
      </w:r>
    </w:p>
    <w:p>
      <w:pPr>
        <w:spacing w:line="353" w:lineRule="auto"/>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eastAsia="zh-CN"/>
        </w:rPr>
        <w:t>资金开支范围、标准及支付进度等符合规定，按实际发生额进行支付，并严格按照财务管理制度审核支付，支付依据合规合法</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 xml:space="preserve">该项目财务管理制度严格按照《中华人民共和国会计法》、《行政单位会计制度》进行账务处理与票据审核，会计核算及账务处理及时，所有提供的票据与合同与会计付款相关。财务处理及时、会计核算规范。 </w:t>
      </w:r>
    </w:p>
    <w:p>
      <w:pPr>
        <w:adjustRightInd w:val="0"/>
        <w:snapToGrid w:val="0"/>
        <w:spacing w:line="578" w:lineRule="exact"/>
        <w:ind w:firstLine="720"/>
        <w:rPr>
          <w:rFonts w:hint="default" w:ascii="Times New Roman" w:hAnsi="Times New Roman" w:eastAsia="楷体_GB2312" w:cs="Times New Roman"/>
          <w:b/>
          <w:sz w:val="32"/>
          <w:szCs w:val="32"/>
          <w:lang w:val="zh-CN"/>
        </w:rPr>
      </w:pPr>
      <w:bookmarkStart w:id="63" w:name="_Toc32030"/>
      <w:bookmarkStart w:id="64" w:name="_Toc27682"/>
      <w:bookmarkStart w:id="65" w:name="_Toc18052"/>
      <w:bookmarkStart w:id="66" w:name="_Toc23770"/>
      <w:bookmarkStart w:id="67" w:name="_Toc23817"/>
      <w:r>
        <w:rPr>
          <w:rFonts w:hint="default" w:ascii="Times New Roman" w:hAnsi="Times New Roman" w:eastAsia="楷体_GB2312" w:cs="Times New Roman"/>
          <w:b/>
          <w:sz w:val="32"/>
          <w:szCs w:val="32"/>
          <w:lang w:val="zh-CN"/>
        </w:rPr>
        <w:t>三、项目实施及管理情况</w:t>
      </w:r>
      <w:bookmarkEnd w:id="63"/>
      <w:bookmarkEnd w:id="64"/>
      <w:bookmarkEnd w:id="65"/>
      <w:bookmarkEnd w:id="66"/>
      <w:bookmarkEnd w:id="67"/>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bookmarkStart w:id="68" w:name="_Toc16680"/>
      <w:bookmarkStart w:id="69" w:name="_Toc7025"/>
      <w:bookmarkStart w:id="70" w:name="_Toc28455"/>
      <w:bookmarkStart w:id="71" w:name="_Toc11283"/>
      <w:bookmarkStart w:id="72" w:name="_Toc28473"/>
      <w:r>
        <w:rPr>
          <w:rFonts w:hint="default" w:ascii="Times New Roman" w:hAnsi="Times New Roman" w:eastAsia="楷体_GB2312" w:cs="Times New Roman"/>
          <w:b/>
          <w:color w:val="auto"/>
          <w:sz w:val="32"/>
          <w:szCs w:val="32"/>
          <w:lang w:val="zh-CN"/>
        </w:rPr>
        <w:t>（一）项目组织架构及实施流程。</w:t>
      </w:r>
    </w:p>
    <w:p>
      <w:pPr>
        <w:adjustRightInd w:val="0"/>
        <w:snapToGrid w:val="0"/>
        <w:spacing w:line="578" w:lineRule="exact"/>
        <w:ind w:firstLine="720"/>
        <w:rPr>
          <w:rFonts w:hint="default" w:ascii="Times New Roman" w:hAnsi="Times New Roman" w:eastAsia="仿宋_GB2312" w:cs="Times New Roman"/>
          <w:color w:val="auto"/>
          <w:sz w:val="32"/>
          <w:szCs w:val="32"/>
          <w:lang w:val="zh-CN"/>
        </w:rPr>
      </w:pPr>
      <w:r>
        <w:rPr>
          <w:rFonts w:hint="eastAsia" w:eastAsia="仿宋_GB2312" w:cs="Times New Roman"/>
          <w:color w:val="auto"/>
          <w:sz w:val="32"/>
          <w:szCs w:val="32"/>
          <w:lang w:val="zh-CN"/>
        </w:rPr>
        <w:t>区发展改革局</w:t>
      </w:r>
      <w:r>
        <w:rPr>
          <w:rFonts w:hint="default" w:ascii="Times New Roman" w:hAnsi="Times New Roman" w:eastAsia="仿宋_GB2312" w:cs="Times New Roman"/>
          <w:color w:val="auto"/>
          <w:sz w:val="32"/>
          <w:szCs w:val="32"/>
          <w:lang w:val="zh-CN"/>
        </w:rPr>
        <w:t>严格按照该项目事前规划实施，将经费</w:t>
      </w:r>
      <w:r>
        <w:rPr>
          <w:rFonts w:hint="eastAsia" w:eastAsia="仿宋_GB2312" w:cs="Times New Roman"/>
          <w:color w:val="auto"/>
          <w:sz w:val="32"/>
          <w:szCs w:val="32"/>
          <w:lang w:val="zh-CN"/>
        </w:rPr>
        <w:t>用于</w:t>
      </w:r>
      <w:r>
        <w:rPr>
          <w:rFonts w:hint="eastAsia" w:ascii="Times New Roman" w:hAnsi="Times New Roman" w:eastAsia="仿宋_GB2312" w:cs="Times New Roman"/>
          <w:sz w:val="32"/>
          <w:szCs w:val="32"/>
        </w:rPr>
        <w:t>各部门项目申报过程中，项目前期资料要件的查漏补缺工作，项目现场核查</w:t>
      </w:r>
      <w:r>
        <w:rPr>
          <w:rFonts w:hint="eastAsia" w:ascii="Times New Roman" w:hAnsi="Times New Roman" w:eastAsia="仿宋_GB2312" w:cs="Times New Roman"/>
          <w:sz w:val="32"/>
          <w:szCs w:val="32"/>
          <w:lang w:eastAsia="zh-CN"/>
        </w:rPr>
        <w:t>、项目会审</w:t>
      </w:r>
      <w:r>
        <w:rPr>
          <w:rFonts w:hint="eastAsia" w:ascii="Times New Roman" w:hAnsi="Times New Roman" w:eastAsia="仿宋_GB2312" w:cs="Times New Roman"/>
          <w:sz w:val="32"/>
          <w:szCs w:val="32"/>
        </w:rPr>
        <w:t>等工作</w:t>
      </w:r>
      <w:r>
        <w:rPr>
          <w:rFonts w:hint="default" w:ascii="Times New Roman" w:hAnsi="Times New Roman" w:eastAsia="仿宋_GB2312" w:cs="Times New Roman"/>
          <w:color w:val="auto"/>
          <w:sz w:val="32"/>
          <w:szCs w:val="32"/>
          <w:lang w:val="zh-CN"/>
        </w:rPr>
        <w:t>。</w:t>
      </w:r>
    </w:p>
    <w:p>
      <w:pPr>
        <w:numPr>
          <w:ilvl w:val="0"/>
          <w:numId w:val="7"/>
        </w:num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项目管理情况。</w:t>
      </w:r>
    </w:p>
    <w:p>
      <w:pPr>
        <w:numPr>
          <w:ilvl w:val="0"/>
          <w:numId w:val="0"/>
        </w:numPr>
        <w:adjustRightInd w:val="0"/>
        <w:snapToGrid w:val="0"/>
        <w:spacing w:line="578" w:lineRule="exact"/>
        <w:ind w:firstLine="640" w:firstLineChars="200"/>
        <w:rPr>
          <w:rFonts w:hint="default" w:ascii="Times New Roman" w:hAnsi="Times New Roman" w:eastAsia="楷体_GB2312" w:cs="Times New Roman"/>
          <w:b/>
          <w:color w:val="auto"/>
          <w:sz w:val="32"/>
          <w:szCs w:val="32"/>
          <w:lang w:val="zh-CN"/>
        </w:rPr>
      </w:pPr>
      <w:r>
        <w:rPr>
          <w:rFonts w:hint="default" w:ascii="Times New Roman" w:hAnsi="Times New Roman" w:eastAsia="仿宋_GB2312" w:cs="Times New Roman"/>
          <w:color w:val="auto"/>
          <w:sz w:val="32"/>
          <w:szCs w:val="32"/>
          <w:lang w:val="zh-CN"/>
        </w:rPr>
        <w:t>在项目实施后，严格按照财务制度、报销流程，一事一报，完成支付手续。</w:t>
      </w:r>
    </w:p>
    <w:p>
      <w:pPr>
        <w:numPr>
          <w:ilvl w:val="0"/>
          <w:numId w:val="7"/>
        </w:numPr>
        <w:adjustRightInd w:val="0"/>
        <w:snapToGrid w:val="0"/>
        <w:spacing w:line="600" w:lineRule="exact"/>
        <w:ind w:left="0" w:leftChars="0" w:firstLine="720" w:firstLineChars="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项目监管情况。</w:t>
      </w:r>
    </w:p>
    <w:p>
      <w:pPr>
        <w:numPr>
          <w:ilvl w:val="0"/>
          <w:numId w:val="0"/>
        </w:numPr>
        <w:adjustRightInd w:val="0"/>
        <w:snapToGrid w:val="0"/>
        <w:spacing w:line="578" w:lineRule="exact"/>
        <w:ind w:firstLine="640" w:firstLineChars="200"/>
        <w:rPr>
          <w:rFonts w:hint="eastAsia"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eastAsia="zh-CN"/>
        </w:rPr>
        <w:t>资金支付由</w:t>
      </w:r>
      <w:r>
        <w:rPr>
          <w:rFonts w:hint="eastAsia" w:ascii="Times New Roman" w:hAnsi="Times New Roman" w:eastAsia="仿宋_GB2312" w:cs="Times New Roman"/>
          <w:color w:val="auto"/>
          <w:sz w:val="32"/>
          <w:szCs w:val="32"/>
          <w:lang w:val="zh-CN" w:eastAsia="zh-CN"/>
        </w:rPr>
        <w:t>项目工作内容发生额的票据进行实报</w:t>
      </w:r>
      <w:r>
        <w:rPr>
          <w:rFonts w:hint="default" w:ascii="Times New Roman" w:hAnsi="Times New Roman" w:eastAsia="仿宋_GB2312" w:cs="Times New Roman"/>
          <w:color w:val="auto"/>
          <w:sz w:val="32"/>
          <w:szCs w:val="32"/>
          <w:lang w:val="zh-CN" w:eastAsia="zh-CN"/>
        </w:rPr>
        <w:t>—业务股室审核—分管领导审核—财政局归口股室审核—财务岗拨付</w:t>
      </w:r>
      <w:r>
        <w:rPr>
          <w:rFonts w:hint="eastAsia" w:ascii="Times New Roman" w:hAnsi="Times New Roman" w:eastAsia="仿宋_GB2312" w:cs="Times New Roman"/>
          <w:color w:val="auto"/>
          <w:sz w:val="32"/>
          <w:szCs w:val="32"/>
          <w:lang w:val="zh-CN"/>
        </w:rPr>
        <w:t>。</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bookmarkEnd w:id="68"/>
      <w:bookmarkEnd w:id="69"/>
      <w:bookmarkEnd w:id="70"/>
      <w:bookmarkEnd w:id="71"/>
      <w:bookmarkEnd w:id="72"/>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根据2022年度此项工作经费完成支付使用47万元。</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eastAsia" w:ascii="Times New Roman" w:hAnsi="Times New Roman" w:eastAsia="仿宋_GB2312" w:cs="Times New Roman"/>
          <w:kern w:val="0"/>
          <w:sz w:val="32"/>
          <w:szCs w:val="32"/>
          <w:shd w:val="clear" w:color="auto" w:fill="FFFFFF"/>
          <w:lang w:val="zh-CN"/>
        </w:rPr>
        <w:t>确保区域内投资持续，投资规模不断增加，提振投资信心，申报项目顺利入库，完成投资报送。</w:t>
      </w:r>
      <w:r>
        <w:rPr>
          <w:rFonts w:ascii="Arial" w:hAnsi="Arial" w:eastAsia="仿宋" w:cs="Arial"/>
          <w:color w:val="333333"/>
          <w:kern w:val="0"/>
          <w:sz w:val="32"/>
          <w:szCs w:val="32"/>
        </w:rPr>
        <w:t xml:space="preserve"> </w:t>
      </w:r>
    </w:p>
    <w:p>
      <w:pPr>
        <w:adjustRightInd w:val="0"/>
        <w:snapToGrid w:val="0"/>
        <w:spacing w:line="578" w:lineRule="exact"/>
        <w:ind w:firstLine="720"/>
        <w:rPr>
          <w:rFonts w:hint="default" w:ascii="Times New Roman" w:hAnsi="Times New Roman" w:eastAsia="黑体" w:cs="Times New Roman"/>
          <w:sz w:val="32"/>
          <w:szCs w:val="32"/>
        </w:rPr>
      </w:pPr>
      <w:bookmarkStart w:id="73" w:name="_Toc11221"/>
      <w:bookmarkStart w:id="74" w:name="_Toc25910"/>
      <w:bookmarkStart w:id="75" w:name="_Toc6639"/>
      <w:bookmarkStart w:id="76" w:name="_Toc23253"/>
      <w:bookmarkStart w:id="77" w:name="_Toc5186"/>
      <w:r>
        <w:rPr>
          <w:rFonts w:hint="default" w:ascii="Times New Roman" w:hAnsi="Times New Roman" w:eastAsia="黑体" w:cs="Times New Roman"/>
          <w:sz w:val="32"/>
          <w:szCs w:val="32"/>
        </w:rPr>
        <w:t>五、评价结论及建议</w:t>
      </w:r>
      <w:bookmarkEnd w:id="73"/>
      <w:bookmarkEnd w:id="74"/>
      <w:bookmarkEnd w:id="75"/>
      <w:bookmarkEnd w:id="76"/>
      <w:bookmarkEnd w:id="77"/>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推动区内产业向钒钛制造业、康养旅游业、环保深加工等产业发展</w:t>
      </w:r>
      <w:r>
        <w:rPr>
          <w:rFonts w:hint="eastAsia" w:ascii="Times New Roman" w:hAnsi="Times New Roman" w:eastAsia="仿宋_GB2312" w:cs="Times New Roman"/>
          <w:sz w:val="32"/>
          <w:szCs w:val="32"/>
          <w:lang w:eastAsia="zh-CN"/>
        </w:rPr>
        <w:t>。</w:t>
      </w:r>
    </w:p>
    <w:p>
      <w:pPr>
        <w:widowControl/>
        <w:adjustRightInd w:val="0"/>
        <w:snapToGrid w:val="0"/>
        <w:spacing w:line="578" w:lineRule="exact"/>
        <w:ind w:firstLine="643"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Times New Roman" w:hAnsi="Times New Roman" w:eastAsia="仿宋_GB2312" w:cs="Times New Roman"/>
          <w:sz w:val="32"/>
          <w:szCs w:val="32"/>
          <w:lang w:eastAsia="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eastAsia="zh-CN"/>
        </w:rPr>
        <w:t>无。</w:t>
      </w:r>
    </w:p>
    <w:p>
      <w:pPr>
        <w:pStyle w:val="6"/>
        <w:rPr>
          <w:rFonts w:hint="eastAsia"/>
          <w:lang w:val="en-US" w:eastAsia="zh-CN"/>
        </w:rPr>
      </w:pPr>
      <w:r>
        <w:rPr>
          <w:rFonts w:hint="eastAsia" w:ascii="Times New Roman" w:hAnsi="Times New Roman" w:cs="Times New Roman"/>
          <w:sz w:val="32"/>
          <w:szCs w:val="32"/>
          <w:lang w:val="en-US" w:eastAsia="zh-CN"/>
        </w:rPr>
        <w:t xml:space="preserve">    </w:t>
      </w:r>
    </w:p>
    <w:p>
      <w:pPr>
        <w:pStyle w:val="38"/>
        <w:spacing w:line="578" w:lineRule="exact"/>
        <w:jc w:val="center"/>
        <w:rPr>
          <w:rFonts w:ascii="方正小标宋简体" w:hAnsi="方正小标宋简体" w:eastAsia="方正小标宋简体" w:cs="方正小标宋简体"/>
          <w:color w:val="auto"/>
          <w:kern w:val="2"/>
          <w:sz w:val="32"/>
          <w:szCs w:val="32"/>
          <w:highlight w:val="none"/>
          <w:lang w:val="en-US"/>
        </w:rPr>
      </w:pPr>
      <w:r>
        <w:rPr>
          <w:rFonts w:hint="eastAsia" w:ascii="方正小标宋简体" w:hAnsi="方正小标宋简体" w:eastAsia="方正小标宋简体" w:cs="方正小标宋简体"/>
          <w:color w:val="auto"/>
          <w:kern w:val="2"/>
          <w:sz w:val="32"/>
          <w:szCs w:val="32"/>
          <w:highlight w:val="none"/>
          <w:lang w:val="en-US"/>
        </w:rPr>
        <w:t>2023年区级专项资金预算项目绩效自评报告</w:t>
      </w:r>
    </w:p>
    <w:p>
      <w:pPr>
        <w:pStyle w:val="38"/>
        <w:spacing w:line="578" w:lineRule="exact"/>
        <w:ind w:firstLine="640"/>
        <w:jc w:val="center"/>
        <w:rPr>
          <w:rFonts w:ascii="宋体" w:hAnsi="宋体"/>
          <w:color w:val="auto"/>
          <w:kern w:val="2"/>
          <w:sz w:val="32"/>
          <w:szCs w:val="32"/>
        </w:rPr>
      </w:pPr>
      <w:r>
        <w:rPr>
          <w:rFonts w:ascii="Times New Roman" w:hAnsi="Times New Roman" w:eastAsia="仿宋_GB2312"/>
          <w:sz w:val="32"/>
          <w:szCs w:val="32"/>
        </w:rPr>
        <w:t>（</w:t>
      </w:r>
      <w:r>
        <w:rPr>
          <w:rFonts w:hint="eastAsia" w:ascii="Times New Roman" w:hAnsi="Times New Roman" w:eastAsia="仿宋_GB2312" w:cs="Times New Roman"/>
          <w:sz w:val="32"/>
          <w:szCs w:val="32"/>
        </w:rPr>
        <w:t>疫情防控防疫物资</w:t>
      </w:r>
      <w:r>
        <w:rPr>
          <w:rFonts w:hint="eastAsia" w:ascii="Times New Roman" w:hAnsi="Times New Roman" w:eastAsia="仿宋_GB2312"/>
          <w:sz w:val="32"/>
          <w:szCs w:val="32"/>
        </w:rPr>
        <w:t>工作经费</w:t>
      </w:r>
      <w:r>
        <w:rPr>
          <w:rFonts w:ascii="Times New Roman" w:hAnsi="Times New Roman" w:eastAsia="仿宋_GB2312"/>
          <w:sz w:val="32"/>
          <w:szCs w:val="32"/>
        </w:rPr>
        <w:t>）</w:t>
      </w:r>
    </w:p>
    <w:p>
      <w:pPr>
        <w:pStyle w:val="38"/>
        <w:spacing w:line="578" w:lineRule="exact"/>
        <w:ind w:firstLine="640"/>
        <w:jc w:val="center"/>
        <w:rPr>
          <w:rFonts w:hint="default" w:ascii="Times New Roman" w:hAnsi="Times New Roman" w:cs="Times New Roman"/>
          <w:color w:val="auto"/>
          <w:kern w:val="2"/>
          <w:sz w:val="32"/>
          <w:szCs w:val="32"/>
        </w:rPr>
      </w:pP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完成2022年岁末年初</w:t>
      </w:r>
      <w:r>
        <w:rPr>
          <w:rFonts w:ascii="Times New Roman" w:hAnsi="Times New Roman" w:eastAsia="仿宋_GB2312" w:cs="Times New Roman"/>
          <w:sz w:val="32"/>
          <w:szCs w:val="32"/>
        </w:rPr>
        <w:t>应对新型冠状病毒脑炎疫情应急防疫物资保障</w:t>
      </w:r>
      <w:r>
        <w:rPr>
          <w:rFonts w:hint="eastAsia" w:ascii="Times New Roman" w:hAnsi="Times New Roman" w:eastAsia="仿宋_GB2312" w:cs="Times New Roman"/>
          <w:sz w:val="32"/>
          <w:szCs w:val="32"/>
        </w:rPr>
        <w:t>工作，有效提升西区防疫及突发紧急事件的处置能力。</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spacing w:line="353" w:lineRule="auto"/>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eastAsia="zh-CN"/>
        </w:rPr>
        <w:t>1．项目主要内容</w:t>
      </w:r>
      <w:r>
        <w:rPr>
          <w:rFonts w:hint="eastAsia" w:ascii="Times New Roman" w:hAnsi="Times New Roman" w:eastAsia="仿宋_GB2312" w:cs="Times New Roman"/>
          <w:kern w:val="0"/>
          <w:sz w:val="32"/>
          <w:szCs w:val="32"/>
          <w:shd w:val="clear" w:color="auto" w:fill="FFFFFF"/>
          <w:lang w:val="zh-CN" w:eastAsia="zh-CN"/>
        </w:rPr>
        <w:t>：</w:t>
      </w:r>
      <w:r>
        <w:rPr>
          <w:rFonts w:hint="eastAsia" w:ascii="Times New Roman" w:hAnsi="Times New Roman" w:eastAsia="仿宋_GB2312" w:cs="Times New Roman"/>
          <w:sz w:val="32"/>
          <w:szCs w:val="32"/>
        </w:rPr>
        <w:t>拟定西区2021年度防疫应急储备物资采购计划，报区政府审定后进行采购，并做好防疫应急物资的储备、管理及运输等相关工作。</w:t>
      </w:r>
    </w:p>
    <w:p>
      <w:pPr>
        <w:spacing w:line="353" w:lineRule="auto"/>
        <w:ind w:firstLine="640" w:firstLineChars="200"/>
        <w:rPr>
          <w:rFonts w:hint="eastAsia"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zh-CN"/>
        </w:rPr>
        <w:t>2．项目应实现的具体绩效目标</w:t>
      </w:r>
      <w:r>
        <w:rPr>
          <w:rFonts w:hint="eastAsia" w:eastAsia="仿宋_GB2312" w:cs="Times New Roman"/>
          <w:kern w:val="0"/>
          <w:sz w:val="32"/>
          <w:szCs w:val="32"/>
          <w:shd w:val="clear" w:color="auto" w:fill="FFFFFF"/>
          <w:lang w:val="zh-CN"/>
        </w:rPr>
        <w:t>包括：</w:t>
      </w:r>
      <w:r>
        <w:rPr>
          <w:rFonts w:eastAsia="仿宋_GB2312"/>
          <w:sz w:val="32"/>
          <w:szCs w:val="32"/>
        </w:rPr>
        <w:t>区疫情防控后勤保障组负责协调专业机构对药品、医疗器械、卫生防护用品等应急物资的储备以及专项资金的筹集、分配、审核工作，</w:t>
      </w:r>
      <w:r>
        <w:rPr>
          <w:rFonts w:hint="eastAsia" w:eastAsia="仿宋_GB2312"/>
          <w:sz w:val="32"/>
          <w:szCs w:val="32"/>
        </w:rPr>
        <w:t>进行防疫物资采购储备。</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按照有关规定和工作安排，我单位开展自行评估，通过收集被评估项目相关基础资料，并查阅资料、收集数据信息等，深入论证分析后，形成绩效评估报告。</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lang w:val="en-US" w:eastAsia="zh-CN"/>
        </w:rPr>
        <w:t>纳入本次评价的</w:t>
      </w:r>
      <w:r>
        <w:rPr>
          <w:rFonts w:hint="eastAsia" w:ascii="Times New Roman" w:hAnsi="Times New Roman" w:eastAsia="仿宋_GB2312" w:cs="Times New Roman"/>
          <w:sz w:val="32"/>
          <w:szCs w:val="32"/>
        </w:rPr>
        <w:t>疫情防控防疫物资</w:t>
      </w:r>
      <w:r>
        <w:rPr>
          <w:rFonts w:hint="eastAsia" w:ascii="Times New Roman" w:hAnsi="Times New Roman" w:eastAsia="仿宋_GB2312"/>
          <w:sz w:val="32"/>
          <w:szCs w:val="32"/>
        </w:rPr>
        <w:t>工作经费</w:t>
      </w:r>
      <w:r>
        <w:rPr>
          <w:rFonts w:hint="default" w:ascii="Times New Roman" w:hAnsi="Times New Roman" w:eastAsia="仿宋_GB2312" w:cs="Times New Roman"/>
          <w:color w:val="auto"/>
          <w:sz w:val="32"/>
          <w:szCs w:val="32"/>
          <w:lang w:val="en-US" w:eastAsia="zh-CN"/>
        </w:rPr>
        <w:t>项目由区</w:t>
      </w:r>
      <w:r>
        <w:rPr>
          <w:rFonts w:hint="eastAsia" w:ascii="Times New Roman" w:hAnsi="Times New Roman" w:eastAsia="仿宋_GB2312" w:cs="Times New Roman"/>
          <w:color w:val="auto"/>
          <w:sz w:val="32"/>
          <w:szCs w:val="32"/>
          <w:lang w:val="en-US" w:eastAsia="zh-CN"/>
        </w:rPr>
        <w:t>发展改革</w:t>
      </w:r>
      <w:r>
        <w:rPr>
          <w:rFonts w:hint="default" w:ascii="Times New Roman" w:hAnsi="Times New Roman" w:eastAsia="仿宋_GB2312" w:cs="Times New Roman"/>
          <w:color w:val="auto"/>
          <w:sz w:val="32"/>
          <w:szCs w:val="32"/>
          <w:lang w:val="en-US" w:eastAsia="zh-CN"/>
        </w:rPr>
        <w:t>局根据相关规定年初纳入部门预算，上报区财政局，由区财政局审核后出具正式预算批复。项目批复预算资金</w:t>
      </w:r>
      <w:r>
        <w:rPr>
          <w:rFonts w:hint="eastAsia" w:ascii="Times New Roman" w:hAnsi="Times New Roman" w:eastAsia="仿宋_GB2312" w:cs="Times New Roman"/>
          <w:color w:val="auto"/>
          <w:sz w:val="32"/>
          <w:szCs w:val="32"/>
          <w:lang w:val="en-US" w:eastAsia="zh-CN"/>
        </w:rPr>
        <w:t>57</w:t>
      </w:r>
      <w:r>
        <w:rPr>
          <w:rFonts w:hint="default" w:ascii="Times New Roman" w:hAnsi="Times New Roman" w:eastAsia="仿宋_GB2312" w:cs="Times New Roman"/>
          <w:color w:val="auto"/>
          <w:sz w:val="32"/>
          <w:szCs w:val="32"/>
          <w:lang w:val="en-US" w:eastAsia="zh-CN"/>
        </w:rPr>
        <w:t>万元，年底据实结算</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1．资金计划。</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年申报预算</w:t>
      </w:r>
      <w:r>
        <w:rPr>
          <w:rFonts w:hint="eastAsia" w:cs="Times New Roman"/>
          <w:color w:val="auto"/>
          <w:sz w:val="32"/>
          <w:szCs w:val="32"/>
          <w:lang w:val="en-US" w:eastAsia="zh-CN"/>
        </w:rPr>
        <w:t>57</w:t>
      </w:r>
      <w:r>
        <w:rPr>
          <w:rFonts w:hint="default" w:ascii="Times New Roman" w:hAnsi="Times New Roman" w:eastAsia="仿宋_GB2312" w:cs="Times New Roman"/>
          <w:color w:val="auto"/>
          <w:sz w:val="32"/>
          <w:szCs w:val="32"/>
          <w:lang w:val="en-US" w:eastAsia="zh-CN"/>
        </w:rPr>
        <w:t>万元，年底据实结算</w:t>
      </w:r>
      <w:r>
        <w:rPr>
          <w:rFonts w:hint="default" w:ascii="Times New Roman" w:hAnsi="Times New Roman" w:eastAsia="仿宋_GB2312" w:cs="Times New Roman"/>
          <w:color w:val="auto"/>
          <w:sz w:val="32"/>
          <w:szCs w:val="32"/>
        </w:rPr>
        <w:t>。</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2．资金到位。</w:t>
      </w:r>
    </w:p>
    <w:p>
      <w:pPr>
        <w:spacing w:line="353" w:lineRule="auto"/>
        <w:ind w:firstLine="640" w:firstLineChars="200"/>
        <w:rPr>
          <w:rFonts w:hint="eastAsia" w:eastAsia="仿宋_GB2312"/>
          <w:sz w:val="32"/>
          <w:szCs w:val="32"/>
          <w:lang w:val="en-US" w:eastAsia="zh-CN"/>
        </w:rPr>
      </w:pPr>
      <w:r>
        <w:rPr>
          <w:rFonts w:hint="eastAsia" w:eastAsia="楷体_GB2312"/>
          <w:sz w:val="32"/>
          <w:szCs w:val="32"/>
          <w:lang w:val="zh-CN"/>
        </w:rPr>
        <w:t>2</w:t>
      </w:r>
      <w:r>
        <w:rPr>
          <w:rFonts w:eastAsia="楷体_GB2312"/>
          <w:sz w:val="32"/>
          <w:szCs w:val="32"/>
          <w:lang w:val="zh-CN"/>
        </w:rPr>
        <w:t>022</w:t>
      </w:r>
      <w:r>
        <w:rPr>
          <w:rFonts w:hint="eastAsia" w:eastAsia="楷体_GB2312"/>
          <w:sz w:val="32"/>
          <w:szCs w:val="32"/>
          <w:lang w:val="zh-CN"/>
        </w:rPr>
        <w:t>年区财政</w:t>
      </w:r>
      <w:r>
        <w:rPr>
          <w:rFonts w:eastAsia="仿宋_GB2312"/>
          <w:sz w:val="32"/>
          <w:szCs w:val="32"/>
        </w:rPr>
        <w:t>批复</w:t>
      </w:r>
      <w:r>
        <w:rPr>
          <w:rFonts w:hint="eastAsia" w:eastAsia="仿宋_GB2312"/>
          <w:sz w:val="32"/>
          <w:szCs w:val="32"/>
        </w:rPr>
        <w:t>该项目</w:t>
      </w:r>
      <w:r>
        <w:rPr>
          <w:rFonts w:eastAsia="仿宋_GB2312"/>
          <w:sz w:val="32"/>
          <w:szCs w:val="32"/>
        </w:rPr>
        <w:t>预算资金</w:t>
      </w:r>
      <w:r>
        <w:rPr>
          <w:rFonts w:hint="eastAsia" w:eastAsia="仿宋_GB2312"/>
          <w:sz w:val="32"/>
          <w:szCs w:val="32"/>
          <w:lang w:val="en-US" w:eastAsia="zh-CN"/>
        </w:rPr>
        <w:t>57万元。</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3．资金使用。</w:t>
      </w:r>
    </w:p>
    <w:p>
      <w:pPr>
        <w:spacing w:line="353" w:lineRule="auto"/>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val="en-US" w:eastAsia="zh-CN"/>
        </w:rPr>
        <w:t>截止评价时点，202</w:t>
      </w:r>
      <w:r>
        <w:rPr>
          <w:rFonts w:hint="eastAsia"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sz w:val="32"/>
          <w:szCs w:val="32"/>
        </w:rPr>
        <w:t>疫情防控防疫物资</w:t>
      </w:r>
      <w:r>
        <w:rPr>
          <w:rFonts w:hint="eastAsia" w:ascii="Times New Roman" w:hAnsi="Times New Roman" w:eastAsia="仿宋_GB2312"/>
          <w:sz w:val="32"/>
          <w:szCs w:val="32"/>
        </w:rPr>
        <w:t>工作经费</w:t>
      </w:r>
      <w:r>
        <w:rPr>
          <w:rFonts w:hint="default" w:ascii="Times New Roman" w:hAnsi="Times New Roman" w:eastAsia="仿宋_GB2312" w:cs="Times New Roman"/>
          <w:color w:val="auto"/>
          <w:sz w:val="32"/>
          <w:szCs w:val="32"/>
          <w:lang w:val="en-US" w:eastAsia="zh-CN"/>
        </w:rPr>
        <w:t>共支出</w:t>
      </w:r>
      <w:r>
        <w:rPr>
          <w:rFonts w:hint="eastAsia" w:cs="Times New Roman"/>
          <w:color w:val="auto"/>
          <w:sz w:val="32"/>
          <w:szCs w:val="32"/>
          <w:lang w:val="en-US" w:eastAsia="zh-CN"/>
        </w:rPr>
        <w:t>57</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资金用于</w:t>
      </w:r>
      <w:r>
        <w:rPr>
          <w:rFonts w:hint="eastAsia" w:ascii="Times New Roman" w:hAnsi="Times New Roman" w:eastAsia="仿宋_GB2312" w:cs="Times New Roman"/>
          <w:sz w:val="32"/>
          <w:szCs w:val="32"/>
        </w:rPr>
        <w:t>采购各类防疫应急物资，采购遮阳棚、防护服、消毒液等各类防疫应急物资,疫情防疫卡点等疫情防控工作经费</w:t>
      </w:r>
      <w:r>
        <w:rPr>
          <w:rFonts w:hint="eastAsia" w:ascii="Times New Roman" w:hAnsi="Times New Roman" w:eastAsia="仿宋_GB2312" w:cs="Times New Roman"/>
          <w:sz w:val="32"/>
          <w:szCs w:val="32"/>
          <w:lang w:eastAsia="zh-CN"/>
        </w:rPr>
        <w:t>支出。</w:t>
      </w:r>
    </w:p>
    <w:p>
      <w:pPr>
        <w:spacing w:line="353" w:lineRule="auto"/>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eastAsia="zh-CN"/>
        </w:rPr>
        <w:t>资金开支范围、标准及支付进度等符合规定，按实际发生额进行支付，并严格按照财务管理制度审核支付，支付依据合规合法</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 xml:space="preserve">该项目财务管理制度严格按照《中华人民共和国会计法》、《行政单位会计制度》进行账务处理与票据审核，会计核算及账务处理及时，所有提供的票据与合同与会计付款相关。财务处理及时、会计核算规范。 </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三、项目实施及管理情况</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（一）项目组织架构及实施流程。</w:t>
      </w:r>
    </w:p>
    <w:p>
      <w:pPr>
        <w:adjustRightInd w:val="0"/>
        <w:snapToGrid w:val="0"/>
        <w:spacing w:line="578" w:lineRule="exact"/>
        <w:ind w:firstLine="720"/>
        <w:rPr>
          <w:rFonts w:hint="default" w:ascii="Times New Roman" w:hAnsi="Times New Roman" w:eastAsia="仿宋_GB2312" w:cs="Times New Roman"/>
          <w:color w:val="auto"/>
          <w:sz w:val="32"/>
          <w:szCs w:val="32"/>
          <w:lang w:val="zh-CN"/>
        </w:rPr>
      </w:pPr>
      <w:r>
        <w:rPr>
          <w:rFonts w:hint="eastAsia" w:eastAsia="仿宋_GB2312" w:cs="Times New Roman"/>
          <w:color w:val="auto"/>
          <w:sz w:val="32"/>
          <w:szCs w:val="32"/>
          <w:lang w:val="zh-CN"/>
        </w:rPr>
        <w:t>区发展改革局</w:t>
      </w:r>
      <w:r>
        <w:rPr>
          <w:rFonts w:hint="default" w:ascii="Times New Roman" w:hAnsi="Times New Roman" w:eastAsia="仿宋_GB2312" w:cs="Times New Roman"/>
          <w:color w:val="auto"/>
          <w:sz w:val="32"/>
          <w:szCs w:val="32"/>
          <w:lang w:val="zh-CN"/>
        </w:rPr>
        <w:t>严格按照该项目事前规划实施，将经费</w:t>
      </w:r>
      <w:r>
        <w:rPr>
          <w:rFonts w:hint="eastAsia" w:eastAsia="仿宋_GB2312" w:cs="Times New Roman"/>
          <w:color w:val="auto"/>
          <w:sz w:val="32"/>
          <w:szCs w:val="32"/>
          <w:lang w:val="zh-CN"/>
        </w:rPr>
        <w:t>用于</w:t>
      </w:r>
      <w:r>
        <w:rPr>
          <w:rFonts w:hint="eastAsia" w:ascii="Times New Roman" w:hAnsi="Times New Roman" w:eastAsia="仿宋_GB2312" w:cs="Times New Roman"/>
          <w:sz w:val="32"/>
          <w:szCs w:val="32"/>
        </w:rPr>
        <w:t>各部门项目申报过程中，项目前期资料要件的查漏补缺工作，项目现场核查</w:t>
      </w:r>
      <w:r>
        <w:rPr>
          <w:rFonts w:hint="eastAsia" w:ascii="Times New Roman" w:hAnsi="Times New Roman" w:eastAsia="仿宋_GB2312" w:cs="Times New Roman"/>
          <w:sz w:val="32"/>
          <w:szCs w:val="32"/>
          <w:lang w:eastAsia="zh-CN"/>
        </w:rPr>
        <w:t>、项目会审</w:t>
      </w:r>
      <w:r>
        <w:rPr>
          <w:rFonts w:hint="eastAsia" w:ascii="Times New Roman" w:hAnsi="Times New Roman" w:eastAsia="仿宋_GB2312" w:cs="Times New Roman"/>
          <w:sz w:val="32"/>
          <w:szCs w:val="32"/>
        </w:rPr>
        <w:t>等工作</w:t>
      </w:r>
      <w:r>
        <w:rPr>
          <w:rFonts w:hint="default" w:ascii="Times New Roman" w:hAnsi="Times New Roman" w:eastAsia="仿宋_GB2312" w:cs="Times New Roman"/>
          <w:color w:val="auto"/>
          <w:sz w:val="32"/>
          <w:szCs w:val="32"/>
          <w:lang w:val="zh-CN"/>
        </w:rPr>
        <w:t>。</w:t>
      </w:r>
    </w:p>
    <w:p>
      <w:pPr>
        <w:numPr>
          <w:ilvl w:val="0"/>
          <w:numId w:val="7"/>
        </w:num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项目管理情况。</w:t>
      </w:r>
    </w:p>
    <w:p>
      <w:pPr>
        <w:numPr>
          <w:ilvl w:val="0"/>
          <w:numId w:val="0"/>
        </w:numPr>
        <w:adjustRightInd w:val="0"/>
        <w:snapToGrid w:val="0"/>
        <w:spacing w:line="578" w:lineRule="exact"/>
        <w:ind w:firstLine="640" w:firstLineChars="200"/>
        <w:rPr>
          <w:rFonts w:hint="default" w:ascii="Times New Roman" w:hAnsi="Times New Roman" w:eastAsia="楷体_GB2312" w:cs="Times New Roman"/>
          <w:b/>
          <w:color w:val="auto"/>
          <w:sz w:val="32"/>
          <w:szCs w:val="32"/>
          <w:lang w:val="zh-CN"/>
        </w:rPr>
      </w:pPr>
      <w:r>
        <w:rPr>
          <w:rFonts w:hint="default" w:ascii="Times New Roman" w:hAnsi="Times New Roman" w:eastAsia="仿宋_GB2312" w:cs="Times New Roman"/>
          <w:color w:val="auto"/>
          <w:sz w:val="32"/>
          <w:szCs w:val="32"/>
          <w:lang w:val="zh-CN"/>
        </w:rPr>
        <w:t>在项目实施后，严格按照财务制度、报销流程，一事一报，完成支付手续。</w:t>
      </w:r>
    </w:p>
    <w:p>
      <w:pPr>
        <w:numPr>
          <w:ilvl w:val="0"/>
          <w:numId w:val="7"/>
        </w:numPr>
        <w:adjustRightInd w:val="0"/>
        <w:snapToGrid w:val="0"/>
        <w:spacing w:line="600" w:lineRule="exact"/>
        <w:ind w:left="0" w:leftChars="0" w:firstLine="720" w:firstLineChars="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项目监管情况。</w:t>
      </w:r>
    </w:p>
    <w:p>
      <w:pPr>
        <w:numPr>
          <w:ilvl w:val="0"/>
          <w:numId w:val="0"/>
        </w:numPr>
        <w:adjustRightInd w:val="0"/>
        <w:snapToGrid w:val="0"/>
        <w:spacing w:line="578" w:lineRule="exact"/>
        <w:ind w:firstLine="640" w:firstLineChars="200"/>
        <w:rPr>
          <w:rFonts w:hint="eastAsia"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eastAsia="zh-CN"/>
        </w:rPr>
        <w:t>资金支付由</w:t>
      </w:r>
      <w:r>
        <w:rPr>
          <w:rFonts w:hint="eastAsia" w:ascii="Times New Roman" w:hAnsi="Times New Roman" w:eastAsia="仿宋_GB2312" w:cs="Times New Roman"/>
          <w:color w:val="auto"/>
          <w:sz w:val="32"/>
          <w:szCs w:val="32"/>
          <w:lang w:val="zh-CN" w:eastAsia="zh-CN"/>
        </w:rPr>
        <w:t>项目工作内容发生额的票据进行实报</w:t>
      </w:r>
      <w:r>
        <w:rPr>
          <w:rFonts w:hint="default" w:ascii="Times New Roman" w:hAnsi="Times New Roman" w:eastAsia="仿宋_GB2312" w:cs="Times New Roman"/>
          <w:color w:val="auto"/>
          <w:sz w:val="32"/>
          <w:szCs w:val="32"/>
          <w:lang w:val="zh-CN" w:eastAsia="zh-CN"/>
        </w:rPr>
        <w:t>—业务股室审核—分管领导审核—财政局归口股室审核—财务岗拨付</w:t>
      </w:r>
      <w:r>
        <w:rPr>
          <w:rFonts w:hint="eastAsia" w:ascii="Times New Roman" w:hAnsi="Times New Roman" w:eastAsia="仿宋_GB2312" w:cs="Times New Roman"/>
          <w:color w:val="auto"/>
          <w:sz w:val="32"/>
          <w:szCs w:val="32"/>
          <w:lang w:val="zh-CN"/>
        </w:rPr>
        <w:t>。</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根据2022年度此项工作经费完成支付使用57万元。</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spacing w:line="353" w:lineRule="auto"/>
        <w:ind w:firstLine="640" w:firstLineChars="200"/>
        <w:rPr>
          <w:rFonts w:hint="default" w:ascii="Times New Roman" w:hAnsi="Times New Roman" w:eastAsia="仿宋_GB2312" w:cs="Times New Roman"/>
          <w:kern w:val="0"/>
          <w:sz w:val="32"/>
          <w:szCs w:val="32"/>
          <w:shd w:val="clear" w:color="auto" w:fill="FFFFFF"/>
          <w:lang w:val="zh-CN"/>
        </w:rPr>
      </w:pPr>
      <w:r>
        <w:rPr>
          <w:rFonts w:hint="eastAsia" w:ascii="Times New Roman" w:hAnsi="Times New Roman" w:eastAsia="仿宋_GB2312" w:cs="Times New Roman"/>
          <w:sz w:val="32"/>
          <w:szCs w:val="32"/>
        </w:rPr>
        <w:t>有效保障防疫及突发紧急事件的处置需要，疫情防疫卡点等疫情防控工作保障等，确保西区社会经济稳定发展。</w:t>
      </w:r>
      <w:r>
        <w:rPr>
          <w:rFonts w:ascii="Arial" w:hAnsi="Arial" w:eastAsia="仿宋" w:cs="Arial"/>
          <w:color w:val="333333"/>
          <w:kern w:val="0"/>
          <w:sz w:val="32"/>
          <w:szCs w:val="32"/>
        </w:rPr>
        <w:t xml:space="preserve"> </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有效提升西区防疫及突发紧急事件的处置能力。</w:t>
      </w:r>
    </w:p>
    <w:p>
      <w:pPr>
        <w:widowControl/>
        <w:adjustRightInd w:val="0"/>
        <w:snapToGrid w:val="0"/>
        <w:spacing w:line="578" w:lineRule="exact"/>
        <w:ind w:firstLine="643"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Times New Roman" w:hAnsi="Times New Roman" w:eastAsia="仿宋_GB2312" w:cs="Times New Roman"/>
          <w:sz w:val="32"/>
          <w:szCs w:val="32"/>
          <w:lang w:eastAsia="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Times New Roman" w:hAnsi="Times New Roman" w:cs="Times New Roman"/>
          <w:sz w:val="32"/>
          <w:szCs w:val="32"/>
          <w:lang w:val="en-US" w:eastAsia="zh-CN"/>
        </w:rPr>
        <w:t xml:space="preserve"> </w:t>
      </w:r>
      <w:r>
        <w:rPr>
          <w:rFonts w:hint="eastAsia" w:ascii="Times New Roman" w:hAnsi="Times New Roman" w:eastAsia="仿宋_GB2312" w:cs="Times New Roman"/>
          <w:sz w:val="32"/>
          <w:szCs w:val="32"/>
          <w:lang w:eastAsia="zh-CN"/>
        </w:rPr>
        <w:t>无。</w:t>
      </w:r>
    </w:p>
    <w:p>
      <w:pPr>
        <w:pStyle w:val="6"/>
        <w:rPr>
          <w:rFonts w:hint="eastAsia"/>
          <w:lang w:val="zh-CN"/>
        </w:rPr>
      </w:pPr>
      <w:r>
        <w:rPr>
          <w:rFonts w:hint="eastAsia" w:ascii="Times New Roman" w:hAnsi="Times New Roman" w:cs="Times New Roman"/>
          <w:sz w:val="32"/>
          <w:szCs w:val="32"/>
          <w:lang w:val="en-US" w:eastAsia="zh-CN"/>
        </w:rPr>
        <w:t xml:space="preserve">   </w:t>
      </w:r>
    </w:p>
    <w:p>
      <w:pPr>
        <w:spacing w:line="600" w:lineRule="exact"/>
        <w:jc w:val="center"/>
        <w:outlineLvl w:val="0"/>
        <w:rPr>
          <w:rFonts w:ascii="仿宋" w:hAnsi="仿宋" w:eastAsia="仿宋"/>
        </w:rPr>
      </w:pPr>
      <w:bookmarkStart w:id="78" w:name="_Toc15396618"/>
      <w:r>
        <w:rPr>
          <w:rFonts w:hint="eastAsia" w:ascii="黑体" w:hAnsi="黑体" w:eastAsia="黑体"/>
          <w:sz w:val="44"/>
          <w:szCs w:val="44"/>
        </w:rPr>
        <w:t>第</w:t>
      </w:r>
      <w:r>
        <w:rPr>
          <w:rStyle w:val="32"/>
          <w:rFonts w:hint="eastAsia" w:ascii="黑体" w:hAnsi="黑体" w:eastAsia="黑体"/>
          <w:b w:val="0"/>
        </w:rPr>
        <w:t>五部分 附表</w:t>
      </w:r>
      <w:bookmarkEnd w:id="51"/>
      <w:bookmarkEnd w:id="78"/>
      <w:bookmarkStart w:id="79" w:name="_Toc15396619"/>
    </w:p>
    <w:p>
      <w:pPr>
        <w:pStyle w:val="3"/>
        <w:rPr>
          <w:rFonts w:ascii="仿宋" w:hAnsi="仿宋" w:eastAsia="仿宋"/>
        </w:rPr>
      </w:pPr>
      <w:r>
        <w:rPr>
          <w:rFonts w:hint="eastAsia" w:ascii="仿宋" w:hAnsi="仿宋" w:eastAsia="仿宋"/>
          <w:b w:val="0"/>
        </w:rPr>
        <w:t>一、收</w:t>
      </w:r>
      <w:r>
        <w:rPr>
          <w:rStyle w:val="33"/>
          <w:rFonts w:hint="eastAsia" w:ascii="仿宋" w:hAnsi="仿宋" w:eastAsia="仿宋"/>
          <w:b w:val="0"/>
          <w:bCs w:val="0"/>
        </w:rPr>
        <w:t>入支出决算总表</w:t>
      </w:r>
      <w:bookmarkEnd w:id="79"/>
    </w:p>
    <w:p>
      <w:pPr>
        <w:pStyle w:val="3"/>
        <w:rPr>
          <w:rFonts w:ascii="仿宋" w:hAnsi="仿宋" w:eastAsia="仿宋"/>
        </w:rPr>
      </w:pPr>
      <w:bookmarkStart w:id="80" w:name="_Toc15396620"/>
      <w:r>
        <w:rPr>
          <w:rFonts w:hint="eastAsia" w:ascii="仿宋" w:hAnsi="仿宋" w:eastAsia="仿宋"/>
          <w:b w:val="0"/>
        </w:rPr>
        <w:t>二、收</w:t>
      </w:r>
      <w:r>
        <w:rPr>
          <w:rStyle w:val="33"/>
          <w:rFonts w:hint="eastAsia" w:ascii="仿宋" w:hAnsi="仿宋" w:eastAsia="仿宋"/>
          <w:b w:val="0"/>
          <w:bCs w:val="0"/>
        </w:rPr>
        <w:t>入决算表</w:t>
      </w:r>
      <w:bookmarkEnd w:id="80"/>
    </w:p>
    <w:p>
      <w:pPr>
        <w:pStyle w:val="3"/>
        <w:rPr>
          <w:rFonts w:ascii="仿宋" w:hAnsi="仿宋" w:eastAsia="仿宋"/>
        </w:rPr>
      </w:pPr>
      <w:bookmarkStart w:id="81" w:name="_Toc15396621"/>
      <w:r>
        <w:rPr>
          <w:rStyle w:val="33"/>
          <w:rFonts w:hint="eastAsia" w:ascii="仿宋" w:hAnsi="仿宋" w:eastAsia="仿宋"/>
          <w:b w:val="0"/>
          <w:bCs w:val="0"/>
        </w:rPr>
        <w:t>三、</w:t>
      </w:r>
      <w:r>
        <w:rPr>
          <w:rFonts w:hint="eastAsia" w:ascii="仿宋" w:hAnsi="仿宋" w:eastAsia="仿宋"/>
          <w:b w:val="0"/>
        </w:rPr>
        <w:t>支</w:t>
      </w:r>
      <w:r>
        <w:rPr>
          <w:rStyle w:val="33"/>
          <w:rFonts w:hint="eastAsia" w:ascii="仿宋" w:hAnsi="仿宋" w:eastAsia="仿宋"/>
          <w:b w:val="0"/>
          <w:bCs w:val="0"/>
        </w:rPr>
        <w:t>出决算表</w:t>
      </w:r>
      <w:bookmarkEnd w:id="81"/>
    </w:p>
    <w:p>
      <w:pPr>
        <w:pStyle w:val="3"/>
        <w:rPr>
          <w:rFonts w:ascii="仿宋" w:hAnsi="仿宋" w:eastAsia="仿宋"/>
          <w:b w:val="0"/>
        </w:rPr>
      </w:pPr>
      <w:bookmarkStart w:id="82" w:name="_Toc15396622"/>
      <w:r>
        <w:rPr>
          <w:rStyle w:val="33"/>
          <w:rFonts w:hint="eastAsia" w:ascii="仿宋" w:hAnsi="仿宋" w:eastAsia="仿宋"/>
          <w:b w:val="0"/>
          <w:bCs w:val="0"/>
        </w:rPr>
        <w:t>四、</w:t>
      </w:r>
      <w:r>
        <w:rPr>
          <w:rFonts w:hint="eastAsia" w:ascii="仿宋" w:hAnsi="仿宋" w:eastAsia="仿宋"/>
          <w:b w:val="0"/>
        </w:rPr>
        <w:t>财</w:t>
      </w:r>
      <w:r>
        <w:rPr>
          <w:rStyle w:val="33"/>
          <w:rFonts w:hint="eastAsia" w:ascii="仿宋" w:hAnsi="仿宋" w:eastAsia="仿宋"/>
          <w:b w:val="0"/>
          <w:bCs w:val="0"/>
        </w:rPr>
        <w:t>政拨款收入支出决算总表</w:t>
      </w:r>
      <w:bookmarkEnd w:id="82"/>
    </w:p>
    <w:p>
      <w:pPr>
        <w:pStyle w:val="3"/>
        <w:rPr>
          <w:rStyle w:val="33"/>
          <w:rFonts w:ascii="仿宋" w:hAnsi="仿宋" w:eastAsia="仿宋"/>
          <w:b w:val="0"/>
          <w:bCs w:val="0"/>
        </w:rPr>
      </w:pPr>
      <w:bookmarkStart w:id="83" w:name="_Toc15396623"/>
      <w:r>
        <w:rPr>
          <w:rStyle w:val="33"/>
          <w:rFonts w:hint="eastAsia" w:ascii="仿宋" w:hAnsi="仿宋" w:eastAsia="仿宋"/>
          <w:b w:val="0"/>
          <w:bCs w:val="0"/>
        </w:rPr>
        <w:t>五、</w:t>
      </w:r>
      <w:r>
        <w:rPr>
          <w:rFonts w:hint="eastAsia" w:ascii="仿宋" w:hAnsi="仿宋" w:eastAsia="仿宋"/>
          <w:b w:val="0"/>
        </w:rPr>
        <w:t>财</w:t>
      </w:r>
      <w:r>
        <w:rPr>
          <w:rStyle w:val="33"/>
          <w:rFonts w:hint="eastAsia" w:ascii="仿宋" w:hAnsi="仿宋" w:eastAsia="仿宋"/>
          <w:b w:val="0"/>
          <w:bCs w:val="0"/>
        </w:rPr>
        <w:t>政拨款支出决算明细表</w:t>
      </w:r>
      <w:bookmarkEnd w:id="83"/>
      <w:bookmarkStart w:id="84" w:name="_Toc15396624"/>
    </w:p>
    <w:p>
      <w:pPr>
        <w:pStyle w:val="3"/>
        <w:rPr>
          <w:rFonts w:ascii="仿宋" w:hAnsi="仿宋" w:eastAsia="仿宋"/>
        </w:rPr>
      </w:pPr>
      <w:r>
        <w:rPr>
          <w:rStyle w:val="33"/>
          <w:rFonts w:hint="eastAsia" w:ascii="仿宋" w:hAnsi="仿宋" w:eastAsia="仿宋"/>
          <w:b w:val="0"/>
          <w:bCs w:val="0"/>
        </w:rPr>
        <w:t>六、</w:t>
      </w:r>
      <w:r>
        <w:rPr>
          <w:rFonts w:hint="eastAsia" w:ascii="仿宋" w:hAnsi="仿宋" w:eastAsia="仿宋"/>
          <w:b w:val="0"/>
        </w:rPr>
        <w:t>一</w:t>
      </w:r>
      <w:r>
        <w:rPr>
          <w:rStyle w:val="33"/>
          <w:rFonts w:hint="eastAsia" w:ascii="仿宋" w:hAnsi="仿宋" w:eastAsia="仿宋"/>
          <w:b w:val="0"/>
          <w:bCs w:val="0"/>
        </w:rPr>
        <w:t>般公共预算财政拨款支出决算表</w:t>
      </w:r>
      <w:bookmarkEnd w:id="84"/>
    </w:p>
    <w:p>
      <w:pPr>
        <w:pStyle w:val="3"/>
        <w:rPr>
          <w:rFonts w:ascii="仿宋" w:hAnsi="仿宋" w:eastAsia="仿宋"/>
        </w:rPr>
      </w:pPr>
      <w:bookmarkStart w:id="85" w:name="_Toc15396625"/>
      <w:r>
        <w:rPr>
          <w:rStyle w:val="33"/>
          <w:rFonts w:hint="eastAsia" w:ascii="仿宋" w:hAnsi="仿宋" w:eastAsia="仿宋"/>
          <w:b w:val="0"/>
          <w:bCs w:val="0"/>
        </w:rPr>
        <w:t>七、</w:t>
      </w:r>
      <w:r>
        <w:rPr>
          <w:rFonts w:hint="eastAsia" w:ascii="仿宋" w:hAnsi="仿宋" w:eastAsia="仿宋"/>
          <w:b w:val="0"/>
        </w:rPr>
        <w:t>一</w:t>
      </w:r>
      <w:r>
        <w:rPr>
          <w:rStyle w:val="33"/>
          <w:rFonts w:hint="eastAsia" w:ascii="仿宋" w:hAnsi="仿宋" w:eastAsia="仿宋"/>
          <w:b w:val="0"/>
          <w:bCs w:val="0"/>
        </w:rPr>
        <w:t>般公共预算财政拨款支出决算明细表</w:t>
      </w:r>
      <w:bookmarkEnd w:id="85"/>
    </w:p>
    <w:p>
      <w:pPr>
        <w:pStyle w:val="3"/>
        <w:rPr>
          <w:rFonts w:ascii="仿宋" w:hAnsi="仿宋" w:eastAsia="仿宋"/>
        </w:rPr>
      </w:pPr>
      <w:bookmarkStart w:id="86" w:name="_Toc15396626"/>
      <w:r>
        <w:rPr>
          <w:rStyle w:val="33"/>
          <w:rFonts w:hint="eastAsia" w:ascii="仿宋" w:hAnsi="仿宋" w:eastAsia="仿宋"/>
          <w:b w:val="0"/>
          <w:bCs w:val="0"/>
        </w:rPr>
        <w:t>八、</w:t>
      </w:r>
      <w:r>
        <w:rPr>
          <w:rFonts w:hint="eastAsia" w:ascii="仿宋" w:hAnsi="仿宋" w:eastAsia="仿宋"/>
          <w:b w:val="0"/>
        </w:rPr>
        <w:t>一</w:t>
      </w:r>
      <w:r>
        <w:rPr>
          <w:rStyle w:val="33"/>
          <w:rFonts w:hint="eastAsia" w:ascii="仿宋" w:hAnsi="仿宋" w:eastAsia="仿宋"/>
          <w:b w:val="0"/>
          <w:bCs w:val="0"/>
        </w:rPr>
        <w:t>般公共预算财政拨款基本支出决算表</w:t>
      </w:r>
      <w:bookmarkEnd w:id="86"/>
    </w:p>
    <w:p>
      <w:pPr>
        <w:pStyle w:val="3"/>
        <w:rPr>
          <w:rFonts w:ascii="仿宋" w:hAnsi="仿宋" w:eastAsia="仿宋"/>
        </w:rPr>
      </w:pPr>
      <w:bookmarkStart w:id="87" w:name="_Toc15396627"/>
      <w:r>
        <w:rPr>
          <w:rStyle w:val="33"/>
          <w:rFonts w:hint="eastAsia" w:ascii="仿宋" w:hAnsi="仿宋" w:eastAsia="仿宋"/>
          <w:b w:val="0"/>
          <w:bCs w:val="0"/>
        </w:rPr>
        <w:t>九、</w:t>
      </w:r>
      <w:r>
        <w:rPr>
          <w:rFonts w:hint="eastAsia" w:ascii="仿宋" w:hAnsi="仿宋" w:eastAsia="仿宋"/>
          <w:b w:val="0"/>
        </w:rPr>
        <w:t>一</w:t>
      </w:r>
      <w:r>
        <w:rPr>
          <w:rStyle w:val="33"/>
          <w:rFonts w:hint="eastAsia" w:ascii="仿宋" w:hAnsi="仿宋" w:eastAsia="仿宋"/>
          <w:b w:val="0"/>
          <w:bCs w:val="0"/>
        </w:rPr>
        <w:t>般公共预算财政拨款项目支出决算表</w:t>
      </w:r>
      <w:bookmarkEnd w:id="87"/>
    </w:p>
    <w:p>
      <w:pPr>
        <w:pStyle w:val="3"/>
        <w:rPr>
          <w:rFonts w:ascii="仿宋" w:hAnsi="仿宋" w:eastAsia="仿宋"/>
        </w:rPr>
      </w:pPr>
      <w:bookmarkStart w:id="88" w:name="_Toc15396628"/>
      <w:r>
        <w:rPr>
          <w:rStyle w:val="33"/>
          <w:rFonts w:hint="eastAsia" w:ascii="仿宋" w:hAnsi="仿宋" w:eastAsia="仿宋"/>
          <w:b w:val="0"/>
          <w:bCs w:val="0"/>
        </w:rPr>
        <w:t>十、</w:t>
      </w:r>
      <w:bookmarkEnd w:id="88"/>
      <w:r>
        <w:rPr>
          <w:rFonts w:hint="eastAsia" w:ascii="仿宋" w:hAnsi="仿宋" w:eastAsia="仿宋"/>
          <w:b w:val="0"/>
        </w:rPr>
        <w:t>政</w:t>
      </w:r>
      <w:r>
        <w:rPr>
          <w:rStyle w:val="33"/>
          <w:rFonts w:hint="eastAsia" w:ascii="仿宋" w:hAnsi="仿宋" w:eastAsia="仿宋"/>
          <w:b w:val="0"/>
          <w:bCs w:val="0"/>
        </w:rPr>
        <w:t>府性基金预算财政拨款收入支出决算表</w:t>
      </w:r>
    </w:p>
    <w:p>
      <w:pPr>
        <w:pStyle w:val="3"/>
        <w:rPr>
          <w:rFonts w:ascii="仿宋" w:hAnsi="仿宋" w:eastAsia="仿宋"/>
        </w:rPr>
      </w:pPr>
      <w:bookmarkStart w:id="89" w:name="_Toc15396629"/>
      <w:r>
        <w:rPr>
          <w:rStyle w:val="33"/>
          <w:rFonts w:hint="eastAsia" w:ascii="仿宋" w:hAnsi="仿宋" w:eastAsia="仿宋"/>
          <w:b w:val="0"/>
          <w:bCs w:val="0"/>
        </w:rPr>
        <w:t>十一、</w:t>
      </w:r>
      <w:bookmarkEnd w:id="89"/>
      <w:r>
        <w:rPr>
          <w:rFonts w:hint="eastAsia" w:ascii="仿宋" w:hAnsi="仿宋" w:eastAsia="仿宋"/>
          <w:b w:val="0"/>
        </w:rPr>
        <w:t>国</w:t>
      </w:r>
      <w:r>
        <w:rPr>
          <w:rStyle w:val="33"/>
          <w:rFonts w:hint="eastAsia" w:ascii="仿宋" w:hAnsi="仿宋" w:eastAsia="仿宋"/>
          <w:b w:val="0"/>
          <w:bCs w:val="0"/>
        </w:rPr>
        <w:t>有资本经营预算财政拨款收入支出决算表</w:t>
      </w:r>
    </w:p>
    <w:p>
      <w:pPr>
        <w:pStyle w:val="3"/>
        <w:rPr>
          <w:rFonts w:ascii="仿宋" w:hAnsi="仿宋" w:eastAsia="仿宋"/>
        </w:rPr>
      </w:pPr>
      <w:bookmarkStart w:id="90" w:name="_Toc15396630"/>
      <w:r>
        <w:rPr>
          <w:rStyle w:val="33"/>
          <w:rFonts w:hint="eastAsia" w:ascii="仿宋" w:hAnsi="仿宋" w:eastAsia="仿宋"/>
          <w:b w:val="0"/>
          <w:bCs w:val="0"/>
        </w:rPr>
        <w:t>十二、</w:t>
      </w:r>
      <w:bookmarkEnd w:id="90"/>
      <w:r>
        <w:rPr>
          <w:rStyle w:val="33"/>
          <w:rFonts w:hint="eastAsia" w:ascii="仿宋" w:hAnsi="仿宋" w:eastAsia="仿宋"/>
          <w:b w:val="0"/>
          <w:bCs w:val="0"/>
        </w:rPr>
        <w:t>国有资本经营预算财政拨款支出决算表</w:t>
      </w:r>
    </w:p>
    <w:p>
      <w:pPr>
        <w:pStyle w:val="3"/>
        <w:rPr>
          <w:rFonts w:eastAsia="仿宋"/>
        </w:rPr>
      </w:pPr>
      <w:bookmarkStart w:id="91" w:name="_Toc15396631"/>
      <w:r>
        <w:rPr>
          <w:rStyle w:val="33"/>
          <w:rFonts w:hint="eastAsia" w:ascii="仿宋" w:hAnsi="仿宋" w:eastAsia="仿宋"/>
          <w:b w:val="0"/>
          <w:bCs w:val="0"/>
        </w:rPr>
        <w:t>十三、</w:t>
      </w:r>
      <w:bookmarkEnd w:id="91"/>
      <w:r>
        <w:rPr>
          <w:rStyle w:val="33"/>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378B"/>
    <w:multiLevelType w:val="singleLevel"/>
    <w:tmpl w:val="87E0378B"/>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5233901"/>
    <w:multiLevelType w:val="singleLevel"/>
    <w:tmpl w:val="25233901"/>
    <w:lvl w:ilvl="0" w:tentative="0">
      <w:start w:val="2"/>
      <w:numFmt w:val="chineseCounting"/>
      <w:suff w:val="nothing"/>
      <w:lvlText w:val="（%1）"/>
      <w:lvlJc w:val="left"/>
      <w:rPr>
        <w:rFonts w:hint="eastAsia"/>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ZTY3NmRlY2Y1YjljNzhjODY0YzAyM2FlNjNhZGM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63855"/>
    <w:rsid w:val="015975B8"/>
    <w:rsid w:val="02143E91"/>
    <w:rsid w:val="03B8025F"/>
    <w:rsid w:val="04ED3D5F"/>
    <w:rsid w:val="066E0107"/>
    <w:rsid w:val="07996F6E"/>
    <w:rsid w:val="07F3662F"/>
    <w:rsid w:val="0A005E00"/>
    <w:rsid w:val="0A2032A3"/>
    <w:rsid w:val="0F98263C"/>
    <w:rsid w:val="0FEB030F"/>
    <w:rsid w:val="101860EC"/>
    <w:rsid w:val="10C055FF"/>
    <w:rsid w:val="1123745A"/>
    <w:rsid w:val="118107EC"/>
    <w:rsid w:val="13D50BC4"/>
    <w:rsid w:val="147C7C6F"/>
    <w:rsid w:val="14C05AE4"/>
    <w:rsid w:val="16BB723D"/>
    <w:rsid w:val="178D7D38"/>
    <w:rsid w:val="1BE8440E"/>
    <w:rsid w:val="1D155CEE"/>
    <w:rsid w:val="1DB829A2"/>
    <w:rsid w:val="1EC7098C"/>
    <w:rsid w:val="1FF35744"/>
    <w:rsid w:val="237A68D7"/>
    <w:rsid w:val="23860B96"/>
    <w:rsid w:val="240371BF"/>
    <w:rsid w:val="28B1550E"/>
    <w:rsid w:val="29FD04D3"/>
    <w:rsid w:val="2C8A61B5"/>
    <w:rsid w:val="2D464860"/>
    <w:rsid w:val="2DE47B54"/>
    <w:rsid w:val="2DF04E50"/>
    <w:rsid w:val="2F040D46"/>
    <w:rsid w:val="2F6B3D97"/>
    <w:rsid w:val="319F7F4E"/>
    <w:rsid w:val="3304709D"/>
    <w:rsid w:val="36AA5135"/>
    <w:rsid w:val="376D39B2"/>
    <w:rsid w:val="37E16F03"/>
    <w:rsid w:val="38D469F0"/>
    <w:rsid w:val="396666FA"/>
    <w:rsid w:val="398B158C"/>
    <w:rsid w:val="3C803EB9"/>
    <w:rsid w:val="3D98207C"/>
    <w:rsid w:val="3E200566"/>
    <w:rsid w:val="3E78745D"/>
    <w:rsid w:val="412A5093"/>
    <w:rsid w:val="44E268DA"/>
    <w:rsid w:val="46270E10"/>
    <w:rsid w:val="473E27A6"/>
    <w:rsid w:val="4A627F82"/>
    <w:rsid w:val="4B0E749A"/>
    <w:rsid w:val="4B4F25DA"/>
    <w:rsid w:val="4BE068DB"/>
    <w:rsid w:val="4D577224"/>
    <w:rsid w:val="4DD24814"/>
    <w:rsid w:val="4EAB630A"/>
    <w:rsid w:val="4ECE2238"/>
    <w:rsid w:val="50022F02"/>
    <w:rsid w:val="5020523B"/>
    <w:rsid w:val="520B3988"/>
    <w:rsid w:val="537E6D0A"/>
    <w:rsid w:val="59A51AF7"/>
    <w:rsid w:val="5AF92295"/>
    <w:rsid w:val="5CD71FC4"/>
    <w:rsid w:val="66AB7FE0"/>
    <w:rsid w:val="69075CCC"/>
    <w:rsid w:val="6C4A05C8"/>
    <w:rsid w:val="6D8276B5"/>
    <w:rsid w:val="6E636341"/>
    <w:rsid w:val="6E7E3605"/>
    <w:rsid w:val="6FF5CC65"/>
    <w:rsid w:val="715C0E4B"/>
    <w:rsid w:val="71A504AF"/>
    <w:rsid w:val="72734D90"/>
    <w:rsid w:val="72BA0857"/>
    <w:rsid w:val="73AD73D5"/>
    <w:rsid w:val="73B6EB34"/>
    <w:rsid w:val="744731E5"/>
    <w:rsid w:val="76E3355F"/>
    <w:rsid w:val="778769C8"/>
    <w:rsid w:val="79B167CE"/>
    <w:rsid w:val="79EE5BA4"/>
    <w:rsid w:val="7A894339"/>
    <w:rsid w:val="7B1B79EC"/>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qFormat/>
    <w:uiPriority w:val="99"/>
    <w:rPr>
      <w:rFonts w:ascii="Times New Roman" w:hAnsi="Times New Roman" w:eastAsia="宋体" w:cs="Times New Roman"/>
    </w:rPr>
  </w:style>
  <w:style w:type="paragraph" w:styleId="6">
    <w:name w:val="Body Text"/>
    <w:basedOn w:val="1"/>
    <w:next w:val="1"/>
    <w:link w:val="29"/>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5"/>
    <w:semiHidden/>
    <w:unhideWhenUsed/>
    <w:qFormat/>
    <w:uiPriority w:val="99"/>
    <w:rPr>
      <w:sz w:val="18"/>
      <w:szCs w:val="18"/>
    </w:rPr>
  </w:style>
  <w:style w:type="paragraph" w:styleId="10">
    <w:name w:val="footer"/>
    <w:basedOn w:val="1"/>
    <w:next w:val="1"/>
    <w:link w:val="27"/>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Title"/>
    <w:basedOn w:val="1"/>
    <w:qFormat/>
    <w:uiPriority w:val="0"/>
    <w:pPr>
      <w:spacing w:before="240" w:after="60"/>
      <w:jc w:val="center"/>
      <w:outlineLvl w:val="0"/>
    </w:pPr>
    <w:rPr>
      <w:rFonts w:ascii="Arial" w:hAnsi="Arial" w:cs="Arial"/>
      <w:b/>
      <w:bCs/>
      <w:sz w:val="32"/>
      <w:szCs w:val="32"/>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样式1"/>
    <w:basedOn w:val="1"/>
    <w:qFormat/>
    <w:uiPriority w:val="0"/>
    <w:rPr>
      <w:b/>
      <w:color w:val="538135"/>
      <w:sz w:val="28"/>
    </w:rPr>
  </w:style>
  <w:style w:type="paragraph" w:customStyle="1" w:styleId="22">
    <w:name w:val="默认"/>
    <w:basedOn w:val="1"/>
    <w:next w:val="1"/>
    <w:qFormat/>
    <w:uiPriority w:val="0"/>
    <w:pPr>
      <w:widowControl/>
    </w:pPr>
    <w:rPr>
      <w:rFonts w:hint="default" w:ascii="Helvetica Neue" w:hAnsi="Helvetica Neue" w:cs="Arial Unicode MS"/>
      <w:color w:val="000000"/>
      <w:sz w:val="22"/>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7"/>
    <w:semiHidden/>
    <w:qFormat/>
    <w:uiPriority w:val="99"/>
    <w:rPr>
      <w:rFonts w:ascii="Times New Roman" w:hAnsi="Times New Roman"/>
      <w:sz w:val="18"/>
      <w:szCs w:val="18"/>
    </w:rPr>
  </w:style>
  <w:style w:type="character" w:customStyle="1" w:styleId="25">
    <w:name w:val="页眉 字符"/>
    <w:link w:val="11"/>
    <w:semiHidden/>
    <w:qFormat/>
    <w:locked/>
    <w:uiPriority w:val="99"/>
    <w:rPr>
      <w:sz w:val="18"/>
    </w:rPr>
  </w:style>
  <w:style w:type="character" w:customStyle="1" w:styleId="26">
    <w:name w:val="Footer Char"/>
    <w:basedOn w:val="17"/>
    <w:semiHidden/>
    <w:qFormat/>
    <w:uiPriority w:val="99"/>
    <w:rPr>
      <w:rFonts w:ascii="Times New Roman" w:hAnsi="Times New Roman"/>
      <w:sz w:val="18"/>
      <w:szCs w:val="18"/>
    </w:rPr>
  </w:style>
  <w:style w:type="character" w:customStyle="1" w:styleId="27">
    <w:name w:val="页脚 字符"/>
    <w:link w:val="10"/>
    <w:qFormat/>
    <w:locked/>
    <w:uiPriority w:val="99"/>
    <w:rPr>
      <w:sz w:val="18"/>
    </w:rPr>
  </w:style>
  <w:style w:type="character" w:customStyle="1" w:styleId="28">
    <w:name w:val="Body Text Char"/>
    <w:basedOn w:val="17"/>
    <w:semiHidden/>
    <w:qFormat/>
    <w:uiPriority w:val="99"/>
    <w:rPr>
      <w:rFonts w:ascii="Times New Roman" w:hAnsi="Times New Roman"/>
      <w:szCs w:val="24"/>
    </w:rPr>
  </w:style>
  <w:style w:type="character" w:customStyle="1" w:styleId="29">
    <w:name w:val="正文文本 字符"/>
    <w:link w:val="6"/>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字符"/>
    <w:basedOn w:val="17"/>
    <w:link w:val="2"/>
    <w:qFormat/>
    <w:uiPriority w:val="9"/>
    <w:rPr>
      <w:rFonts w:ascii="Times New Roman" w:hAnsi="Times New Roman"/>
      <w:b/>
      <w:bCs/>
      <w:kern w:val="44"/>
      <w:sz w:val="44"/>
      <w:szCs w:val="44"/>
    </w:rPr>
  </w:style>
  <w:style w:type="character" w:customStyle="1" w:styleId="33">
    <w:name w:val="标题 2 字符"/>
    <w:basedOn w:val="17"/>
    <w:link w:val="3"/>
    <w:qFormat/>
    <w:uiPriority w:val="9"/>
    <w:rPr>
      <w:rFonts w:asciiTheme="majorHAnsi" w:hAnsiTheme="majorHAnsi" w:eastAsiaTheme="majorEastAsia" w:cstheme="majorBidi"/>
      <w:b/>
      <w:bCs/>
      <w:kern w:val="2"/>
      <w:sz w:val="32"/>
      <w:szCs w:val="32"/>
    </w:rPr>
  </w:style>
  <w:style w:type="paragraph" w:customStyle="1" w:styleId="3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字符"/>
    <w:basedOn w:val="17"/>
    <w:link w:val="9"/>
    <w:semiHidden/>
    <w:qFormat/>
    <w:uiPriority w:val="99"/>
    <w:rPr>
      <w:rFonts w:ascii="Times New Roman" w:hAnsi="Times New Roman"/>
      <w:kern w:val="2"/>
      <w:sz w:val="18"/>
      <w:szCs w:val="18"/>
    </w:rPr>
  </w:style>
  <w:style w:type="character" w:customStyle="1" w:styleId="36">
    <w:name w:val="标题 3 字符"/>
    <w:basedOn w:val="17"/>
    <w:link w:val="4"/>
    <w:qFormat/>
    <w:uiPriority w:val="9"/>
    <w:rPr>
      <w:rFonts w:ascii="Times New Roman" w:hAnsi="Times New Roman"/>
      <w:b/>
      <w:bCs/>
      <w:kern w:val="2"/>
      <w:sz w:val="32"/>
      <w:szCs w:val="32"/>
    </w:rPr>
  </w:style>
  <w:style w:type="paragraph" w:customStyle="1" w:styleId="37">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paragraph" w:customStyle="1" w:styleId="3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2">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3">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7">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8">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50">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4">
    <w:name w:val="21"/>
    <w:basedOn w:val="17"/>
    <w:qFormat/>
    <w:uiPriority w:val="0"/>
    <w:rPr>
      <w:rFonts w:hint="eastAsia" w:ascii="Times New Roman" w:eastAsia="楷体_GB2312" w:cs="楷体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cc99231-0bd3-4aa2-8ad0-bdf2ae9a6c2f}"/>
        <w:style w:val=""/>
        <w:category>
          <w:name w:val="常规"/>
          <w:gallery w:val="placeholder"/>
        </w:category>
        <w:types>
          <w:type w:val="bbPlcHdr"/>
        </w:types>
        <w:behaviors>
          <w:behavior w:val="content"/>
        </w:behaviors>
        <w:description w:val=""/>
        <w:guid w:val="{1cc99231-0bd3-4aa2-8ad0-bdf2ae9a6c2f}"/>
      </w:docPartPr>
      <w:docPartBody>
        <w:p>
          <w:r>
            <w:rPr>
              <w:color w:val="808080"/>
            </w:rPr>
            <w:t>单击此处输入文字。</w:t>
          </w:r>
        </w:p>
      </w:docPartBody>
    </w:docPart>
    <w:docPart>
      <w:docPartPr>
        <w:name w:val="{c7ef6dab-a303-4db5-a3d7-60783f8a8323}"/>
        <w:style w:val=""/>
        <w:category>
          <w:name w:val="常规"/>
          <w:gallery w:val="placeholder"/>
        </w:category>
        <w:types>
          <w:type w:val="bbPlcHdr"/>
        </w:types>
        <w:behaviors>
          <w:behavior w:val="content"/>
        </w:behaviors>
        <w:description w:val=""/>
        <w:guid w:val="{c7ef6dab-a303-4db5-a3d7-60783f8a8323}"/>
      </w:docPartPr>
      <w:docPartBody>
        <w:p>
          <w:r>
            <w:rPr>
              <w:color w:val="808080"/>
            </w:rPr>
            <w:t>单击此处输入文字。</w:t>
          </w:r>
        </w:p>
      </w:docPartBody>
    </w:docPart>
    <w:docPart>
      <w:docPartPr>
        <w:name w:val="{0da5eccc-6575-43fc-bba6-fec72b3602a1}"/>
        <w:style w:val=""/>
        <w:category>
          <w:name w:val="常规"/>
          <w:gallery w:val="placeholder"/>
        </w:category>
        <w:types>
          <w:type w:val="bbPlcHdr"/>
        </w:types>
        <w:behaviors>
          <w:behavior w:val="content"/>
        </w:behaviors>
        <w:description w:val=""/>
        <w:guid w:val="{0da5eccc-6575-43fc-bba6-fec72b3602a1}"/>
      </w:docPartPr>
      <w:docPartBody>
        <w:p>
          <w:r>
            <w:rPr>
              <w:color w:val="808080"/>
            </w:rPr>
            <w:t>单击此处输入文字。</w:t>
          </w:r>
        </w:p>
      </w:docPartBody>
    </w:docPart>
    <w:docPart>
      <w:docPartPr>
        <w:name w:val="{254efb36-3a24-4579-bbf8-6b6a5e5c5604}"/>
        <w:style w:val=""/>
        <w:category>
          <w:name w:val="常规"/>
          <w:gallery w:val="placeholder"/>
        </w:category>
        <w:types>
          <w:type w:val="bbPlcHdr"/>
        </w:types>
        <w:behaviors>
          <w:behavior w:val="content"/>
        </w:behaviors>
        <w:description w:val=""/>
        <w:guid w:val="{254efb36-3a24-4579-bbf8-6b6a5e5c5604}"/>
      </w:docPartPr>
      <w:docPartBody>
        <w:p>
          <w:r>
            <w:rPr>
              <w:color w:val="808080"/>
            </w:rPr>
            <w:t>单击此处输入文字。</w:t>
          </w:r>
        </w:p>
      </w:docPartBody>
    </w:docPart>
    <w:docPart>
      <w:docPartPr>
        <w:name w:val="{fa99a417-8d05-45b4-ae78-b22d29a2c6a7}"/>
        <w:style w:val=""/>
        <w:category>
          <w:name w:val="常规"/>
          <w:gallery w:val="placeholder"/>
        </w:category>
        <w:types>
          <w:type w:val="bbPlcHdr"/>
        </w:types>
        <w:behaviors>
          <w:behavior w:val="content"/>
        </w:behaviors>
        <w:description w:val=""/>
        <w:guid w:val="{fa99a417-8d05-45b4-ae78-b22d29a2c6a7}"/>
      </w:docPartPr>
      <w:docPartBody>
        <w:p>
          <w:r>
            <w:rPr>
              <w:color w:val="808080"/>
            </w:rPr>
            <w:t>单击此处输入文字。</w:t>
          </w:r>
        </w:p>
      </w:docPartBody>
    </w:docPart>
    <w:docPart>
      <w:docPartPr>
        <w:name w:val="{378a0e99-eb72-4f4c-a27c-b41d54e63689}"/>
        <w:style w:val=""/>
        <w:category>
          <w:name w:val="常规"/>
          <w:gallery w:val="placeholder"/>
        </w:category>
        <w:types>
          <w:type w:val="bbPlcHdr"/>
        </w:types>
        <w:behaviors>
          <w:behavior w:val="content"/>
        </w:behaviors>
        <w:description w:val=""/>
        <w:guid w:val="{378a0e99-eb72-4f4c-a27c-b41d54e63689}"/>
      </w:docPartPr>
      <w:docPartBody>
        <w:p>
          <w:r>
            <w:rPr>
              <w:color w:val="808080"/>
            </w:rPr>
            <w:t>单击此处输入文字。</w:t>
          </w:r>
        </w:p>
      </w:docPartBody>
    </w:docPart>
    <w:docPart>
      <w:docPartPr>
        <w:name w:val="{51615100-784b-4e9e-a7d6-8846b176d55b}"/>
        <w:style w:val=""/>
        <w:category>
          <w:name w:val="常规"/>
          <w:gallery w:val="placeholder"/>
        </w:category>
        <w:types>
          <w:type w:val="bbPlcHdr"/>
        </w:types>
        <w:behaviors>
          <w:behavior w:val="content"/>
        </w:behaviors>
        <w:description w:val=""/>
        <w:guid w:val="{51615100-784b-4e9e-a7d6-8846b176d55b}"/>
      </w:docPartPr>
      <w:docPartBody>
        <w:p>
          <w:r>
            <w:rPr>
              <w:color w:val="808080"/>
            </w:rPr>
            <w:t>单击此处输入文字。</w:t>
          </w:r>
        </w:p>
      </w:docPartBody>
    </w:docPart>
    <w:docPart>
      <w:docPartPr>
        <w:name w:val="{6c0a4e26-0247-435c-8c6f-cacd687fefc7}"/>
        <w:style w:val=""/>
        <w:category>
          <w:name w:val="常规"/>
          <w:gallery w:val="placeholder"/>
        </w:category>
        <w:types>
          <w:type w:val="bbPlcHdr"/>
        </w:types>
        <w:behaviors>
          <w:behavior w:val="content"/>
        </w:behaviors>
        <w:description w:val=""/>
        <w:guid w:val="{6c0a4e26-0247-435c-8c6f-cacd687fefc7}"/>
      </w:docPartPr>
      <w:docPartBody>
        <w:p>
          <w:r>
            <w:rPr>
              <w:color w:val="808080"/>
            </w:rPr>
            <w:t>单击此处输入文字。</w:t>
          </w:r>
        </w:p>
      </w:docPartBody>
    </w:docPart>
    <w:docPart>
      <w:docPartPr>
        <w:name w:val="{c8cec181-5b07-4cc7-822b-1040783d3b60}"/>
        <w:style w:val=""/>
        <w:category>
          <w:name w:val="常规"/>
          <w:gallery w:val="placeholder"/>
        </w:category>
        <w:types>
          <w:type w:val="bbPlcHdr"/>
        </w:types>
        <w:behaviors>
          <w:behavior w:val="content"/>
        </w:behaviors>
        <w:description w:val=""/>
        <w:guid w:val="{c8cec181-5b07-4cc7-822b-1040783d3b60}"/>
      </w:docPartPr>
      <w:docPartBody>
        <w:p>
          <w:r>
            <w:rPr>
              <w:color w:val="808080"/>
            </w:rPr>
            <w:t>单击此处输入文字。</w:t>
          </w:r>
        </w:p>
      </w:docPartBody>
    </w:docPart>
    <w:docPart>
      <w:docPartPr>
        <w:name w:val="{f0143ff0-9e40-4e89-9b25-bc138384f3a8}"/>
        <w:style w:val=""/>
        <w:category>
          <w:name w:val="常规"/>
          <w:gallery w:val="placeholder"/>
        </w:category>
        <w:types>
          <w:type w:val="bbPlcHdr"/>
        </w:types>
        <w:behaviors>
          <w:behavior w:val="content"/>
        </w:behaviors>
        <w:description w:val=""/>
        <w:guid w:val="{f0143ff0-9e40-4e89-9b25-bc138384f3a8}"/>
      </w:docPartPr>
      <w:docPartBody>
        <w:p>
          <w:r>
            <w:rPr>
              <w:color w:val="808080"/>
            </w:rPr>
            <w:t>单击此处输入文字。</w:t>
          </w:r>
        </w:p>
      </w:docPartBody>
    </w:docPart>
    <w:docPart>
      <w:docPartPr>
        <w:name w:val="{1bec913f-26a6-46bb-897d-5eeb4370cf0b}"/>
        <w:style w:val=""/>
        <w:category>
          <w:name w:val="常规"/>
          <w:gallery w:val="placeholder"/>
        </w:category>
        <w:types>
          <w:type w:val="bbPlcHdr"/>
        </w:types>
        <w:behaviors>
          <w:behavior w:val="content"/>
        </w:behaviors>
        <w:description w:val=""/>
        <w:guid w:val="{1bec913f-26a6-46bb-897d-5eeb4370cf0b}"/>
      </w:docPartPr>
      <w:docPartBody>
        <w:p>
          <w:r>
            <w:rPr>
              <w:color w:val="808080"/>
            </w:rPr>
            <w:t>单击此处输入文字。</w:t>
          </w:r>
        </w:p>
      </w:docPartBody>
    </w:docPart>
    <w:docPart>
      <w:docPartPr>
        <w:name w:val="{d4073920-f437-4b6c-a7ad-c39f5b4eaf40}"/>
        <w:style w:val=""/>
        <w:category>
          <w:name w:val="常规"/>
          <w:gallery w:val="placeholder"/>
        </w:category>
        <w:types>
          <w:type w:val="bbPlcHdr"/>
        </w:types>
        <w:behaviors>
          <w:behavior w:val="content"/>
        </w:behaviors>
        <w:description w:val=""/>
        <w:guid w:val="{d4073920-f437-4b6c-a7ad-c39f5b4eaf40}"/>
      </w:docPartPr>
      <w:docPartBody>
        <w:p>
          <w:r>
            <w:rPr>
              <w:color w:val="808080"/>
            </w:rPr>
            <w:t>单击此处输入文字。</w:t>
          </w:r>
        </w:p>
      </w:docPartBody>
    </w:docPart>
    <w:docPart>
      <w:docPartPr>
        <w:name w:val="{e397f65a-8417-4ddf-9891-8efdf51b65f7}"/>
        <w:style w:val=""/>
        <w:category>
          <w:name w:val="常规"/>
          <w:gallery w:val="placeholder"/>
        </w:category>
        <w:types>
          <w:type w:val="bbPlcHdr"/>
        </w:types>
        <w:behaviors>
          <w:behavior w:val="content"/>
        </w:behaviors>
        <w:description w:val=""/>
        <w:guid w:val="{e397f65a-8417-4ddf-9891-8efdf51b65f7}"/>
      </w:docPartPr>
      <w:docPartBody>
        <w:p>
          <w:r>
            <w:rPr>
              <w:color w:val="808080"/>
            </w:rPr>
            <w:t>单击此处输入文字。</w:t>
          </w:r>
        </w:p>
      </w:docPartBody>
    </w:docPart>
    <w:docPart>
      <w:docPartPr>
        <w:name w:val="{578115e9-bc41-4328-b5af-a3e019e5725a}"/>
        <w:style w:val=""/>
        <w:category>
          <w:name w:val="常规"/>
          <w:gallery w:val="placeholder"/>
        </w:category>
        <w:types>
          <w:type w:val="bbPlcHdr"/>
        </w:types>
        <w:behaviors>
          <w:behavior w:val="content"/>
        </w:behaviors>
        <w:description w:val=""/>
        <w:guid w:val="{578115e9-bc41-4328-b5af-a3e019e5725a}"/>
      </w:docPartPr>
      <w:docPartBody>
        <w:p>
          <w:r>
            <w:rPr>
              <w:color w:val="808080"/>
            </w:rPr>
            <w:t>单击此处输入文字。</w:t>
          </w:r>
        </w:p>
      </w:docPartBody>
    </w:docPart>
    <w:docPart>
      <w:docPartPr>
        <w:name w:val="{f4846331-c38a-4c61-a662-c8a757ba64dd}"/>
        <w:style w:val=""/>
        <w:category>
          <w:name w:val="常规"/>
          <w:gallery w:val="placeholder"/>
        </w:category>
        <w:types>
          <w:type w:val="bbPlcHdr"/>
        </w:types>
        <w:behaviors>
          <w:behavior w:val="content"/>
        </w:behaviors>
        <w:description w:val=""/>
        <w:guid w:val="{f4846331-c38a-4c61-a662-c8a757ba64dd}"/>
      </w:docPartPr>
      <w:docPartBody>
        <w:p>
          <w:r>
            <w:rPr>
              <w:color w:val="808080"/>
            </w:rPr>
            <w:t>单击此处输入文字。</w:t>
          </w:r>
        </w:p>
      </w:docPartBody>
    </w:docPart>
    <w:docPart>
      <w:docPartPr>
        <w:name w:val="{b8268f20-ec60-48ab-b5da-095acafd35c5}"/>
        <w:style w:val=""/>
        <w:category>
          <w:name w:val="常规"/>
          <w:gallery w:val="placeholder"/>
        </w:category>
        <w:types>
          <w:type w:val="bbPlcHdr"/>
        </w:types>
        <w:behaviors>
          <w:behavior w:val="content"/>
        </w:behaviors>
        <w:description w:val=""/>
        <w:guid w:val="{b8268f20-ec60-48ab-b5da-095acafd35c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1232</Words>
  <Characters>7025</Characters>
  <Lines>1</Lines>
  <Paragraphs>1</Paragraphs>
  <TotalTime>6</TotalTime>
  <ScaleCrop>false</ScaleCrop>
  <LinksUpToDate>false</LinksUpToDate>
  <CharactersWithSpaces>8241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微微微微亮</cp:lastModifiedBy>
  <cp:lastPrinted>2023-07-31T02:35:00Z</cp:lastPrinted>
  <dcterms:modified xsi:type="dcterms:W3CDTF">2023-10-30T16:19:57Z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423AE45F2EA74D15BDF760A36EB3D5FE_12</vt:lpwstr>
  </property>
</Properties>
</file>