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7193"/>
      <w:bookmarkStart w:id="1" w:name="_Toc15396475"/>
      <w:bookmarkStart w:id="2" w:name="_Toc15378441"/>
      <w:bookmarkStart w:id="3" w:name="_Toc15396597"/>
      <w:bookmarkStart w:id="4" w:name="_Toc15377425"/>
      <w:bookmarkStart w:id="5" w:name="_Toc15306267"/>
      <w:bookmarkStart w:id="73" w:name="_GoBack"/>
      <w:bookmarkEnd w:id="73"/>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426"/>
      <w:bookmarkStart w:id="7" w:name="_Toc15378442"/>
      <w:bookmarkStart w:id="8" w:name="_Toc15377194"/>
      <w:bookmarkStart w:id="9" w:name="_Toc15396476"/>
      <w:bookmarkStart w:id="10" w:name="_Toc15396598"/>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攀枝花市西区公共卫生服务中心决算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公开时间：2022年</w:t>
      </w:r>
      <w:r>
        <w:t>10</w:t>
      </w:r>
      <w:r>
        <w:rPr>
          <w:rFonts w:hint="eastAsia"/>
        </w:rPr>
        <w:t>月</w:t>
      </w:r>
      <w:r>
        <w:t>9</w:t>
      </w:r>
      <w:r>
        <w:rPr>
          <w:rFonts w:hint="eastAsia"/>
        </w:rPr>
        <w:t>日</w:t>
      </w:r>
    </w:p>
    <w:p/>
    <w:p>
      <w:pPr>
        <w:pStyle w:val="12"/>
        <w:adjustRightInd w:val="0"/>
        <w:snapToGrid w:val="0"/>
        <w:spacing w:before="0" w:line="440" w:lineRule="exact"/>
        <w:jc w:val="left"/>
        <w:rPr>
          <w:rFonts w:cstheme="minorBidi"/>
          <w:sz w:val="24"/>
          <w:szCs w:val="24"/>
        </w:rPr>
      </w:pPr>
      <w:r>
        <w:rPr>
          <w:rFonts w:hint="eastAsia"/>
          <w:sz w:val="24"/>
        </w:rPr>
        <w:t>第一部分 部门概况………………………………………………………………4</w:t>
      </w:r>
    </w:p>
    <w:p>
      <w:pPr>
        <w:pStyle w:val="13"/>
        <w:adjustRightInd w:val="0"/>
        <w:snapToGrid w:val="0"/>
        <w:spacing w:line="440" w:lineRule="exact"/>
        <w:jc w:val="left"/>
        <w:rPr>
          <w:rFonts w:ascii="仿宋" w:hAnsi="仿宋" w:eastAsia="仿宋"/>
          <w:sz w:val="24"/>
        </w:rPr>
      </w:pPr>
      <w:r>
        <w:rPr>
          <w:rFonts w:hint="eastAsia"/>
          <w:sz w:val="24"/>
        </w:rPr>
        <w:t>一、基本职能及主要工作………………………………………………… 4</w:t>
      </w:r>
    </w:p>
    <w:p>
      <w:pPr>
        <w:pStyle w:val="13"/>
        <w:adjustRightInd w:val="0"/>
        <w:snapToGrid w:val="0"/>
        <w:spacing w:line="440" w:lineRule="exact"/>
        <w:jc w:val="left"/>
        <w:rPr>
          <w:rFonts w:ascii="仿宋" w:hAnsi="仿宋" w:eastAsia="仿宋" w:cstheme="minorBidi"/>
          <w:sz w:val="24"/>
        </w:rPr>
      </w:pPr>
      <w:r>
        <w:rPr>
          <w:rFonts w:hint="eastAsia"/>
          <w:sz w:val="24"/>
        </w:rPr>
        <w:t>二、机构设置……………………………………………………………… 9</w:t>
      </w:r>
    </w:p>
    <w:p>
      <w:pPr>
        <w:pStyle w:val="12"/>
        <w:adjustRightInd w:val="0"/>
        <w:snapToGrid w:val="0"/>
        <w:spacing w:before="0" w:line="440" w:lineRule="exact"/>
        <w:jc w:val="left"/>
        <w:rPr>
          <w:sz w:val="24"/>
          <w:szCs w:val="24"/>
        </w:rPr>
      </w:pPr>
      <w:r>
        <w:rPr>
          <w:rFonts w:hint="eastAsia"/>
          <w:sz w:val="24"/>
        </w:rPr>
        <w:t>第二部分 2021年度部门决算情况说明………………………………………1</w:t>
      </w:r>
      <w:r>
        <w:rPr>
          <w:sz w:val="24"/>
        </w:rPr>
        <w:t>1</w:t>
      </w:r>
    </w:p>
    <w:p>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一、收入支出决算总体情况说明…………………………………………1</w:t>
      </w:r>
      <w:r>
        <w:rPr>
          <w:sz w:val="24"/>
        </w:rPr>
        <w:t>1</w:t>
      </w:r>
    </w:p>
    <w:p>
      <w:pPr>
        <w:pStyle w:val="13"/>
        <w:adjustRightInd w:val="0"/>
        <w:snapToGrid w:val="0"/>
        <w:spacing w:line="440" w:lineRule="exact"/>
        <w:jc w:val="left"/>
        <w:rPr>
          <w:rFonts w:ascii="仿宋" w:hAnsi="仿宋" w:eastAsia="仿宋" w:cstheme="minorBidi"/>
          <w:sz w:val="24"/>
        </w:rPr>
      </w:pPr>
      <w:r>
        <w:rPr>
          <w:rFonts w:hint="eastAsia"/>
          <w:sz w:val="24"/>
        </w:rPr>
        <w:t>二、收入决算情况说明……………………………………………………1</w:t>
      </w:r>
      <w:r>
        <w:rPr>
          <w:sz w:val="24"/>
        </w:rPr>
        <w:t>1</w:t>
      </w:r>
    </w:p>
    <w:p>
      <w:pPr>
        <w:pStyle w:val="13"/>
        <w:adjustRightInd w:val="0"/>
        <w:snapToGrid w:val="0"/>
        <w:spacing w:line="440" w:lineRule="exact"/>
        <w:jc w:val="left"/>
        <w:rPr>
          <w:rFonts w:ascii="仿宋" w:hAnsi="仿宋" w:eastAsia="仿宋" w:cstheme="minorBidi"/>
          <w:sz w:val="24"/>
        </w:rPr>
      </w:pPr>
      <w:r>
        <w:rPr>
          <w:rFonts w:hint="eastAsia"/>
          <w:sz w:val="24"/>
        </w:rPr>
        <w:t>三、支出决算情况说明……………………………………………………1</w:t>
      </w:r>
      <w:r>
        <w:rPr>
          <w:sz w:val="24"/>
        </w:rPr>
        <w:t>2</w:t>
      </w:r>
    </w:p>
    <w:p>
      <w:pPr>
        <w:pStyle w:val="13"/>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四、财政拨款收入支出决算总体情况说明………………………………1</w:t>
      </w:r>
      <w:r>
        <w:rPr>
          <w:sz w:val="24"/>
        </w:rPr>
        <w:t>3</w:t>
      </w:r>
    </w:p>
    <w:p>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五、一般公共预算财政拨款支出决算情况说明…………………………1</w:t>
      </w:r>
      <w:r>
        <w:rPr>
          <w:sz w:val="24"/>
        </w:rPr>
        <w:t>3</w:t>
      </w:r>
    </w:p>
    <w:p>
      <w:pPr>
        <w:pStyle w:val="13"/>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六、一般公共预算财政拨款基本支出决算情况说明……………………1</w:t>
      </w:r>
      <w:r>
        <w:rPr>
          <w:sz w:val="24"/>
        </w:rPr>
        <w:t>6</w:t>
      </w:r>
    </w:p>
    <w:p>
      <w:pPr>
        <w:pStyle w:val="13"/>
        <w:adjustRightInd w:val="0"/>
        <w:snapToGrid w:val="0"/>
        <w:spacing w:line="440" w:lineRule="exact"/>
        <w:jc w:val="left"/>
        <w:rPr>
          <w:rFonts w:ascii="仿宋" w:hAnsi="仿宋" w:eastAsia="仿宋" w:cstheme="minorBidi"/>
          <w:sz w:val="24"/>
        </w:rPr>
      </w:pPr>
      <w:r>
        <w:rPr>
          <w:rFonts w:hint="eastAsia"/>
          <w:sz w:val="24"/>
        </w:rPr>
        <w:t>七、“三公”经费财政拨款支出决算情况说明………………………….</w:t>
      </w:r>
      <w:r>
        <w:rPr>
          <w:sz w:val="24"/>
        </w:rPr>
        <w:t>.</w:t>
      </w:r>
      <w:r>
        <w:rPr>
          <w:rFonts w:hint="eastAsia"/>
          <w:sz w:val="24"/>
        </w:rPr>
        <w:t>1</w:t>
      </w:r>
      <w:r>
        <w:rPr>
          <w:sz w:val="24"/>
        </w:rPr>
        <w:t>6</w:t>
      </w:r>
    </w:p>
    <w:p>
      <w:pPr>
        <w:pStyle w:val="13"/>
        <w:adjustRightInd w:val="0"/>
        <w:snapToGrid w:val="0"/>
        <w:spacing w:line="440" w:lineRule="exact"/>
        <w:jc w:val="left"/>
        <w:rPr>
          <w:rFonts w:ascii="仿宋" w:hAnsi="仿宋" w:eastAsia="仿宋" w:cstheme="minorBidi"/>
          <w:sz w:val="24"/>
        </w:rPr>
      </w:pPr>
      <w:r>
        <w:rPr>
          <w:rFonts w:hint="eastAsia"/>
          <w:sz w:val="24"/>
        </w:rPr>
        <w:t>八、政府性基金预算支出决算情况说明…………………………………1</w:t>
      </w:r>
      <w:r>
        <w:rPr>
          <w:sz w:val="24"/>
        </w:rPr>
        <w:t>7</w:t>
      </w:r>
    </w:p>
    <w:p>
      <w:pPr>
        <w:pStyle w:val="13"/>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九、国有资本经营预算支出决算情况说明………………………………1</w:t>
      </w:r>
      <w:r>
        <w:rPr>
          <w:rFonts w:asciiTheme="minorEastAsia" w:hAnsiTheme="minorEastAsia" w:eastAsiaTheme="minorEastAsia" w:cstheme="minorEastAsia"/>
          <w:sz w:val="24"/>
        </w:rPr>
        <w:t>7</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6"/>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其他重要事项的情况说明……………………………………………1</w:t>
      </w:r>
      <w:r>
        <w:rPr>
          <w:rFonts w:asciiTheme="minorEastAsia" w:hAnsiTheme="minorEastAsia" w:eastAsiaTheme="minorEastAsia" w:cstheme="minorEastAsia"/>
          <w:sz w:val="24"/>
        </w:rPr>
        <w:t>7</w:t>
      </w:r>
    </w:p>
    <w:p>
      <w:pPr>
        <w:pStyle w:val="12"/>
        <w:adjustRightInd w:val="0"/>
        <w:snapToGrid w:val="0"/>
        <w:spacing w:before="0" w:line="440" w:lineRule="exact"/>
        <w:jc w:val="left"/>
        <w:rPr>
          <w:rFonts w:cstheme="minorBidi"/>
          <w:sz w:val="24"/>
          <w:szCs w:val="24"/>
        </w:rPr>
      </w:pPr>
      <w:r>
        <w:rPr>
          <w:rFonts w:hint="eastAsia"/>
          <w:sz w:val="24"/>
        </w:rPr>
        <w:t>第三部分 名词解释……………………………………………………………1</w:t>
      </w:r>
      <w:r>
        <w:rPr>
          <w:sz w:val="24"/>
        </w:rPr>
        <w:t>9</w:t>
      </w:r>
    </w:p>
    <w:p>
      <w:pPr>
        <w:pStyle w:val="12"/>
        <w:adjustRightInd w:val="0"/>
        <w:snapToGrid w:val="0"/>
        <w:spacing w:before="0" w:line="440" w:lineRule="exact"/>
        <w:jc w:val="left"/>
        <w:rPr>
          <w:rFonts w:cstheme="minorBidi"/>
          <w:sz w:val="24"/>
          <w:szCs w:val="24"/>
        </w:rPr>
      </w:pPr>
      <w:r>
        <w:rPr>
          <w:rFonts w:hint="eastAsia"/>
          <w:sz w:val="24"/>
        </w:rPr>
        <w:t>第四部分 附件…………………………………………………………………2</w:t>
      </w:r>
      <w:r>
        <w:rPr>
          <w:sz w:val="24"/>
        </w:rPr>
        <w:t>2</w:t>
      </w:r>
    </w:p>
    <w:p>
      <w:pPr>
        <w:pStyle w:val="12"/>
        <w:adjustRightInd w:val="0"/>
        <w:snapToGrid w:val="0"/>
        <w:spacing w:before="0" w:line="440" w:lineRule="exact"/>
        <w:jc w:val="left"/>
        <w:rPr>
          <w:rFonts w:cstheme="minorBidi"/>
          <w:sz w:val="24"/>
          <w:szCs w:val="24"/>
        </w:rPr>
      </w:pPr>
      <w:r>
        <w:rPr>
          <w:rFonts w:hint="eastAsia"/>
          <w:sz w:val="24"/>
        </w:rPr>
        <w:t>第五部分 附表…………………………………………………………………4</w:t>
      </w:r>
      <w:r>
        <w:rPr>
          <w:sz w:val="24"/>
        </w:rPr>
        <w:t>7</w:t>
      </w:r>
    </w:p>
    <w:p>
      <w:pPr>
        <w:pStyle w:val="13"/>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收入支出决算总表……………………………………………………4</w:t>
      </w:r>
      <w:r>
        <w:rPr>
          <w:sz w:val="24"/>
        </w:rPr>
        <w:t>7</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二、收入决算表……………………………………………………………4</w:t>
      </w:r>
      <w:r>
        <w:rPr>
          <w:rFonts w:asciiTheme="minorEastAsia" w:hAnsiTheme="minorEastAsia" w:eastAsiaTheme="minorEastAsia" w:cstheme="minorEastAsia"/>
          <w:sz w:val="24"/>
        </w:rPr>
        <w:t>7</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三、支出决算表……………………………………………………………4</w:t>
      </w:r>
      <w:r>
        <w:rPr>
          <w:rFonts w:asciiTheme="minorEastAsia" w:hAnsiTheme="minorEastAsia" w:eastAsiaTheme="minorEastAsia" w:cstheme="minorEastAsia"/>
          <w:sz w:val="24"/>
        </w:rPr>
        <w:t>7</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四、财政拨款收入支出决算总表…………………………………………4</w:t>
      </w:r>
      <w:r>
        <w:rPr>
          <w:rFonts w:asciiTheme="minorEastAsia" w:hAnsiTheme="minorEastAsia" w:eastAsiaTheme="minorEastAsia" w:cstheme="minorEastAsia"/>
          <w:sz w:val="24"/>
        </w:rPr>
        <w:t>7</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五、财政拨款支出决算明细表……………………………………………4</w:t>
      </w:r>
      <w:r>
        <w:rPr>
          <w:rFonts w:asciiTheme="minorEastAsia" w:hAnsiTheme="minorEastAsia" w:eastAsiaTheme="minorEastAsia" w:cstheme="minorEastAsia"/>
          <w:sz w:val="24"/>
        </w:rPr>
        <w:t>7</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六、一般公共预算财政拨款支出决算表…………………………………4</w:t>
      </w:r>
      <w:r>
        <w:rPr>
          <w:rFonts w:asciiTheme="minorEastAsia" w:hAnsiTheme="minorEastAsia" w:eastAsiaTheme="minorEastAsia" w:cstheme="minorEastAsia"/>
          <w:sz w:val="24"/>
        </w:rPr>
        <w:t>7</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七、一般公共预算财政拨款支出决算明细表……………………………4</w:t>
      </w:r>
      <w:r>
        <w:rPr>
          <w:rFonts w:asciiTheme="minorEastAsia" w:hAnsiTheme="minorEastAsia" w:eastAsiaTheme="minorEastAsia" w:cstheme="minorEastAsia"/>
          <w:sz w:val="24"/>
        </w:rPr>
        <w:t>7</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八、一般公共预算财政拨款基本支出决算表……………………………4</w:t>
      </w:r>
      <w:r>
        <w:rPr>
          <w:rFonts w:asciiTheme="minorEastAsia" w:hAnsiTheme="minorEastAsia" w:eastAsiaTheme="minorEastAsia" w:cstheme="minorEastAsia"/>
          <w:sz w:val="24"/>
        </w:rPr>
        <w:t>7</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九、一般公共预算财政拨款项目支出决算表……………………………4</w:t>
      </w:r>
      <w:r>
        <w:rPr>
          <w:rFonts w:asciiTheme="minorEastAsia" w:hAnsiTheme="minorEastAsia" w:eastAsiaTheme="minorEastAsia" w:cstheme="minorEastAsia"/>
          <w:sz w:val="24"/>
        </w:rPr>
        <w:t>7</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十、一般公共预算财政拨款“三公”经费支出决算表………………4</w:t>
      </w:r>
      <w:r>
        <w:rPr>
          <w:rFonts w:asciiTheme="minorEastAsia" w:hAnsiTheme="minorEastAsia" w:eastAsiaTheme="minorEastAsia" w:cstheme="minorEastAsia"/>
          <w:sz w:val="24"/>
        </w:rPr>
        <w:t>7</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十一、政府性基金预算财政拨款收入支出决算表……………………4</w:t>
      </w:r>
      <w:r>
        <w:rPr>
          <w:rFonts w:asciiTheme="minorEastAsia" w:hAnsiTheme="minorEastAsia" w:eastAsiaTheme="minorEastAsia" w:cstheme="minorEastAsia"/>
          <w:sz w:val="24"/>
        </w:rPr>
        <w:t>7</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十二、政府性基金预算财政拨款“三公”经费支出决算表…………4</w:t>
      </w:r>
      <w:r>
        <w:rPr>
          <w:rFonts w:asciiTheme="minorEastAsia" w:hAnsiTheme="minorEastAsia" w:eastAsiaTheme="minorEastAsia" w:cstheme="minorEastAsia"/>
          <w:sz w:val="24"/>
        </w:rPr>
        <w:t>7</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十三、国有资本经营预算财政拨款收入支出决算表…………………4</w:t>
      </w:r>
      <w:r>
        <w:rPr>
          <w:rFonts w:asciiTheme="minorEastAsia" w:hAnsiTheme="minorEastAsia" w:eastAsiaTheme="minorEastAsia" w:cstheme="minorEastAsia"/>
          <w:sz w:val="24"/>
        </w:rPr>
        <w:t>7</w:t>
      </w:r>
    </w:p>
    <w:p>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十四、国有资本经营预算财政拨款支出决算表………………………4</w:t>
      </w:r>
      <w:r>
        <w:rPr>
          <w:rFonts w:asciiTheme="minorEastAsia" w:hAnsiTheme="minorEastAsia" w:eastAsiaTheme="minorEastAsia" w:cstheme="minorEastAsia"/>
          <w:sz w:val="24"/>
        </w:rPr>
        <w:t>7</w:t>
      </w:r>
    </w:p>
    <w:p>
      <w:pPr>
        <w:widowControl/>
        <w:adjustRightInd w:val="0"/>
        <w:snapToGrid w:val="0"/>
        <w:spacing w:line="440" w:lineRule="exact"/>
        <w:ind w:firstLine="1320" w:firstLineChars="550"/>
        <w:jc w:val="left"/>
        <w:rPr>
          <w:rFonts w:ascii="仿宋" w:hAnsi="仿宋" w:eastAsia="仿宋"/>
          <w:sz w:val="24"/>
        </w:rPr>
      </w:pPr>
    </w:p>
    <w:p>
      <w:pPr>
        <w:widowControl/>
        <w:spacing w:line="440" w:lineRule="exact"/>
        <w:jc w:val="left"/>
        <w:rPr>
          <w:rFonts w:ascii="仿宋" w:hAnsi="仿宋" w:eastAsia="仿宋"/>
          <w:bCs/>
          <w:kern w:val="44"/>
          <w:sz w:val="24"/>
        </w:rPr>
      </w:pPr>
      <w:bookmarkStart w:id="12" w:name="_Toc15377196"/>
      <w:bookmarkStart w:id="13" w:name="_Toc15396599"/>
      <w:r>
        <w:rPr>
          <w:rFonts w:hint="eastAsia" w:ascii="仿宋" w:hAnsi="仿宋" w:eastAsia="仿宋"/>
          <w:b/>
          <w:sz w:val="24"/>
        </w:rPr>
        <w:t xml:space="preserve">                   </w:t>
      </w:r>
      <w:r>
        <w:rPr>
          <w:rFonts w:ascii="仿宋" w:hAnsi="仿宋" w:eastAsia="仿宋"/>
          <w:b/>
          <w:sz w:val="24"/>
        </w:rPr>
        <w:br w:type="page"/>
      </w:r>
    </w:p>
    <w:p>
      <w:pPr>
        <w:pStyle w:val="3"/>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pPr>
        <w:widowControl/>
        <w:spacing w:line="353" w:lineRule="auto"/>
        <w:jc w:val="left"/>
        <w:rPr>
          <w:rFonts w:ascii="黑体" w:eastAsia="黑体"/>
          <w:sz w:val="32"/>
          <w:szCs w:val="32"/>
        </w:rPr>
      </w:pPr>
    </w:p>
    <w:p>
      <w:pPr>
        <w:pStyle w:val="4"/>
        <w:spacing w:line="353" w:lineRule="auto"/>
        <w:rPr>
          <w:rStyle w:val="27"/>
          <w:rFonts w:ascii="仿宋" w:hAnsi="仿宋" w:eastAsia="仿宋"/>
          <w:b w:val="0"/>
          <w:bCs w:val="0"/>
        </w:rPr>
      </w:pPr>
      <w:bookmarkStart w:id="14" w:name="_Toc15396600"/>
      <w:bookmarkStart w:id="15" w:name="_Toc15377197"/>
      <w:r>
        <w:rPr>
          <w:rFonts w:hint="eastAsia" w:ascii="黑体" w:hAnsi="黑体" w:eastAsia="黑体"/>
          <w:b w:val="0"/>
        </w:rPr>
        <w:t>一、基</w:t>
      </w:r>
      <w:r>
        <w:rPr>
          <w:rStyle w:val="27"/>
          <w:rFonts w:hint="eastAsia" w:ascii="黑体" w:hAnsi="黑体" w:eastAsia="黑体"/>
          <w:b w:val="0"/>
          <w:bCs w:val="0"/>
        </w:rPr>
        <w:t>本职能及主要工作</w:t>
      </w:r>
      <w:bookmarkEnd w:id="14"/>
      <w:bookmarkEnd w:id="15"/>
    </w:p>
    <w:p>
      <w:pPr>
        <w:pStyle w:val="2"/>
        <w:adjustRightInd w:val="0"/>
        <w:snapToGrid w:val="0"/>
        <w:spacing w:before="93" w:line="353" w:lineRule="auto"/>
        <w:ind w:firstLine="672" w:firstLineChars="210"/>
        <w:outlineLvl w:val="2"/>
        <w:rPr>
          <w:rFonts w:ascii="楷体_GB2312" w:hAnsi="仿宋" w:eastAsia="楷体_GB2312"/>
          <w:bCs/>
          <w:sz w:val="32"/>
          <w:szCs w:val="32"/>
        </w:rPr>
      </w:pPr>
      <w:bookmarkStart w:id="16" w:name="_Toc15377198"/>
      <w:bookmarkStart w:id="17" w:name="_Toc15378445"/>
      <w:r>
        <w:rPr>
          <w:rFonts w:hint="eastAsia" w:ascii="楷体_GB2312" w:hAnsi="仿宋" w:eastAsia="楷体_GB2312"/>
          <w:bCs/>
          <w:sz w:val="32"/>
          <w:szCs w:val="32"/>
        </w:rPr>
        <w:t>（一）主要职能</w:t>
      </w:r>
      <w:bookmarkEnd w:id="16"/>
      <w:bookmarkEnd w:id="17"/>
      <w:r>
        <w:rPr>
          <w:rFonts w:hint="eastAsia" w:ascii="楷体_GB2312" w:hAnsi="仿宋" w:eastAsia="楷体_GB2312"/>
          <w:bCs/>
          <w:sz w:val="32"/>
          <w:szCs w:val="32"/>
        </w:rPr>
        <w:t>。</w:t>
      </w:r>
    </w:p>
    <w:p>
      <w:pPr>
        <w:pStyle w:val="8"/>
        <w:spacing w:line="353" w:lineRule="auto"/>
        <w:ind w:firstLine="640" w:firstLineChars="200"/>
        <w:rPr>
          <w:rFonts w:ascii="Times New Roman" w:hAnsi="Times New Roman" w:eastAsia="仿宋_GB2312"/>
          <w:sz w:val="32"/>
          <w:szCs w:val="32"/>
        </w:rPr>
      </w:pPr>
      <w:bookmarkStart w:id="18" w:name="_Toc15378446"/>
      <w:bookmarkStart w:id="19" w:name="_Toc15377199"/>
      <w:r>
        <w:rPr>
          <w:rFonts w:ascii="Times New Roman" w:hAnsi="Times New Roman" w:eastAsia="仿宋_GB2312"/>
          <w:sz w:val="32"/>
          <w:szCs w:val="32"/>
        </w:rPr>
        <w:t xml:space="preserve">负责社区、农村卫生服务体系建设，对社区、农村卫生服务机构的建设项目进行管理。负责制定社区、农村卫生建设规划、年度计划，并组织实施。负责社区、农村卫生服务标准化、规范化建设与管理；负责社区、农村卫生服务。拟订基层卫生健康政策并组织实施。拟订基层医疗卫生机构绩效评价和考核制度并组织实施。牵头负责基本公共卫生服务均等化工作。指导基层卫生健康服务体系建设、基本医疗、基本公共卫生服务等工作，推进家庭医生签约服务和乡村医生相关管理工作。负责探索社区卫生服务机构“收支两条线”“首诊制”“药品零利率”等运行机制体制。负责对社区卫生服务公共补助经费的划拨和管理。负责对社区卫生服务机构人事管理。负责深化医药卫生体制改革相关工作，研究提出深化医药卫生体制改革重大政策、措施的建议。组织建立分级诊疗制度。负责基层医疗卫生机构基本药物制度的实施、考核及补助经费的划拨、管理。负责社区、农村医务人员的培训考试。负责公共卫生统计工作。完成区卫生健康局交办的其他任务。 </w:t>
      </w:r>
    </w:p>
    <w:p>
      <w:pPr>
        <w:pStyle w:val="2"/>
        <w:adjustRightInd w:val="0"/>
        <w:snapToGrid w:val="0"/>
        <w:spacing w:before="93" w:line="600" w:lineRule="exact"/>
        <w:ind w:firstLine="672" w:firstLineChars="210"/>
        <w:outlineLvl w:val="2"/>
        <w:rPr>
          <w:rFonts w:ascii="楷体_GB2312" w:hAnsi="仿宋" w:eastAsia="楷体_GB2312"/>
          <w:bCs/>
          <w:sz w:val="32"/>
          <w:szCs w:val="32"/>
        </w:rPr>
      </w:pPr>
      <w:r>
        <w:rPr>
          <w:rFonts w:hint="eastAsia" w:ascii="楷体_GB2312" w:hAnsi="仿宋" w:eastAsia="楷体_GB2312"/>
          <w:bCs/>
          <w:sz w:val="32"/>
          <w:szCs w:val="32"/>
        </w:rPr>
        <w:t>（二）2021年重点工作完成情况</w:t>
      </w:r>
      <w:bookmarkEnd w:id="18"/>
      <w:bookmarkEnd w:id="19"/>
      <w:r>
        <w:rPr>
          <w:rFonts w:hint="eastAsia" w:ascii="楷体_GB2312" w:hAnsi="仿宋" w:eastAsia="楷体_GB2312"/>
          <w:bCs/>
          <w:sz w:val="32"/>
          <w:szCs w:val="32"/>
        </w:rPr>
        <w:t>。</w:t>
      </w:r>
    </w:p>
    <w:p>
      <w:pPr>
        <w:adjustRightInd w:val="0"/>
        <w:spacing w:line="353" w:lineRule="auto"/>
        <w:ind w:firstLine="627" w:firstLineChars="200"/>
        <w:contextualSpacing/>
        <w:rPr>
          <w:rFonts w:ascii="仿宋_GB2312" w:eastAsia="仿宋_GB2312"/>
          <w:b/>
          <w:color w:val="000000"/>
          <w:spacing w:val="-4"/>
          <w:sz w:val="32"/>
          <w:szCs w:val="32"/>
        </w:rPr>
      </w:pPr>
      <w:r>
        <w:rPr>
          <w:rFonts w:hint="eastAsia" w:ascii="仿宋_GB2312" w:eastAsia="仿宋_GB2312"/>
          <w:b/>
          <w:color w:val="000000"/>
          <w:spacing w:val="-4"/>
          <w:sz w:val="32"/>
          <w:szCs w:val="32"/>
        </w:rPr>
        <w:t>1.深化基层医疗卫生机构法人治理改革。</w:t>
      </w:r>
    </w:p>
    <w:p>
      <w:pPr>
        <w:adjustRightInd w:val="0"/>
        <w:spacing w:line="353" w:lineRule="auto"/>
        <w:ind w:firstLine="640" w:firstLineChars="200"/>
        <w:contextualSpacing/>
        <w:rPr>
          <w:rFonts w:eastAsia="仿宋_GB2312"/>
          <w:b/>
          <w:sz w:val="32"/>
          <w:szCs w:val="32"/>
        </w:rPr>
      </w:pPr>
      <w:r>
        <w:rPr>
          <w:rFonts w:eastAsia="仿宋_GB2312"/>
          <w:color w:val="000000"/>
          <w:kern w:val="0"/>
          <w:sz w:val="32"/>
          <w:szCs w:val="32"/>
        </w:rPr>
        <w:t>西区自2014年探索开展基层医疗卫生机构法人治理改革以来，基层医疗卫生人员积极性明显提升，机构活力凸显。在基本公共卫生服务项目省级现场考核中，曾获得全省第一名、第二名的好成绩。2021年，西区对标福建省三明市的医改经验，继续深化法人治理改革。修改完善《攀枝花市西区基层医疗卫生机构理事会章程指导意见》《攀枝花市西区基层医疗卫生机构一体化管理实施方案》《攀枝花市西区基层医疗卫生机构个人绩效考核办法指导意见》，进一步深化管理体制、人事制度和绩效考核改革，规范基层医疗卫生机构管理，提高医疗水平和服务质量。10月10日至11日，西区在迎接省基本</w:t>
      </w:r>
      <w:r>
        <w:rPr>
          <w:rFonts w:eastAsia="仿宋_GB2312"/>
          <w:spacing w:val="-4"/>
          <w:sz w:val="32"/>
          <w:szCs w:val="32"/>
        </w:rPr>
        <w:t>公共卫生服务均等化</w:t>
      </w:r>
      <w:r>
        <w:rPr>
          <w:rFonts w:eastAsia="仿宋_GB2312"/>
          <w:color w:val="000000"/>
          <w:sz w:val="32"/>
          <w:szCs w:val="32"/>
        </w:rPr>
        <w:t>指导中心现场技术指导中，指导组</w:t>
      </w:r>
      <w:r>
        <w:rPr>
          <w:rFonts w:hint="eastAsia" w:eastAsia="仿宋_GB2312"/>
          <w:color w:val="000000"/>
          <w:sz w:val="32"/>
          <w:szCs w:val="32"/>
        </w:rPr>
        <w:t>给予</w:t>
      </w:r>
      <w:r>
        <w:rPr>
          <w:rFonts w:eastAsia="仿宋_GB2312"/>
          <w:color w:val="000000"/>
          <w:sz w:val="32"/>
          <w:szCs w:val="32"/>
        </w:rPr>
        <w:t>“在已指导的15个市州中成绩最好”高度评价，并获得</w:t>
      </w:r>
      <w:r>
        <w:rPr>
          <w:rFonts w:eastAsia="仿宋_GB2312"/>
          <w:color w:val="000000"/>
          <w:kern w:val="0"/>
          <w:sz w:val="32"/>
          <w:szCs w:val="32"/>
        </w:rPr>
        <w:t>全省第</w:t>
      </w:r>
      <w:r>
        <w:rPr>
          <w:rFonts w:hint="eastAsia" w:eastAsia="仿宋_GB2312"/>
          <w:color w:val="000000"/>
          <w:kern w:val="0"/>
          <w:sz w:val="32"/>
          <w:szCs w:val="32"/>
        </w:rPr>
        <w:t>三</w:t>
      </w:r>
      <w:r>
        <w:rPr>
          <w:rFonts w:eastAsia="仿宋_GB2312"/>
          <w:color w:val="000000"/>
          <w:kern w:val="0"/>
          <w:sz w:val="32"/>
          <w:szCs w:val="32"/>
        </w:rPr>
        <w:t>名</w:t>
      </w:r>
      <w:r>
        <w:rPr>
          <w:rFonts w:eastAsia="仿宋_GB2312"/>
          <w:spacing w:val="-4"/>
          <w:sz w:val="32"/>
          <w:szCs w:val="32"/>
        </w:rPr>
        <w:t>。</w:t>
      </w:r>
      <w:r>
        <w:rPr>
          <w:rFonts w:eastAsia="仿宋_GB2312"/>
          <w:color w:val="000000"/>
          <w:kern w:val="0"/>
          <w:sz w:val="32"/>
          <w:szCs w:val="32"/>
        </w:rPr>
        <w:t>1</w:t>
      </w:r>
      <w:r>
        <w:rPr>
          <w:rFonts w:hint="eastAsia" w:eastAsia="仿宋_GB2312"/>
          <w:color w:val="000000"/>
          <w:kern w:val="0"/>
          <w:sz w:val="32"/>
          <w:szCs w:val="32"/>
        </w:rPr>
        <w:t>2</w:t>
      </w:r>
      <w:r>
        <w:rPr>
          <w:rFonts w:eastAsia="仿宋_GB2312"/>
          <w:color w:val="000000"/>
          <w:kern w:val="0"/>
          <w:sz w:val="32"/>
          <w:szCs w:val="32"/>
        </w:rPr>
        <w:t>月</w:t>
      </w:r>
      <w:r>
        <w:rPr>
          <w:rFonts w:hint="eastAsia" w:eastAsia="仿宋_GB2312"/>
          <w:color w:val="000000"/>
          <w:kern w:val="0"/>
          <w:sz w:val="32"/>
          <w:szCs w:val="32"/>
        </w:rPr>
        <w:t>2</w:t>
      </w:r>
      <w:r>
        <w:rPr>
          <w:rFonts w:eastAsia="仿宋_GB2312"/>
          <w:color w:val="000000"/>
          <w:kern w:val="0"/>
          <w:sz w:val="32"/>
          <w:szCs w:val="32"/>
        </w:rPr>
        <w:t>日至</w:t>
      </w:r>
      <w:r>
        <w:rPr>
          <w:rFonts w:hint="eastAsia" w:eastAsia="仿宋_GB2312"/>
          <w:color w:val="000000"/>
          <w:kern w:val="0"/>
          <w:sz w:val="32"/>
          <w:szCs w:val="32"/>
        </w:rPr>
        <w:t>3</w:t>
      </w:r>
      <w:r>
        <w:rPr>
          <w:rFonts w:eastAsia="仿宋_GB2312"/>
          <w:color w:val="000000"/>
          <w:kern w:val="0"/>
          <w:sz w:val="32"/>
          <w:szCs w:val="32"/>
        </w:rPr>
        <w:t>日，迎接</w:t>
      </w:r>
      <w:r>
        <w:rPr>
          <w:rFonts w:hint="eastAsia" w:eastAsia="仿宋_GB2312"/>
          <w:color w:val="000000"/>
          <w:kern w:val="0"/>
          <w:sz w:val="32"/>
          <w:szCs w:val="32"/>
        </w:rPr>
        <w:t>全</w:t>
      </w:r>
      <w:r>
        <w:rPr>
          <w:rFonts w:eastAsia="仿宋_GB2312"/>
          <w:color w:val="000000"/>
          <w:kern w:val="0"/>
          <w:sz w:val="32"/>
          <w:szCs w:val="32"/>
        </w:rPr>
        <w:t>市基本</w:t>
      </w:r>
      <w:r>
        <w:rPr>
          <w:rFonts w:eastAsia="仿宋_GB2312"/>
          <w:spacing w:val="-4"/>
          <w:sz w:val="32"/>
          <w:szCs w:val="32"/>
        </w:rPr>
        <w:t>公共卫生服务</w:t>
      </w:r>
      <w:r>
        <w:rPr>
          <w:rFonts w:hint="eastAsia" w:eastAsia="仿宋_GB2312"/>
          <w:spacing w:val="-4"/>
          <w:sz w:val="32"/>
          <w:szCs w:val="32"/>
        </w:rPr>
        <w:t>绩效评价</w:t>
      </w:r>
      <w:r>
        <w:rPr>
          <w:rFonts w:eastAsia="仿宋_GB2312"/>
          <w:color w:val="000000"/>
          <w:sz w:val="32"/>
          <w:szCs w:val="32"/>
        </w:rPr>
        <w:t>，获得</w:t>
      </w:r>
      <w:r>
        <w:rPr>
          <w:rFonts w:eastAsia="仿宋_GB2312"/>
          <w:color w:val="000000"/>
          <w:kern w:val="0"/>
          <w:sz w:val="32"/>
          <w:szCs w:val="32"/>
        </w:rPr>
        <w:t>全</w:t>
      </w:r>
      <w:r>
        <w:rPr>
          <w:rFonts w:hint="eastAsia" w:eastAsia="仿宋_GB2312"/>
          <w:color w:val="000000"/>
          <w:kern w:val="0"/>
          <w:sz w:val="32"/>
          <w:szCs w:val="32"/>
        </w:rPr>
        <w:t>市</w:t>
      </w:r>
      <w:r>
        <w:rPr>
          <w:rFonts w:eastAsia="仿宋_GB2312"/>
          <w:color w:val="000000"/>
          <w:kern w:val="0"/>
          <w:sz w:val="32"/>
          <w:szCs w:val="32"/>
        </w:rPr>
        <w:t>第</w:t>
      </w:r>
      <w:r>
        <w:rPr>
          <w:rFonts w:hint="eastAsia" w:eastAsia="仿宋_GB2312"/>
          <w:color w:val="000000"/>
          <w:kern w:val="0"/>
          <w:sz w:val="32"/>
          <w:szCs w:val="32"/>
        </w:rPr>
        <w:t>一</w:t>
      </w:r>
      <w:r>
        <w:rPr>
          <w:rFonts w:eastAsia="仿宋_GB2312"/>
          <w:color w:val="000000"/>
          <w:kern w:val="0"/>
          <w:sz w:val="32"/>
          <w:szCs w:val="32"/>
        </w:rPr>
        <w:t>名</w:t>
      </w:r>
      <w:r>
        <w:rPr>
          <w:rFonts w:hint="eastAsia" w:eastAsia="仿宋_GB2312"/>
          <w:color w:val="000000"/>
          <w:kern w:val="0"/>
          <w:sz w:val="32"/>
          <w:szCs w:val="32"/>
        </w:rPr>
        <w:t>。</w:t>
      </w:r>
    </w:p>
    <w:p>
      <w:pPr>
        <w:adjustRightInd w:val="0"/>
        <w:spacing w:line="353" w:lineRule="auto"/>
        <w:ind w:firstLine="627" w:firstLineChars="200"/>
        <w:contextualSpacing/>
        <w:rPr>
          <w:rFonts w:ascii="仿宋_GB2312" w:eastAsia="仿宋_GB2312"/>
          <w:b/>
          <w:color w:val="000000"/>
          <w:spacing w:val="-4"/>
          <w:sz w:val="32"/>
          <w:szCs w:val="32"/>
        </w:rPr>
      </w:pPr>
      <w:r>
        <w:rPr>
          <w:rFonts w:hint="eastAsia" w:ascii="仿宋_GB2312" w:eastAsia="仿宋_GB2312"/>
          <w:b/>
          <w:color w:val="000000"/>
          <w:spacing w:val="-4"/>
          <w:sz w:val="32"/>
          <w:szCs w:val="32"/>
        </w:rPr>
        <w:t>2.积极推进两项改革“后半篇”文章。</w:t>
      </w:r>
    </w:p>
    <w:p>
      <w:pPr>
        <w:widowControl/>
        <w:adjustRightInd w:val="0"/>
        <w:spacing w:line="353" w:lineRule="auto"/>
        <w:ind w:firstLine="640" w:firstLineChars="200"/>
        <w:contextualSpacing/>
        <w:rPr>
          <w:rFonts w:eastAsia="仿宋_GB2312"/>
          <w:sz w:val="32"/>
          <w:szCs w:val="32"/>
        </w:rPr>
      </w:pPr>
      <w:r>
        <w:rPr>
          <w:rFonts w:eastAsia="仿宋_GB2312"/>
          <w:sz w:val="32"/>
          <w:szCs w:val="32"/>
        </w:rPr>
        <w:t>一是加强组织领导，成立了西区两项改革医疗卫生“后半篇”工作领导小组，通过召开干部职工会、节前工作会、专项部署会议等传达学习省市区委关于两项改革“后半篇”文章相关会议精神，研究贯彻落实意见，明确重点任务，稳步推进工作。二是立足实际，开展西区基层医疗卫生机构服务能力专题调研。区卫生健康局主要领导和分管领导聚焦基层医疗卫生机构改革及布局调整等工作，带队深入社区卫生服务中心、格里坪镇卫生院、村卫生室开展专题调研，结合实际制定《提升乡村医疗服务能力专项工作方案》，</w:t>
      </w:r>
      <w:r>
        <w:rPr>
          <w:rFonts w:hint="eastAsia" w:eastAsia="仿宋_GB2312"/>
          <w:sz w:val="32"/>
          <w:szCs w:val="32"/>
        </w:rPr>
        <w:t>明确</w:t>
      </w:r>
      <w:r>
        <w:rPr>
          <w:rFonts w:eastAsia="仿宋_GB2312"/>
          <w:sz w:val="32"/>
          <w:szCs w:val="32"/>
        </w:rPr>
        <w:t>重点任务</w:t>
      </w:r>
      <w:r>
        <w:rPr>
          <w:rFonts w:hint="eastAsia" w:eastAsia="仿宋_GB2312"/>
          <w:sz w:val="32"/>
          <w:szCs w:val="32"/>
        </w:rPr>
        <w:t>，</w:t>
      </w:r>
      <w:r>
        <w:rPr>
          <w:rFonts w:eastAsia="仿宋_GB2312"/>
          <w:sz w:val="32"/>
          <w:szCs w:val="32"/>
        </w:rPr>
        <w:t>细化工作措施。三是结合群众需求及工作实际，梳理基层医疗卫生机构主要职责，并向区委编办报送《关于恳请调整基层医疗卫生机构设置及增加主要职责的请示》，区委编办印发《中共攀枝花市西区区委机构编制委员会关于调整基层医疗卫生机构设置、增加职能职责的通知》，大宝鼎社区卫生服务中心、摩梭河社区卫生服务中心按程序对单位资产进行清算盘点，</w:t>
      </w:r>
      <w:r>
        <w:rPr>
          <w:rFonts w:hint="eastAsia" w:eastAsia="仿宋_GB2312"/>
          <w:sz w:val="32"/>
          <w:szCs w:val="32"/>
        </w:rPr>
        <w:t>完成</w:t>
      </w:r>
      <w:r>
        <w:rPr>
          <w:rFonts w:eastAsia="仿宋_GB2312"/>
          <w:sz w:val="32"/>
          <w:szCs w:val="32"/>
        </w:rPr>
        <w:t>注销登记更名</w:t>
      </w:r>
      <w:r>
        <w:rPr>
          <w:rFonts w:hint="eastAsia" w:eastAsia="仿宋_GB2312"/>
          <w:sz w:val="32"/>
          <w:szCs w:val="32"/>
        </w:rPr>
        <w:t>，</w:t>
      </w:r>
      <w:r>
        <w:rPr>
          <w:rFonts w:eastAsia="仿宋_GB2312"/>
          <w:sz w:val="32"/>
          <w:szCs w:val="32"/>
        </w:rPr>
        <w:t>摩梭河社区卫生服务中心</w:t>
      </w:r>
      <w:r>
        <w:rPr>
          <w:rFonts w:hint="eastAsia" w:eastAsia="仿宋_GB2312"/>
          <w:sz w:val="32"/>
          <w:szCs w:val="32"/>
        </w:rPr>
        <w:t>和</w:t>
      </w:r>
      <w:r>
        <w:rPr>
          <w:rFonts w:eastAsia="仿宋_GB2312"/>
          <w:sz w:val="32"/>
          <w:szCs w:val="32"/>
        </w:rPr>
        <w:t>格里坪镇</w:t>
      </w:r>
      <w:r>
        <w:rPr>
          <w:rFonts w:hint="eastAsia" w:eastAsia="仿宋_GB2312"/>
          <w:sz w:val="32"/>
          <w:szCs w:val="32"/>
        </w:rPr>
        <w:t>金桥村</w:t>
      </w:r>
      <w:r>
        <w:rPr>
          <w:rFonts w:eastAsia="仿宋_GB2312"/>
          <w:sz w:val="32"/>
          <w:szCs w:val="32"/>
        </w:rPr>
        <w:t>卫生室</w:t>
      </w:r>
      <w:r>
        <w:rPr>
          <w:rFonts w:hint="eastAsia" w:eastAsia="仿宋_GB2312"/>
          <w:sz w:val="32"/>
          <w:szCs w:val="32"/>
        </w:rPr>
        <w:t>完成</w:t>
      </w:r>
      <w:r>
        <w:rPr>
          <w:rFonts w:eastAsia="仿宋_GB2312"/>
          <w:sz w:val="32"/>
          <w:szCs w:val="32"/>
        </w:rPr>
        <w:t>挂牌等工作。</w:t>
      </w:r>
    </w:p>
    <w:p>
      <w:pPr>
        <w:adjustRightInd w:val="0"/>
        <w:snapToGrid w:val="0"/>
        <w:spacing w:line="353" w:lineRule="auto"/>
        <w:ind w:firstLine="627" w:firstLineChars="200"/>
        <w:rPr>
          <w:rFonts w:ascii="仿宋_GB2312" w:eastAsia="仿宋_GB2312"/>
          <w:b/>
          <w:color w:val="000000"/>
          <w:spacing w:val="-4"/>
          <w:sz w:val="32"/>
          <w:szCs w:val="32"/>
        </w:rPr>
      </w:pPr>
      <w:r>
        <w:rPr>
          <w:rFonts w:hint="eastAsia" w:ascii="仿宋_GB2312" w:eastAsia="仿宋_GB2312"/>
          <w:b/>
          <w:color w:val="000000"/>
          <w:spacing w:val="-4"/>
          <w:sz w:val="32"/>
          <w:szCs w:val="32"/>
        </w:rPr>
        <w:t>3.持续抓好常态化疫情防控工作。</w:t>
      </w:r>
    </w:p>
    <w:p>
      <w:pPr>
        <w:widowControl/>
        <w:adjustRightInd w:val="0"/>
        <w:snapToGrid w:val="0"/>
        <w:spacing w:line="353" w:lineRule="auto"/>
        <w:ind w:firstLine="643" w:firstLineChars="200"/>
        <w:rPr>
          <w:rFonts w:eastAsia="仿宋_GB2312"/>
          <w:sz w:val="32"/>
          <w:szCs w:val="32"/>
        </w:rPr>
      </w:pPr>
      <w:r>
        <w:rPr>
          <w:rFonts w:eastAsia="仿宋_GB2312"/>
          <w:b/>
          <w:sz w:val="32"/>
          <w:szCs w:val="32"/>
        </w:rPr>
        <w:t>一是</w:t>
      </w:r>
      <w:r>
        <w:rPr>
          <w:rFonts w:eastAsia="仿宋_GB2312"/>
          <w:sz w:val="32"/>
          <w:szCs w:val="32"/>
        </w:rPr>
        <w:t>认真落实基层医疗卫生机构首诊负责、预检分诊和院感防控制度，发挥基层医疗卫生机构重大传染病“早发现、早报告”监测预警作用。</w:t>
      </w:r>
      <w:r>
        <w:rPr>
          <w:rFonts w:eastAsia="仿宋_GB2312"/>
          <w:b/>
          <w:sz w:val="32"/>
          <w:szCs w:val="32"/>
        </w:rPr>
        <w:t>二是</w:t>
      </w:r>
      <w:r>
        <w:rPr>
          <w:rFonts w:eastAsia="仿宋_GB2312"/>
          <w:sz w:val="32"/>
          <w:szCs w:val="32"/>
        </w:rPr>
        <w:t>进一步规范发热哨点诊室建设和布局流程，并规范运行。按要求抓实预检分诊筛查工作，严格落实院感防控各项措施，切实守住疫情防控首道关口。</w:t>
      </w:r>
      <w:r>
        <w:rPr>
          <w:rFonts w:eastAsia="仿宋_GB2312"/>
          <w:b/>
          <w:sz w:val="32"/>
          <w:szCs w:val="32"/>
        </w:rPr>
        <w:t>三是</w:t>
      </w:r>
      <w:r>
        <w:rPr>
          <w:rFonts w:eastAsia="仿宋_GB2312"/>
          <w:sz w:val="32"/>
          <w:szCs w:val="32"/>
        </w:rPr>
        <w:t>坚持每天专人专班收集最新疫情信息，专题研判疫情形势，坚持人、物、环境同防，对境外来（返）攀人员严格执行“14+7”闭环管理措施。</w:t>
      </w:r>
      <w:r>
        <w:rPr>
          <w:rFonts w:eastAsia="仿宋_GB2312"/>
          <w:b/>
          <w:sz w:val="32"/>
          <w:szCs w:val="32"/>
        </w:rPr>
        <w:t>四是</w:t>
      </w:r>
      <w:r>
        <w:rPr>
          <w:rFonts w:eastAsia="仿宋_GB2312"/>
          <w:sz w:val="32"/>
          <w:szCs w:val="32"/>
        </w:rPr>
        <w:t>做好隔离场所医疗服务，在集中隔离医学观察点开展体温、血压、心率检测和心理疏导等服务。</w:t>
      </w:r>
      <w:r>
        <w:rPr>
          <w:rFonts w:eastAsia="仿宋_GB2312"/>
          <w:b/>
          <w:sz w:val="32"/>
          <w:szCs w:val="32"/>
        </w:rPr>
        <w:t>五是</w:t>
      </w:r>
      <w:r>
        <w:rPr>
          <w:rFonts w:eastAsia="仿宋_GB2312"/>
          <w:sz w:val="32"/>
          <w:szCs w:val="32"/>
        </w:rPr>
        <w:t>积极推进新冠疫苗接种工作。截至12月31日，全区累计接种256416剂次。其中，第一剂接种107779剂次，第二剂接种107385剂次，第三剂接种41252剂次，加强免疫接种39048剂次，累计开具禁忌证明3184人。</w:t>
      </w:r>
    </w:p>
    <w:p>
      <w:pPr>
        <w:adjustRightInd w:val="0"/>
        <w:snapToGrid w:val="0"/>
        <w:spacing w:line="353" w:lineRule="auto"/>
        <w:ind w:firstLine="627" w:firstLineChars="200"/>
        <w:rPr>
          <w:rFonts w:ascii="仿宋_GB2312" w:eastAsia="仿宋_GB2312"/>
          <w:b/>
          <w:color w:val="000000"/>
          <w:spacing w:val="-4"/>
          <w:sz w:val="32"/>
          <w:szCs w:val="32"/>
        </w:rPr>
      </w:pPr>
      <w:r>
        <w:rPr>
          <w:rFonts w:hint="eastAsia" w:ascii="仿宋_GB2312" w:eastAsia="仿宋_GB2312"/>
          <w:b/>
          <w:color w:val="000000"/>
          <w:spacing w:val="-4"/>
          <w:sz w:val="32"/>
          <w:szCs w:val="32"/>
        </w:rPr>
        <w:t>4.努力促进医联体共同发展。</w:t>
      </w:r>
    </w:p>
    <w:p>
      <w:pPr>
        <w:widowControl/>
        <w:adjustRightInd w:val="0"/>
        <w:snapToGrid w:val="0"/>
        <w:spacing w:line="353" w:lineRule="auto"/>
        <w:ind w:firstLine="640" w:firstLineChars="200"/>
        <w:rPr>
          <w:rFonts w:eastAsia="仿宋_GB2312"/>
          <w:sz w:val="32"/>
          <w:szCs w:val="32"/>
        </w:rPr>
      </w:pPr>
      <w:r>
        <w:rPr>
          <w:rFonts w:eastAsia="仿宋_GB2312"/>
          <w:sz w:val="32"/>
          <w:szCs w:val="32"/>
        </w:rPr>
        <w:t>深入推进医联体合作，年初各基层医疗卫生机构与市二医院签订了医联体合作协议，市二医院根据西区各基层医疗卫生机构的医技人员与居民需求状况，选派专家到西区基层医疗卫生机构挂职业务副院长（副主任），促进了人才和技术下沉，填补了基层医疗卫生机构专家人才的缺口，为基层医疗卫生机构培养能诊治常见病、多发病和诊断明确慢性病的医护人员，提升了基层医疗质量管理、慢性病防治与管理、居民健康管理、疾病预防、院感管理、疫情防控等服务能力。</w:t>
      </w:r>
    </w:p>
    <w:p>
      <w:pPr>
        <w:adjustRightInd w:val="0"/>
        <w:snapToGrid w:val="0"/>
        <w:spacing w:line="353" w:lineRule="auto"/>
        <w:ind w:firstLine="627" w:firstLineChars="200"/>
        <w:rPr>
          <w:rFonts w:ascii="仿宋_GB2312" w:eastAsia="仿宋_GB2312"/>
          <w:b/>
          <w:color w:val="000000"/>
          <w:spacing w:val="-4"/>
          <w:sz w:val="32"/>
          <w:szCs w:val="32"/>
        </w:rPr>
      </w:pPr>
      <w:r>
        <w:rPr>
          <w:rFonts w:hint="eastAsia" w:ascii="仿宋_GB2312" w:eastAsia="仿宋_GB2312"/>
          <w:b/>
          <w:color w:val="000000"/>
          <w:spacing w:val="-4"/>
          <w:sz w:val="32"/>
          <w:szCs w:val="32"/>
        </w:rPr>
        <w:t>5.全力推动基层服务能力建设。</w:t>
      </w:r>
    </w:p>
    <w:p>
      <w:pPr>
        <w:adjustRightInd w:val="0"/>
        <w:spacing w:line="353" w:lineRule="auto"/>
        <w:ind w:firstLine="643" w:firstLineChars="200"/>
        <w:contextualSpacing/>
        <w:rPr>
          <w:rFonts w:eastAsia="仿宋_GB2312"/>
          <w:color w:val="000000"/>
          <w:kern w:val="0"/>
          <w:sz w:val="32"/>
          <w:szCs w:val="32"/>
        </w:rPr>
      </w:pPr>
      <w:r>
        <w:rPr>
          <w:rFonts w:eastAsia="仿宋_GB2312"/>
          <w:b/>
          <w:color w:val="000000"/>
          <w:kern w:val="0"/>
          <w:sz w:val="32"/>
          <w:szCs w:val="32"/>
        </w:rPr>
        <w:t>一是</w:t>
      </w:r>
      <w:r>
        <w:rPr>
          <w:rFonts w:eastAsia="仿宋_GB2312"/>
          <w:color w:val="000000"/>
          <w:kern w:val="0"/>
          <w:sz w:val="32"/>
          <w:szCs w:val="32"/>
        </w:rPr>
        <w:t>加强业务培训。截至目前，共有13名医生参加全科医生转岗培训，其中6名医生完成培训并注册，7名医生正在参加全科医生转岗培训。实施基层卫生人才能力提升培训项目，3名骨干人员完成线上培训</w:t>
      </w:r>
      <w:r>
        <w:rPr>
          <w:rFonts w:hint="eastAsia" w:eastAsia="仿宋_GB2312"/>
          <w:color w:val="000000"/>
          <w:kern w:val="0"/>
          <w:sz w:val="32"/>
          <w:szCs w:val="32"/>
        </w:rPr>
        <w:t>，</w:t>
      </w:r>
      <w:r>
        <w:rPr>
          <w:rFonts w:eastAsia="仿宋_GB2312"/>
          <w:color w:val="000000"/>
          <w:kern w:val="0"/>
          <w:sz w:val="32"/>
          <w:szCs w:val="32"/>
        </w:rPr>
        <w:t>3名乡村医生完成线上线下</w:t>
      </w:r>
      <w:r>
        <w:rPr>
          <w:rFonts w:hint="eastAsia" w:eastAsia="仿宋_GB2312"/>
          <w:color w:val="000000"/>
          <w:kern w:val="0"/>
          <w:sz w:val="32"/>
          <w:szCs w:val="32"/>
        </w:rPr>
        <w:t>（</w:t>
      </w:r>
      <w:r>
        <w:rPr>
          <w:rFonts w:eastAsia="仿宋_GB2312"/>
          <w:color w:val="000000"/>
          <w:kern w:val="0"/>
          <w:sz w:val="32"/>
          <w:szCs w:val="32"/>
        </w:rPr>
        <w:t>市二医院</w:t>
      </w:r>
      <w:r>
        <w:rPr>
          <w:rFonts w:hint="eastAsia" w:eastAsia="仿宋_GB2312"/>
          <w:color w:val="000000"/>
          <w:kern w:val="0"/>
          <w:sz w:val="32"/>
          <w:szCs w:val="32"/>
        </w:rPr>
        <w:t>）</w:t>
      </w:r>
      <w:r>
        <w:rPr>
          <w:rFonts w:eastAsia="仿宋_GB2312"/>
          <w:color w:val="000000"/>
          <w:kern w:val="0"/>
          <w:sz w:val="32"/>
          <w:szCs w:val="32"/>
        </w:rPr>
        <w:t>培训。</w:t>
      </w:r>
      <w:r>
        <w:rPr>
          <w:rFonts w:eastAsia="仿宋_GB2312"/>
          <w:b/>
          <w:color w:val="000000"/>
          <w:kern w:val="0"/>
          <w:sz w:val="32"/>
          <w:szCs w:val="32"/>
        </w:rPr>
        <w:t>二是</w:t>
      </w:r>
      <w:r>
        <w:rPr>
          <w:rFonts w:eastAsia="仿宋_GB2312"/>
          <w:color w:val="000000"/>
          <w:sz w:val="32"/>
          <w:szCs w:val="32"/>
        </w:rPr>
        <w:t>启动特色科室建设项目，打造清香坪社区卫生服务中心中医康复科和</w:t>
      </w:r>
      <w:r>
        <w:rPr>
          <w:rFonts w:eastAsia="仿宋_GB2312"/>
          <w:sz w:val="32"/>
          <w:szCs w:val="32"/>
        </w:rPr>
        <w:t>河门口社区卫生服务中心的颈椎病、肩周炎慢性病治疗中心</w:t>
      </w:r>
      <w:r>
        <w:rPr>
          <w:rFonts w:eastAsia="仿宋_GB2312"/>
          <w:color w:val="000000"/>
          <w:sz w:val="32"/>
          <w:szCs w:val="32"/>
        </w:rPr>
        <w:t>，突出康复理疗特色，让群众享受更好的中医理疗服务。</w:t>
      </w:r>
      <w:r>
        <w:rPr>
          <w:rFonts w:eastAsia="仿宋_GB2312"/>
          <w:b/>
          <w:color w:val="000000"/>
          <w:kern w:val="0"/>
          <w:sz w:val="32"/>
          <w:szCs w:val="32"/>
        </w:rPr>
        <w:t>三是</w:t>
      </w:r>
      <w:r>
        <w:rPr>
          <w:rFonts w:eastAsia="仿宋_GB2312"/>
          <w:color w:val="000000"/>
          <w:kern w:val="0"/>
          <w:sz w:val="32"/>
          <w:szCs w:val="32"/>
        </w:rPr>
        <w:t>开展“专家下基层”活动，依托市二医院骨干力量，开展慢病、中医、儿科等专题讲座6期，</w:t>
      </w:r>
      <w:r>
        <w:rPr>
          <w:rFonts w:hint="eastAsia" w:eastAsia="仿宋_GB2312"/>
          <w:color w:val="000000"/>
          <w:kern w:val="0"/>
          <w:sz w:val="32"/>
          <w:szCs w:val="32"/>
        </w:rPr>
        <w:t>提升</w:t>
      </w:r>
      <w:r>
        <w:rPr>
          <w:rFonts w:eastAsia="仿宋_GB2312"/>
          <w:color w:val="000000"/>
          <w:kern w:val="0"/>
          <w:sz w:val="32"/>
          <w:szCs w:val="32"/>
        </w:rPr>
        <w:t>基层医疗卫生机构服务能力。</w:t>
      </w:r>
      <w:r>
        <w:rPr>
          <w:rFonts w:eastAsia="仿宋_GB2312"/>
          <w:b/>
          <w:color w:val="000000"/>
          <w:kern w:val="0"/>
          <w:sz w:val="32"/>
          <w:szCs w:val="32"/>
        </w:rPr>
        <w:t>四是</w:t>
      </w:r>
      <w:r>
        <w:rPr>
          <w:rFonts w:eastAsia="仿宋_GB2312"/>
          <w:color w:val="000000"/>
          <w:kern w:val="0"/>
          <w:sz w:val="32"/>
          <w:szCs w:val="32"/>
        </w:rPr>
        <w:t>指导基层开展“优质服务基层行”活动，格里坪镇卫生院、清香坪社区卫生服务中心、陶家渡社区卫生服务中心3家通过市级复核达到基本标准。</w:t>
      </w:r>
      <w:r>
        <w:rPr>
          <w:rFonts w:hint="eastAsia" w:eastAsia="仿宋_GB2312"/>
          <w:b/>
          <w:bCs/>
          <w:color w:val="000000"/>
          <w:kern w:val="0"/>
          <w:sz w:val="32"/>
          <w:szCs w:val="32"/>
        </w:rPr>
        <w:t>五是</w:t>
      </w:r>
      <w:r>
        <w:rPr>
          <w:rFonts w:hint="eastAsia" w:eastAsia="仿宋_GB2312"/>
          <w:color w:val="000000"/>
          <w:kern w:val="0"/>
          <w:sz w:val="32"/>
          <w:szCs w:val="32"/>
        </w:rPr>
        <w:t>向上级争取项目资金100万元，用于河门口社区卫生服务中心</w:t>
      </w:r>
      <w:r>
        <w:rPr>
          <w:rFonts w:eastAsia="仿宋_GB2312"/>
          <w:kern w:val="0"/>
          <w:sz w:val="32"/>
          <w:szCs w:val="32"/>
        </w:rPr>
        <w:t>建立医养结合服务中心</w:t>
      </w:r>
      <w:r>
        <w:rPr>
          <w:rFonts w:hint="eastAsia" w:eastAsia="仿宋_GB2312"/>
          <w:color w:val="000000"/>
          <w:kern w:val="0"/>
          <w:sz w:val="32"/>
          <w:szCs w:val="32"/>
        </w:rPr>
        <w:t>。</w:t>
      </w:r>
    </w:p>
    <w:p>
      <w:pPr>
        <w:adjustRightInd w:val="0"/>
        <w:spacing w:line="353" w:lineRule="auto"/>
        <w:ind w:firstLine="627" w:firstLineChars="200"/>
        <w:contextualSpacing/>
        <w:rPr>
          <w:rFonts w:ascii="仿宋_GB2312" w:eastAsia="仿宋_GB2312"/>
          <w:b/>
          <w:color w:val="000000"/>
          <w:spacing w:val="-4"/>
          <w:sz w:val="32"/>
          <w:szCs w:val="32"/>
        </w:rPr>
      </w:pPr>
      <w:r>
        <w:rPr>
          <w:rFonts w:hint="eastAsia" w:ascii="仿宋_GB2312" w:eastAsia="仿宋_GB2312"/>
          <w:b/>
          <w:color w:val="000000"/>
          <w:spacing w:val="-4"/>
          <w:sz w:val="32"/>
          <w:szCs w:val="32"/>
        </w:rPr>
        <w:t>6.完善考核促进评价指导更加科学。</w:t>
      </w:r>
    </w:p>
    <w:p>
      <w:pPr>
        <w:widowControl/>
        <w:adjustRightInd w:val="0"/>
        <w:spacing w:line="353" w:lineRule="auto"/>
        <w:ind w:firstLine="640" w:firstLineChars="200"/>
        <w:contextualSpacing/>
        <w:rPr>
          <w:rFonts w:eastAsia="仿宋_GB2312"/>
          <w:color w:val="000000"/>
          <w:kern w:val="0"/>
          <w:sz w:val="32"/>
          <w:szCs w:val="32"/>
        </w:rPr>
      </w:pPr>
      <w:r>
        <w:rPr>
          <w:rFonts w:eastAsia="仿宋_GB2312"/>
          <w:color w:val="000000"/>
          <w:kern w:val="0"/>
          <w:sz w:val="32"/>
          <w:szCs w:val="32"/>
        </w:rPr>
        <w:t>完善基层医疗卫生机构绩效评价方案，逐步建立科学化的评价机制。</w:t>
      </w:r>
      <w:r>
        <w:rPr>
          <w:rFonts w:eastAsia="仿宋_GB2312"/>
          <w:b/>
          <w:color w:val="000000"/>
          <w:kern w:val="0"/>
          <w:sz w:val="32"/>
          <w:szCs w:val="32"/>
        </w:rPr>
        <w:t>一是</w:t>
      </w:r>
      <w:r>
        <w:rPr>
          <w:rFonts w:eastAsia="仿宋_GB2312"/>
          <w:color w:val="000000"/>
          <w:kern w:val="0"/>
          <w:sz w:val="32"/>
          <w:szCs w:val="32"/>
        </w:rPr>
        <w:t>强化评价手段，确保项目质量。按规定开展项目绩效评价，每年组织2次综合评价，确保评价过程和结果的公平、公正、公开；格里坪镇卫生院和各社区卫生服务中心定期对村卫生室、社区卫生服务站进行绩效评价，加强质量管控，确保服务数量和质量。</w:t>
      </w:r>
      <w:r>
        <w:rPr>
          <w:rFonts w:eastAsia="仿宋_GB2312"/>
          <w:b/>
          <w:color w:val="000000"/>
          <w:kern w:val="0"/>
          <w:sz w:val="32"/>
          <w:szCs w:val="32"/>
        </w:rPr>
        <w:t>二是</w:t>
      </w:r>
      <w:r>
        <w:rPr>
          <w:rFonts w:eastAsia="仿宋_GB2312"/>
          <w:color w:val="000000"/>
          <w:kern w:val="0"/>
          <w:sz w:val="32"/>
          <w:szCs w:val="32"/>
        </w:rPr>
        <w:t>强化财务考评，保证项目经费。西区严格按照基本公共卫生服务项目补助资金管理办法，加大项目资金监督力度，严格执行会议审议程序和财务审议程序。同时，区卫生健康局不定期组织人员对项目资金使用情况进行专项检查，督促整改，确保项目经费专款专用。</w:t>
      </w:r>
      <w:r>
        <w:rPr>
          <w:rFonts w:eastAsia="仿宋_GB2312"/>
          <w:b/>
          <w:color w:val="000000"/>
          <w:kern w:val="0"/>
          <w:sz w:val="32"/>
          <w:szCs w:val="32"/>
        </w:rPr>
        <w:t>三是</w:t>
      </w:r>
      <w:r>
        <w:rPr>
          <w:rFonts w:eastAsia="仿宋_GB2312"/>
          <w:color w:val="000000"/>
          <w:kern w:val="0"/>
          <w:sz w:val="32"/>
          <w:szCs w:val="32"/>
        </w:rPr>
        <w:t>严格运用评价结果，突出“两个兑现”。将绩效评价结果与单位评优、评先和单位负责人的职务任免、提拔挂钩兑现；在基本公共卫生服务经费拨付时，严格按照评价结果兑现奖惩。</w:t>
      </w:r>
    </w:p>
    <w:p>
      <w:pPr>
        <w:adjustRightInd w:val="0"/>
        <w:spacing w:line="353" w:lineRule="auto"/>
        <w:ind w:firstLine="627" w:firstLineChars="200"/>
        <w:contextualSpacing/>
        <w:rPr>
          <w:rFonts w:ascii="仿宋_GB2312" w:eastAsia="仿宋_GB2312"/>
          <w:b/>
          <w:color w:val="000000"/>
          <w:spacing w:val="-4"/>
          <w:sz w:val="32"/>
          <w:szCs w:val="32"/>
        </w:rPr>
      </w:pPr>
      <w:r>
        <w:rPr>
          <w:rFonts w:hint="eastAsia" w:ascii="仿宋_GB2312" w:eastAsia="仿宋_GB2312"/>
          <w:b/>
          <w:color w:val="000000"/>
          <w:spacing w:val="-4"/>
          <w:sz w:val="32"/>
          <w:szCs w:val="32"/>
        </w:rPr>
        <w:t>7.有效提升基本公共卫生服务质量。</w:t>
      </w:r>
    </w:p>
    <w:p>
      <w:pPr>
        <w:widowControl/>
        <w:adjustRightInd w:val="0"/>
        <w:spacing w:line="353" w:lineRule="auto"/>
        <w:ind w:firstLine="643" w:firstLineChars="200"/>
        <w:contextualSpacing/>
        <w:rPr>
          <w:rFonts w:ascii="仿宋_GB2312" w:hAnsi="仿宋" w:eastAsia="仿宋_GB2312"/>
          <w:sz w:val="32"/>
          <w:szCs w:val="32"/>
        </w:rPr>
      </w:pPr>
      <w:r>
        <w:rPr>
          <w:rFonts w:eastAsia="仿宋_GB2312"/>
          <w:b/>
          <w:color w:val="000000"/>
          <w:kern w:val="0"/>
          <w:sz w:val="32"/>
          <w:szCs w:val="32"/>
        </w:rPr>
        <w:t>一是</w:t>
      </w:r>
      <w:r>
        <w:rPr>
          <w:rFonts w:eastAsia="仿宋_GB2312"/>
          <w:color w:val="000000"/>
          <w:sz w:val="32"/>
          <w:szCs w:val="32"/>
        </w:rPr>
        <w:t>切实加强组织领导。成立了促进基本公共卫生服务均等化指导中心，围绕“基层、基础、机制”三个重点，完善监督管理机制，形成区卫健局、各社区卫生服务中心（镇卫生院）、各社区卫生服务站（村卫生室）三级管理网络，推动国家基本公共卫生服务项目全面落实。</w:t>
      </w:r>
      <w:r>
        <w:rPr>
          <w:rFonts w:eastAsia="仿宋_GB2312"/>
          <w:b/>
          <w:color w:val="000000"/>
          <w:kern w:val="0"/>
          <w:sz w:val="32"/>
          <w:szCs w:val="32"/>
        </w:rPr>
        <w:t>二是</w:t>
      </w:r>
      <w:r>
        <w:rPr>
          <w:rFonts w:eastAsia="仿宋_GB2312"/>
          <w:color w:val="000000"/>
          <w:kern w:val="0"/>
          <w:sz w:val="32"/>
          <w:szCs w:val="32"/>
        </w:rPr>
        <w:t>深入开展宣传教育。通过制作宣传栏、宣传册、LED显示屏、义诊等开展形式多样宣传，提升基本公共卫生服务项目知晓率。</w:t>
      </w:r>
      <w:r>
        <w:rPr>
          <w:rFonts w:eastAsia="仿宋_GB2312"/>
          <w:b/>
          <w:color w:val="000000"/>
          <w:kern w:val="0"/>
          <w:sz w:val="32"/>
          <w:szCs w:val="32"/>
        </w:rPr>
        <w:t>三是</w:t>
      </w:r>
      <w:r>
        <w:rPr>
          <w:rFonts w:eastAsia="仿宋_GB2312"/>
          <w:color w:val="000000"/>
          <w:kern w:val="0"/>
          <w:sz w:val="32"/>
          <w:szCs w:val="32"/>
        </w:rPr>
        <w:t>完善人才队伍激励机制，</w:t>
      </w:r>
      <w:r>
        <w:rPr>
          <w:rFonts w:eastAsia="仿宋_GB2312"/>
          <w:color w:val="000000"/>
          <w:sz w:val="32"/>
          <w:szCs w:val="32"/>
        </w:rPr>
        <w:t>积极向区财政争取资金，每年拨付专项经费10万元，用于奖励基层医疗卫生机构优秀医务工作者。</w:t>
      </w:r>
      <w:r>
        <w:rPr>
          <w:rFonts w:eastAsia="仿宋_GB2312"/>
          <w:b/>
          <w:color w:val="000000"/>
          <w:kern w:val="0"/>
          <w:sz w:val="32"/>
          <w:szCs w:val="32"/>
        </w:rPr>
        <w:t>四是</w:t>
      </w:r>
      <w:r>
        <w:rPr>
          <w:rFonts w:eastAsia="仿宋_GB2312"/>
          <w:color w:val="000000"/>
          <w:kern w:val="0"/>
          <w:sz w:val="32"/>
          <w:szCs w:val="32"/>
        </w:rPr>
        <w:t>积极推进家庭医生签约服务。成立</w:t>
      </w:r>
      <w:r>
        <w:rPr>
          <w:rFonts w:hint="eastAsia" w:eastAsia="仿宋_GB2312"/>
          <w:color w:val="000000"/>
          <w:kern w:val="0"/>
          <w:sz w:val="32"/>
          <w:szCs w:val="32"/>
        </w:rPr>
        <w:t>29</w:t>
      </w:r>
      <w:r>
        <w:rPr>
          <w:rFonts w:eastAsia="仿宋_GB2312"/>
          <w:color w:val="000000"/>
          <w:kern w:val="0"/>
          <w:sz w:val="32"/>
          <w:szCs w:val="32"/>
        </w:rPr>
        <w:t>个家庭医生服务团队，配备医联体合作医院的专科医生，按照重点人群优先的原则签订家庭医生服务协议，为居民建立健康档案，提供电话咨询、入户访视、健康教育等服务。</w:t>
      </w:r>
      <w:r>
        <w:rPr>
          <w:rFonts w:eastAsia="仿宋_GB2312"/>
          <w:b/>
          <w:color w:val="000000"/>
          <w:kern w:val="0"/>
          <w:sz w:val="32"/>
          <w:szCs w:val="32"/>
        </w:rPr>
        <w:t>五是</w:t>
      </w:r>
      <w:r>
        <w:rPr>
          <w:rFonts w:eastAsia="仿宋_GB2312"/>
          <w:color w:val="000000"/>
          <w:kern w:val="0"/>
          <w:sz w:val="32"/>
          <w:szCs w:val="32"/>
        </w:rPr>
        <w:t>狠抓督导完成目标任务。加强对基层医疗卫生机构的督促指导，各基层医疗卫生机构克服新冠疫情带来的各种困难，按要求开展基本公共卫生服务项目</w:t>
      </w:r>
      <w:r>
        <w:rPr>
          <w:rFonts w:hint="eastAsia" w:eastAsia="仿宋_GB2312"/>
          <w:color w:val="000000"/>
          <w:kern w:val="0"/>
          <w:sz w:val="32"/>
          <w:szCs w:val="32"/>
        </w:rPr>
        <w:t>，</w:t>
      </w:r>
      <w:r>
        <w:rPr>
          <w:rFonts w:eastAsia="仿宋_GB2312"/>
          <w:color w:val="000000"/>
          <w:kern w:val="0"/>
          <w:sz w:val="32"/>
          <w:szCs w:val="32"/>
        </w:rPr>
        <w:t>认真</w:t>
      </w:r>
      <w:r>
        <w:rPr>
          <w:rFonts w:hint="eastAsia" w:ascii="Calibri" w:hAnsi="Calibri" w:eastAsia="仿宋_GB2312"/>
          <w:color w:val="000000"/>
          <w:kern w:val="0"/>
          <w:sz w:val="32"/>
          <w:szCs w:val="32"/>
        </w:rPr>
        <w:t>组织开展</w:t>
      </w:r>
      <w:r>
        <w:rPr>
          <w:rFonts w:ascii="Calibri" w:hAnsi="Calibri" w:eastAsia="仿宋_GB2312"/>
          <w:color w:val="000000"/>
          <w:kern w:val="0"/>
          <w:sz w:val="32"/>
          <w:szCs w:val="32"/>
        </w:rPr>
        <w:t>基本公共卫生服务项目区级绩效评价</w:t>
      </w:r>
      <w:r>
        <w:rPr>
          <w:rFonts w:hint="eastAsia" w:ascii="Calibri" w:hAnsi="Calibri" w:eastAsia="仿宋_GB2312"/>
          <w:color w:val="000000"/>
          <w:kern w:val="0"/>
          <w:sz w:val="32"/>
          <w:szCs w:val="32"/>
        </w:rPr>
        <w:t>。</w:t>
      </w:r>
    </w:p>
    <w:p>
      <w:pPr>
        <w:pStyle w:val="4"/>
        <w:spacing w:line="353" w:lineRule="auto"/>
        <w:ind w:firstLine="640" w:firstLineChars="200"/>
        <w:rPr>
          <w:rStyle w:val="27"/>
          <w:b w:val="0"/>
          <w:bCs w:val="0"/>
        </w:rPr>
      </w:pPr>
      <w:bookmarkStart w:id="20" w:name="_Toc15377200"/>
      <w:bookmarkStart w:id="21" w:name="_Toc15396601"/>
      <w:r>
        <w:rPr>
          <w:rFonts w:hint="eastAsia" w:ascii="黑体" w:eastAsia="黑体"/>
          <w:b w:val="0"/>
        </w:rPr>
        <w:t>二、</w:t>
      </w:r>
      <w:r>
        <w:rPr>
          <w:rFonts w:hint="eastAsia" w:ascii="黑体" w:hAnsi="黑体" w:eastAsia="黑体"/>
          <w:b w:val="0"/>
        </w:rPr>
        <w:t>机</w:t>
      </w:r>
      <w:r>
        <w:rPr>
          <w:rStyle w:val="27"/>
          <w:rFonts w:hint="eastAsia" w:ascii="黑体" w:hAnsi="黑体" w:eastAsia="黑体"/>
          <w:b w:val="0"/>
          <w:bCs w:val="0"/>
        </w:rPr>
        <w:t>构设置</w:t>
      </w:r>
      <w:bookmarkEnd w:id="20"/>
      <w:bookmarkEnd w:id="21"/>
    </w:p>
    <w:p>
      <w:pPr>
        <w:ind w:firstLine="640"/>
        <w:rPr>
          <w:rFonts w:ascii="仿宋" w:hAnsi="仿宋" w:eastAsia="仿宋"/>
          <w:sz w:val="32"/>
          <w:szCs w:val="32"/>
        </w:rPr>
      </w:pPr>
      <w:r>
        <w:rPr>
          <w:rFonts w:hint="eastAsia" w:ascii="仿宋" w:hAnsi="仿宋" w:eastAsia="仿宋"/>
          <w:sz w:val="32"/>
          <w:szCs w:val="32"/>
        </w:rPr>
        <w:t>攀枝花市西区公共卫生服务中心属于攀枝花市西区卫生健康局二级预算单位，下设独立编制机构0个，其中行政机构0个，参照公务员法管理事业机构0个，其他事业机构0个。攀枝花市西区清香坪社区卫生服务中心、攀枝花市西区玉泉社区卫生服务中心、攀枝花市西区河门口社区卫生服务中心、攀枝花市西区陶家渡社区卫生服务中心和攀枝花市西区格里坪镇卫生院隶属攀枝花市西区卫生健康局独立编制的事业单位。</w:t>
      </w:r>
    </w:p>
    <w:p>
      <w:pPr>
        <w:ind w:firstLine="640"/>
        <w:rPr>
          <w:rFonts w:ascii="仿宋" w:hAnsi="仿宋" w:eastAsia="仿宋"/>
          <w:sz w:val="32"/>
          <w:szCs w:val="32"/>
        </w:rPr>
      </w:pPr>
      <w:r>
        <w:rPr>
          <w:rFonts w:hint="eastAsia" w:ascii="仿宋" w:hAnsi="仿宋" w:eastAsia="仿宋"/>
          <w:sz w:val="32"/>
          <w:szCs w:val="32"/>
        </w:rPr>
        <w:t>纳入2021年度单位决算编制范围的独立编制机构包括：攀枝花市西区公共卫生服务中心。</w:t>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bookmarkStart w:id="22" w:name="_Toc15396602"/>
      <w:bookmarkStart w:id="23" w:name="_Toc15377204"/>
    </w:p>
    <w:p>
      <w:pPr>
        <w:pStyle w:val="3"/>
        <w:ind w:right="440"/>
        <w:jc w:val="center"/>
        <w:rPr>
          <w:rStyle w:val="26"/>
          <w:rFonts w:ascii="黑体" w:hAnsi="黑体" w:eastAsia="黑体"/>
          <w:b w:val="0"/>
          <w:bCs/>
        </w:rPr>
      </w:pPr>
      <w:r>
        <w:rPr>
          <w:rFonts w:hint="eastAsia" w:ascii="黑体" w:hAnsi="黑体" w:eastAsia="黑体"/>
          <w:b w:val="0"/>
        </w:rPr>
        <w:t xml:space="preserve"> 第二部分 2021年度</w:t>
      </w:r>
      <w:r>
        <w:rPr>
          <w:rStyle w:val="26"/>
          <w:rFonts w:hint="eastAsia" w:ascii="黑体" w:hAnsi="黑体" w:eastAsia="黑体"/>
          <w:b w:val="0"/>
          <w:bCs/>
        </w:rPr>
        <w:t>部门决算情况说明</w:t>
      </w:r>
      <w:bookmarkEnd w:id="22"/>
      <w:bookmarkEnd w:id="23"/>
    </w:p>
    <w:p/>
    <w:p>
      <w:pPr>
        <w:pStyle w:val="25"/>
        <w:numPr>
          <w:ilvl w:val="0"/>
          <w:numId w:val="1"/>
        </w:numPr>
        <w:spacing w:line="600" w:lineRule="exact"/>
        <w:ind w:firstLineChars="0"/>
        <w:outlineLvl w:val="1"/>
        <w:rPr>
          <w:rStyle w:val="27"/>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24"/>
      <w:bookmarkEnd w:id="25"/>
    </w:p>
    <w:p>
      <w:pPr>
        <w:spacing w:line="600" w:lineRule="exact"/>
        <w:ind w:firstLine="640" w:firstLineChars="200"/>
        <w:rPr>
          <w:rFonts w:ascii="仿宋_GB2312" w:hAnsi="仿宋" w:eastAsia="仿宋_GB2312"/>
          <w:sz w:val="32"/>
          <w:szCs w:val="32"/>
        </w:rPr>
      </w:pPr>
      <w:r>
        <w:rPr>
          <w:rFonts w:hint="eastAsia" w:ascii="仿宋" w:hAnsi="仿宋" w:eastAsia="仿宋"/>
          <w:sz w:val="32"/>
          <w:szCs w:val="32"/>
        </w:rPr>
        <w:t>2021年度收、支总计</w:t>
      </w:r>
      <w:r>
        <w:rPr>
          <w:rFonts w:ascii="仿宋" w:hAnsi="仿宋" w:eastAsia="仿宋"/>
          <w:sz w:val="32"/>
          <w:szCs w:val="32"/>
        </w:rPr>
        <w:t>2969.92</w:t>
      </w:r>
      <w:r>
        <w:rPr>
          <w:rFonts w:hint="eastAsia" w:ascii="仿宋" w:hAnsi="仿宋" w:eastAsia="仿宋"/>
          <w:sz w:val="32"/>
          <w:szCs w:val="32"/>
        </w:rPr>
        <w:t>万元。与2020年相比，收、支总计各增加</w:t>
      </w:r>
      <w:r>
        <w:rPr>
          <w:rFonts w:ascii="仿宋" w:hAnsi="仿宋" w:eastAsia="仿宋"/>
          <w:sz w:val="32"/>
          <w:szCs w:val="32"/>
        </w:rPr>
        <w:t>107.68</w:t>
      </w:r>
      <w:r>
        <w:rPr>
          <w:rFonts w:hint="eastAsia" w:ascii="仿宋" w:hAnsi="仿宋" w:eastAsia="仿宋"/>
          <w:sz w:val="32"/>
          <w:szCs w:val="32"/>
        </w:rPr>
        <w:t>万元，增长</w:t>
      </w:r>
      <w:r>
        <w:rPr>
          <w:rFonts w:ascii="仿宋" w:hAnsi="仿宋" w:eastAsia="仿宋"/>
          <w:sz w:val="32"/>
          <w:szCs w:val="32"/>
        </w:rPr>
        <w:t>3.76%</w:t>
      </w:r>
      <w:r>
        <w:rPr>
          <w:rFonts w:hint="eastAsia" w:ascii="仿宋" w:hAnsi="仿宋" w:eastAsia="仿宋"/>
          <w:sz w:val="32"/>
          <w:szCs w:val="32"/>
        </w:rPr>
        <w:t>。主要变动原因是</w:t>
      </w:r>
      <w:r>
        <w:rPr>
          <w:rFonts w:hint="eastAsia" w:ascii="仿宋_GB2312" w:hAnsi="仿宋" w:eastAsia="仿宋_GB2312"/>
          <w:sz w:val="32"/>
          <w:szCs w:val="32"/>
        </w:rPr>
        <w:t>项目经费有所增加。</w:t>
      </w:r>
    </w:p>
    <w:p>
      <w:pPr>
        <w:spacing w:line="600" w:lineRule="exact"/>
        <w:rPr>
          <w:rFonts w:ascii="仿宋" w:hAnsi="仿宋" w:eastAsia="仿宋"/>
          <w:sz w:val="32"/>
          <w:szCs w:val="32"/>
        </w:rPr>
      </w:pPr>
      <w:r>
        <w:rPr>
          <w:rFonts w:ascii="仿宋_GB2312" w:eastAsia="仿宋_GB2312"/>
          <w:sz w:val="32"/>
          <w:szCs w:val="32"/>
        </w:rPr>
        <w:drawing>
          <wp:anchor distT="0" distB="0" distL="114300" distR="114300" simplePos="0" relativeHeight="251655168" behindDoc="0" locked="0" layoutInCell="1" allowOverlap="1">
            <wp:simplePos x="0" y="0"/>
            <wp:positionH relativeFrom="column">
              <wp:posOffset>207010</wp:posOffset>
            </wp:positionH>
            <wp:positionV relativeFrom="paragraph">
              <wp:posOffset>683895</wp:posOffset>
            </wp:positionV>
            <wp:extent cx="5274310" cy="3076575"/>
            <wp:effectExtent l="0" t="0" r="2540" b="952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pStyle w:val="2"/>
        <w:spacing w:before="93"/>
      </w:pPr>
    </w:p>
    <w:p>
      <w:pPr>
        <w:pStyle w:val="25"/>
        <w:numPr>
          <w:ilvl w:val="0"/>
          <w:numId w:val="1"/>
        </w:numPr>
        <w:spacing w:line="600" w:lineRule="exact"/>
        <w:ind w:firstLineChars="0"/>
        <w:outlineLvl w:val="1"/>
        <w:rPr>
          <w:rStyle w:val="27"/>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27"/>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w:t>
      </w:r>
      <w:r>
        <w:rPr>
          <w:rFonts w:ascii="仿宋" w:hAnsi="仿宋" w:eastAsia="仿宋"/>
          <w:sz w:val="32"/>
          <w:szCs w:val="32"/>
        </w:rPr>
        <w:t>2969.92</w:t>
      </w:r>
      <w:r>
        <w:rPr>
          <w:rFonts w:hint="eastAsia" w:ascii="仿宋" w:hAnsi="仿宋" w:eastAsia="仿宋"/>
          <w:sz w:val="32"/>
          <w:szCs w:val="32"/>
        </w:rPr>
        <w:t>万元，其中：一般公共预算财政拨款收入</w:t>
      </w:r>
      <w:r>
        <w:rPr>
          <w:rFonts w:ascii="仿宋" w:hAnsi="仿宋" w:eastAsia="仿宋"/>
          <w:sz w:val="32"/>
          <w:szCs w:val="32"/>
        </w:rPr>
        <w:t>2969.89</w:t>
      </w:r>
      <w:r>
        <w:rPr>
          <w:rFonts w:hint="eastAsia" w:ascii="仿宋" w:hAnsi="仿宋" w:eastAsia="仿宋"/>
          <w:sz w:val="32"/>
          <w:szCs w:val="32"/>
        </w:rPr>
        <w:t>万元，占</w:t>
      </w:r>
      <w:r>
        <w:rPr>
          <w:rFonts w:ascii="仿宋" w:hAnsi="仿宋" w:eastAsia="仿宋"/>
          <w:sz w:val="32"/>
          <w:szCs w:val="32"/>
        </w:rPr>
        <w:t>99.99%</w:t>
      </w:r>
      <w:r>
        <w:rPr>
          <w:rFonts w:hint="eastAsia" w:ascii="仿宋" w:hAnsi="仿宋" w:eastAsia="仿宋"/>
          <w:sz w:val="32"/>
          <w:szCs w:val="32"/>
        </w:rPr>
        <w:t>；政府性基金预算财政拨款收入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；国有资本经营预算财政拨款收入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；上级补助收入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；经营收入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；附属单位上缴收入</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；其他收入</w:t>
      </w:r>
      <w:r>
        <w:rPr>
          <w:rFonts w:ascii="仿宋" w:hAnsi="仿宋" w:eastAsia="仿宋"/>
          <w:sz w:val="32"/>
          <w:szCs w:val="32"/>
        </w:rPr>
        <w:t>0.03</w:t>
      </w:r>
      <w:r>
        <w:rPr>
          <w:rFonts w:hint="eastAsia" w:ascii="仿宋" w:hAnsi="仿宋" w:eastAsia="仿宋"/>
          <w:sz w:val="32"/>
          <w:szCs w:val="32"/>
        </w:rPr>
        <w:t>万元，占</w:t>
      </w:r>
      <w:r>
        <w:rPr>
          <w:rFonts w:ascii="仿宋" w:hAnsi="仿宋" w:eastAsia="仿宋"/>
          <w:sz w:val="32"/>
          <w:szCs w:val="32"/>
        </w:rPr>
        <w:t>0.01%</w:t>
      </w:r>
      <w:r>
        <w:rPr>
          <w:rFonts w:hint="eastAsia" w:ascii="仿宋" w:hAnsi="仿宋" w:eastAsia="仿宋"/>
          <w:sz w:val="32"/>
          <w:szCs w:val="32"/>
        </w:rPr>
        <w:t>。</w:t>
      </w:r>
    </w:p>
    <w:p>
      <w:pPr>
        <w:pStyle w:val="2"/>
        <w:spacing w:before="93"/>
      </w:pPr>
    </w:p>
    <w:p>
      <w:pPr>
        <w:pStyle w:val="2"/>
        <w:spacing w:before="93"/>
      </w:pPr>
      <w:r>
        <w:drawing>
          <wp:inline distT="0" distB="0" distL="0" distR="0">
            <wp:extent cx="5274310" cy="3076575"/>
            <wp:effectExtent l="0" t="0" r="254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spacing w:before="93"/>
      </w:pPr>
    </w:p>
    <w:p>
      <w:pPr>
        <w:pStyle w:val="25"/>
        <w:numPr>
          <w:ilvl w:val="0"/>
          <w:numId w:val="1"/>
        </w:numPr>
        <w:spacing w:line="600" w:lineRule="exact"/>
        <w:ind w:firstLineChars="0"/>
        <w:outlineLvl w:val="1"/>
        <w:rPr>
          <w:rStyle w:val="27"/>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27"/>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w:t>
      </w:r>
      <w:r>
        <w:rPr>
          <w:rFonts w:ascii="仿宋" w:hAnsi="仿宋" w:eastAsia="仿宋"/>
          <w:sz w:val="32"/>
          <w:szCs w:val="32"/>
        </w:rPr>
        <w:t>2969.89</w:t>
      </w:r>
      <w:r>
        <w:rPr>
          <w:rFonts w:hint="eastAsia" w:ascii="仿宋" w:hAnsi="仿宋" w:eastAsia="仿宋"/>
          <w:sz w:val="32"/>
          <w:szCs w:val="32"/>
        </w:rPr>
        <w:t>万元，其中：基本支出</w:t>
      </w:r>
      <w:r>
        <w:rPr>
          <w:rFonts w:ascii="仿宋" w:hAnsi="仿宋" w:eastAsia="仿宋"/>
          <w:sz w:val="32"/>
          <w:szCs w:val="32"/>
        </w:rPr>
        <w:t>361.87</w:t>
      </w:r>
      <w:r>
        <w:rPr>
          <w:rFonts w:hint="eastAsia" w:ascii="仿宋" w:hAnsi="仿宋" w:eastAsia="仿宋"/>
          <w:sz w:val="32"/>
          <w:szCs w:val="32"/>
        </w:rPr>
        <w:t>万元，占</w:t>
      </w:r>
      <w:r>
        <w:rPr>
          <w:rFonts w:ascii="仿宋" w:hAnsi="仿宋" w:eastAsia="仿宋"/>
          <w:sz w:val="32"/>
          <w:szCs w:val="32"/>
        </w:rPr>
        <w:t>12 %</w:t>
      </w:r>
      <w:r>
        <w:rPr>
          <w:rFonts w:hint="eastAsia" w:ascii="仿宋" w:hAnsi="仿宋" w:eastAsia="仿宋"/>
          <w:sz w:val="32"/>
          <w:szCs w:val="32"/>
        </w:rPr>
        <w:t>；项目支出</w:t>
      </w:r>
      <w:r>
        <w:rPr>
          <w:rFonts w:ascii="仿宋" w:hAnsi="仿宋" w:eastAsia="仿宋"/>
          <w:sz w:val="32"/>
          <w:szCs w:val="32"/>
        </w:rPr>
        <w:t>2608.02</w:t>
      </w:r>
      <w:r>
        <w:rPr>
          <w:rFonts w:hint="eastAsia" w:ascii="仿宋" w:hAnsi="仿宋" w:eastAsia="仿宋"/>
          <w:sz w:val="32"/>
          <w:szCs w:val="32"/>
        </w:rPr>
        <w:t>万元，占</w:t>
      </w:r>
      <w:r>
        <w:rPr>
          <w:rFonts w:ascii="仿宋" w:hAnsi="仿宋" w:eastAsia="仿宋"/>
          <w:sz w:val="32"/>
          <w:szCs w:val="32"/>
        </w:rPr>
        <w:t>88%</w:t>
      </w:r>
      <w:r>
        <w:rPr>
          <w:rFonts w:hint="eastAsia" w:ascii="仿宋" w:hAnsi="仿宋" w:eastAsia="仿宋"/>
          <w:sz w:val="32"/>
          <w:szCs w:val="32"/>
        </w:rPr>
        <w:t>；上缴上级支出0万元，占</w:t>
      </w:r>
      <w:r>
        <w:rPr>
          <w:rFonts w:ascii="仿宋" w:hAnsi="仿宋" w:eastAsia="仿宋"/>
          <w:sz w:val="32"/>
          <w:szCs w:val="32"/>
        </w:rPr>
        <w:t>0%</w:t>
      </w:r>
      <w:r>
        <w:rPr>
          <w:rFonts w:hint="eastAsia" w:ascii="仿宋" w:hAnsi="仿宋" w:eastAsia="仿宋"/>
          <w:sz w:val="32"/>
          <w:szCs w:val="32"/>
        </w:rPr>
        <w:t>；经营支出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；对附属单位补助支出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pStyle w:val="2"/>
        <w:spacing w:before="93"/>
      </w:pPr>
    </w:p>
    <w:p>
      <w:pPr>
        <w:pStyle w:val="2"/>
        <w:spacing w:before="93"/>
      </w:pPr>
      <w:r>
        <w:drawing>
          <wp:inline distT="0" distB="0" distL="0" distR="0">
            <wp:extent cx="4738370" cy="2548890"/>
            <wp:effectExtent l="0" t="0" r="5080" b="381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spacing w:before="93"/>
      </w:pPr>
    </w:p>
    <w:p>
      <w:pPr>
        <w:spacing w:line="600" w:lineRule="exact"/>
        <w:ind w:firstLine="640" w:firstLineChars="200"/>
        <w:outlineLvl w:val="1"/>
        <w:rPr>
          <w:rStyle w:val="27"/>
          <w:rFonts w:ascii="黑体" w:hAnsi="黑体" w:eastAsia="黑体"/>
          <w:b w:val="0"/>
        </w:rPr>
      </w:pPr>
      <w:bookmarkStart w:id="30" w:name="_Toc15396606"/>
      <w:bookmarkStart w:id="31"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w:t>
      </w:r>
      <w:r>
        <w:rPr>
          <w:rFonts w:ascii="仿宋" w:hAnsi="仿宋" w:eastAsia="仿宋"/>
          <w:sz w:val="32"/>
          <w:szCs w:val="32"/>
        </w:rPr>
        <w:t>2969.89</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20年相比，财政拨款收、支总计各增加</w:t>
      </w:r>
      <w:r>
        <w:rPr>
          <w:rFonts w:ascii="仿宋" w:hAnsi="仿宋" w:eastAsia="仿宋"/>
          <w:sz w:val="32"/>
          <w:szCs w:val="32"/>
        </w:rPr>
        <w:t>108.13</w:t>
      </w:r>
      <w:r>
        <w:rPr>
          <w:rFonts w:hint="eastAsia" w:ascii="仿宋" w:hAnsi="仿宋" w:eastAsia="仿宋"/>
          <w:sz w:val="32"/>
          <w:szCs w:val="32"/>
        </w:rPr>
        <w:t>万元，增长</w:t>
      </w:r>
      <w:r>
        <w:rPr>
          <w:rFonts w:ascii="仿宋" w:hAnsi="仿宋" w:eastAsia="仿宋"/>
          <w:sz w:val="32"/>
          <w:szCs w:val="32"/>
        </w:rPr>
        <w:t>3.78%</w:t>
      </w:r>
      <w:r>
        <w:rPr>
          <w:rFonts w:hint="eastAsia" w:ascii="仿宋" w:hAnsi="仿宋" w:eastAsia="仿宋"/>
          <w:sz w:val="32"/>
          <w:szCs w:val="32"/>
        </w:rPr>
        <w:t>。主要变动原因是</w:t>
      </w:r>
      <w:r>
        <w:rPr>
          <w:rFonts w:hint="eastAsia" w:ascii="仿宋_GB2312" w:hAnsi="仿宋" w:eastAsia="仿宋_GB2312"/>
          <w:sz w:val="32"/>
          <w:szCs w:val="32"/>
        </w:rPr>
        <w:t>项目经费有所增加。</w:t>
      </w:r>
    </w:p>
    <w:p>
      <w:pPr>
        <w:jc w:val="center"/>
        <w:rPr>
          <w:rFonts w:ascii="仿宋_GB2312" w:eastAsia="仿宋_GB2312"/>
          <w:sz w:val="32"/>
          <w:szCs w:val="32"/>
        </w:rPr>
      </w:pPr>
    </w:p>
    <w:p>
      <w:pPr>
        <w:pStyle w:val="2"/>
        <w:spacing w:before="93"/>
      </w:pPr>
      <w:r>
        <w:drawing>
          <wp:anchor distT="0" distB="0" distL="114300" distR="114300" simplePos="0" relativeHeight="251658240" behindDoc="0" locked="0" layoutInCell="1" allowOverlap="1">
            <wp:simplePos x="0" y="0"/>
            <wp:positionH relativeFrom="column">
              <wp:posOffset>583565</wp:posOffset>
            </wp:positionH>
            <wp:positionV relativeFrom="paragraph">
              <wp:posOffset>50165</wp:posOffset>
            </wp:positionV>
            <wp:extent cx="4303395" cy="2160905"/>
            <wp:effectExtent l="0" t="0" r="1905" b="1079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spacing w:before="93"/>
      </w:pPr>
    </w:p>
    <w:p>
      <w:pPr>
        <w:spacing w:line="600" w:lineRule="exact"/>
        <w:ind w:firstLine="640" w:firstLineChars="200"/>
        <w:outlineLvl w:val="1"/>
        <w:rPr>
          <w:rStyle w:val="27"/>
          <w:rFonts w:ascii="黑体" w:hAnsi="黑体" w:eastAsia="黑体"/>
          <w:b w:val="0"/>
        </w:rPr>
      </w:pPr>
      <w:bookmarkStart w:id="32" w:name="_Toc15377209"/>
      <w:bookmarkStart w:id="33" w:name="_Toc15396607"/>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楷体_GB2312" w:hAnsi="仿宋" w:eastAsia="楷体_GB2312"/>
          <w:sz w:val="32"/>
          <w:szCs w:val="32"/>
        </w:rPr>
      </w:pPr>
      <w:bookmarkStart w:id="34" w:name="_Toc15377210"/>
      <w:r>
        <w:rPr>
          <w:rFonts w:hint="eastAsia" w:ascii="楷体_GB2312" w:hAnsi="仿宋" w:eastAsia="楷体_GB2312"/>
          <w:sz w:val="32"/>
          <w:szCs w:val="32"/>
        </w:rPr>
        <w:t>（一）一般公共预算财政拨款支出决算总体情况</w:t>
      </w:r>
      <w:bookmarkEnd w:id="34"/>
      <w:r>
        <w:rPr>
          <w:rFonts w:hint="eastAsia" w:ascii="楷体_GB2312" w:hAnsi="仿宋" w:eastAsia="楷体_GB2312"/>
          <w:sz w:val="32"/>
          <w:szCs w:val="32"/>
        </w:rPr>
        <w:t>。</w:t>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2969.89</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w:t>
      </w:r>
      <w:r>
        <w:rPr>
          <w:rFonts w:ascii="仿宋" w:hAnsi="仿宋" w:eastAsia="仿宋"/>
          <w:sz w:val="32"/>
          <w:szCs w:val="32"/>
        </w:rPr>
        <w:t>209.32</w:t>
      </w:r>
      <w:r>
        <w:rPr>
          <w:rFonts w:hint="eastAsia" w:ascii="仿宋" w:hAnsi="仿宋" w:eastAsia="仿宋"/>
          <w:sz w:val="32"/>
          <w:szCs w:val="32"/>
        </w:rPr>
        <w:t>万元，增长</w:t>
      </w:r>
      <w:r>
        <w:rPr>
          <w:rFonts w:ascii="仿宋" w:hAnsi="仿宋" w:eastAsia="仿宋"/>
          <w:sz w:val="32"/>
          <w:szCs w:val="32"/>
        </w:rPr>
        <w:t>7.58%</w:t>
      </w:r>
      <w:r>
        <w:rPr>
          <w:rFonts w:hint="eastAsia" w:ascii="仿宋" w:hAnsi="仿宋" w:eastAsia="仿宋"/>
          <w:sz w:val="32"/>
          <w:szCs w:val="32"/>
        </w:rPr>
        <w:t>。主要变动原因是</w:t>
      </w:r>
      <w:r>
        <w:rPr>
          <w:rFonts w:hint="eastAsia" w:ascii="仿宋_GB2312" w:hAnsi="仿宋" w:eastAsia="仿宋_GB2312"/>
          <w:sz w:val="32"/>
          <w:szCs w:val="32"/>
        </w:rPr>
        <w:t>项目经费有所增加。</w:t>
      </w:r>
    </w:p>
    <w:p>
      <w:pPr>
        <w:spacing w:line="600" w:lineRule="exact"/>
        <w:ind w:firstLine="640" w:firstLineChars="200"/>
        <w:rPr>
          <w:rFonts w:ascii="仿宋" w:hAnsi="仿宋" w:eastAsia="仿宋"/>
          <w:sz w:val="32"/>
          <w:szCs w:val="32"/>
        </w:rPr>
      </w:pPr>
      <w:r>
        <w:rPr>
          <w:rFonts w:ascii="仿宋" w:hAnsi="仿宋" w:eastAsia="仿宋"/>
          <w:sz w:val="32"/>
          <w:szCs w:val="32"/>
        </w:rPr>
        <w:drawing>
          <wp:anchor distT="0" distB="0" distL="114300" distR="114300" simplePos="0" relativeHeight="251656192" behindDoc="1" locked="0" layoutInCell="1" allowOverlap="1">
            <wp:simplePos x="0" y="0"/>
            <wp:positionH relativeFrom="column">
              <wp:posOffset>685800</wp:posOffset>
            </wp:positionH>
            <wp:positionV relativeFrom="paragraph">
              <wp:posOffset>78105</wp:posOffset>
            </wp:positionV>
            <wp:extent cx="4391025" cy="2370455"/>
            <wp:effectExtent l="0" t="0" r="9525" b="10795"/>
            <wp:wrapTight wrapText="bothSides">
              <wp:wrapPolygon>
                <wp:start x="0" y="0"/>
                <wp:lineTo x="0" y="21525"/>
                <wp:lineTo x="21553" y="21525"/>
                <wp:lineTo x="21553" y="0"/>
                <wp:lineTo x="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ind w:firstLine="640" w:firstLineChars="200"/>
        <w:outlineLvl w:val="2"/>
        <w:rPr>
          <w:rFonts w:ascii="楷体_GB2312" w:hAnsi="仿宋" w:eastAsia="楷体_GB2312"/>
          <w:sz w:val="32"/>
          <w:szCs w:val="32"/>
        </w:rPr>
      </w:pPr>
      <w:bookmarkStart w:id="35" w:name="_Toc15377211"/>
      <w:r>
        <w:rPr>
          <w:rFonts w:hint="eastAsia" w:ascii="楷体_GB2312" w:hAnsi="仿宋" w:eastAsia="楷体_GB2312"/>
          <w:sz w:val="32"/>
          <w:szCs w:val="32"/>
        </w:rPr>
        <w:t>（二）一般公共预算财政拨款支出决算结构情况</w:t>
      </w:r>
      <w:bookmarkEnd w:id="35"/>
      <w:r>
        <w:rPr>
          <w:rFonts w:hint="eastAsia" w:ascii="楷体_GB2312" w:hAnsi="仿宋" w:eastAsia="楷体_GB2312"/>
          <w:sz w:val="32"/>
          <w:szCs w:val="32"/>
        </w:rPr>
        <w:t>。</w:t>
      </w:r>
    </w:p>
    <w:p>
      <w:pPr>
        <w:spacing w:line="600" w:lineRule="exact"/>
        <w:ind w:firstLine="640"/>
        <w:rPr>
          <w:rFonts w:ascii="仿宋" w:hAnsi="仿宋" w:eastAsia="仿宋"/>
          <w:color w:val="000000"/>
          <w:sz w:val="32"/>
          <w:szCs w:val="32"/>
        </w:rPr>
      </w:pPr>
      <w:r>
        <w:rPr>
          <w:rFonts w:ascii="仿宋" w:hAnsi="仿宋" w:eastAsia="仿宋"/>
          <w:sz w:val="32"/>
          <w:szCs w:val="32"/>
        </w:rPr>
        <w:drawing>
          <wp:anchor distT="0" distB="0" distL="114300" distR="114300" simplePos="0" relativeHeight="251660288" behindDoc="1" locked="0" layoutInCell="1" allowOverlap="1">
            <wp:simplePos x="0" y="0"/>
            <wp:positionH relativeFrom="column">
              <wp:posOffset>228600</wp:posOffset>
            </wp:positionH>
            <wp:positionV relativeFrom="paragraph">
              <wp:posOffset>1685290</wp:posOffset>
            </wp:positionV>
            <wp:extent cx="4914900" cy="2333625"/>
            <wp:effectExtent l="19050" t="0" r="19050" b="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2969.89</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color w:val="000000"/>
          <w:sz w:val="32"/>
          <w:szCs w:val="32"/>
        </w:rPr>
        <w:t xml:space="preserve"> 社会保障和就业</w:t>
      </w:r>
      <w:r>
        <w:rPr>
          <w:rFonts w:hint="eastAsia" w:ascii="仿宋" w:hAnsi="仿宋" w:eastAsia="仿宋"/>
          <w:color w:val="000000"/>
          <w:sz w:val="32"/>
          <w:szCs w:val="32"/>
        </w:rPr>
        <w:t>支出</w:t>
      </w:r>
      <w:r>
        <w:rPr>
          <w:rFonts w:ascii="仿宋" w:hAnsi="仿宋" w:eastAsia="仿宋"/>
          <w:color w:val="000000"/>
          <w:sz w:val="32"/>
          <w:szCs w:val="32"/>
        </w:rPr>
        <w:t>37.61</w:t>
      </w:r>
      <w:r>
        <w:rPr>
          <w:rFonts w:hint="eastAsia" w:ascii="仿宋" w:hAnsi="仿宋" w:eastAsia="仿宋"/>
          <w:color w:val="000000"/>
          <w:sz w:val="32"/>
          <w:szCs w:val="32"/>
        </w:rPr>
        <w:t>万元，占</w:t>
      </w:r>
      <w:r>
        <w:rPr>
          <w:rFonts w:ascii="仿宋" w:hAnsi="仿宋" w:eastAsia="仿宋"/>
          <w:color w:val="000000"/>
          <w:sz w:val="32"/>
          <w:szCs w:val="32"/>
        </w:rPr>
        <w:t>1.27%</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ascii="仿宋" w:hAnsi="仿宋" w:eastAsia="仿宋"/>
          <w:color w:val="000000"/>
          <w:sz w:val="32"/>
          <w:szCs w:val="32"/>
        </w:rPr>
        <w:t>2895.93</w:t>
      </w:r>
      <w:r>
        <w:rPr>
          <w:rFonts w:hint="eastAsia" w:ascii="仿宋" w:hAnsi="仿宋" w:eastAsia="仿宋"/>
          <w:color w:val="000000"/>
          <w:sz w:val="32"/>
          <w:szCs w:val="32"/>
        </w:rPr>
        <w:t>万元，占</w:t>
      </w:r>
      <w:r>
        <w:rPr>
          <w:rFonts w:ascii="仿宋" w:hAnsi="仿宋" w:eastAsia="仿宋"/>
          <w:color w:val="000000"/>
          <w:sz w:val="32"/>
          <w:szCs w:val="32"/>
        </w:rPr>
        <w:t>97.51%</w:t>
      </w:r>
      <w:r>
        <w:rPr>
          <w:rFonts w:hint="eastAsia" w:ascii="仿宋" w:hAnsi="仿宋" w:eastAsia="仿宋"/>
          <w:color w:val="000000"/>
          <w:sz w:val="32"/>
          <w:szCs w:val="32"/>
        </w:rPr>
        <w:t>；</w:t>
      </w:r>
      <w:r>
        <w:rPr>
          <w:rFonts w:hint="eastAsia" w:ascii="仿宋" w:hAnsi="仿宋" w:eastAsia="仿宋"/>
          <w:b/>
          <w:color w:val="000000"/>
          <w:sz w:val="32"/>
          <w:szCs w:val="32"/>
        </w:rPr>
        <w:t>住房保障支出</w:t>
      </w:r>
      <w:r>
        <w:rPr>
          <w:rFonts w:ascii="仿宋" w:hAnsi="仿宋" w:eastAsia="仿宋"/>
          <w:color w:val="000000"/>
          <w:sz w:val="32"/>
          <w:szCs w:val="32"/>
        </w:rPr>
        <w:t>36.36</w:t>
      </w:r>
      <w:r>
        <w:rPr>
          <w:rFonts w:hint="eastAsia" w:ascii="仿宋" w:hAnsi="仿宋" w:eastAsia="仿宋"/>
          <w:color w:val="000000"/>
          <w:sz w:val="32"/>
          <w:szCs w:val="32"/>
        </w:rPr>
        <w:t>万元，占</w:t>
      </w:r>
      <w:r>
        <w:rPr>
          <w:rFonts w:ascii="仿宋" w:hAnsi="仿宋" w:eastAsia="仿宋"/>
          <w:color w:val="000000"/>
          <w:sz w:val="32"/>
          <w:szCs w:val="32"/>
        </w:rPr>
        <w:t>1.22%</w:t>
      </w:r>
      <w:r>
        <w:rPr>
          <w:rFonts w:hint="eastAsia" w:ascii="仿宋" w:hAnsi="仿宋" w:eastAsia="仿宋"/>
          <w:color w:val="000000"/>
          <w:sz w:val="32"/>
          <w:szCs w:val="32"/>
        </w:rPr>
        <w:t>。</w:t>
      </w:r>
    </w:p>
    <w:p>
      <w:pPr>
        <w:spacing w:line="600" w:lineRule="exact"/>
        <w:ind w:firstLine="640" w:firstLineChars="200"/>
        <w:outlineLvl w:val="2"/>
        <w:rPr>
          <w:rFonts w:ascii="楷体_GB2312" w:hAnsi="仿宋" w:eastAsia="楷体_GB2312"/>
          <w:sz w:val="32"/>
          <w:szCs w:val="32"/>
        </w:rPr>
      </w:pPr>
      <w:bookmarkStart w:id="36" w:name="_Toc15377212"/>
    </w:p>
    <w:p>
      <w:pPr>
        <w:spacing w:line="600" w:lineRule="exact"/>
        <w:ind w:firstLine="640" w:firstLineChars="200"/>
        <w:outlineLvl w:val="2"/>
        <w:rPr>
          <w:rFonts w:ascii="楷体_GB2312" w:hAnsi="仿宋" w:eastAsia="楷体_GB2312"/>
          <w:sz w:val="32"/>
          <w:szCs w:val="32"/>
        </w:rPr>
      </w:pPr>
      <w:r>
        <w:rPr>
          <w:rFonts w:hint="eastAsia" w:ascii="楷体_GB2312" w:hAnsi="仿宋" w:eastAsia="楷体_GB2312"/>
          <w:sz w:val="32"/>
          <w:szCs w:val="32"/>
        </w:rPr>
        <w:t>（三）一般公共预算财政拨款支出决算具体情况</w:t>
      </w:r>
      <w:bookmarkEnd w:id="36"/>
      <w:r>
        <w:rPr>
          <w:rFonts w:hint="eastAsia" w:ascii="楷体_GB2312" w:hAnsi="仿宋" w:eastAsia="楷体_GB2312"/>
          <w:sz w:val="32"/>
          <w:szCs w:val="32"/>
        </w:rPr>
        <w:t>。</w:t>
      </w:r>
    </w:p>
    <w:p>
      <w:pPr>
        <w:spacing w:line="600" w:lineRule="exact"/>
        <w:ind w:firstLine="640" w:firstLineChars="200"/>
        <w:outlineLvl w:val="2"/>
        <w:rPr>
          <w:rStyle w:val="15"/>
          <w:bCs/>
        </w:rPr>
      </w:pPr>
      <w:bookmarkStart w:id="37" w:name="_Toc15377213"/>
      <w:bookmarkStart w:id="38" w:name="_Toc15377444"/>
      <w:bookmarkStart w:id="39" w:name="_Toc15378460"/>
      <w:r>
        <w:rPr>
          <w:rStyle w:val="15"/>
          <w:rFonts w:hint="eastAsia" w:ascii="仿宋" w:hAnsi="仿宋" w:eastAsia="仿宋"/>
          <w:b w:val="0"/>
          <w:bCs/>
          <w:sz w:val="32"/>
          <w:szCs w:val="32"/>
        </w:rPr>
        <w:t>2021年一般公共预算支出决算数为</w:t>
      </w:r>
      <w:r>
        <w:rPr>
          <w:rStyle w:val="15"/>
          <w:rFonts w:ascii="仿宋" w:hAnsi="仿宋" w:eastAsia="仿宋"/>
          <w:b w:val="0"/>
          <w:bCs/>
          <w:sz w:val="32"/>
          <w:szCs w:val="32"/>
        </w:rPr>
        <w:t>2969.89</w:t>
      </w:r>
      <w:r>
        <w:rPr>
          <w:rStyle w:val="15"/>
          <w:rFonts w:hint="eastAsia" w:ascii="仿宋" w:hAnsi="仿宋" w:eastAsia="仿宋"/>
          <w:b w:val="0"/>
          <w:bCs/>
          <w:sz w:val="32"/>
          <w:szCs w:val="32"/>
        </w:rPr>
        <w:t>，完成预算100%。其中：</w:t>
      </w:r>
      <w:bookmarkEnd w:id="37"/>
      <w:bookmarkEnd w:id="38"/>
      <w:bookmarkEnd w:id="39"/>
    </w:p>
    <w:p>
      <w:pPr>
        <w:spacing w:line="600" w:lineRule="exact"/>
        <w:ind w:firstLine="643" w:firstLineChars="200"/>
        <w:rPr>
          <w:rStyle w:val="15"/>
          <w:b w:val="0"/>
          <w:bCs/>
        </w:rPr>
      </w:pPr>
      <w:r>
        <w:rPr>
          <w:rStyle w:val="15"/>
          <w:rFonts w:ascii="仿宋" w:hAnsi="仿宋" w:eastAsia="仿宋"/>
          <w:bCs/>
          <w:sz w:val="32"/>
          <w:szCs w:val="32"/>
        </w:rPr>
        <w:t>1.</w:t>
      </w:r>
      <w:r>
        <w:rPr>
          <w:rStyle w:val="15"/>
          <w:rFonts w:hint="eastAsia" w:ascii="仿宋" w:hAnsi="仿宋" w:eastAsia="仿宋"/>
          <w:bCs/>
          <w:sz w:val="32"/>
          <w:szCs w:val="32"/>
        </w:rPr>
        <w:t>社会保障和就业（类）行政事业</w:t>
      </w:r>
      <w:r>
        <w:rPr>
          <w:rStyle w:val="15"/>
          <w:rFonts w:ascii="仿宋" w:hAnsi="仿宋" w:eastAsia="仿宋"/>
          <w:bCs/>
          <w:sz w:val="32"/>
          <w:szCs w:val="32"/>
        </w:rPr>
        <w:t>单位养老支出</w:t>
      </w:r>
      <w:r>
        <w:rPr>
          <w:rStyle w:val="15"/>
          <w:rFonts w:hint="eastAsia" w:ascii="仿宋" w:hAnsi="仿宋" w:eastAsia="仿宋"/>
          <w:bCs/>
          <w:sz w:val="32"/>
          <w:szCs w:val="32"/>
        </w:rPr>
        <w:t>（款）</w:t>
      </w:r>
      <w:r>
        <w:rPr>
          <w:rStyle w:val="15"/>
          <w:rFonts w:ascii="仿宋" w:hAnsi="仿宋" w:eastAsia="仿宋"/>
          <w:bCs/>
          <w:sz w:val="32"/>
          <w:szCs w:val="32"/>
        </w:rPr>
        <w:t>事业单位离退休</w:t>
      </w:r>
      <w:r>
        <w:rPr>
          <w:rStyle w:val="15"/>
          <w:rFonts w:hint="eastAsia" w:ascii="仿宋" w:hAnsi="仿宋" w:eastAsia="仿宋"/>
          <w:bCs/>
          <w:sz w:val="32"/>
          <w:szCs w:val="32"/>
        </w:rPr>
        <w:t>（项）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4.81</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r>
        <w:rPr>
          <w:rStyle w:val="15"/>
          <w:rFonts w:hint="eastAsia" w:ascii="仿宋" w:hAnsi="仿宋" w:eastAsia="仿宋"/>
          <w:bCs/>
          <w:sz w:val="32"/>
          <w:szCs w:val="32"/>
        </w:rPr>
        <w:t>机关事业单位基本养老保险缴费支出（项）：</w:t>
      </w:r>
      <w:r>
        <w:rPr>
          <w:rStyle w:val="15"/>
          <w:rFonts w:hint="eastAsia" w:ascii="仿宋" w:hAnsi="仿宋" w:eastAsia="仿宋"/>
          <w:b w:val="0"/>
          <w:bCs/>
          <w:sz w:val="32"/>
          <w:szCs w:val="32"/>
        </w:rPr>
        <w:t>支出决算为</w:t>
      </w:r>
      <w:r>
        <w:rPr>
          <w:rStyle w:val="15"/>
          <w:rFonts w:ascii="仿宋" w:hAnsi="仿宋" w:eastAsia="仿宋"/>
          <w:b w:val="0"/>
          <w:bCs/>
          <w:sz w:val="32"/>
          <w:szCs w:val="32"/>
        </w:rPr>
        <w:t>30.31</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。机关事业单位职业年金缴费支出（项）：支出决算数为2</w:t>
      </w:r>
      <w:r>
        <w:rPr>
          <w:rStyle w:val="15"/>
          <w:rFonts w:ascii="仿宋" w:hAnsi="仿宋" w:eastAsia="仿宋"/>
          <w:b w:val="0"/>
          <w:bCs/>
          <w:sz w:val="32"/>
          <w:szCs w:val="32"/>
        </w:rPr>
        <w:t>.49万元</w:t>
      </w:r>
      <w:r>
        <w:rPr>
          <w:rStyle w:val="15"/>
          <w:rFonts w:hint="eastAsia" w:ascii="仿宋" w:hAnsi="仿宋" w:eastAsia="仿宋"/>
          <w:b w:val="0"/>
          <w:bCs/>
          <w:sz w:val="32"/>
          <w:szCs w:val="32"/>
        </w:rPr>
        <w:t>，</w:t>
      </w:r>
      <w:r>
        <w:rPr>
          <w:rStyle w:val="15"/>
          <w:rFonts w:ascii="仿宋" w:hAnsi="仿宋" w:eastAsia="仿宋"/>
          <w:b w:val="0"/>
          <w:bCs/>
          <w:sz w:val="32"/>
          <w:szCs w:val="32"/>
        </w:rPr>
        <w:t>完成预算</w:t>
      </w:r>
      <w:r>
        <w:rPr>
          <w:rStyle w:val="15"/>
          <w:rFonts w:hint="eastAsia" w:ascii="仿宋" w:hAnsi="仿宋" w:eastAsia="仿宋"/>
          <w:b w:val="0"/>
          <w:bCs/>
          <w:sz w:val="32"/>
          <w:szCs w:val="32"/>
        </w:rPr>
        <w:t>1</w:t>
      </w:r>
      <w:r>
        <w:rPr>
          <w:rStyle w:val="15"/>
          <w:rFonts w:ascii="仿宋" w:hAnsi="仿宋" w:eastAsia="仿宋"/>
          <w:b w:val="0"/>
          <w:bCs/>
          <w:sz w:val="32"/>
          <w:szCs w:val="32"/>
        </w:rPr>
        <w:t>00</w:t>
      </w:r>
      <w:r>
        <w:rPr>
          <w:rStyle w:val="15"/>
          <w:rFonts w:hint="eastAsia" w:ascii="仿宋" w:hAnsi="仿宋" w:eastAsia="仿宋"/>
          <w:b w:val="0"/>
          <w:bCs/>
          <w:sz w:val="32"/>
          <w:szCs w:val="32"/>
        </w:rPr>
        <w:t>%</w:t>
      </w:r>
    </w:p>
    <w:p>
      <w:pPr>
        <w:spacing w:line="600" w:lineRule="exact"/>
        <w:ind w:firstLine="643" w:firstLineChars="200"/>
        <w:rPr>
          <w:rStyle w:val="15"/>
          <w:rFonts w:ascii="仿宋" w:hAnsi="仿宋" w:eastAsia="仿宋"/>
          <w:b w:val="0"/>
          <w:bCs/>
          <w:sz w:val="32"/>
          <w:szCs w:val="32"/>
        </w:rPr>
      </w:pPr>
      <w:r>
        <w:rPr>
          <w:rStyle w:val="15"/>
          <w:rFonts w:ascii="仿宋" w:hAnsi="仿宋" w:eastAsia="仿宋"/>
          <w:bCs/>
          <w:sz w:val="32"/>
          <w:szCs w:val="32"/>
        </w:rPr>
        <w:t>2.</w:t>
      </w:r>
      <w:r>
        <w:rPr>
          <w:rFonts w:hint="eastAsia" w:ascii="仿宋" w:hAnsi="仿宋" w:eastAsia="仿宋"/>
          <w:b/>
          <w:bCs/>
          <w:sz w:val="32"/>
          <w:szCs w:val="32"/>
        </w:rPr>
        <w:t>卫生健康支出</w:t>
      </w:r>
      <w:r>
        <w:rPr>
          <w:rStyle w:val="15"/>
          <w:rFonts w:hint="eastAsia" w:ascii="仿宋" w:hAnsi="仿宋" w:eastAsia="仿宋"/>
          <w:bCs/>
          <w:sz w:val="32"/>
          <w:szCs w:val="32"/>
        </w:rPr>
        <w:t>（类）基层</w:t>
      </w:r>
      <w:r>
        <w:rPr>
          <w:rStyle w:val="15"/>
          <w:rFonts w:ascii="仿宋" w:hAnsi="仿宋" w:eastAsia="仿宋"/>
          <w:bCs/>
          <w:sz w:val="32"/>
          <w:szCs w:val="32"/>
        </w:rPr>
        <w:t>医疗卫生机构</w:t>
      </w:r>
      <w:r>
        <w:rPr>
          <w:rStyle w:val="15"/>
          <w:rFonts w:hint="eastAsia" w:ascii="仿宋" w:hAnsi="仿宋" w:eastAsia="仿宋"/>
          <w:bCs/>
          <w:sz w:val="32"/>
          <w:szCs w:val="32"/>
        </w:rPr>
        <w:t>（款）</w:t>
      </w:r>
      <w:r>
        <w:rPr>
          <w:rStyle w:val="15"/>
          <w:rFonts w:ascii="仿宋" w:hAnsi="仿宋" w:eastAsia="仿宋"/>
          <w:bCs/>
          <w:sz w:val="32"/>
          <w:szCs w:val="32"/>
        </w:rPr>
        <w:t>其他基层医疗卫生机构支出</w:t>
      </w:r>
      <w:r>
        <w:rPr>
          <w:rStyle w:val="15"/>
          <w:rFonts w:hint="eastAsia" w:ascii="仿宋" w:hAnsi="仿宋" w:eastAsia="仿宋"/>
          <w:bCs/>
          <w:sz w:val="32"/>
          <w:szCs w:val="32"/>
        </w:rPr>
        <w:t>（项）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ascii="仿宋" w:hAnsi="仿宋" w:eastAsia="仿宋"/>
          <w:b w:val="0"/>
          <w:bCs/>
          <w:sz w:val="32"/>
          <w:szCs w:val="32"/>
        </w:rPr>
        <w:t>1467.77</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r>
        <w:rPr>
          <w:rStyle w:val="15"/>
          <w:rFonts w:hint="eastAsia" w:ascii="仿宋" w:hAnsi="仿宋" w:eastAsia="仿宋"/>
          <w:bCs/>
          <w:sz w:val="32"/>
          <w:szCs w:val="32"/>
        </w:rPr>
        <w:t>公共卫生（款）其他专业公共卫生机构（项）</w:t>
      </w:r>
      <w:r>
        <w:rPr>
          <w:rStyle w:val="15"/>
          <w:rFonts w:hint="eastAsia" w:ascii="仿宋" w:hAnsi="仿宋" w:eastAsia="仿宋"/>
          <w:b w:val="0"/>
          <w:bCs/>
          <w:sz w:val="32"/>
          <w:szCs w:val="32"/>
        </w:rPr>
        <w:t>支出决算为</w:t>
      </w:r>
      <w:r>
        <w:rPr>
          <w:rStyle w:val="15"/>
          <w:rFonts w:ascii="仿宋" w:hAnsi="仿宋" w:eastAsia="仿宋"/>
          <w:b w:val="0"/>
          <w:bCs/>
          <w:sz w:val="32"/>
          <w:szCs w:val="32"/>
        </w:rPr>
        <w:t>264.21</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r>
        <w:rPr>
          <w:rStyle w:val="15"/>
          <w:rFonts w:hint="eastAsia" w:ascii="仿宋" w:hAnsi="仿宋" w:eastAsia="仿宋"/>
          <w:bCs/>
          <w:sz w:val="32"/>
          <w:szCs w:val="32"/>
        </w:rPr>
        <w:t>基本公共卫生服务（项）</w:t>
      </w:r>
      <w:r>
        <w:rPr>
          <w:rStyle w:val="15"/>
          <w:rFonts w:hint="eastAsia" w:ascii="仿宋" w:hAnsi="仿宋" w:eastAsia="仿宋"/>
          <w:b w:val="0"/>
          <w:bCs/>
          <w:sz w:val="32"/>
          <w:szCs w:val="32"/>
        </w:rPr>
        <w:t>支出决算为</w:t>
      </w:r>
      <w:r>
        <w:rPr>
          <w:rStyle w:val="15"/>
          <w:rFonts w:ascii="仿宋" w:hAnsi="仿宋" w:eastAsia="仿宋"/>
          <w:b w:val="0"/>
          <w:bCs/>
          <w:sz w:val="32"/>
          <w:szCs w:val="32"/>
        </w:rPr>
        <w:t>1084.28</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r>
        <w:rPr>
          <w:rStyle w:val="15"/>
          <w:rFonts w:hint="eastAsia" w:ascii="仿宋" w:hAnsi="仿宋" w:eastAsia="仿宋"/>
          <w:bCs/>
          <w:sz w:val="32"/>
          <w:szCs w:val="32"/>
        </w:rPr>
        <w:t>重大公共卫生服务（项）</w:t>
      </w:r>
      <w:r>
        <w:rPr>
          <w:rStyle w:val="15"/>
          <w:rFonts w:hint="eastAsia" w:ascii="仿宋" w:hAnsi="仿宋" w:eastAsia="仿宋"/>
          <w:b w:val="0"/>
          <w:bCs/>
          <w:sz w:val="32"/>
          <w:szCs w:val="32"/>
        </w:rPr>
        <w:t>支出决算为</w:t>
      </w:r>
      <w:r>
        <w:rPr>
          <w:rStyle w:val="15"/>
          <w:rFonts w:ascii="仿宋" w:hAnsi="仿宋" w:eastAsia="仿宋"/>
          <w:b w:val="0"/>
          <w:bCs/>
          <w:sz w:val="32"/>
          <w:szCs w:val="32"/>
        </w:rPr>
        <w:t>1.4</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r>
        <w:rPr>
          <w:rStyle w:val="15"/>
          <w:rFonts w:hint="eastAsia" w:ascii="仿宋" w:hAnsi="仿宋" w:eastAsia="仿宋"/>
          <w:bCs/>
          <w:sz w:val="32"/>
          <w:szCs w:val="32"/>
        </w:rPr>
        <w:t>中医药（款）中医（民族医）药专项（项）</w:t>
      </w:r>
      <w:r>
        <w:rPr>
          <w:rStyle w:val="15"/>
          <w:rFonts w:hint="eastAsia" w:ascii="仿宋" w:hAnsi="仿宋" w:eastAsia="仿宋"/>
          <w:b w:val="0"/>
          <w:bCs/>
          <w:sz w:val="32"/>
          <w:szCs w:val="32"/>
        </w:rPr>
        <w:t>支出决算为</w:t>
      </w:r>
      <w:r>
        <w:rPr>
          <w:rStyle w:val="15"/>
          <w:rFonts w:ascii="仿宋" w:hAnsi="仿宋" w:eastAsia="仿宋"/>
          <w:b w:val="0"/>
          <w:bCs/>
          <w:sz w:val="32"/>
          <w:szCs w:val="32"/>
        </w:rPr>
        <w:t>3</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r>
        <w:rPr>
          <w:rStyle w:val="15"/>
          <w:rFonts w:hint="eastAsia" w:ascii="仿宋" w:hAnsi="仿宋" w:eastAsia="仿宋"/>
          <w:bCs/>
          <w:sz w:val="32"/>
          <w:szCs w:val="32"/>
        </w:rPr>
        <w:t>行政事业单位医疗（款）事业单位医疗（项）</w:t>
      </w:r>
      <w:r>
        <w:rPr>
          <w:rStyle w:val="15"/>
          <w:rFonts w:hint="eastAsia" w:ascii="仿宋" w:hAnsi="仿宋" w:eastAsia="仿宋"/>
          <w:b w:val="0"/>
          <w:bCs/>
          <w:sz w:val="32"/>
          <w:szCs w:val="32"/>
        </w:rPr>
        <w:t>支出决算为</w:t>
      </w:r>
      <w:r>
        <w:rPr>
          <w:rStyle w:val="15"/>
          <w:rFonts w:ascii="仿宋" w:hAnsi="仿宋" w:eastAsia="仿宋"/>
          <w:b w:val="0"/>
          <w:bCs/>
          <w:sz w:val="32"/>
          <w:szCs w:val="32"/>
        </w:rPr>
        <w:t>22.28</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r>
        <w:rPr>
          <w:rStyle w:val="15"/>
          <w:rFonts w:hint="eastAsia" w:ascii="仿宋" w:hAnsi="仿宋" w:eastAsia="仿宋"/>
          <w:bCs/>
          <w:sz w:val="32"/>
          <w:szCs w:val="32"/>
        </w:rPr>
        <w:t>公务员医疗补助（项）</w:t>
      </w:r>
      <w:r>
        <w:rPr>
          <w:rStyle w:val="15"/>
          <w:rFonts w:hint="eastAsia" w:ascii="仿宋" w:hAnsi="仿宋" w:eastAsia="仿宋"/>
          <w:b w:val="0"/>
          <w:bCs/>
          <w:sz w:val="32"/>
          <w:szCs w:val="32"/>
        </w:rPr>
        <w:t>支出决算为</w:t>
      </w:r>
      <w:r>
        <w:rPr>
          <w:rStyle w:val="15"/>
          <w:rFonts w:ascii="仿宋" w:hAnsi="仿宋" w:eastAsia="仿宋"/>
          <w:b w:val="0"/>
          <w:bCs/>
          <w:sz w:val="32"/>
          <w:szCs w:val="32"/>
        </w:rPr>
        <w:t>1.91</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r>
        <w:rPr>
          <w:rStyle w:val="15"/>
          <w:rFonts w:hint="eastAsia" w:ascii="仿宋" w:hAnsi="仿宋" w:eastAsia="仿宋"/>
          <w:bCs/>
          <w:sz w:val="32"/>
          <w:szCs w:val="32"/>
        </w:rPr>
        <w:t>其他卫生健康支出（款）其他卫生健康支出（项）</w:t>
      </w:r>
      <w:r>
        <w:rPr>
          <w:rStyle w:val="15"/>
          <w:rFonts w:hint="eastAsia" w:ascii="仿宋" w:hAnsi="仿宋" w:eastAsia="仿宋"/>
          <w:b w:val="0"/>
          <w:bCs/>
          <w:sz w:val="32"/>
          <w:szCs w:val="32"/>
        </w:rPr>
        <w:t>支出决算为</w:t>
      </w:r>
      <w:r>
        <w:rPr>
          <w:rStyle w:val="15"/>
          <w:rFonts w:ascii="仿宋" w:hAnsi="仿宋" w:eastAsia="仿宋"/>
          <w:b w:val="0"/>
          <w:bCs/>
          <w:sz w:val="32"/>
          <w:szCs w:val="32"/>
        </w:rPr>
        <w:t>51.08</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p>
    <w:p>
      <w:pPr>
        <w:pStyle w:val="2"/>
        <w:spacing w:before="93"/>
        <w:ind w:firstLine="643" w:firstLineChars="200"/>
      </w:pPr>
      <w:r>
        <w:rPr>
          <w:rStyle w:val="15"/>
          <w:rFonts w:ascii="仿宋" w:hAnsi="仿宋" w:eastAsia="仿宋"/>
          <w:bCs/>
          <w:sz w:val="32"/>
          <w:szCs w:val="32"/>
        </w:rPr>
        <w:t>3.</w:t>
      </w:r>
      <w:r>
        <w:rPr>
          <w:rFonts w:hint="eastAsia" w:ascii="仿宋" w:hAnsi="仿宋" w:eastAsia="仿宋"/>
          <w:b/>
          <w:bCs/>
          <w:sz w:val="32"/>
          <w:szCs w:val="32"/>
        </w:rPr>
        <w:t>住房保障支出</w:t>
      </w:r>
      <w:r>
        <w:rPr>
          <w:rStyle w:val="15"/>
          <w:rFonts w:hint="eastAsia" w:ascii="仿宋" w:hAnsi="仿宋" w:eastAsia="仿宋"/>
          <w:bCs/>
          <w:sz w:val="32"/>
          <w:szCs w:val="32"/>
        </w:rPr>
        <w:t>（类）住房改革支出（款）</w:t>
      </w:r>
      <w:r>
        <w:rPr>
          <w:rStyle w:val="15"/>
          <w:rFonts w:ascii="仿宋" w:hAnsi="仿宋" w:eastAsia="仿宋"/>
          <w:bCs/>
          <w:sz w:val="32"/>
          <w:szCs w:val="32"/>
        </w:rPr>
        <w:t xml:space="preserve"> </w:t>
      </w:r>
      <w:r>
        <w:rPr>
          <w:rStyle w:val="15"/>
          <w:rFonts w:hint="eastAsia" w:ascii="仿宋" w:hAnsi="仿宋" w:eastAsia="仿宋"/>
          <w:bCs/>
          <w:sz w:val="32"/>
          <w:szCs w:val="32"/>
        </w:rPr>
        <w:t>住房公积金（项）</w:t>
      </w:r>
      <w:r>
        <w:rPr>
          <w:rStyle w:val="15"/>
          <w:rFonts w:hint="eastAsia" w:ascii="仿宋" w:hAnsi="仿宋" w:eastAsia="仿宋"/>
          <w:b w:val="0"/>
          <w:bCs/>
          <w:sz w:val="32"/>
          <w:szCs w:val="32"/>
        </w:rPr>
        <w:t>支出决算为</w:t>
      </w:r>
      <w:r>
        <w:rPr>
          <w:rStyle w:val="15"/>
          <w:rFonts w:ascii="仿宋" w:hAnsi="仿宋" w:eastAsia="仿宋"/>
          <w:b w:val="0"/>
          <w:bCs/>
          <w:sz w:val="32"/>
          <w:szCs w:val="32"/>
        </w:rPr>
        <w:t>36.36</w:t>
      </w:r>
      <w:r>
        <w:rPr>
          <w:rStyle w:val="15"/>
          <w:rFonts w:hint="eastAsia" w:ascii="仿宋" w:hAnsi="仿宋" w:eastAsia="仿宋"/>
          <w:b w:val="0"/>
          <w:bCs/>
          <w:sz w:val="32"/>
          <w:szCs w:val="32"/>
        </w:rPr>
        <w:t>万元，完成预算</w:t>
      </w:r>
      <w:r>
        <w:rPr>
          <w:rStyle w:val="15"/>
          <w:rFonts w:ascii="仿宋" w:hAnsi="仿宋" w:eastAsia="仿宋"/>
          <w:b w:val="0"/>
          <w:bCs/>
          <w:sz w:val="32"/>
          <w:szCs w:val="32"/>
        </w:rPr>
        <w:t>100%</w:t>
      </w:r>
      <w:r>
        <w:rPr>
          <w:rStyle w:val="15"/>
          <w:rFonts w:hint="eastAsia" w:ascii="仿宋" w:hAnsi="仿宋" w:eastAsia="仿宋"/>
          <w:b w:val="0"/>
          <w:bCs/>
          <w:sz w:val="32"/>
          <w:szCs w:val="32"/>
        </w:rPr>
        <w:t>。</w:t>
      </w:r>
    </w:p>
    <w:p>
      <w:pPr>
        <w:tabs>
          <w:tab w:val="right" w:pos="8306"/>
        </w:tabs>
        <w:spacing w:line="600" w:lineRule="exact"/>
        <w:ind w:firstLine="640"/>
        <w:outlineLvl w:val="1"/>
        <w:rPr>
          <w:rStyle w:val="27"/>
        </w:rPr>
      </w:pPr>
      <w:bookmarkStart w:id="40" w:name="_Toc15377214"/>
      <w:bookmarkStart w:id="41"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ascii="仿宋" w:hAnsi="仿宋" w:eastAsia="仿宋"/>
          <w:sz w:val="32"/>
          <w:szCs w:val="32"/>
        </w:rPr>
        <w:t>361.87</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349.47</w:t>
      </w:r>
      <w:r>
        <w:rPr>
          <w:rFonts w:hint="eastAsia" w:ascii="仿宋" w:hAnsi="仿宋" w:eastAsia="仿宋"/>
          <w:sz w:val="32"/>
          <w:szCs w:val="32"/>
        </w:rPr>
        <w:t>万元，主要包括：基本工资、津贴补贴、绩效工资、机关事业单位基本养老保险缴费、职业年金缴费、其他社会保障缴费、其他工资福利支出、离休费、退休费、生活补助、医疗费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12.39</w:t>
      </w:r>
      <w:r>
        <w:rPr>
          <w:rFonts w:hint="eastAsia" w:ascii="仿宋" w:hAnsi="仿宋" w:eastAsia="仿宋"/>
          <w:sz w:val="32"/>
          <w:szCs w:val="32"/>
        </w:rPr>
        <w:t>万元，主要包括：办公费、印刷费、咨询费、手续费、水费、电费、邮电费、差旅费、维修（护）费、租赁费、会议费、培训费、劳务费、委托业务费、工会经费、福利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42" w:name="_Toc15377215"/>
      <w:bookmarkStart w:id="43" w:name="_Toc15396609"/>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bookmarkStart w:id="45" w:name="_Toc15377217"/>
      <w:r>
        <w:rPr>
          <w:rFonts w:ascii="仿宋" w:hAnsi="仿宋" w:eastAsia="仿宋"/>
          <w:sz w:val="32"/>
          <w:szCs w:val="32"/>
        </w:rPr>
        <w:t>20</w:t>
      </w:r>
      <w:r>
        <w:rPr>
          <w:rFonts w:hint="eastAsia" w:ascii="仿宋" w:hAnsi="仿宋" w:eastAsia="仿宋"/>
          <w:sz w:val="32"/>
          <w:szCs w:val="32"/>
        </w:rPr>
        <w:t>21年“三公”经费财政拨款支出决算为</w:t>
      </w:r>
      <w:r>
        <w:rPr>
          <w:rFonts w:ascii="仿宋" w:hAnsi="仿宋" w:eastAsia="仿宋"/>
          <w:sz w:val="32"/>
          <w:szCs w:val="32"/>
        </w:rPr>
        <w:t>0</w:t>
      </w:r>
      <w:r>
        <w:rPr>
          <w:rFonts w:hint="eastAsia" w:ascii="仿宋" w:hAnsi="仿宋" w:eastAsia="仿宋"/>
          <w:sz w:val="32"/>
          <w:szCs w:val="32"/>
        </w:rPr>
        <w:t>万元，完成预算</w:t>
      </w:r>
      <w:r>
        <w:rPr>
          <w:rFonts w:ascii="仿宋" w:hAnsi="仿宋" w:eastAsia="仿宋"/>
          <w:sz w:val="32"/>
          <w:szCs w:val="32"/>
        </w:rPr>
        <w:t>0%</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45"/>
    </w:p>
    <w:p>
      <w:pPr>
        <w:spacing w:line="600" w:lineRule="exact"/>
        <w:ind w:firstLine="640"/>
        <w:outlineLvl w:val="1"/>
        <w:rPr>
          <w:rFonts w:ascii="仿宋" w:hAnsi="仿宋" w:eastAsia="仿宋"/>
          <w:sz w:val="32"/>
          <w:szCs w:val="32"/>
        </w:rPr>
      </w:pPr>
      <w:bookmarkStart w:id="46" w:name="_Toc15396610"/>
      <w:bookmarkStart w:id="47" w:name="_Toc15377218"/>
      <w:r>
        <w:rPr>
          <w:rFonts w:ascii="仿宋" w:hAnsi="仿宋" w:eastAsia="仿宋"/>
          <w:sz w:val="32"/>
          <w:szCs w:val="32"/>
        </w:rPr>
        <w:t>20</w:t>
      </w:r>
      <w:r>
        <w:rPr>
          <w:rFonts w:hint="eastAsia" w:ascii="仿宋" w:hAnsi="仿宋" w:eastAsia="仿宋"/>
          <w:sz w:val="32"/>
          <w:szCs w:val="32"/>
        </w:rPr>
        <w:t>21年“三公”经费财政拨款支出决算中，因公出国（境）费支出决算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ascii="仿宋" w:hAnsi="仿宋" w:eastAsia="仿宋"/>
          <w:b w:val="0"/>
          <w:bCs/>
          <w:sz w:val="32"/>
          <w:szCs w:val="32"/>
        </w:rPr>
        <w:t>0%</w:t>
      </w:r>
      <w:r>
        <w:rPr>
          <w:rStyle w:val="15"/>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sz w:val="32"/>
          <w:szCs w:val="32"/>
        </w:rPr>
        <w:t>0</w:t>
      </w:r>
      <w:r>
        <w:rPr>
          <w:rFonts w:hint="eastAsia" w:ascii="仿宋_GB2312" w:eastAsia="仿宋_GB2312"/>
          <w:sz w:val="32"/>
          <w:szCs w:val="32"/>
        </w:rPr>
        <w:t>次，出国（境）</w:t>
      </w:r>
      <w:r>
        <w:rPr>
          <w:rFonts w:ascii="仿宋_GB2312" w:eastAsia="仿宋_GB2312"/>
          <w:sz w:val="32"/>
          <w:szCs w:val="32"/>
        </w:rPr>
        <w:t>0</w:t>
      </w:r>
      <w:r>
        <w:rPr>
          <w:rFonts w:hint="eastAsia" w:ascii="仿宋_GB2312" w:eastAsia="仿宋_GB2312"/>
          <w:sz w:val="32"/>
          <w:szCs w:val="32"/>
        </w:rPr>
        <w:t>人。因公出国（境）支出决算与</w:t>
      </w:r>
      <w:r>
        <w:rPr>
          <w:rFonts w:ascii="仿宋_GB2312" w:eastAsia="仿宋_GB2312"/>
          <w:sz w:val="32"/>
          <w:szCs w:val="32"/>
        </w:rPr>
        <w:t>20</w:t>
      </w:r>
      <w:r>
        <w:rPr>
          <w:rFonts w:hint="eastAsia" w:ascii="仿宋_GB2312" w:eastAsia="仿宋_GB2312"/>
          <w:sz w:val="32"/>
          <w:szCs w:val="32"/>
        </w:rPr>
        <w:t>20年持平。</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ascii="仿宋" w:hAnsi="仿宋" w:eastAsia="仿宋"/>
          <w:b w:val="0"/>
          <w:bCs/>
          <w:sz w:val="32"/>
          <w:szCs w:val="32"/>
        </w:rPr>
        <w:t>0%</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公务用车购置及运行维护费支出决算与</w:t>
      </w:r>
      <w:r>
        <w:rPr>
          <w:rFonts w:ascii="仿宋_GB2312" w:eastAsia="仿宋_GB2312"/>
          <w:sz w:val="32"/>
          <w:szCs w:val="32"/>
        </w:rPr>
        <w:t>20</w:t>
      </w:r>
      <w:r>
        <w:rPr>
          <w:rFonts w:hint="eastAsia" w:ascii="仿宋_GB2312" w:eastAsia="仿宋_GB2312"/>
          <w:sz w:val="32"/>
          <w:szCs w:val="32"/>
        </w:rPr>
        <w:t>20年持平。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_GB2312" w:eastAsia="仿宋_GB2312"/>
          <w:sz w:val="32"/>
          <w:szCs w:val="32"/>
        </w:rPr>
        <w:t>0</w:t>
      </w:r>
      <w:r>
        <w:rPr>
          <w:rFonts w:hint="eastAsia" w:ascii="仿宋_GB2312" w:eastAsia="仿宋_GB2312"/>
          <w:sz w:val="32"/>
          <w:szCs w:val="32"/>
        </w:rPr>
        <w:t>万元。全年按规定更新购置公务用车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万元，越野车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万元，载客汽车</w:t>
      </w:r>
      <w:r>
        <w:rPr>
          <w:rFonts w:ascii="仿宋_GB2312" w:eastAsia="仿宋_GB2312"/>
          <w:sz w:val="32"/>
          <w:szCs w:val="32"/>
        </w:rPr>
        <w:t>0</w:t>
      </w:r>
      <w:r>
        <w:rPr>
          <w:rFonts w:hint="eastAsia" w:ascii="仿宋_GB2312" w:eastAsia="仿宋_GB2312"/>
          <w:sz w:val="32"/>
          <w:szCs w:val="32"/>
        </w:rPr>
        <w:t>辆、金额</w:t>
      </w:r>
      <w:r>
        <w:rPr>
          <w:rFonts w:ascii="仿宋_GB2312" w:eastAsia="仿宋_GB2312"/>
          <w:sz w:val="32"/>
          <w:szCs w:val="32"/>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w:t>
      </w:r>
      <w:r>
        <w:rPr>
          <w:rFonts w:ascii="仿宋_GB2312" w:eastAsia="仿宋_GB2312"/>
          <w:sz w:val="32"/>
          <w:szCs w:val="32"/>
        </w:rPr>
        <w:t>0</w:t>
      </w:r>
      <w:r>
        <w:rPr>
          <w:rFonts w:hint="eastAsia" w:ascii="仿宋_GB2312" w:eastAsia="仿宋_GB2312"/>
          <w:sz w:val="32"/>
          <w:szCs w:val="32"/>
        </w:rPr>
        <w:t>辆，其中：轿车</w:t>
      </w:r>
      <w:r>
        <w:rPr>
          <w:rFonts w:ascii="仿宋_GB2312" w:eastAsia="仿宋_GB2312"/>
          <w:sz w:val="32"/>
          <w:szCs w:val="32"/>
        </w:rPr>
        <w:t>0</w:t>
      </w:r>
      <w:r>
        <w:rPr>
          <w:rFonts w:hint="eastAsia" w:ascii="仿宋_GB2312" w:eastAsia="仿宋_GB2312"/>
          <w:sz w:val="32"/>
          <w:szCs w:val="32"/>
        </w:rPr>
        <w:t>辆、越野车</w:t>
      </w:r>
      <w:r>
        <w:rPr>
          <w:rFonts w:ascii="仿宋_GB2312" w:eastAsia="仿宋_GB2312"/>
          <w:sz w:val="32"/>
          <w:szCs w:val="32"/>
        </w:rPr>
        <w:t>0</w:t>
      </w:r>
      <w:r>
        <w:rPr>
          <w:rFonts w:hint="eastAsia" w:ascii="仿宋_GB2312" w:eastAsia="仿宋_GB2312"/>
          <w:sz w:val="32"/>
          <w:szCs w:val="32"/>
        </w:rPr>
        <w:t>辆、载客汽车</w:t>
      </w:r>
      <w:r>
        <w:rPr>
          <w:rFonts w:ascii="仿宋_GB2312" w:eastAsia="仿宋_GB2312"/>
          <w:sz w:val="32"/>
          <w:szCs w:val="32"/>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0</w:t>
      </w:r>
      <w:r>
        <w:rPr>
          <w:rFonts w:hint="eastAsia" w:ascii="仿宋_GB2312" w:eastAsia="仿宋_GB2312"/>
          <w:sz w:val="32"/>
          <w:szCs w:val="32"/>
        </w:rPr>
        <w:t>万元，</w:t>
      </w:r>
      <w:r>
        <w:rPr>
          <w:rStyle w:val="15"/>
          <w:rFonts w:hint="eastAsia" w:ascii="仿宋" w:hAnsi="仿宋" w:eastAsia="仿宋"/>
          <w:b w:val="0"/>
          <w:bCs/>
          <w:sz w:val="32"/>
          <w:szCs w:val="32"/>
        </w:rPr>
        <w:t>完成预算</w:t>
      </w:r>
      <w:r>
        <w:rPr>
          <w:rStyle w:val="15"/>
          <w:rFonts w:ascii="仿宋" w:hAnsi="仿宋" w:eastAsia="仿宋"/>
          <w:b w:val="0"/>
          <w:bCs/>
          <w:sz w:val="32"/>
          <w:szCs w:val="32"/>
        </w:rPr>
        <w:t>0%</w:t>
      </w:r>
      <w:r>
        <w:rPr>
          <w:rStyle w:val="15"/>
          <w:rFonts w:hint="eastAsia" w:ascii="仿宋" w:hAnsi="仿宋" w:eastAsia="仿宋"/>
          <w:b w:val="0"/>
          <w:bCs/>
          <w:sz w:val="32"/>
          <w:szCs w:val="32"/>
        </w:rPr>
        <w:t>。</w:t>
      </w:r>
      <w:r>
        <w:rPr>
          <w:rFonts w:hint="eastAsia" w:ascii="仿宋_GB2312" w:eastAsia="仿宋_GB2312"/>
          <w:sz w:val="32"/>
          <w:szCs w:val="32"/>
        </w:rPr>
        <w:t>公务接待费支出决算与</w:t>
      </w:r>
      <w:r>
        <w:rPr>
          <w:rFonts w:ascii="仿宋_GB2312" w:eastAsia="仿宋_GB2312"/>
          <w:sz w:val="32"/>
          <w:szCs w:val="32"/>
        </w:rPr>
        <w:t>20</w:t>
      </w:r>
      <w:r>
        <w:rPr>
          <w:rFonts w:hint="eastAsia" w:ascii="仿宋_GB2312" w:eastAsia="仿宋_GB2312"/>
          <w:sz w:val="32"/>
          <w:szCs w:val="32"/>
        </w:rPr>
        <w:t>20年持平：</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sz w:val="32"/>
          <w:szCs w:val="32"/>
        </w:rPr>
        <w:t>0</w:t>
      </w:r>
      <w:r>
        <w:rPr>
          <w:rFonts w:hint="eastAsia" w:ascii="仿宋_GB2312" w:eastAsia="仿宋_GB2312"/>
          <w:sz w:val="32"/>
          <w:szCs w:val="32"/>
        </w:rPr>
        <w:t>万元。国内公务接待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人次（不包括陪同人员），共计支出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sz w:val="32"/>
          <w:szCs w:val="32"/>
        </w:rPr>
        <w:t>0</w:t>
      </w:r>
      <w:r>
        <w:rPr>
          <w:rFonts w:hint="eastAsia" w:ascii="仿宋_GB2312" w:eastAsia="仿宋_GB2312"/>
          <w:sz w:val="32"/>
          <w:szCs w:val="32"/>
        </w:rPr>
        <w:t>万元，外事接待</w:t>
      </w:r>
      <w:r>
        <w:rPr>
          <w:rFonts w:ascii="仿宋_GB2312" w:eastAsia="仿宋_GB2312"/>
          <w:sz w:val="32"/>
          <w:szCs w:val="32"/>
        </w:rPr>
        <w:t>0</w:t>
      </w:r>
      <w:r>
        <w:rPr>
          <w:rFonts w:hint="eastAsia" w:ascii="仿宋_GB2312" w:eastAsia="仿宋_GB2312"/>
          <w:sz w:val="32"/>
          <w:szCs w:val="32"/>
        </w:rPr>
        <w:t>批次，</w:t>
      </w:r>
      <w:r>
        <w:rPr>
          <w:rFonts w:ascii="仿宋_GB2312" w:eastAsia="仿宋_GB2312"/>
          <w:sz w:val="32"/>
          <w:szCs w:val="32"/>
        </w:rPr>
        <w:t>0</w:t>
      </w:r>
      <w:r>
        <w:rPr>
          <w:rFonts w:hint="eastAsia" w:ascii="仿宋_GB2312" w:eastAsia="仿宋_GB2312"/>
          <w:sz w:val="32"/>
          <w:szCs w:val="32"/>
        </w:rPr>
        <w:t>人，共计支出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2"/>
        </w:numPr>
        <w:spacing w:line="600" w:lineRule="exact"/>
        <w:ind w:firstLine="640"/>
        <w:outlineLvl w:val="1"/>
        <w:rPr>
          <w:rStyle w:val="27"/>
          <w:rFonts w:ascii="黑体" w:hAnsi="黑体" w:eastAsia="黑体"/>
          <w:b w:val="0"/>
        </w:rPr>
      </w:pPr>
      <w:bookmarkStart w:id="48" w:name="_Toc15377219"/>
      <w:bookmarkStart w:id="49" w:name="_Toc15396611"/>
      <w:r>
        <w:rPr>
          <w:rStyle w:val="27"/>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2"/>
        </w:numPr>
        <w:spacing w:line="600" w:lineRule="exact"/>
        <w:ind w:firstLine="640"/>
        <w:outlineLvl w:val="1"/>
        <w:rPr>
          <w:rStyle w:val="27"/>
          <w:rFonts w:ascii="黑体" w:hAnsi="黑体" w:eastAsia="黑体"/>
          <w:b w:val="0"/>
        </w:rPr>
      </w:pPr>
      <w:bookmarkStart w:id="50" w:name="_Toc15396612"/>
      <w:bookmarkStart w:id="51" w:name="_Toc15377221"/>
      <w:r>
        <w:rPr>
          <w:rStyle w:val="27"/>
          <w:rFonts w:hint="eastAsia" w:ascii="黑体" w:hAnsi="黑体" w:eastAsia="黑体"/>
          <w:b w:val="0"/>
        </w:rPr>
        <w:t>其他重要事项的情况说明</w:t>
      </w:r>
      <w:bookmarkEnd w:id="50"/>
      <w:bookmarkEnd w:id="51"/>
    </w:p>
    <w:p>
      <w:pPr>
        <w:spacing w:line="600" w:lineRule="exact"/>
        <w:ind w:firstLine="640" w:firstLineChars="200"/>
        <w:outlineLvl w:val="2"/>
        <w:rPr>
          <w:rFonts w:ascii="楷体_GB2312" w:hAnsi="仿宋" w:eastAsia="楷体_GB2312"/>
          <w:sz w:val="32"/>
          <w:szCs w:val="32"/>
        </w:rPr>
      </w:pPr>
      <w:bookmarkStart w:id="52" w:name="_Toc15377222"/>
      <w:r>
        <w:rPr>
          <w:rFonts w:hint="eastAsia" w:ascii="楷体_GB2312" w:hAnsi="仿宋" w:eastAsia="楷体_GB2312"/>
          <w:sz w:val="32"/>
          <w:szCs w:val="32"/>
        </w:rPr>
        <w:t>（一）机关运行经费支出情况</w:t>
      </w:r>
      <w:bookmarkEnd w:id="52"/>
      <w:r>
        <w:rPr>
          <w:rFonts w:hint="eastAsia" w:ascii="楷体_GB2312" w:hAnsi="仿宋" w:eastAsia="楷体_GB2312"/>
          <w:sz w:val="32"/>
          <w:szCs w:val="32"/>
        </w:rPr>
        <w:t>。</w:t>
      </w:r>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21年，本单位为事业单位，机关运行经费支出0万元，比</w:t>
      </w:r>
      <w:r>
        <w:rPr>
          <w:rFonts w:ascii="仿宋_GB2312" w:eastAsia="仿宋_GB2312"/>
          <w:sz w:val="32"/>
          <w:szCs w:val="32"/>
        </w:rPr>
        <w:t>20</w:t>
      </w:r>
      <w:r>
        <w:rPr>
          <w:rFonts w:hint="eastAsia" w:ascii="仿宋_GB2312" w:eastAsia="仿宋_GB2312"/>
          <w:sz w:val="32"/>
          <w:szCs w:val="32"/>
        </w:rPr>
        <w:t>20年增加0万元，与</w:t>
      </w:r>
      <w:r>
        <w:rPr>
          <w:rFonts w:ascii="仿宋_GB2312" w:eastAsia="仿宋_GB2312"/>
          <w:sz w:val="32"/>
          <w:szCs w:val="32"/>
        </w:rPr>
        <w:t>20</w:t>
      </w:r>
      <w:r>
        <w:rPr>
          <w:rFonts w:hint="eastAsia" w:ascii="仿宋_GB2312" w:eastAsia="仿宋_GB2312"/>
          <w:sz w:val="32"/>
          <w:szCs w:val="32"/>
        </w:rPr>
        <w:t>20年决算数持平。</w:t>
      </w:r>
    </w:p>
    <w:p>
      <w:pPr>
        <w:autoSpaceDE w:val="0"/>
        <w:autoSpaceDN w:val="0"/>
        <w:adjustRightInd w:val="0"/>
        <w:spacing w:line="600" w:lineRule="exact"/>
        <w:ind w:firstLine="640" w:firstLineChars="200"/>
        <w:jc w:val="left"/>
        <w:outlineLvl w:val="2"/>
        <w:rPr>
          <w:rFonts w:ascii="楷体_GB2312" w:hAnsi="仿宋" w:eastAsia="楷体_GB2312"/>
          <w:sz w:val="32"/>
          <w:szCs w:val="32"/>
        </w:rPr>
      </w:pPr>
      <w:bookmarkStart w:id="53" w:name="_Toc15377223"/>
      <w:r>
        <w:rPr>
          <w:rFonts w:hint="eastAsia" w:ascii="楷体_GB2312" w:hAnsi="仿宋" w:eastAsia="楷体_GB2312"/>
          <w:sz w:val="32"/>
          <w:szCs w:val="32"/>
        </w:rPr>
        <w:t>（二）政府采购支出情况</w:t>
      </w:r>
      <w:bookmarkEnd w:id="53"/>
      <w:r>
        <w:rPr>
          <w:rFonts w:hint="eastAsia" w:ascii="楷体_GB2312" w:hAnsi="仿宋" w:eastAsia="楷体_GB2312"/>
          <w:sz w:val="32"/>
          <w:szCs w:val="32"/>
        </w:rPr>
        <w:t>。</w:t>
      </w:r>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21年，我</w:t>
      </w:r>
      <w:r>
        <w:rPr>
          <w:rFonts w:ascii="仿宋_GB2312" w:eastAsia="仿宋_GB2312"/>
          <w:sz w:val="32"/>
          <w:szCs w:val="32"/>
        </w:rPr>
        <w:t>单位</w:t>
      </w:r>
      <w:r>
        <w:rPr>
          <w:rFonts w:hint="eastAsia" w:ascii="仿宋_GB2312" w:eastAsia="仿宋_GB2312"/>
          <w:sz w:val="32"/>
          <w:szCs w:val="32"/>
        </w:rPr>
        <w:t>政府采购支出总额</w:t>
      </w:r>
      <w:r>
        <w:rPr>
          <w:rFonts w:ascii="仿宋_GB2312" w:eastAsia="仿宋_GB2312"/>
          <w:sz w:val="32"/>
          <w:szCs w:val="32"/>
        </w:rPr>
        <w:t>31.25</w:t>
      </w:r>
      <w:r>
        <w:rPr>
          <w:rFonts w:hint="eastAsia" w:ascii="仿宋_GB2312" w:eastAsia="仿宋_GB2312"/>
          <w:sz w:val="32"/>
          <w:szCs w:val="32"/>
        </w:rPr>
        <w:t>万元，其中：政府采购货物支出</w:t>
      </w:r>
      <w:r>
        <w:rPr>
          <w:rFonts w:ascii="仿宋_GB2312" w:eastAsia="仿宋_GB2312"/>
          <w:sz w:val="32"/>
          <w:szCs w:val="32"/>
        </w:rPr>
        <w:t>31.25</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万元。主要用于疫情</w:t>
      </w:r>
      <w:r>
        <w:rPr>
          <w:rFonts w:ascii="仿宋_GB2312" w:eastAsia="仿宋_GB2312"/>
          <w:sz w:val="32"/>
          <w:szCs w:val="32"/>
        </w:rPr>
        <w:t>防控相关工作</w:t>
      </w:r>
      <w:r>
        <w:rPr>
          <w:rFonts w:hint="eastAsia" w:ascii="仿宋_GB2312" w:eastAsia="仿宋_GB2312"/>
          <w:sz w:val="32"/>
          <w:szCs w:val="32"/>
        </w:rPr>
        <w:t>。</w:t>
      </w:r>
    </w:p>
    <w:p>
      <w:pPr>
        <w:autoSpaceDE w:val="0"/>
        <w:autoSpaceDN w:val="0"/>
        <w:adjustRightInd w:val="0"/>
        <w:spacing w:line="600" w:lineRule="exact"/>
        <w:ind w:firstLine="640" w:firstLineChars="200"/>
        <w:jc w:val="left"/>
        <w:outlineLvl w:val="2"/>
        <w:rPr>
          <w:rFonts w:ascii="楷体_GB2312" w:hAnsi="仿宋" w:eastAsia="楷体_GB2312"/>
          <w:sz w:val="32"/>
          <w:szCs w:val="32"/>
        </w:rPr>
      </w:pPr>
      <w:bookmarkStart w:id="54" w:name="_Toc15377224"/>
      <w:r>
        <w:rPr>
          <w:rFonts w:hint="eastAsia" w:ascii="楷体_GB2312" w:hAnsi="仿宋" w:eastAsia="楷体_GB2312"/>
          <w:sz w:val="32"/>
          <w:szCs w:val="32"/>
        </w:rPr>
        <w:t>（三）国有资产占有使用情况</w:t>
      </w:r>
      <w:bookmarkEnd w:id="54"/>
      <w:r>
        <w:rPr>
          <w:rFonts w:hint="eastAsia" w:ascii="楷体_GB2312" w:hAnsi="仿宋" w:eastAsia="楷体_GB2312"/>
          <w:sz w:val="32"/>
          <w:szCs w:val="32"/>
        </w:rPr>
        <w:t>。</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日，我</w:t>
      </w:r>
      <w:r>
        <w:rPr>
          <w:rFonts w:ascii="仿宋_GB2312" w:eastAsia="仿宋_GB2312"/>
          <w:sz w:val="32"/>
          <w:szCs w:val="32"/>
        </w:rPr>
        <w:t>单位</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0</w:t>
      </w:r>
      <w:r>
        <w:rPr>
          <w:rFonts w:hint="eastAsia" w:ascii="仿宋_GB2312" w:eastAsia="仿宋_GB2312"/>
          <w:sz w:val="32"/>
          <w:szCs w:val="32"/>
        </w:rPr>
        <w:t>台（套），单价</w:t>
      </w:r>
      <w:r>
        <w:rPr>
          <w:rFonts w:ascii="仿宋_GB2312" w:eastAsia="仿宋_GB2312"/>
          <w:sz w:val="32"/>
          <w:szCs w:val="32"/>
        </w:rPr>
        <w:t>100</w:t>
      </w:r>
      <w:r>
        <w:rPr>
          <w:rFonts w:hint="eastAsia" w:ascii="仿宋_GB2312" w:eastAsia="仿宋_GB2312"/>
          <w:sz w:val="32"/>
          <w:szCs w:val="32"/>
        </w:rPr>
        <w:t>万元以上专用设备</w:t>
      </w:r>
      <w:r>
        <w:rPr>
          <w:rFonts w:ascii="仿宋_GB2312" w:eastAsia="仿宋_GB2312"/>
          <w:sz w:val="32"/>
          <w:szCs w:val="32"/>
        </w:rPr>
        <w:t>1</w:t>
      </w:r>
      <w:r>
        <w:rPr>
          <w:rFonts w:hint="eastAsia" w:ascii="仿宋_GB2312" w:eastAsia="仿宋_GB2312"/>
          <w:sz w:val="32"/>
          <w:szCs w:val="32"/>
        </w:rPr>
        <w:t>台（套）。</w:t>
      </w:r>
    </w:p>
    <w:p>
      <w:pPr>
        <w:autoSpaceDE w:val="0"/>
        <w:autoSpaceDN w:val="0"/>
        <w:adjustRightInd w:val="0"/>
        <w:spacing w:line="600" w:lineRule="exact"/>
        <w:ind w:firstLine="640" w:firstLineChars="200"/>
        <w:jc w:val="left"/>
        <w:outlineLvl w:val="2"/>
        <w:rPr>
          <w:rFonts w:ascii="楷体_GB2312" w:hAnsi="仿宋" w:eastAsia="楷体_GB2312"/>
          <w:sz w:val="32"/>
          <w:szCs w:val="32"/>
        </w:rPr>
      </w:pPr>
      <w:r>
        <w:rPr>
          <w:rFonts w:hint="eastAsia" w:ascii="楷体_GB2312" w:hAnsi="仿宋" w:eastAsia="楷体_GB2312"/>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根据预算绩效管理要求，本单位在2021年度预算编制阶段，组织对基本公共卫生服务经费、国家基本药物制度经费等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个项目开展了绩效自评。同时，本部门对2021年部门整体开展绩效自评，《2021年西区公共卫生服务中心整体绩效评价报告》见附件（第四部分）。</w:t>
      </w:r>
    </w:p>
    <w:p>
      <w:pPr>
        <w:pStyle w:val="2"/>
        <w:spacing w:before="93"/>
      </w:pPr>
    </w:p>
    <w:p>
      <w:pPr>
        <w:pStyle w:val="2"/>
        <w:spacing w:before="93"/>
      </w:pPr>
    </w:p>
    <w:p>
      <w:pPr>
        <w:pStyle w:val="2"/>
        <w:spacing w:before="93"/>
      </w:pPr>
    </w:p>
    <w:p>
      <w:pPr>
        <w:numPr>
          <w:ilvl w:val="0"/>
          <w:numId w:val="3"/>
        </w:numPr>
        <w:spacing w:line="353" w:lineRule="auto"/>
        <w:ind w:firstLine="660" w:firstLineChars="150"/>
        <w:jc w:val="center"/>
        <w:outlineLvl w:val="0"/>
        <w:rPr>
          <w:rStyle w:val="26"/>
          <w:rFonts w:ascii="黑体" w:hAnsi="黑体" w:eastAsia="黑体"/>
          <w:b w:val="0"/>
        </w:rPr>
      </w:pPr>
      <w:bookmarkStart w:id="55" w:name="_Toc15377225"/>
      <w:bookmarkStart w:id="56" w:name="_Toc15396613"/>
      <w:r>
        <w:rPr>
          <w:rFonts w:hint="eastAsia" w:ascii="黑体" w:hAnsi="黑体" w:eastAsia="黑体"/>
          <w:sz w:val="44"/>
          <w:szCs w:val="44"/>
        </w:rPr>
        <w:t>名</w:t>
      </w:r>
      <w:r>
        <w:rPr>
          <w:rStyle w:val="26"/>
          <w:rFonts w:hint="eastAsia" w:ascii="黑体" w:hAnsi="黑体" w:eastAsia="黑体"/>
          <w:b w:val="0"/>
        </w:rPr>
        <w:t>词解释</w:t>
      </w:r>
      <w:bookmarkEnd w:id="55"/>
      <w:bookmarkEnd w:id="56"/>
    </w:p>
    <w:p>
      <w:pPr>
        <w:spacing w:line="353" w:lineRule="auto"/>
        <w:jc w:val="left"/>
        <w:rPr>
          <w:rFonts w:ascii="宋体"/>
          <w:b/>
          <w:sz w:val="44"/>
          <w:szCs w:val="44"/>
        </w:rPr>
      </w:pPr>
    </w:p>
    <w:p>
      <w:pPr>
        <w:pStyle w:val="24"/>
        <w:spacing w:line="353" w:lineRule="auto"/>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其他收入：指单位取得的除上述收入以外的各项收入。主要是利息收入。</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年初结转和结余：指以前年度尚未完成、结转到本年按有关规定继续使用的资金。</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firstLineChars="200"/>
        <w:rPr>
          <w:rStyle w:val="15"/>
          <w:rFonts w:ascii="仿宋_GB2312" w:hAnsi="仿宋" w:eastAsia="仿宋_GB2312"/>
          <w:b w:val="0"/>
          <w:bCs/>
          <w:sz w:val="32"/>
          <w:szCs w:val="32"/>
        </w:rPr>
      </w:pPr>
      <w:bookmarkStart w:id="57" w:name="_Toc15377226"/>
      <w:r>
        <w:rPr>
          <w:rFonts w:ascii="仿宋_GB2312" w:hAnsi="Calibri" w:eastAsia="仿宋_GB2312" w:cs="黑体"/>
          <w:kern w:val="0"/>
          <w:sz w:val="32"/>
          <w:szCs w:val="32"/>
        </w:rPr>
        <w:t>5</w:t>
      </w:r>
      <w:r>
        <w:rPr>
          <w:rFonts w:hint="eastAsia" w:ascii="仿宋_GB2312" w:hAnsi="Calibri" w:eastAsia="仿宋_GB2312" w:cs="黑体"/>
          <w:kern w:val="0"/>
          <w:sz w:val="32"/>
          <w:szCs w:val="32"/>
        </w:rPr>
        <w:t>.</w:t>
      </w:r>
      <w:r>
        <w:rPr>
          <w:rStyle w:val="15"/>
          <w:rFonts w:hint="eastAsia" w:ascii="仿宋_GB2312" w:hAnsi="仿宋" w:eastAsia="仿宋_GB2312"/>
          <w:b w:val="0"/>
          <w:bCs/>
          <w:sz w:val="32"/>
          <w:szCs w:val="32"/>
        </w:rPr>
        <w:t>社会保障和就业（类）行政事业单位养老支出（款）事业单位离退休（项）</w:t>
      </w:r>
      <w:r>
        <w:rPr>
          <w:rFonts w:hint="eastAsia" w:ascii="仿宋_GB2312" w:eastAsia="仿宋_GB2312"/>
          <w:sz w:val="32"/>
          <w:szCs w:val="32"/>
        </w:rPr>
        <w:t>指退休人员退休费。</w:t>
      </w:r>
    </w:p>
    <w:p>
      <w:pPr>
        <w:spacing w:line="600" w:lineRule="exact"/>
        <w:ind w:firstLine="640" w:firstLineChars="200"/>
        <w:rPr>
          <w:rFonts w:ascii="仿宋_GB2312" w:eastAsia="仿宋_GB2312"/>
          <w:color w:val="000000" w:themeColor="text1"/>
          <w:sz w:val="32"/>
          <w:szCs w:val="32"/>
        </w:rPr>
      </w:pPr>
      <w:r>
        <w:rPr>
          <w:rStyle w:val="15"/>
          <w:rFonts w:ascii="仿宋_GB2312" w:hAnsi="仿宋" w:eastAsia="仿宋_GB2312"/>
          <w:b w:val="0"/>
          <w:bCs/>
          <w:sz w:val="32"/>
          <w:szCs w:val="32"/>
        </w:rPr>
        <w:t>6.</w:t>
      </w:r>
      <w:r>
        <w:rPr>
          <w:rStyle w:val="15"/>
          <w:rFonts w:hint="eastAsia" w:ascii="仿宋_GB2312" w:hAnsi="仿宋" w:eastAsia="仿宋_GB2312"/>
          <w:b w:val="0"/>
          <w:bCs/>
          <w:sz w:val="32"/>
          <w:szCs w:val="32"/>
        </w:rPr>
        <w:t>社会保障和就业（类）行政事业单位养老支出（款）  机关事业单位基本养老保险缴费支出（项）指</w:t>
      </w:r>
      <w:r>
        <w:rPr>
          <w:rFonts w:hint="eastAsia" w:ascii="仿宋_GB2312" w:eastAsia="仿宋_GB2312"/>
          <w:color w:val="000000" w:themeColor="text1"/>
          <w:sz w:val="32"/>
          <w:szCs w:val="32"/>
        </w:rPr>
        <w:t>在职人员养老保险。</w:t>
      </w:r>
    </w:p>
    <w:p>
      <w:pPr>
        <w:pStyle w:val="2"/>
        <w:spacing w:before="93"/>
        <w:ind w:firstLine="640" w:firstLineChars="200"/>
        <w:rPr>
          <w:rStyle w:val="15"/>
          <w:rFonts w:hAnsi="仿宋"/>
          <w:b w:val="0"/>
          <w:bCs/>
          <w:sz w:val="32"/>
          <w:szCs w:val="32"/>
        </w:rPr>
      </w:pPr>
      <w:r>
        <w:rPr>
          <w:sz w:val="32"/>
          <w:szCs w:val="32"/>
        </w:rPr>
        <w:t>7.</w:t>
      </w:r>
      <w:r>
        <w:rPr>
          <w:rStyle w:val="15"/>
          <w:rFonts w:hint="eastAsia" w:hAnsi="仿宋"/>
          <w:b w:val="0"/>
          <w:bCs/>
          <w:sz w:val="32"/>
          <w:szCs w:val="32"/>
        </w:rPr>
        <w:t xml:space="preserve">社会保障和就业（类）行政事业单位养老支出（款）    机关事业单位职业年金缴费支出（项）指退休人员职业年金。 </w:t>
      </w:r>
    </w:p>
    <w:p>
      <w:pPr>
        <w:pStyle w:val="2"/>
        <w:spacing w:before="93"/>
        <w:ind w:firstLine="640" w:firstLineChars="200"/>
        <w:rPr>
          <w:rStyle w:val="15"/>
          <w:rFonts w:hAnsi="仿宋"/>
          <w:b w:val="0"/>
          <w:bCs/>
          <w:sz w:val="32"/>
          <w:szCs w:val="32"/>
        </w:rPr>
      </w:pPr>
      <w:r>
        <w:rPr>
          <w:rStyle w:val="15"/>
          <w:rFonts w:hAnsi="仿宋"/>
          <w:b w:val="0"/>
          <w:bCs/>
          <w:sz w:val="32"/>
          <w:szCs w:val="32"/>
        </w:rPr>
        <w:t>8.</w:t>
      </w:r>
      <w:r>
        <w:rPr>
          <w:rFonts w:hint="eastAsia" w:hAnsi="仿宋"/>
          <w:bCs/>
          <w:sz w:val="32"/>
          <w:szCs w:val="32"/>
        </w:rPr>
        <w:t>卫生健康支出</w:t>
      </w:r>
      <w:r>
        <w:rPr>
          <w:rStyle w:val="15"/>
          <w:rFonts w:hint="eastAsia" w:hAnsi="仿宋"/>
          <w:b w:val="0"/>
          <w:bCs/>
          <w:sz w:val="32"/>
          <w:szCs w:val="32"/>
        </w:rPr>
        <w:t>（类）基层医疗卫生机构（款）其他基层医疗卫生机构支出（项）</w:t>
      </w:r>
      <w:r>
        <w:rPr>
          <w:rStyle w:val="15"/>
          <w:rFonts w:hint="eastAsia" w:ascii="仿宋" w:hAnsi="仿宋" w:eastAsia="仿宋"/>
          <w:b w:val="0"/>
          <w:bCs/>
          <w:color w:val="000000" w:themeColor="text1"/>
          <w:sz w:val="32"/>
          <w:szCs w:val="32"/>
        </w:rPr>
        <w:t>基层医疗卫生机构实施基本药物制度补助资金、村卫生室实施基本药物制度补助资金、基层医疗卫生机构人员经费</w:t>
      </w:r>
      <w:r>
        <w:rPr>
          <w:rStyle w:val="15"/>
          <w:rFonts w:hint="eastAsia" w:hAnsi="仿宋"/>
          <w:b w:val="0"/>
          <w:bCs/>
          <w:sz w:val="32"/>
          <w:szCs w:val="32"/>
        </w:rPr>
        <w:t>。</w:t>
      </w:r>
    </w:p>
    <w:p>
      <w:pPr>
        <w:spacing w:line="600" w:lineRule="exact"/>
        <w:ind w:firstLine="640" w:firstLineChars="200"/>
        <w:rPr>
          <w:rStyle w:val="15"/>
          <w:rFonts w:ascii="仿宋_GB2312" w:hAnsi="仿宋" w:eastAsia="仿宋_GB2312"/>
          <w:b w:val="0"/>
          <w:bCs/>
          <w:sz w:val="32"/>
          <w:szCs w:val="32"/>
        </w:rPr>
      </w:pPr>
      <w:r>
        <w:rPr>
          <w:rStyle w:val="15"/>
          <w:rFonts w:ascii="仿宋_GB2312" w:hAnsi="仿宋" w:eastAsia="仿宋_GB2312"/>
          <w:b w:val="0"/>
          <w:bCs/>
          <w:sz w:val="32"/>
          <w:szCs w:val="32"/>
        </w:rPr>
        <w:t>9.</w:t>
      </w:r>
      <w:r>
        <w:rPr>
          <w:rFonts w:hint="eastAsia" w:ascii="仿宋_GB2312" w:hAnsi="仿宋" w:eastAsia="仿宋_GB2312"/>
          <w:bCs/>
          <w:sz w:val="32"/>
          <w:szCs w:val="32"/>
        </w:rPr>
        <w:t>卫生健康支出</w:t>
      </w:r>
      <w:r>
        <w:rPr>
          <w:rStyle w:val="15"/>
          <w:rFonts w:hint="eastAsia" w:ascii="仿宋_GB2312" w:hAnsi="仿宋" w:eastAsia="仿宋_GB2312"/>
          <w:b w:val="0"/>
          <w:bCs/>
          <w:sz w:val="32"/>
          <w:szCs w:val="32"/>
        </w:rPr>
        <w:t>（类）公共卫生（款）其他专业公共卫生机构（项）</w:t>
      </w:r>
      <w:r>
        <w:rPr>
          <w:rStyle w:val="15"/>
          <w:rFonts w:hint="eastAsia" w:ascii="仿宋" w:hAnsi="仿宋" w:eastAsia="仿宋"/>
          <w:b w:val="0"/>
          <w:bCs/>
          <w:color w:val="000000" w:themeColor="text1"/>
          <w:sz w:val="32"/>
          <w:szCs w:val="32"/>
        </w:rPr>
        <w:t>指人员经费和公用经费。</w:t>
      </w:r>
    </w:p>
    <w:p>
      <w:pPr>
        <w:spacing w:line="600" w:lineRule="exact"/>
        <w:ind w:firstLine="640" w:firstLineChars="200"/>
        <w:rPr>
          <w:rStyle w:val="15"/>
          <w:rFonts w:ascii="仿宋_GB2312" w:hAnsi="仿宋" w:eastAsia="仿宋_GB2312"/>
          <w:b w:val="0"/>
          <w:bCs/>
          <w:sz w:val="32"/>
          <w:szCs w:val="32"/>
        </w:rPr>
      </w:pPr>
      <w:r>
        <w:rPr>
          <w:rStyle w:val="15"/>
          <w:rFonts w:ascii="仿宋_GB2312" w:hAnsi="仿宋" w:eastAsia="仿宋_GB2312"/>
          <w:b w:val="0"/>
          <w:bCs/>
          <w:sz w:val="32"/>
          <w:szCs w:val="32"/>
        </w:rPr>
        <w:t>10.</w:t>
      </w:r>
      <w:r>
        <w:rPr>
          <w:rFonts w:hint="eastAsia" w:ascii="仿宋_GB2312" w:hAnsi="仿宋" w:eastAsia="仿宋_GB2312"/>
          <w:bCs/>
          <w:sz w:val="32"/>
          <w:szCs w:val="32"/>
        </w:rPr>
        <w:t>卫生健康支出</w:t>
      </w:r>
      <w:r>
        <w:rPr>
          <w:rStyle w:val="15"/>
          <w:rFonts w:hint="eastAsia" w:ascii="仿宋_GB2312" w:hAnsi="仿宋" w:eastAsia="仿宋_GB2312"/>
          <w:b w:val="0"/>
          <w:bCs/>
          <w:sz w:val="32"/>
          <w:szCs w:val="32"/>
        </w:rPr>
        <w:t>（类）公共卫生（款）基本公共卫生服务（项）</w:t>
      </w:r>
      <w:r>
        <w:rPr>
          <w:rStyle w:val="15"/>
          <w:rFonts w:hint="eastAsia" w:ascii="仿宋" w:hAnsi="仿宋" w:eastAsia="仿宋"/>
          <w:b w:val="0"/>
          <w:bCs/>
          <w:color w:val="000000" w:themeColor="text1"/>
          <w:sz w:val="32"/>
          <w:szCs w:val="32"/>
        </w:rPr>
        <w:t>指基本公共卫生服务补助资金。</w:t>
      </w:r>
    </w:p>
    <w:p>
      <w:pPr>
        <w:spacing w:line="600" w:lineRule="exact"/>
        <w:ind w:firstLine="640" w:firstLineChars="200"/>
        <w:rPr>
          <w:rStyle w:val="15"/>
          <w:rFonts w:ascii="仿宋_GB2312" w:hAnsi="仿宋" w:eastAsia="仿宋_GB2312"/>
          <w:b w:val="0"/>
          <w:bCs/>
          <w:sz w:val="32"/>
          <w:szCs w:val="32"/>
        </w:rPr>
      </w:pPr>
      <w:r>
        <w:rPr>
          <w:rStyle w:val="15"/>
          <w:rFonts w:hint="eastAsia" w:ascii="仿宋_GB2312" w:hAnsi="仿宋" w:eastAsia="仿宋_GB2312"/>
          <w:b w:val="0"/>
          <w:bCs/>
          <w:sz w:val="32"/>
          <w:szCs w:val="32"/>
        </w:rPr>
        <w:t>1</w:t>
      </w:r>
      <w:r>
        <w:rPr>
          <w:rStyle w:val="15"/>
          <w:rFonts w:ascii="仿宋_GB2312" w:hAnsi="仿宋" w:eastAsia="仿宋_GB2312"/>
          <w:b w:val="0"/>
          <w:bCs/>
          <w:sz w:val="32"/>
          <w:szCs w:val="32"/>
        </w:rPr>
        <w:t>1</w:t>
      </w:r>
      <w:r>
        <w:rPr>
          <w:rStyle w:val="15"/>
          <w:rFonts w:hint="eastAsia" w:ascii="仿宋_GB2312" w:hAnsi="仿宋" w:eastAsia="仿宋_GB2312"/>
          <w:b w:val="0"/>
          <w:bCs/>
          <w:sz w:val="32"/>
          <w:szCs w:val="32"/>
        </w:rPr>
        <w:t>.</w:t>
      </w:r>
      <w:r>
        <w:rPr>
          <w:rFonts w:hint="eastAsia" w:ascii="仿宋_GB2312" w:hAnsi="仿宋" w:eastAsia="仿宋_GB2312"/>
          <w:bCs/>
          <w:sz w:val="32"/>
          <w:szCs w:val="32"/>
        </w:rPr>
        <w:t>卫生健康支出</w:t>
      </w:r>
      <w:r>
        <w:rPr>
          <w:rStyle w:val="15"/>
          <w:rFonts w:hint="eastAsia" w:ascii="仿宋_GB2312" w:hAnsi="仿宋" w:eastAsia="仿宋_GB2312"/>
          <w:b w:val="0"/>
          <w:bCs/>
          <w:sz w:val="32"/>
          <w:szCs w:val="32"/>
        </w:rPr>
        <w:t>（类）公共卫生（款）重大公共卫生服务（项）</w:t>
      </w:r>
      <w:r>
        <w:rPr>
          <w:rFonts w:hint="eastAsia" w:ascii="仿宋_GB2312" w:hAnsi="仿宋" w:eastAsia="仿宋_GB2312"/>
          <w:bCs/>
          <w:sz w:val="32"/>
          <w:szCs w:val="32"/>
        </w:rPr>
        <w:t>指精神卫生与慢性病防治经费</w:t>
      </w:r>
      <w:r>
        <w:rPr>
          <w:rStyle w:val="15"/>
          <w:rFonts w:hint="eastAsia" w:ascii="仿宋_GB2312" w:hAnsi="仿宋" w:eastAsia="仿宋_GB2312"/>
          <w:b w:val="0"/>
          <w:bCs/>
          <w:sz w:val="32"/>
          <w:szCs w:val="32"/>
        </w:rPr>
        <w:t>。</w:t>
      </w:r>
    </w:p>
    <w:p>
      <w:pPr>
        <w:spacing w:line="600" w:lineRule="exact"/>
        <w:ind w:firstLine="640" w:firstLineChars="200"/>
        <w:rPr>
          <w:rStyle w:val="15"/>
          <w:rFonts w:ascii="仿宋_GB2312" w:hAnsi="仿宋" w:eastAsia="仿宋_GB2312"/>
          <w:b w:val="0"/>
          <w:bCs/>
          <w:sz w:val="32"/>
          <w:szCs w:val="32"/>
        </w:rPr>
      </w:pPr>
      <w:r>
        <w:rPr>
          <w:rFonts w:hint="eastAsia" w:ascii="仿宋_GB2312" w:hAnsi="仿宋" w:eastAsia="仿宋_GB2312"/>
          <w:bCs/>
          <w:sz w:val="32"/>
          <w:szCs w:val="32"/>
        </w:rPr>
        <w:t>1</w:t>
      </w:r>
      <w:r>
        <w:rPr>
          <w:rFonts w:ascii="仿宋_GB2312" w:hAnsi="仿宋" w:eastAsia="仿宋_GB2312"/>
          <w:bCs/>
          <w:sz w:val="32"/>
          <w:szCs w:val="32"/>
        </w:rPr>
        <w:t>2.</w:t>
      </w:r>
      <w:r>
        <w:rPr>
          <w:rFonts w:hint="eastAsia" w:ascii="仿宋_GB2312" w:hAnsi="仿宋" w:eastAsia="仿宋_GB2312"/>
          <w:bCs/>
          <w:sz w:val="32"/>
          <w:szCs w:val="32"/>
        </w:rPr>
        <w:t>卫生健康支出</w:t>
      </w:r>
      <w:r>
        <w:rPr>
          <w:rStyle w:val="15"/>
          <w:rFonts w:hint="eastAsia" w:ascii="仿宋_GB2312" w:hAnsi="仿宋" w:eastAsia="仿宋_GB2312"/>
          <w:b w:val="0"/>
          <w:bCs/>
          <w:sz w:val="32"/>
          <w:szCs w:val="32"/>
        </w:rPr>
        <w:t>（类）中医药（款）中医（民族医）药专项（项）指</w:t>
      </w:r>
      <w:r>
        <w:rPr>
          <w:rFonts w:hint="eastAsia" w:ascii="仿宋_GB2312" w:hAnsi="仿宋" w:eastAsia="仿宋_GB2312"/>
          <w:bCs/>
          <w:sz w:val="32"/>
          <w:szCs w:val="32"/>
        </w:rPr>
        <w:t>中医药发展专项资金</w:t>
      </w:r>
      <w:r>
        <w:rPr>
          <w:rStyle w:val="15"/>
          <w:rFonts w:hint="eastAsia" w:ascii="仿宋_GB2312" w:hAnsi="仿宋" w:eastAsia="仿宋_GB2312"/>
          <w:b w:val="0"/>
          <w:bCs/>
          <w:sz w:val="32"/>
          <w:szCs w:val="32"/>
        </w:rPr>
        <w:t>。</w:t>
      </w:r>
    </w:p>
    <w:p>
      <w:pPr>
        <w:spacing w:line="600" w:lineRule="exact"/>
        <w:ind w:firstLine="640" w:firstLineChars="200"/>
        <w:rPr>
          <w:rStyle w:val="15"/>
          <w:rFonts w:ascii="仿宋_GB2312" w:hAnsi="仿宋" w:eastAsia="仿宋_GB2312"/>
          <w:b w:val="0"/>
          <w:bCs/>
          <w:sz w:val="32"/>
          <w:szCs w:val="32"/>
        </w:rPr>
      </w:pPr>
      <w:r>
        <w:rPr>
          <w:rStyle w:val="15"/>
          <w:rFonts w:hint="eastAsia" w:ascii="仿宋_GB2312" w:hAnsi="仿宋" w:eastAsia="仿宋_GB2312"/>
          <w:b w:val="0"/>
          <w:bCs/>
          <w:sz w:val="32"/>
          <w:szCs w:val="32"/>
        </w:rPr>
        <w:t>1</w:t>
      </w:r>
      <w:r>
        <w:rPr>
          <w:rStyle w:val="15"/>
          <w:rFonts w:ascii="仿宋_GB2312" w:hAnsi="仿宋" w:eastAsia="仿宋_GB2312"/>
          <w:b w:val="0"/>
          <w:bCs/>
          <w:sz w:val="32"/>
          <w:szCs w:val="32"/>
        </w:rPr>
        <w:t>3.</w:t>
      </w:r>
      <w:r>
        <w:rPr>
          <w:rFonts w:hint="eastAsia" w:ascii="仿宋_GB2312" w:hAnsi="仿宋" w:eastAsia="仿宋_GB2312"/>
          <w:bCs/>
          <w:sz w:val="32"/>
          <w:szCs w:val="32"/>
        </w:rPr>
        <w:t>卫生健康支出（类）</w:t>
      </w:r>
      <w:r>
        <w:rPr>
          <w:rStyle w:val="15"/>
          <w:rFonts w:hint="eastAsia" w:ascii="仿宋_GB2312" w:hAnsi="仿宋" w:eastAsia="仿宋_GB2312"/>
          <w:b w:val="0"/>
          <w:bCs/>
          <w:sz w:val="32"/>
          <w:szCs w:val="32"/>
        </w:rPr>
        <w:t>行政事业单位医疗（款）事业单位医疗（项）</w:t>
      </w:r>
      <w:r>
        <w:rPr>
          <w:rFonts w:hint="eastAsia" w:ascii="仿宋_GB2312" w:hAnsi="仿宋" w:eastAsia="仿宋_GB2312"/>
          <w:bCs/>
          <w:sz w:val="32"/>
          <w:szCs w:val="32"/>
        </w:rPr>
        <w:t>指事业人员医疗保险。</w:t>
      </w:r>
    </w:p>
    <w:p>
      <w:pPr>
        <w:spacing w:line="600" w:lineRule="exact"/>
        <w:ind w:firstLine="640" w:firstLineChars="200"/>
        <w:rPr>
          <w:rStyle w:val="15"/>
          <w:rFonts w:ascii="仿宋_GB2312" w:hAnsi="仿宋" w:eastAsia="仿宋_GB2312"/>
          <w:b w:val="0"/>
          <w:bCs/>
          <w:sz w:val="32"/>
          <w:szCs w:val="32"/>
        </w:rPr>
      </w:pPr>
      <w:r>
        <w:rPr>
          <w:rStyle w:val="15"/>
          <w:rFonts w:hint="eastAsia" w:ascii="仿宋_GB2312" w:hAnsi="仿宋" w:eastAsia="仿宋_GB2312"/>
          <w:b w:val="0"/>
          <w:bCs/>
          <w:sz w:val="32"/>
          <w:szCs w:val="32"/>
        </w:rPr>
        <w:t>1</w:t>
      </w:r>
      <w:r>
        <w:rPr>
          <w:rStyle w:val="15"/>
          <w:rFonts w:ascii="仿宋_GB2312" w:hAnsi="仿宋" w:eastAsia="仿宋_GB2312"/>
          <w:b w:val="0"/>
          <w:bCs/>
          <w:sz w:val="32"/>
          <w:szCs w:val="32"/>
        </w:rPr>
        <w:t>4.</w:t>
      </w:r>
      <w:r>
        <w:rPr>
          <w:rFonts w:hint="eastAsia" w:ascii="仿宋_GB2312" w:hAnsi="仿宋" w:eastAsia="仿宋_GB2312"/>
          <w:bCs/>
          <w:sz w:val="32"/>
          <w:szCs w:val="32"/>
        </w:rPr>
        <w:t>卫生健康支出（类）行政事业单位医疗（款）</w:t>
      </w:r>
      <w:r>
        <w:rPr>
          <w:rStyle w:val="15"/>
          <w:rFonts w:hint="eastAsia" w:ascii="仿宋_GB2312" w:hAnsi="仿宋" w:eastAsia="仿宋_GB2312"/>
          <w:b w:val="0"/>
          <w:bCs/>
          <w:sz w:val="32"/>
          <w:szCs w:val="32"/>
        </w:rPr>
        <w:t>公务员医疗补助（项）</w:t>
      </w:r>
      <w:r>
        <w:rPr>
          <w:rFonts w:hint="eastAsia" w:ascii="仿宋_GB2312" w:hAnsi="仿宋" w:eastAsia="仿宋_GB2312"/>
          <w:bCs/>
          <w:sz w:val="32"/>
          <w:szCs w:val="32"/>
        </w:rPr>
        <w:t>指事业人员公务员医疗补助</w:t>
      </w:r>
      <w:r>
        <w:rPr>
          <w:rStyle w:val="15"/>
          <w:rFonts w:hint="eastAsia" w:ascii="仿宋_GB2312" w:hAnsi="仿宋" w:eastAsia="仿宋_GB2312"/>
          <w:b w:val="0"/>
          <w:bCs/>
          <w:sz w:val="32"/>
          <w:szCs w:val="32"/>
        </w:rPr>
        <w:t>。</w:t>
      </w:r>
    </w:p>
    <w:p>
      <w:pPr>
        <w:spacing w:line="600" w:lineRule="exact"/>
        <w:ind w:firstLine="640" w:firstLineChars="200"/>
        <w:rPr>
          <w:rStyle w:val="15"/>
          <w:rFonts w:ascii="仿宋_GB2312" w:hAnsi="仿宋" w:eastAsia="仿宋_GB2312"/>
          <w:b w:val="0"/>
          <w:bCs/>
          <w:sz w:val="32"/>
          <w:szCs w:val="32"/>
        </w:rPr>
      </w:pPr>
      <w:r>
        <w:rPr>
          <w:rStyle w:val="15"/>
          <w:rFonts w:hint="eastAsia" w:ascii="仿宋_GB2312" w:hAnsi="仿宋" w:eastAsia="仿宋_GB2312"/>
          <w:b w:val="0"/>
          <w:bCs/>
          <w:sz w:val="32"/>
          <w:szCs w:val="32"/>
        </w:rPr>
        <w:t>1</w:t>
      </w:r>
      <w:r>
        <w:rPr>
          <w:rStyle w:val="15"/>
          <w:rFonts w:ascii="仿宋_GB2312" w:hAnsi="仿宋" w:eastAsia="仿宋_GB2312"/>
          <w:b w:val="0"/>
          <w:bCs/>
          <w:sz w:val="32"/>
          <w:szCs w:val="32"/>
        </w:rPr>
        <w:t>5.</w:t>
      </w:r>
      <w:r>
        <w:rPr>
          <w:rFonts w:hint="eastAsia" w:ascii="仿宋_GB2312" w:hAnsi="仿宋" w:eastAsia="仿宋_GB2312"/>
          <w:bCs/>
          <w:sz w:val="32"/>
          <w:szCs w:val="32"/>
        </w:rPr>
        <w:t>卫生健康支出（类）</w:t>
      </w:r>
      <w:r>
        <w:rPr>
          <w:rStyle w:val="15"/>
          <w:rFonts w:hint="eastAsia" w:ascii="仿宋_GB2312" w:hAnsi="仿宋" w:eastAsia="仿宋_GB2312"/>
          <w:b w:val="0"/>
          <w:bCs/>
          <w:sz w:val="32"/>
          <w:szCs w:val="32"/>
        </w:rPr>
        <w:t>其他卫生健康支出（款）其他卫生健康支出（项）指医疗服务与保障能力提升经费、卫生健康专项资金。</w:t>
      </w:r>
    </w:p>
    <w:p>
      <w:pPr>
        <w:pStyle w:val="2"/>
        <w:spacing w:before="93"/>
        <w:ind w:firstLine="640" w:firstLineChars="200"/>
        <w:rPr>
          <w:sz w:val="32"/>
          <w:szCs w:val="32"/>
        </w:rPr>
      </w:pPr>
      <w:r>
        <w:rPr>
          <w:rFonts w:hint="eastAsia"/>
          <w:sz w:val="32"/>
          <w:szCs w:val="32"/>
        </w:rPr>
        <w:t>1</w:t>
      </w:r>
      <w:r>
        <w:rPr>
          <w:sz w:val="32"/>
          <w:szCs w:val="32"/>
        </w:rPr>
        <w:t>6.住房保障支出</w:t>
      </w:r>
      <w:r>
        <w:rPr>
          <w:rFonts w:hint="eastAsia"/>
          <w:sz w:val="32"/>
          <w:szCs w:val="32"/>
        </w:rPr>
        <w:t>（类）住房改革支出（款）住房公积金（项）：指事业人员住房公积金。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7.</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8.</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9.</w:t>
      </w:r>
      <w:r>
        <w:rPr>
          <w:rFonts w:hint="eastAsia" w:ascii="仿宋_GB2312" w:eastAsia="仿宋_GB2312"/>
          <w:color w:val="000000"/>
          <w:sz w:val="32"/>
          <w:szCs w:val="32"/>
        </w:rPr>
        <w:t>经营支出：指事业单位在专业业务活动及其辅助活动之外开展非独立核算经营活动发生的支出。</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6"/>
          <w:rFonts w:ascii="黑体" w:hAnsi="黑体" w:eastAsia="黑体"/>
          <w:b w:val="0"/>
        </w:rPr>
      </w:pPr>
      <w:r>
        <w:rPr>
          <w:rFonts w:ascii="宋体"/>
          <w:sz w:val="44"/>
          <w:szCs w:val="44"/>
        </w:rPr>
        <w:br w:type="page"/>
      </w:r>
      <w:bookmarkStart w:id="58" w:name="_Toc15396614"/>
      <w:r>
        <w:rPr>
          <w:rFonts w:hint="eastAsia" w:ascii="黑体" w:hAnsi="黑体" w:eastAsia="黑体"/>
          <w:sz w:val="44"/>
          <w:szCs w:val="44"/>
        </w:rPr>
        <w:t>第</w:t>
      </w:r>
      <w:r>
        <w:rPr>
          <w:rStyle w:val="26"/>
          <w:rFonts w:hint="eastAsia" w:ascii="黑体" w:hAnsi="黑体" w:eastAsia="黑体"/>
          <w:b w:val="0"/>
        </w:rPr>
        <w:t>四部分 附件</w:t>
      </w:r>
      <w:bookmarkEnd w:id="58"/>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附件1</w:t>
      </w:r>
    </w:p>
    <w:p>
      <w:pPr>
        <w:spacing w:line="572" w:lineRule="exact"/>
        <w:jc w:val="center"/>
        <w:rPr>
          <w:rFonts w:ascii="方正小标宋简体" w:hAnsi="宋体" w:eastAsia="方正小标宋简体"/>
          <w:kern w:val="0"/>
          <w:sz w:val="40"/>
          <w:szCs w:val="44"/>
        </w:rPr>
      </w:pPr>
    </w:p>
    <w:p>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2021年攀枝花市西区公卫卫生服务中心整体绩效评价报告</w:t>
      </w:r>
    </w:p>
    <w:p>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pacing w:line="353" w:lineRule="auto"/>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pacing w:line="353" w:lineRule="auto"/>
        <w:ind w:firstLine="640" w:firstLineChars="200"/>
        <w:contextualSpacing/>
        <w:jc w:val="left"/>
        <w:rPr>
          <w:rFonts w:ascii="楷体_GB2312" w:hAnsi="宋体" w:eastAsia="楷体_GB2312" w:cs="宋体"/>
          <w:kern w:val="0"/>
          <w:sz w:val="32"/>
          <w:szCs w:val="32"/>
          <w:shd w:val="clear" w:color="auto" w:fill="FFFFFF"/>
          <w:lang w:val="zh-CN"/>
        </w:rPr>
      </w:pPr>
      <w:r>
        <w:rPr>
          <w:rFonts w:hint="eastAsia" w:ascii="楷体_GB2312" w:hAnsi="宋体" w:eastAsia="楷体_GB2312" w:cs="宋体"/>
          <w:kern w:val="0"/>
          <w:sz w:val="32"/>
          <w:szCs w:val="32"/>
          <w:shd w:val="clear" w:color="auto" w:fill="FFFFFF"/>
          <w:lang w:val="zh-CN"/>
        </w:rPr>
        <w:t>（一）机构组成。</w:t>
      </w:r>
    </w:p>
    <w:p>
      <w:pPr>
        <w:spacing w:line="353" w:lineRule="auto"/>
        <w:ind w:firstLine="624" w:firstLineChars="200"/>
        <w:contextualSpacing/>
        <w:jc w:val="left"/>
        <w:rPr>
          <w:rFonts w:eastAsia="方正仿宋_GBK"/>
          <w:sz w:val="33"/>
          <w:szCs w:val="33"/>
        </w:rPr>
      </w:pPr>
      <w:r>
        <w:rPr>
          <w:rFonts w:eastAsia="仿宋_GB2312"/>
          <w:spacing w:val="-4"/>
          <w:sz w:val="32"/>
          <w:szCs w:val="32"/>
        </w:rPr>
        <w:t>攀枝花市西区公共卫生服务中心是财政全额拨款事业单位，执行政府会计制度。</w:t>
      </w:r>
      <w:r>
        <w:rPr>
          <w:rFonts w:eastAsia="方正仿宋_GBK"/>
          <w:sz w:val="33"/>
          <w:szCs w:val="33"/>
        </w:rPr>
        <w:t>内设机构数量完全符合规定要求，无擅自提高机构规格，无擅自增设、变更机构等情况，内设机构工作人员分工明确，机构运行良好。</w:t>
      </w:r>
    </w:p>
    <w:p>
      <w:pPr>
        <w:widowControl/>
        <w:spacing w:line="353" w:lineRule="auto"/>
        <w:ind w:firstLine="640" w:firstLineChars="200"/>
        <w:contextualSpacing/>
        <w:jc w:val="left"/>
        <w:rPr>
          <w:rFonts w:ascii="楷体_GB2312" w:hAnsi="宋体" w:eastAsia="楷体_GB2312" w:cs="宋体"/>
          <w:kern w:val="0"/>
          <w:sz w:val="32"/>
          <w:szCs w:val="32"/>
          <w:shd w:val="clear" w:color="auto" w:fill="FFFFFF"/>
          <w:lang w:val="zh-CN"/>
        </w:rPr>
      </w:pPr>
      <w:r>
        <w:rPr>
          <w:rFonts w:hint="eastAsia" w:ascii="楷体_GB2312" w:hAnsi="宋体" w:eastAsia="楷体_GB2312" w:cs="宋体"/>
          <w:kern w:val="0"/>
          <w:sz w:val="32"/>
          <w:szCs w:val="32"/>
          <w:shd w:val="clear" w:color="auto" w:fill="FFFFFF"/>
          <w:lang w:val="zh-CN"/>
        </w:rPr>
        <w:t>（二）机构职能。</w:t>
      </w:r>
    </w:p>
    <w:p>
      <w:pPr>
        <w:pStyle w:val="8"/>
        <w:widowControl/>
        <w:spacing w:before="93" w:line="353" w:lineRule="auto"/>
        <w:ind w:firstLine="640" w:firstLineChars="200"/>
        <w:contextualSpacing/>
        <w:rPr>
          <w:rFonts w:ascii="Times New Roman" w:hAnsi="Times New Roman" w:eastAsia="仿宋_GB2312"/>
          <w:sz w:val="32"/>
          <w:szCs w:val="32"/>
        </w:rPr>
      </w:pPr>
      <w:r>
        <w:rPr>
          <w:rFonts w:ascii="Times New Roman" w:hAnsi="Times New Roman" w:eastAsia="仿宋_GB2312"/>
          <w:sz w:val="32"/>
          <w:szCs w:val="32"/>
        </w:rPr>
        <w:t xml:space="preserve">负责社区、农村卫生服务体系建设，对社区、农村卫生服务机构的建设项目进行管理。负责制定社区、农村卫生建设规划、年度计划，并组织实施。负责社区、农村卫生服务标准化、规范化建设与管理；负责社区、农村卫生服务。拟订基层卫生健康政策并组织实施。拟订基层医疗卫生机构绩效评价和考核制度并组织实施。牵头负责基本公共卫生服务均等化工作。指导基层卫生健康服务体系建设、基本医疗、基本公共卫生服务等工作，推进家庭医生签约服务和乡村医生相关管理工作。负责探索社区卫生服务机构“收支两条线”“首诊制”“药品零利率”等运行机制体制。负责对社区卫生服务公共补助经费的划拨和管理。负责对社区卫生服务机构人事管理。负责深化医药卫生体制改革相关工作，研究提出深化医药卫生体制 改革重大政策、措施的建议。组织建立分级诊疗制度。负责基层医疗卫生机构基本药物制度的实施、考核及补助经费的划拨、管理。负责社区、农村医务人员的培训考试。负责公共卫生统计工作。完成区卫生健康局交办的其他任务。 </w:t>
      </w:r>
    </w:p>
    <w:p>
      <w:pPr>
        <w:widowControl/>
        <w:adjustRightInd w:val="0"/>
        <w:spacing w:line="572" w:lineRule="exact"/>
        <w:ind w:firstLine="640" w:firstLineChars="200"/>
        <w:contextualSpacing/>
        <w:jc w:val="left"/>
        <w:rPr>
          <w:rFonts w:ascii="楷体_GB2312" w:hAnsi="宋体" w:eastAsia="楷体_GB2312" w:cs="宋体"/>
          <w:kern w:val="0"/>
          <w:sz w:val="32"/>
          <w:szCs w:val="32"/>
          <w:shd w:val="clear" w:color="auto" w:fill="FFFFFF"/>
          <w:lang w:val="zh-CN"/>
        </w:rPr>
      </w:pPr>
      <w:r>
        <w:rPr>
          <w:rFonts w:hint="eastAsia" w:ascii="楷体_GB2312" w:hAnsi="宋体" w:eastAsia="楷体_GB2312" w:cs="宋体"/>
          <w:kern w:val="0"/>
          <w:sz w:val="32"/>
          <w:szCs w:val="32"/>
          <w:shd w:val="clear" w:color="auto" w:fill="FFFFFF"/>
          <w:lang w:val="zh-CN"/>
        </w:rPr>
        <w:t>（三）人员概况。</w:t>
      </w:r>
    </w:p>
    <w:p>
      <w:pPr>
        <w:spacing w:line="600" w:lineRule="exact"/>
        <w:ind w:firstLine="640" w:firstLineChars="200"/>
        <w:contextualSpacing/>
        <w:rPr>
          <w:rFonts w:eastAsia="仿宋_GB2312"/>
          <w:bCs/>
          <w:color w:val="000000"/>
          <w:sz w:val="32"/>
          <w:szCs w:val="32"/>
        </w:rPr>
      </w:pPr>
      <w:r>
        <w:rPr>
          <w:rFonts w:eastAsia="仿宋_GB2312"/>
          <w:bCs/>
          <w:color w:val="000000"/>
          <w:sz w:val="32"/>
          <w:szCs w:val="32"/>
        </w:rPr>
        <w:t>核定编制114人，年末实有人数119人（包括财政拨款村医9名），其中正式在编人数22人。</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widowControl/>
        <w:adjustRightInd w:val="0"/>
        <w:snapToGrid w:val="0"/>
        <w:spacing w:line="572" w:lineRule="exact"/>
        <w:ind w:firstLine="640" w:firstLineChars="200"/>
        <w:contextualSpacing/>
        <w:jc w:val="left"/>
        <w:rPr>
          <w:rFonts w:ascii="楷体_GB2312" w:hAnsi="宋体" w:eastAsia="楷体_GB2312" w:cs="宋体"/>
          <w:kern w:val="0"/>
          <w:sz w:val="32"/>
          <w:szCs w:val="32"/>
          <w:shd w:val="clear" w:color="auto" w:fill="FFFFFF"/>
          <w:lang w:val="zh-CN"/>
        </w:rPr>
      </w:pPr>
      <w:r>
        <w:rPr>
          <w:rFonts w:hint="eastAsia" w:ascii="楷体_GB2312" w:hAnsi="宋体" w:eastAsia="楷体_GB2312" w:cs="宋体"/>
          <w:kern w:val="0"/>
          <w:sz w:val="32"/>
          <w:szCs w:val="32"/>
          <w:shd w:val="clear" w:color="auto" w:fill="FFFFFF"/>
          <w:lang w:val="zh-CN"/>
        </w:rPr>
        <w:t>（一）部门财政资金收入情况。</w:t>
      </w:r>
    </w:p>
    <w:p>
      <w:pPr>
        <w:pStyle w:val="6"/>
        <w:ind w:firstLine="640" w:firstLineChars="200"/>
        <w:rPr>
          <w:lang w:val="zh-CN"/>
        </w:rPr>
      </w:pPr>
      <w:r>
        <w:rPr>
          <w:rFonts w:hint="eastAsia" w:ascii="仿宋_GB2312" w:hAnsi="宋体" w:eastAsia="仿宋_GB2312" w:cs="宋体"/>
          <w:kern w:val="0"/>
          <w:sz w:val="32"/>
          <w:szCs w:val="32"/>
          <w:shd w:val="clear" w:color="auto" w:fill="FFFFFF"/>
          <w:lang w:val="zh-CN"/>
        </w:rPr>
        <w:t>202</w:t>
      </w:r>
      <w:r>
        <w:rPr>
          <w:rFonts w:hint="eastAsia" w:ascii="仿宋_GB2312" w:hAnsi="宋体" w:eastAsia="仿宋_GB2312" w:cs="宋体"/>
          <w:kern w:val="0"/>
          <w:sz w:val="32"/>
          <w:szCs w:val="32"/>
          <w:shd w:val="clear" w:color="auto" w:fill="FFFFFF"/>
        </w:rPr>
        <w:t>1</w:t>
      </w:r>
      <w:r>
        <w:rPr>
          <w:rFonts w:hint="eastAsia" w:ascii="仿宋_GB2312" w:hAnsi="宋体" w:eastAsia="仿宋_GB2312" w:cs="宋体"/>
          <w:kern w:val="0"/>
          <w:sz w:val="32"/>
          <w:szCs w:val="32"/>
          <w:shd w:val="clear" w:color="auto" w:fill="FFFFFF"/>
          <w:lang w:val="zh-CN"/>
        </w:rPr>
        <w:t>年收入预算总额为</w:t>
      </w:r>
      <w:r>
        <w:rPr>
          <w:rFonts w:ascii="仿宋_GB2312" w:hAnsi="宋体" w:eastAsia="仿宋_GB2312" w:cs="宋体"/>
          <w:kern w:val="0"/>
          <w:sz w:val="32"/>
          <w:szCs w:val="32"/>
          <w:shd w:val="clear" w:color="auto" w:fill="FFFFFF"/>
        </w:rPr>
        <w:t>1629.96</w:t>
      </w:r>
      <w:r>
        <w:rPr>
          <w:rFonts w:hint="eastAsia" w:ascii="仿宋_GB2312" w:hAnsi="宋体" w:eastAsia="仿宋_GB2312" w:cs="宋体"/>
          <w:kern w:val="0"/>
          <w:sz w:val="32"/>
          <w:szCs w:val="32"/>
          <w:shd w:val="clear" w:color="auto" w:fill="FFFFFF"/>
          <w:lang w:val="zh-CN"/>
        </w:rPr>
        <w:t>万元，其中：财政拨款预算收入</w:t>
      </w:r>
      <w:r>
        <w:rPr>
          <w:rFonts w:ascii="仿宋_GB2312" w:hAnsi="宋体" w:eastAsia="仿宋_GB2312" w:cs="宋体"/>
          <w:kern w:val="0"/>
          <w:sz w:val="32"/>
          <w:szCs w:val="32"/>
          <w:shd w:val="clear" w:color="auto" w:fill="FFFFFF"/>
        </w:rPr>
        <w:t>1629.96</w:t>
      </w:r>
      <w:r>
        <w:rPr>
          <w:rFonts w:hint="eastAsia" w:ascii="仿宋_GB2312" w:hAnsi="宋体" w:eastAsia="仿宋_GB2312" w:cs="宋体"/>
          <w:kern w:val="0"/>
          <w:sz w:val="32"/>
          <w:szCs w:val="32"/>
          <w:shd w:val="clear" w:color="auto" w:fill="FFFFFF"/>
        </w:rPr>
        <w:t>万元，</w:t>
      </w:r>
      <w:r>
        <w:rPr>
          <w:rFonts w:hint="eastAsia" w:ascii="仿宋_GB2312" w:hAnsi="宋体" w:eastAsia="仿宋_GB2312" w:cs="宋体"/>
          <w:kern w:val="0"/>
          <w:sz w:val="32"/>
          <w:szCs w:val="32"/>
          <w:shd w:val="clear" w:color="auto" w:fill="FFFFFF"/>
          <w:lang w:val="zh-CN"/>
        </w:rPr>
        <w:t>其中：工资福利支出</w:t>
      </w:r>
      <w:r>
        <w:rPr>
          <w:rFonts w:ascii="仿宋_GB2312" w:hAnsi="宋体" w:eastAsia="仿宋_GB2312" w:cs="宋体"/>
          <w:kern w:val="0"/>
          <w:sz w:val="32"/>
          <w:szCs w:val="32"/>
          <w:shd w:val="clear" w:color="auto" w:fill="FFFFFF"/>
        </w:rPr>
        <w:t>336</w:t>
      </w:r>
      <w:r>
        <w:rPr>
          <w:rFonts w:hint="eastAsia" w:ascii="仿宋_GB2312" w:hAnsi="宋体" w:eastAsia="仿宋_GB2312" w:cs="宋体"/>
          <w:kern w:val="0"/>
          <w:sz w:val="32"/>
          <w:szCs w:val="32"/>
          <w:shd w:val="clear" w:color="auto" w:fill="FFFFFF"/>
          <w:lang w:val="zh-CN"/>
        </w:rPr>
        <w:t>万元，日常公用支出</w:t>
      </w:r>
      <w:r>
        <w:rPr>
          <w:rFonts w:ascii="仿宋_GB2312" w:hAnsi="宋体" w:eastAsia="仿宋_GB2312" w:cs="宋体"/>
          <w:kern w:val="0"/>
          <w:sz w:val="32"/>
          <w:szCs w:val="32"/>
          <w:shd w:val="clear" w:color="auto" w:fill="FFFFFF"/>
        </w:rPr>
        <w:t>23.3</w:t>
      </w:r>
      <w:r>
        <w:rPr>
          <w:rFonts w:hint="eastAsia" w:ascii="仿宋_GB2312" w:hAnsi="宋体" w:eastAsia="仿宋_GB2312" w:cs="宋体"/>
          <w:kern w:val="0"/>
          <w:sz w:val="32"/>
          <w:szCs w:val="32"/>
          <w:shd w:val="clear" w:color="auto" w:fill="FFFFFF"/>
          <w:lang w:val="zh-CN"/>
        </w:rPr>
        <w:t>万元，项目支出</w:t>
      </w:r>
      <w:r>
        <w:rPr>
          <w:rFonts w:ascii="仿宋_GB2312" w:hAnsi="宋体" w:eastAsia="仿宋_GB2312" w:cs="宋体"/>
          <w:kern w:val="0"/>
          <w:sz w:val="32"/>
          <w:szCs w:val="32"/>
          <w:shd w:val="clear" w:color="auto" w:fill="FFFFFF"/>
        </w:rPr>
        <w:t>252.62</w:t>
      </w:r>
      <w:r>
        <w:rPr>
          <w:rFonts w:hint="eastAsia" w:ascii="仿宋_GB2312" w:hAnsi="宋体" w:eastAsia="仿宋_GB2312" w:cs="宋体"/>
          <w:kern w:val="0"/>
          <w:sz w:val="32"/>
          <w:szCs w:val="32"/>
          <w:shd w:val="clear" w:color="auto" w:fill="FFFFFF"/>
          <w:lang w:val="zh-CN"/>
        </w:rPr>
        <w:t>万元，对个人和家庭的补助支出1</w:t>
      </w:r>
      <w:r>
        <w:rPr>
          <w:rFonts w:ascii="仿宋_GB2312" w:hAnsi="宋体" w:eastAsia="仿宋_GB2312" w:cs="宋体"/>
          <w:kern w:val="0"/>
          <w:sz w:val="32"/>
          <w:szCs w:val="32"/>
          <w:shd w:val="clear" w:color="auto" w:fill="FFFFFF"/>
          <w:lang w:val="zh-CN"/>
        </w:rPr>
        <w:t>018.04万元</w:t>
      </w:r>
      <w:r>
        <w:rPr>
          <w:rFonts w:hint="eastAsia" w:ascii="仿宋_GB2312" w:hAnsi="宋体" w:eastAsia="仿宋_GB2312" w:cs="宋体"/>
          <w:kern w:val="0"/>
          <w:sz w:val="32"/>
          <w:szCs w:val="32"/>
          <w:shd w:val="clear" w:color="auto" w:fill="FFFFFF"/>
          <w:lang w:val="zh-CN"/>
        </w:rPr>
        <w:t>。</w:t>
      </w:r>
    </w:p>
    <w:p>
      <w:pPr>
        <w:widowControl/>
        <w:adjustRightInd w:val="0"/>
        <w:snapToGrid w:val="0"/>
        <w:spacing w:line="572" w:lineRule="exact"/>
        <w:ind w:firstLine="640" w:firstLineChars="200"/>
        <w:contextualSpacing/>
        <w:jc w:val="left"/>
        <w:rPr>
          <w:rFonts w:ascii="楷体_GB2312" w:hAnsi="宋体" w:eastAsia="楷体_GB2312" w:cs="宋体"/>
          <w:kern w:val="0"/>
          <w:sz w:val="32"/>
          <w:szCs w:val="32"/>
          <w:shd w:val="clear" w:color="auto" w:fill="FFFFFF"/>
          <w:lang w:val="zh-CN"/>
        </w:rPr>
      </w:pPr>
      <w:r>
        <w:rPr>
          <w:rFonts w:hint="eastAsia" w:ascii="楷体_GB2312" w:hAnsi="宋体" w:eastAsia="楷体_GB2312" w:cs="宋体"/>
          <w:kern w:val="0"/>
          <w:sz w:val="32"/>
          <w:szCs w:val="32"/>
          <w:shd w:val="clear" w:color="auto" w:fill="FFFFFF"/>
          <w:lang w:val="zh-CN"/>
        </w:rPr>
        <w:t>（二）部门财政资金支出情况。</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仿宋_GB2312" w:hAnsi="宋体" w:eastAsia="仿宋_GB2312" w:cs="宋体"/>
          <w:kern w:val="0"/>
          <w:sz w:val="32"/>
          <w:szCs w:val="32"/>
          <w:shd w:val="clear" w:color="auto" w:fill="FFFFFF"/>
        </w:rPr>
        <w:t>2021年度财政实际拨款</w:t>
      </w:r>
      <w:r>
        <w:rPr>
          <w:rFonts w:hAnsi="宋体" w:cs="宋体"/>
          <w:kern w:val="0"/>
          <w:sz w:val="32"/>
          <w:szCs w:val="32"/>
          <w:shd w:val="clear" w:color="auto" w:fill="FFFFFF"/>
        </w:rPr>
        <w:t>2969.89</w:t>
      </w:r>
      <w:r>
        <w:rPr>
          <w:rFonts w:hint="eastAsia" w:ascii="仿宋_GB2312" w:hAnsi="宋体" w:eastAsia="仿宋_GB2312" w:cs="宋体"/>
          <w:kern w:val="0"/>
          <w:sz w:val="32"/>
          <w:szCs w:val="32"/>
          <w:shd w:val="clear" w:color="auto" w:fill="FFFFFF"/>
        </w:rPr>
        <w:t>万元，基本支出</w:t>
      </w:r>
      <w:r>
        <w:rPr>
          <w:rFonts w:hAnsi="宋体" w:cs="宋体"/>
          <w:kern w:val="0"/>
          <w:sz w:val="32"/>
          <w:szCs w:val="32"/>
          <w:shd w:val="clear" w:color="auto" w:fill="FFFFFF"/>
        </w:rPr>
        <w:t>361.87</w:t>
      </w:r>
      <w:r>
        <w:rPr>
          <w:rFonts w:hint="eastAsia" w:ascii="仿宋_GB2312" w:hAnsi="宋体" w:eastAsia="仿宋_GB2312" w:cs="宋体"/>
          <w:kern w:val="0"/>
          <w:sz w:val="32"/>
          <w:szCs w:val="32"/>
          <w:shd w:val="clear" w:color="auto" w:fill="FFFFFF"/>
        </w:rPr>
        <w:t>万元，其中工资福利支出</w:t>
      </w:r>
      <w:r>
        <w:rPr>
          <w:rFonts w:hAnsi="宋体" w:cs="宋体"/>
          <w:kern w:val="0"/>
          <w:sz w:val="32"/>
          <w:szCs w:val="32"/>
          <w:shd w:val="clear" w:color="auto" w:fill="FFFFFF"/>
        </w:rPr>
        <w:t>349.47</w:t>
      </w:r>
      <w:r>
        <w:rPr>
          <w:rFonts w:hint="eastAsia" w:ascii="仿宋_GB2312" w:hAnsi="宋体" w:eastAsia="仿宋_GB2312" w:cs="宋体"/>
          <w:kern w:val="0"/>
          <w:sz w:val="32"/>
          <w:szCs w:val="32"/>
          <w:shd w:val="clear" w:color="auto" w:fill="FFFFFF"/>
        </w:rPr>
        <w:t>万元，商品和服务支出</w:t>
      </w:r>
      <w:r>
        <w:rPr>
          <w:rFonts w:hAnsi="宋体" w:cs="宋体"/>
          <w:kern w:val="0"/>
          <w:sz w:val="32"/>
          <w:szCs w:val="32"/>
          <w:shd w:val="clear" w:color="auto" w:fill="FFFFFF"/>
        </w:rPr>
        <w:t>12.39</w:t>
      </w:r>
      <w:r>
        <w:rPr>
          <w:rFonts w:hint="eastAsia" w:ascii="仿宋_GB2312" w:hAnsi="宋体" w:eastAsia="仿宋_GB2312" w:cs="宋体"/>
          <w:kern w:val="0"/>
          <w:sz w:val="32"/>
          <w:szCs w:val="32"/>
          <w:shd w:val="clear" w:color="auto" w:fill="FFFFFF"/>
        </w:rPr>
        <w:t>万元，项目支出</w:t>
      </w:r>
      <w:r>
        <w:rPr>
          <w:rFonts w:hAnsi="宋体" w:cs="宋体"/>
          <w:kern w:val="0"/>
          <w:sz w:val="32"/>
          <w:szCs w:val="32"/>
          <w:shd w:val="clear" w:color="auto" w:fill="FFFFFF"/>
        </w:rPr>
        <w:t>2608.02</w:t>
      </w:r>
      <w:r>
        <w:rPr>
          <w:rFonts w:hint="eastAsia" w:ascii="仿宋_GB2312" w:hAnsi="宋体" w:eastAsia="仿宋_GB2312" w:cs="宋体"/>
          <w:kern w:val="0"/>
          <w:sz w:val="32"/>
          <w:szCs w:val="32"/>
          <w:shd w:val="clear" w:color="auto" w:fill="FFFFFF"/>
        </w:rPr>
        <w:t>万元。</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楷体_GB2312" w:hAnsi="宋体" w:eastAsia="楷体_GB2312" w:cs="宋体"/>
          <w:kern w:val="0"/>
          <w:sz w:val="32"/>
          <w:szCs w:val="32"/>
          <w:shd w:val="clear" w:color="auto" w:fill="FFFFFF"/>
          <w:lang w:val="zh-CN"/>
        </w:rPr>
        <w:t>（一）部门预算项目绩效管理。</w:t>
      </w:r>
    </w:p>
    <w:p>
      <w:pPr>
        <w:widowControl/>
        <w:adjustRightInd w:val="0"/>
        <w:snapToGrid w:val="0"/>
        <w:spacing w:line="572" w:lineRule="exact"/>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20</w:t>
      </w:r>
      <w:r>
        <w:rPr>
          <w:rFonts w:hint="eastAsia" w:ascii="仿宋_GB2312" w:hAnsi="宋体" w:eastAsia="仿宋_GB2312" w:cs="宋体"/>
          <w:kern w:val="0"/>
          <w:sz w:val="32"/>
          <w:szCs w:val="32"/>
          <w:shd w:val="clear" w:color="auto" w:fill="FFFFFF"/>
        </w:rPr>
        <w:t>21</w:t>
      </w:r>
      <w:r>
        <w:rPr>
          <w:rFonts w:hint="eastAsia" w:ascii="仿宋_GB2312" w:hAnsi="宋体" w:eastAsia="仿宋_GB2312" w:cs="宋体"/>
          <w:kern w:val="0"/>
          <w:sz w:val="32"/>
          <w:szCs w:val="32"/>
          <w:shd w:val="clear" w:color="auto" w:fill="FFFFFF"/>
          <w:lang w:val="zh-CN"/>
        </w:rPr>
        <w:t>年本部门的绩效目标制定、目标完成、预算编制等均按照区财政局下达的相关文件指标进行了编制和预算公开，并按相关要求严格执行预算范围内开支。年度内根据工作开展情况进行经费执行，并完成所有预定目标，未发生违规记录。</w:t>
      </w:r>
    </w:p>
    <w:p>
      <w:pPr>
        <w:widowControl/>
        <w:adjustRightInd w:val="0"/>
        <w:snapToGrid w:val="0"/>
        <w:spacing w:line="572" w:lineRule="exact"/>
        <w:ind w:firstLine="640" w:firstLineChars="200"/>
        <w:contextualSpacing/>
        <w:jc w:val="left"/>
        <w:rPr>
          <w:rFonts w:ascii="楷体_GB2312" w:hAnsi="宋体" w:eastAsia="楷体_GB2312" w:cs="宋体"/>
          <w:kern w:val="0"/>
          <w:sz w:val="32"/>
          <w:szCs w:val="32"/>
          <w:shd w:val="clear" w:color="auto" w:fill="FFFFFF"/>
          <w:lang w:val="zh-CN"/>
        </w:rPr>
      </w:pPr>
      <w:r>
        <w:rPr>
          <w:rFonts w:hint="eastAsia" w:ascii="楷体_GB2312" w:hAnsi="宋体" w:eastAsia="楷体_GB2312" w:cs="宋体"/>
          <w:kern w:val="0"/>
          <w:sz w:val="32"/>
          <w:szCs w:val="32"/>
          <w:shd w:val="clear" w:color="auto" w:fill="FFFFFF"/>
          <w:lang w:val="zh-CN"/>
        </w:rPr>
        <w:t>（二）结果应用情况。</w:t>
      </w:r>
    </w:p>
    <w:p>
      <w:pPr>
        <w:widowControl/>
        <w:adjustRightInd w:val="0"/>
        <w:snapToGrid w:val="0"/>
        <w:spacing w:line="572" w:lineRule="exact"/>
        <w:ind w:firstLine="640" w:firstLineChars="200"/>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本单位按照区财政局下达的预算指标，严格执行预算内开支，保障了单位正常运转。并按相关要求进行预决算公开工作，绩效目标如实填报，专项预算进行了规划和筹划。</w:t>
      </w:r>
    </w:p>
    <w:p>
      <w:pPr>
        <w:widowControl/>
        <w:numPr>
          <w:ilvl w:val="0"/>
          <w:numId w:val="4"/>
        </w:numPr>
        <w:adjustRightInd w:val="0"/>
        <w:snapToGrid w:val="0"/>
        <w:spacing w:line="580" w:lineRule="exact"/>
        <w:ind w:firstLine="640" w:firstLineChars="200"/>
        <w:contextualSpacing/>
        <w:jc w:val="left"/>
        <w:rPr>
          <w:rFonts w:ascii="楷体_GB2312" w:hAnsi="宋体" w:eastAsia="楷体_GB2312" w:cs="宋体"/>
          <w:kern w:val="0"/>
          <w:sz w:val="32"/>
          <w:szCs w:val="32"/>
          <w:shd w:val="clear" w:color="auto" w:fill="FFFFFF"/>
          <w:lang w:val="zh-CN"/>
        </w:rPr>
      </w:pPr>
      <w:r>
        <w:rPr>
          <w:rFonts w:hint="eastAsia" w:ascii="楷体_GB2312" w:hAnsi="宋体" w:eastAsia="楷体_GB2312" w:cs="宋体"/>
          <w:kern w:val="0"/>
          <w:sz w:val="32"/>
          <w:szCs w:val="32"/>
          <w:shd w:val="clear" w:color="auto" w:fill="FFFFFF"/>
          <w:lang w:val="zh-CN"/>
        </w:rPr>
        <w:t>自评质量。</w:t>
      </w:r>
    </w:p>
    <w:p>
      <w:pPr>
        <w:tabs>
          <w:tab w:val="left" w:pos="4246"/>
        </w:tabs>
        <w:spacing w:line="600" w:lineRule="exact"/>
        <w:ind w:firstLine="640" w:firstLineChars="200"/>
        <w:rPr>
          <w:rFonts w:eastAsia="仿宋_GB2312"/>
          <w:sz w:val="32"/>
          <w:szCs w:val="32"/>
        </w:rPr>
      </w:pPr>
      <w:r>
        <w:rPr>
          <w:rFonts w:eastAsia="仿宋_GB2312"/>
          <w:sz w:val="32"/>
          <w:szCs w:val="32"/>
        </w:rPr>
        <w:t>2021年，我单位严格按照西区财政局及财务相关规定开展财务工作，积极履行职责，强化科学管理，保障政策落实，有效发挥了财政资金的使用效率，较好地完成了各项指标任务。同时，加强了预算收支管理，健全了内部管理制度，优化了内部管理流程，有效提升了本部门全年绩效管理成果。</w:t>
      </w:r>
    </w:p>
    <w:p>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76" w:lineRule="exact"/>
        <w:ind w:firstLine="640" w:firstLineChars="200"/>
        <w:contextualSpacing/>
        <w:jc w:val="left"/>
        <w:rPr>
          <w:rFonts w:ascii="楷体_GB2312" w:hAnsi="宋体" w:eastAsia="楷体_GB2312" w:cs="宋体"/>
          <w:kern w:val="0"/>
          <w:sz w:val="32"/>
          <w:szCs w:val="32"/>
          <w:shd w:val="clear" w:color="auto" w:fill="FFFFFF"/>
          <w:lang w:val="zh-CN"/>
        </w:rPr>
      </w:pPr>
      <w:r>
        <w:rPr>
          <w:rFonts w:hint="eastAsia" w:ascii="楷体_GB2312" w:hAnsi="宋体" w:eastAsia="楷体_GB2312" w:cs="宋体"/>
          <w:kern w:val="0"/>
          <w:sz w:val="32"/>
          <w:szCs w:val="32"/>
          <w:shd w:val="clear" w:color="auto" w:fill="FFFFFF"/>
          <w:lang w:val="zh-CN"/>
        </w:rPr>
        <w:t>（一）评价结论。</w:t>
      </w:r>
    </w:p>
    <w:p>
      <w:pPr>
        <w:widowControl/>
        <w:adjustRightInd w:val="0"/>
        <w:snapToGrid w:val="0"/>
        <w:spacing w:line="576" w:lineRule="exact"/>
        <w:ind w:firstLine="640" w:firstLineChars="200"/>
        <w:contextualSpacing/>
        <w:jc w:val="left"/>
        <w:rPr>
          <w:rFonts w:eastAsia="仿宋_GB2312"/>
          <w:sz w:val="32"/>
          <w:szCs w:val="32"/>
        </w:rPr>
      </w:pPr>
      <w:r>
        <w:rPr>
          <w:rFonts w:hint="eastAsia" w:eastAsia="仿宋_GB2312"/>
          <w:sz w:val="32"/>
          <w:szCs w:val="32"/>
        </w:rPr>
        <w:t>通过对我单位收支情况、预决算编制、预算执行管理、支出绩效及财政管理等方面的综合评价，我单位支出绩效总体较好，对财政资金的使用能够严格执行行政单位会计制度及财政相关规定，立足职能职责，全面完成目标任务。</w:t>
      </w:r>
    </w:p>
    <w:p>
      <w:pPr>
        <w:widowControl/>
        <w:adjustRightInd w:val="0"/>
        <w:snapToGrid w:val="0"/>
        <w:spacing w:line="576" w:lineRule="exact"/>
        <w:ind w:firstLine="640" w:firstLineChars="200"/>
        <w:contextualSpacing/>
        <w:jc w:val="left"/>
        <w:rPr>
          <w:rFonts w:eastAsia="仿宋_GB2312"/>
          <w:sz w:val="32"/>
          <w:szCs w:val="32"/>
        </w:rPr>
      </w:pPr>
      <w:r>
        <w:rPr>
          <w:rFonts w:hint="eastAsia" w:ascii="楷体_GB2312" w:hAnsi="宋体" w:eastAsia="楷体_GB2312" w:cs="宋体"/>
          <w:kern w:val="0"/>
          <w:sz w:val="32"/>
          <w:szCs w:val="32"/>
          <w:shd w:val="clear" w:color="auto" w:fill="FFFFFF"/>
          <w:lang w:val="zh-CN"/>
        </w:rPr>
        <w:t>（二）存在问题。</w:t>
      </w:r>
    </w:p>
    <w:p>
      <w:pPr>
        <w:widowControl/>
        <w:adjustRightInd w:val="0"/>
        <w:snapToGrid w:val="0"/>
        <w:spacing w:line="576" w:lineRule="exact"/>
        <w:ind w:firstLine="640" w:firstLineChars="200"/>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自主预算绩效监控意识不够，未及时对各项目经费进行预算绩效监控。</w:t>
      </w:r>
    </w:p>
    <w:p>
      <w:pPr>
        <w:widowControl/>
        <w:adjustRightInd w:val="0"/>
        <w:snapToGrid w:val="0"/>
        <w:spacing w:line="576" w:lineRule="exact"/>
        <w:ind w:firstLine="640" w:firstLineChars="200"/>
        <w:jc w:val="left"/>
        <w:rPr>
          <w:rFonts w:ascii="仿宋_GB2312" w:hAnsi="宋体" w:eastAsia="仿宋_GB2312" w:cs="宋体"/>
          <w:kern w:val="0"/>
          <w:sz w:val="32"/>
          <w:szCs w:val="32"/>
          <w:shd w:val="clear" w:color="auto" w:fill="FFFFFF"/>
          <w:lang w:val="zh-CN"/>
        </w:rPr>
      </w:pPr>
      <w:r>
        <w:rPr>
          <w:rFonts w:hint="eastAsia" w:ascii="楷体_GB2312" w:hAnsi="宋体" w:eastAsia="楷体_GB2312" w:cs="宋体"/>
          <w:kern w:val="0"/>
          <w:sz w:val="32"/>
          <w:szCs w:val="32"/>
          <w:shd w:val="clear" w:color="auto" w:fill="FFFFFF"/>
          <w:lang w:val="zh-CN"/>
        </w:rPr>
        <w:t>（三）改进建议。</w:t>
      </w:r>
    </w:p>
    <w:p>
      <w:pPr>
        <w:pStyle w:val="2"/>
        <w:spacing w:before="93"/>
        <w:ind w:firstLine="640" w:firstLineChars="200"/>
        <w:rPr>
          <w:rFonts w:hAnsi="宋体" w:cs="宋体"/>
          <w:sz w:val="32"/>
          <w:szCs w:val="32"/>
          <w:shd w:val="clear" w:color="auto" w:fill="FFFFFF"/>
          <w:lang w:val="zh-CN"/>
        </w:rPr>
      </w:pPr>
      <w:r>
        <w:rPr>
          <w:rFonts w:hint="eastAsia" w:hAnsi="宋体" w:cs="宋体"/>
          <w:sz w:val="32"/>
          <w:szCs w:val="32"/>
          <w:shd w:val="clear" w:color="auto" w:fill="FFFFFF"/>
          <w:lang w:val="zh-CN"/>
        </w:rPr>
        <w:t>及时做好各项目资金的预算绩效监控工作，即要确保各项工作顺利的开展，又要做好厉行节约，力争把成本降低。</w:t>
      </w: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ascii="黑体" w:hAnsi="黑体" w:eastAsia="黑体" w:cs="宋体"/>
          <w:sz w:val="32"/>
          <w:szCs w:val="32"/>
          <w:shd w:val="clear" w:color="auto" w:fill="FFFFFF"/>
          <w:lang w:val="zh-CN"/>
        </w:rPr>
      </w:pPr>
      <w:r>
        <w:rPr>
          <w:rFonts w:hint="eastAsia" w:ascii="黑体" w:hAnsi="黑体" w:eastAsia="黑体" w:cs="宋体"/>
          <w:sz w:val="32"/>
          <w:szCs w:val="32"/>
          <w:shd w:val="clear" w:color="auto" w:fill="FFFFFF"/>
          <w:lang w:val="zh-CN"/>
        </w:rPr>
        <w:t>附件2</w:t>
      </w:r>
    </w:p>
    <w:p>
      <w:pPr>
        <w:pStyle w:val="2"/>
        <w:spacing w:before="93"/>
        <w:rPr>
          <w:rFonts w:ascii="黑体" w:hAnsi="黑体" w:eastAsia="黑体"/>
          <w:lang w:val="zh-CN"/>
        </w:rPr>
      </w:pPr>
    </w:p>
    <w:p>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pPr>
        <w:spacing w:line="600" w:lineRule="exact"/>
        <w:jc w:val="center"/>
        <w:rPr>
          <w:rFonts w:ascii="方正小标宋简体" w:hAnsi="方正小标宋简体" w:eastAsia="方正小标宋简体" w:cs="方正小标宋简体"/>
          <w:sz w:val="40"/>
          <w:szCs w:val="40"/>
          <w:lang w:val="zh-CN"/>
        </w:rPr>
      </w:pPr>
      <w:r>
        <w:rPr>
          <w:rFonts w:hint="eastAsia" w:ascii="仿宋_GB2312" w:hAnsi="宋体" w:eastAsia="仿宋_GB2312"/>
          <w:sz w:val="32"/>
          <w:szCs w:val="32"/>
          <w:lang w:val="zh-CN"/>
        </w:rPr>
        <w:t>（</w:t>
      </w:r>
      <w:r>
        <w:rPr>
          <w:rFonts w:hint="eastAsia" w:eastAsia="仿宋_GB2312"/>
          <w:kern w:val="0"/>
          <w:sz w:val="32"/>
          <w:szCs w:val="32"/>
        </w:rPr>
        <w:t>国家基本公共卫生服务</w:t>
      </w:r>
      <w:r>
        <w:rPr>
          <w:rFonts w:eastAsia="仿宋_GB2312"/>
          <w:kern w:val="0"/>
          <w:sz w:val="32"/>
          <w:szCs w:val="32"/>
        </w:rPr>
        <w:t>项目</w:t>
      </w:r>
      <w:r>
        <w:rPr>
          <w:rFonts w:hint="eastAsia" w:ascii="仿宋_GB2312" w:hAnsi="宋体" w:eastAsia="仿宋_GB2312"/>
          <w:sz w:val="32"/>
          <w:szCs w:val="32"/>
          <w:lang w:val="zh-CN"/>
        </w:rPr>
        <w:t>）</w:t>
      </w:r>
    </w:p>
    <w:p>
      <w:pPr>
        <w:spacing w:line="600" w:lineRule="exact"/>
        <w:ind w:firstLine="640"/>
        <w:jc w:val="center"/>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1.说明项目主管部门（单位）在该项目管理中的职能。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攀枝花市西区服务人口13.7万人，全区覆盖面积约124平方公里，有格里坪镇政府和5家街道办事处，辖6个行政村、20个社区。辖区内设有1家镇卫生院、6家社区卫生服务中心、7家社区卫生服务站及9家村卫生室，承担辖区居民的基本医疗服务和12项国家基本公共卫生服务项目的实施及家庭医生签约服务工作等。</w:t>
      </w:r>
    </w:p>
    <w:p>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2.项目立项、资金申报的依据。</w:t>
      </w:r>
    </w:p>
    <w:p>
      <w:pPr>
        <w:adjustRightInd w:val="0"/>
        <w:snapToGrid w:val="0"/>
        <w:spacing w:line="600" w:lineRule="exact"/>
        <w:ind w:firstLine="720"/>
        <w:rPr>
          <w:rFonts w:ascii="仿宋_GB2312" w:hAnsi="宋体" w:eastAsia="仿宋_GB2312"/>
          <w:sz w:val="32"/>
          <w:szCs w:val="32"/>
          <w:lang w:val="zh-CN"/>
        </w:rPr>
      </w:pPr>
      <w:r>
        <w:rPr>
          <w:rFonts w:eastAsia="仿宋_GB2312"/>
          <w:sz w:val="32"/>
          <w:szCs w:val="32"/>
        </w:rPr>
        <w:t>按照《攀枝花市202</w:t>
      </w:r>
      <w:r>
        <w:rPr>
          <w:rFonts w:hint="eastAsia" w:eastAsia="仿宋_GB2312"/>
          <w:sz w:val="32"/>
          <w:szCs w:val="32"/>
        </w:rPr>
        <w:t>1</w:t>
      </w:r>
      <w:r>
        <w:rPr>
          <w:rFonts w:eastAsia="仿宋_GB2312"/>
          <w:sz w:val="32"/>
          <w:szCs w:val="32"/>
        </w:rPr>
        <w:t>年基本公共卫生服务项目实施方案》（攀卫办〔202</w:t>
      </w:r>
      <w:r>
        <w:rPr>
          <w:rFonts w:hint="eastAsia" w:eastAsia="仿宋_GB2312"/>
          <w:sz w:val="32"/>
          <w:szCs w:val="32"/>
        </w:rPr>
        <w:t>1</w:t>
      </w:r>
      <w:r>
        <w:rPr>
          <w:rFonts w:eastAsia="仿宋_GB2312"/>
          <w:sz w:val="32"/>
          <w:szCs w:val="32"/>
        </w:rPr>
        <w:t>〕5</w:t>
      </w:r>
      <w:r>
        <w:rPr>
          <w:rFonts w:hint="eastAsia" w:eastAsia="仿宋_GB2312"/>
          <w:sz w:val="32"/>
          <w:szCs w:val="32"/>
        </w:rPr>
        <w:t>1</w:t>
      </w:r>
      <w:r>
        <w:rPr>
          <w:rFonts w:eastAsia="仿宋_GB2312"/>
          <w:sz w:val="32"/>
          <w:szCs w:val="32"/>
        </w:rPr>
        <w:t>号）文件要求，规范落实好国家12项基本公共卫生服务项目，切实增强人民群众的获得感和幸福感。</w:t>
      </w:r>
    </w:p>
    <w:p>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3．资金管理办法制定情况，资金支持具体项目的条件、范围与支持方式概况。</w:t>
      </w:r>
    </w:p>
    <w:p>
      <w:pPr>
        <w:tabs>
          <w:tab w:val="left" w:pos="1112"/>
        </w:tabs>
        <w:spacing w:line="353" w:lineRule="auto"/>
        <w:ind w:firstLine="640" w:firstLineChars="200"/>
        <w:rPr>
          <w:rFonts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按照省财政厅 省卫生健康委联合下发的《关于提前下达2021年基本公共卫生服务中央补助资金的通知》要求，做好资金使用计划和绩效指标的分解，任何地方和部门不得擅自截留、挤占、挪用或改变资金使用用途。</w:t>
      </w:r>
    </w:p>
    <w:p>
      <w:pPr>
        <w:adjustRightInd w:val="0"/>
        <w:spacing w:line="353" w:lineRule="auto"/>
        <w:ind w:firstLine="720"/>
        <w:contextualSpacing/>
        <w:rPr>
          <w:rFonts w:ascii="仿宋_GB2312" w:hAnsi="宋体" w:eastAsia="仿宋_GB2312"/>
          <w:b/>
          <w:sz w:val="32"/>
          <w:szCs w:val="32"/>
          <w:lang w:val="zh-CN"/>
        </w:rPr>
      </w:pPr>
      <w:r>
        <w:rPr>
          <w:rFonts w:hint="eastAsia" w:ascii="仿宋_GB2312" w:hAnsi="宋体" w:eastAsia="仿宋_GB2312"/>
          <w:b/>
          <w:sz w:val="32"/>
          <w:szCs w:val="32"/>
          <w:lang w:val="zh-CN"/>
        </w:rPr>
        <w:t>4.资金分配的原则及考虑因素。</w:t>
      </w:r>
    </w:p>
    <w:p>
      <w:pPr>
        <w:pStyle w:val="25"/>
        <w:tabs>
          <w:tab w:val="left" w:pos="1112"/>
        </w:tabs>
        <w:spacing w:line="353" w:lineRule="auto"/>
        <w:ind w:firstLine="64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项目经费必须与绩效考核挂钩，充分体现奖惩。对镇卫生院、各中心、村卫生室、站的经费拨付要与其所管居民总数、绩效目标完成情况和档案质量控制得分等指标挂钩，奖勤罚懒，要确保基本公共卫生服务项目经费 40％落实到村卫生室（村医），如确因村卫生室（村医）无力承担的可委托其他有能力的村卫生室或卫生院开展，并区卫生健康局备案。</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（二）项目绩效目标。</w:t>
      </w:r>
    </w:p>
    <w:p>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1.项目主要内容。</w:t>
      </w:r>
    </w:p>
    <w:p>
      <w:pPr>
        <w:pStyle w:val="34"/>
        <w:spacing w:before="93"/>
        <w:ind w:firstLine="640" w:firstLineChars="200"/>
      </w:pPr>
      <w:r>
        <w:rPr>
          <w:rFonts w:hint="eastAsia" w:cs="仿宋_GB2312"/>
        </w:rPr>
        <w:t>承担辖区居民的基本医疗服务和12项国家基本公共卫生服务项目的实施及家庭医生签约服务工作等。</w:t>
      </w:r>
    </w:p>
    <w:p>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2.项目应实现的具体绩效目标，包括目标的量化、细化情况以及项目实施进度计划等。</w:t>
      </w:r>
    </w:p>
    <w:p>
      <w:pPr>
        <w:pStyle w:val="2"/>
        <w:spacing w:before="93" w:line="353" w:lineRule="auto"/>
        <w:ind w:firstLine="600" w:firstLineChars="200"/>
        <w:contextualSpacing/>
        <w:rPr>
          <w:rFonts w:ascii="Times New Roman"/>
          <w:color w:val="000000" w:themeColor="text1"/>
        </w:rPr>
      </w:pPr>
      <w:r>
        <w:rPr>
          <w:rFonts w:hint="eastAsia" w:hAnsi="仿宋_GB2312" w:cs="仿宋_GB2312"/>
        </w:rPr>
        <w:t>（1）</w:t>
      </w:r>
      <w:r>
        <w:rPr>
          <w:rFonts w:ascii="Times New Roman"/>
          <w:color w:val="000000" w:themeColor="text1"/>
        </w:rPr>
        <w:t>全面贯彻落实202</w:t>
      </w:r>
      <w:r>
        <w:rPr>
          <w:rFonts w:hint="eastAsia" w:ascii="Times New Roman"/>
          <w:color w:val="000000" w:themeColor="text1"/>
        </w:rPr>
        <w:t>1</w:t>
      </w:r>
      <w:r>
        <w:rPr>
          <w:rFonts w:ascii="Times New Roman"/>
          <w:color w:val="000000" w:themeColor="text1"/>
        </w:rPr>
        <w:t>年</w:t>
      </w:r>
      <w:r>
        <w:rPr>
          <w:rFonts w:hint="eastAsia" w:ascii="Times New Roman"/>
          <w:color w:val="000000" w:themeColor="text1"/>
        </w:rPr>
        <w:t>12项</w:t>
      </w:r>
      <w:r>
        <w:rPr>
          <w:rFonts w:ascii="Times New Roman"/>
          <w:color w:val="000000" w:themeColor="text1"/>
        </w:rPr>
        <w:t>基本公共卫生服务项目工作部署和要求，</w:t>
      </w:r>
      <w:r>
        <w:rPr>
          <w:rFonts w:hint="eastAsia"/>
          <w:color w:val="000000" w:themeColor="text1"/>
        </w:rPr>
        <w:t>狠抓</w:t>
      </w:r>
      <w:r>
        <w:rPr>
          <w:rFonts w:ascii="Times New Roman"/>
          <w:color w:val="000000" w:themeColor="text1"/>
        </w:rPr>
        <w:t>组织管理、资金管理、应急管理、项目执行、绩效评价和实施成效、家庭医生签约服务，降低婴儿、孕产妇死亡率</w:t>
      </w:r>
      <w:r>
        <w:rPr>
          <w:rFonts w:hint="eastAsia"/>
          <w:color w:val="000000" w:themeColor="text1"/>
        </w:rPr>
        <w:t>，</w:t>
      </w:r>
      <w:r>
        <w:rPr>
          <w:rFonts w:ascii="Times New Roman"/>
          <w:color w:val="000000" w:themeColor="text1"/>
        </w:rPr>
        <w:t>不断丰富项目内容，提升服务质量和管理水平</w:t>
      </w:r>
      <w:r>
        <w:rPr>
          <w:rFonts w:hint="eastAsia" w:ascii="Times New Roman"/>
          <w:color w:val="000000" w:themeColor="text1"/>
        </w:rPr>
        <w:t>。</w:t>
      </w:r>
    </w:p>
    <w:p>
      <w:pPr>
        <w:pStyle w:val="2"/>
        <w:spacing w:before="93" w:line="353" w:lineRule="auto"/>
        <w:ind w:firstLine="600" w:firstLineChars="200"/>
        <w:contextualSpacing/>
        <w:rPr>
          <w:rFonts w:hAnsi="仿宋_GB2312" w:cs="仿宋_GB2312"/>
        </w:rPr>
      </w:pPr>
      <w:r>
        <w:rPr>
          <w:rFonts w:hint="eastAsia" w:ascii="Times New Roman"/>
          <w:color w:val="000000" w:themeColor="text1"/>
        </w:rPr>
        <w:t>（2）</w:t>
      </w:r>
      <w:r>
        <w:rPr>
          <w:rFonts w:hint="eastAsia" w:hAnsi="仿宋_GB2312" w:cs="仿宋_GB2312"/>
        </w:rPr>
        <w:t>通过对辖区居民健康问题进行干预，减少主要健康危险因素。老年人、慢性病患者、儿童、孕产妇、严重精神障碍患者、家庭医生签约服务的重点人群，得到了基本公共卫生服务免费体检与随访服务，居民逐步享有均等化的基本公共卫生服务。</w:t>
      </w:r>
    </w:p>
    <w:p>
      <w:pPr>
        <w:spacing w:line="353" w:lineRule="auto"/>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sz w:val="32"/>
          <w:szCs w:val="32"/>
          <w:lang w:bidi="zh-CN"/>
        </w:rPr>
        <w:t>（3）</w:t>
      </w:r>
      <w:r>
        <w:rPr>
          <w:rFonts w:hint="eastAsia" w:ascii="仿宋_GB2312" w:hAnsi="仿宋_GB2312" w:eastAsia="仿宋_GB2312" w:cs="仿宋_GB2312"/>
          <w:sz w:val="32"/>
          <w:szCs w:val="32"/>
          <w:lang w:val="zh-CN" w:bidi="zh-CN"/>
        </w:rPr>
        <w:t>根据《财政厅 省卫生健康委关于提前下达2021年基本公共卫生服务中央补助资金的通知》（川财社〔2020〕208 号）</w:t>
      </w:r>
      <w:r>
        <w:rPr>
          <w:rFonts w:hint="eastAsia" w:ascii="仿宋_GB2312" w:hAnsi="仿宋_GB2312" w:eastAsia="仿宋_GB2312" w:cs="仿宋_GB2312"/>
          <w:sz w:val="32"/>
          <w:szCs w:val="32"/>
          <w:lang w:bidi="zh-CN"/>
        </w:rPr>
        <w:t>文件，制定基本公共卫生服务项目实施方案。</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b/>
          <w:sz w:val="32"/>
          <w:szCs w:val="32"/>
          <w:lang w:val="zh-CN"/>
        </w:rPr>
        <w:t>3．通过自评，申报内容与实际相符，申报目标合理可行。</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spacing w:line="353" w:lineRule="auto"/>
        <w:ind w:firstLine="640" w:firstLineChars="200"/>
        <w:rPr>
          <w:rFonts w:eastAsia="仿宋_GB2312"/>
          <w:color w:val="0000FF"/>
          <w:sz w:val="32"/>
          <w:szCs w:val="32"/>
        </w:rPr>
      </w:pPr>
      <w:r>
        <w:rPr>
          <w:rFonts w:hint="eastAsia" w:ascii="仿宋_GB2312" w:hAnsi="仿宋_GB2312" w:eastAsia="仿宋_GB2312" w:cs="仿宋_GB2312"/>
          <w:sz w:val="32"/>
          <w:szCs w:val="32"/>
          <w:lang w:val="zh-CN" w:bidi="zh-CN"/>
        </w:rPr>
        <w:t>区卫生健康局不折不扣地落实好每年</w:t>
      </w:r>
      <w:r>
        <w:rPr>
          <w:rFonts w:hint="eastAsia" w:ascii="仿宋_GB2312" w:hAnsi="仿宋_GB2312" w:eastAsia="仿宋_GB2312" w:cs="仿宋_GB2312"/>
          <w:sz w:val="32"/>
          <w:szCs w:val="32"/>
          <w:lang w:bidi="zh-CN"/>
        </w:rPr>
        <w:t>2</w:t>
      </w:r>
      <w:r>
        <w:rPr>
          <w:rFonts w:hint="eastAsia" w:ascii="仿宋_GB2312" w:hAnsi="仿宋_GB2312" w:eastAsia="仿宋_GB2312" w:cs="仿宋_GB2312"/>
          <w:sz w:val="32"/>
          <w:szCs w:val="32"/>
          <w:lang w:val="zh-CN" w:bidi="zh-CN"/>
        </w:rPr>
        <w:t>次绩效</w:t>
      </w:r>
      <w:r>
        <w:rPr>
          <w:rFonts w:hint="eastAsia" w:ascii="仿宋_GB2312" w:hAnsi="仿宋_GB2312" w:eastAsia="仿宋_GB2312" w:cs="仿宋_GB2312"/>
          <w:sz w:val="32"/>
          <w:szCs w:val="32"/>
          <w:lang w:bidi="zh-CN"/>
        </w:rPr>
        <w:t>评价</w:t>
      </w:r>
      <w:r>
        <w:rPr>
          <w:rFonts w:hint="eastAsia" w:ascii="仿宋_GB2312" w:hAnsi="仿宋_GB2312" w:eastAsia="仿宋_GB2312" w:cs="仿宋_GB2312"/>
          <w:sz w:val="32"/>
          <w:szCs w:val="32"/>
          <w:lang w:val="zh-CN" w:bidi="zh-CN"/>
        </w:rPr>
        <w:t>工作，即每年6月</w:t>
      </w:r>
      <w:r>
        <w:rPr>
          <w:rFonts w:hint="eastAsia" w:ascii="仿宋_GB2312" w:hAnsi="仿宋_GB2312" w:eastAsia="仿宋_GB2312" w:cs="仿宋_GB2312"/>
          <w:sz w:val="32"/>
          <w:szCs w:val="32"/>
          <w:lang w:bidi="zh-CN"/>
        </w:rPr>
        <w:t>3</w:t>
      </w:r>
      <w:r>
        <w:rPr>
          <w:rFonts w:hint="eastAsia" w:ascii="仿宋_GB2312" w:hAnsi="仿宋_GB2312" w:eastAsia="仿宋_GB2312" w:cs="仿宋_GB2312"/>
          <w:sz w:val="32"/>
          <w:szCs w:val="32"/>
          <w:lang w:val="zh-CN" w:bidi="zh-CN"/>
        </w:rPr>
        <w:t>0日前完成半年绩效评价，10月31日前完成年终绩效评价。评价结束后在</w:t>
      </w:r>
      <w:r>
        <w:rPr>
          <w:rFonts w:hint="eastAsia" w:ascii="仿宋_GB2312" w:hAnsi="仿宋_GB2312" w:eastAsia="仿宋_GB2312" w:cs="仿宋_GB2312"/>
          <w:sz w:val="32"/>
          <w:szCs w:val="32"/>
          <w:lang w:bidi="zh-CN"/>
        </w:rPr>
        <w:t>30</w:t>
      </w:r>
      <w:r>
        <w:rPr>
          <w:rFonts w:hint="eastAsia" w:ascii="仿宋_GB2312" w:hAnsi="仿宋_GB2312" w:eastAsia="仿宋_GB2312" w:cs="仿宋_GB2312"/>
          <w:sz w:val="32"/>
          <w:szCs w:val="32"/>
          <w:lang w:val="zh-CN" w:bidi="zh-CN"/>
        </w:rPr>
        <w:t>个工作日内向市卫生健康委上报</w:t>
      </w:r>
      <w:r>
        <w:rPr>
          <w:rFonts w:hint="eastAsia" w:ascii="仿宋_GB2312" w:hAnsi="仿宋_GB2312" w:eastAsia="仿宋_GB2312" w:cs="仿宋_GB2312"/>
          <w:sz w:val="32"/>
          <w:szCs w:val="32"/>
          <w:lang w:bidi="zh-CN"/>
        </w:rPr>
        <w:t>基本公共卫生服务项目绩效</w:t>
      </w:r>
      <w:r>
        <w:rPr>
          <w:rFonts w:hint="eastAsia" w:ascii="仿宋_GB2312" w:hAnsi="仿宋_GB2312" w:eastAsia="仿宋_GB2312" w:cs="仿宋_GB2312"/>
          <w:sz w:val="32"/>
          <w:szCs w:val="32"/>
          <w:lang w:val="zh-CN" w:bidi="zh-CN"/>
        </w:rPr>
        <w:t>评价报告。</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spacing w:line="353" w:lineRule="auto"/>
        <w:ind w:firstLine="640" w:firstLineChars="200"/>
        <w:rPr>
          <w:rFonts w:eastAsia="仿宋_GB2312"/>
          <w:sz w:val="32"/>
          <w:szCs w:val="32"/>
        </w:rPr>
      </w:pPr>
      <w:r>
        <w:rPr>
          <w:rFonts w:eastAsia="仿宋_GB2312"/>
          <w:sz w:val="32"/>
          <w:szCs w:val="32"/>
        </w:rPr>
        <w:t>申报</w:t>
      </w:r>
      <w:r>
        <w:rPr>
          <w:rFonts w:hint="eastAsia" w:eastAsia="仿宋_GB2312"/>
          <w:sz w:val="32"/>
          <w:szCs w:val="32"/>
        </w:rPr>
        <w:t>2</w:t>
      </w:r>
      <w:r>
        <w:rPr>
          <w:rFonts w:eastAsia="仿宋_GB2312"/>
          <w:sz w:val="32"/>
          <w:szCs w:val="32"/>
        </w:rPr>
        <w:t>021年基本公共卫生服务项目经费</w:t>
      </w:r>
      <w:r>
        <w:rPr>
          <w:rFonts w:hint="eastAsia" w:eastAsia="仿宋_GB2312"/>
          <w:sz w:val="32"/>
          <w:szCs w:val="32"/>
        </w:rPr>
        <w:t>，</w:t>
      </w:r>
      <w:r>
        <w:rPr>
          <w:rFonts w:eastAsia="仿宋_GB2312"/>
          <w:sz w:val="32"/>
          <w:szCs w:val="32"/>
        </w:rPr>
        <w:t>根据</w:t>
      </w:r>
      <w:r>
        <w:rPr>
          <w:rFonts w:hint="eastAsia" w:eastAsia="仿宋_GB2312"/>
          <w:sz w:val="32"/>
          <w:szCs w:val="32"/>
        </w:rPr>
        <w:t>2</w:t>
      </w:r>
      <w:r>
        <w:rPr>
          <w:rFonts w:eastAsia="仿宋_GB2312"/>
          <w:sz w:val="32"/>
          <w:szCs w:val="32"/>
        </w:rPr>
        <w:t>020年中央</w:t>
      </w:r>
      <w:r>
        <w:rPr>
          <w:rFonts w:hint="eastAsia" w:eastAsia="仿宋_GB2312"/>
          <w:sz w:val="32"/>
          <w:szCs w:val="32"/>
        </w:rPr>
        <w:t>、</w:t>
      </w:r>
      <w:r>
        <w:rPr>
          <w:rFonts w:eastAsia="仿宋_GB2312"/>
          <w:sz w:val="32"/>
          <w:szCs w:val="32"/>
        </w:rPr>
        <w:t>省</w:t>
      </w:r>
      <w:r>
        <w:rPr>
          <w:rFonts w:hint="eastAsia" w:eastAsia="仿宋_GB2312"/>
          <w:sz w:val="32"/>
          <w:szCs w:val="32"/>
        </w:rPr>
        <w:t>、</w:t>
      </w:r>
      <w:r>
        <w:rPr>
          <w:rFonts w:eastAsia="仿宋_GB2312"/>
          <w:sz w:val="32"/>
          <w:szCs w:val="32"/>
        </w:rPr>
        <w:t>市</w:t>
      </w:r>
      <w:r>
        <w:rPr>
          <w:rFonts w:hint="eastAsia" w:eastAsia="仿宋_GB2312"/>
          <w:sz w:val="32"/>
          <w:szCs w:val="32"/>
        </w:rPr>
        <w:t>、</w:t>
      </w:r>
      <w:r>
        <w:rPr>
          <w:rFonts w:eastAsia="仿宋_GB2312"/>
          <w:sz w:val="32"/>
          <w:szCs w:val="32"/>
        </w:rPr>
        <w:t>区实际到达资金的比例</w:t>
      </w:r>
      <w:r>
        <w:rPr>
          <w:rFonts w:hint="eastAsia" w:eastAsia="仿宋_GB2312"/>
          <w:sz w:val="32"/>
          <w:szCs w:val="32"/>
        </w:rPr>
        <w:t>，核算2</w:t>
      </w:r>
      <w:r>
        <w:rPr>
          <w:rFonts w:eastAsia="仿宋_GB2312"/>
          <w:sz w:val="32"/>
          <w:szCs w:val="32"/>
        </w:rPr>
        <w:t>021年基本公共卫生服务项目资金</w:t>
      </w:r>
      <w:r>
        <w:rPr>
          <w:rFonts w:hint="eastAsia" w:eastAsia="仿宋_GB2312"/>
          <w:sz w:val="32"/>
          <w:szCs w:val="32"/>
        </w:rPr>
        <w:t>，</w:t>
      </w:r>
      <w:r>
        <w:rPr>
          <w:rFonts w:eastAsia="仿宋_GB2312"/>
          <w:sz w:val="32"/>
          <w:szCs w:val="32"/>
        </w:rPr>
        <w:t>共申报</w:t>
      </w:r>
      <w:r>
        <w:rPr>
          <w:rFonts w:hint="eastAsia" w:eastAsia="仿宋_GB2312"/>
          <w:sz w:val="32"/>
          <w:szCs w:val="32"/>
        </w:rPr>
        <w:t>1</w:t>
      </w:r>
      <w:r>
        <w:rPr>
          <w:rFonts w:eastAsia="仿宋_GB2312"/>
          <w:sz w:val="32"/>
          <w:szCs w:val="32"/>
        </w:rPr>
        <w:t>07.32万元</w:t>
      </w:r>
      <w:r>
        <w:rPr>
          <w:rFonts w:hint="eastAsia" w:eastAsia="仿宋_GB2312"/>
          <w:sz w:val="32"/>
          <w:szCs w:val="32"/>
        </w:rPr>
        <w:t>，</w:t>
      </w:r>
      <w:r>
        <w:rPr>
          <w:rFonts w:eastAsia="仿宋_GB2312"/>
          <w:sz w:val="32"/>
          <w:szCs w:val="32"/>
        </w:rPr>
        <w:t>批复</w:t>
      </w:r>
      <w:r>
        <w:rPr>
          <w:rFonts w:hint="eastAsia" w:eastAsia="仿宋_GB2312"/>
          <w:sz w:val="32"/>
          <w:szCs w:val="32"/>
        </w:rPr>
        <w:t>1</w:t>
      </w:r>
      <w:r>
        <w:rPr>
          <w:rFonts w:eastAsia="仿宋_GB2312"/>
          <w:sz w:val="32"/>
          <w:szCs w:val="32"/>
        </w:rPr>
        <w:t>07.32万元</w:t>
      </w:r>
      <w:r>
        <w:rPr>
          <w:rFonts w:hint="eastAsia" w:eastAsia="仿宋_GB2312"/>
          <w:sz w:val="32"/>
          <w:szCs w:val="32"/>
        </w:rPr>
        <w:t>。</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（二）资金计划、到位及使用情况。</w:t>
      </w:r>
    </w:p>
    <w:p>
      <w:pPr>
        <w:spacing w:line="353" w:lineRule="auto"/>
        <w:ind w:firstLine="643" w:firstLineChars="200"/>
        <w:rPr>
          <w:rFonts w:eastAsia="仿宋_GB2312"/>
          <w:sz w:val="32"/>
          <w:szCs w:val="32"/>
        </w:rPr>
      </w:pPr>
      <w:r>
        <w:rPr>
          <w:rFonts w:hint="eastAsia" w:ascii="仿宋_GB2312" w:hAnsi="宋体" w:eastAsia="仿宋_GB2312"/>
          <w:b/>
          <w:sz w:val="32"/>
          <w:szCs w:val="32"/>
          <w:lang w:val="zh-CN"/>
        </w:rPr>
        <w:t>1.资金计划。</w:t>
      </w:r>
      <w:r>
        <w:rPr>
          <w:rFonts w:hint="eastAsia" w:eastAsia="仿宋_GB2312"/>
          <w:sz w:val="32"/>
          <w:szCs w:val="32"/>
        </w:rPr>
        <w:t>2</w:t>
      </w:r>
      <w:r>
        <w:rPr>
          <w:rFonts w:eastAsia="仿宋_GB2312"/>
          <w:sz w:val="32"/>
          <w:szCs w:val="32"/>
        </w:rPr>
        <w:t>021年共收基本公共卫生服务项目资金</w:t>
      </w:r>
      <w:r>
        <w:rPr>
          <w:rFonts w:hint="eastAsia" w:eastAsia="仿宋_GB2312"/>
          <w:sz w:val="32"/>
          <w:szCs w:val="32"/>
        </w:rPr>
        <w:t>1</w:t>
      </w:r>
      <w:r>
        <w:rPr>
          <w:rFonts w:eastAsia="仿宋_GB2312"/>
          <w:sz w:val="32"/>
          <w:szCs w:val="32"/>
        </w:rPr>
        <w:t>084.28万元</w:t>
      </w:r>
      <w:r>
        <w:rPr>
          <w:rFonts w:hint="eastAsia" w:eastAsia="仿宋_GB2312"/>
          <w:sz w:val="32"/>
          <w:szCs w:val="32"/>
        </w:rPr>
        <w:t>，</w:t>
      </w:r>
      <w:r>
        <w:rPr>
          <w:rFonts w:eastAsia="仿宋_GB2312"/>
          <w:sz w:val="32"/>
          <w:szCs w:val="32"/>
        </w:rPr>
        <w:t>其中上级资金</w:t>
      </w:r>
      <w:r>
        <w:rPr>
          <w:rFonts w:hint="eastAsia" w:eastAsia="仿宋_GB2312"/>
          <w:sz w:val="32"/>
          <w:szCs w:val="32"/>
        </w:rPr>
        <w:t>9</w:t>
      </w:r>
      <w:r>
        <w:rPr>
          <w:rFonts w:eastAsia="仿宋_GB2312"/>
          <w:sz w:val="32"/>
          <w:szCs w:val="32"/>
        </w:rPr>
        <w:t>76.96万元</w:t>
      </w:r>
      <w:r>
        <w:rPr>
          <w:rFonts w:hint="eastAsia" w:eastAsia="仿宋_GB2312"/>
          <w:sz w:val="32"/>
          <w:szCs w:val="32"/>
        </w:rPr>
        <w:t>，</w:t>
      </w:r>
      <w:r>
        <w:rPr>
          <w:rFonts w:eastAsia="仿宋_GB2312"/>
          <w:sz w:val="32"/>
          <w:szCs w:val="32"/>
        </w:rPr>
        <w:t>区级资金</w:t>
      </w:r>
      <w:r>
        <w:rPr>
          <w:rFonts w:hint="eastAsia" w:eastAsia="仿宋_GB2312"/>
          <w:sz w:val="32"/>
          <w:szCs w:val="32"/>
        </w:rPr>
        <w:t>1</w:t>
      </w:r>
      <w:r>
        <w:rPr>
          <w:rFonts w:eastAsia="仿宋_GB2312"/>
          <w:sz w:val="32"/>
          <w:szCs w:val="32"/>
        </w:rPr>
        <w:t>07.32万元。</w:t>
      </w:r>
      <w:r>
        <w:rPr>
          <w:rFonts w:hint="eastAsia" w:eastAsia="仿宋_GB2312"/>
          <w:sz w:val="32"/>
          <w:szCs w:val="32"/>
        </w:rPr>
        <w:t>6月完成目标任务</w:t>
      </w:r>
      <w:r>
        <w:rPr>
          <w:rFonts w:eastAsia="仿宋_GB2312"/>
          <w:sz w:val="32"/>
          <w:szCs w:val="32"/>
        </w:rPr>
        <w:t>50%</w:t>
      </w:r>
      <w:r>
        <w:rPr>
          <w:rFonts w:hint="eastAsia" w:eastAsia="仿宋_GB2312"/>
          <w:sz w:val="32"/>
          <w:szCs w:val="32"/>
        </w:rPr>
        <w:t>，资金拨付</w:t>
      </w:r>
      <w:r>
        <w:rPr>
          <w:rFonts w:eastAsia="仿宋_GB2312"/>
          <w:sz w:val="32"/>
          <w:szCs w:val="32"/>
        </w:rPr>
        <w:t>50%</w:t>
      </w:r>
      <w:r>
        <w:rPr>
          <w:rFonts w:hint="eastAsia" w:eastAsia="仿宋_GB2312"/>
          <w:sz w:val="32"/>
          <w:szCs w:val="32"/>
        </w:rPr>
        <w:t>；</w:t>
      </w:r>
      <w:r>
        <w:rPr>
          <w:rFonts w:eastAsia="仿宋_GB2312"/>
          <w:sz w:val="32"/>
          <w:szCs w:val="32"/>
        </w:rPr>
        <w:t xml:space="preserve"> 9</w:t>
      </w:r>
      <w:r>
        <w:rPr>
          <w:rFonts w:hint="eastAsia" w:eastAsia="仿宋_GB2312"/>
          <w:sz w:val="32"/>
          <w:szCs w:val="32"/>
        </w:rPr>
        <w:t>月完成目标任务</w:t>
      </w:r>
      <w:r>
        <w:rPr>
          <w:rFonts w:eastAsia="仿宋_GB2312"/>
          <w:sz w:val="32"/>
          <w:szCs w:val="32"/>
        </w:rPr>
        <w:t>80%</w:t>
      </w:r>
      <w:r>
        <w:rPr>
          <w:rFonts w:hint="eastAsia" w:eastAsia="仿宋_GB2312"/>
          <w:sz w:val="32"/>
          <w:szCs w:val="32"/>
        </w:rPr>
        <w:t>，资金拨付</w:t>
      </w:r>
      <w:r>
        <w:rPr>
          <w:rFonts w:eastAsia="仿宋_GB2312"/>
          <w:sz w:val="32"/>
          <w:szCs w:val="32"/>
        </w:rPr>
        <w:t>80%</w:t>
      </w:r>
      <w:r>
        <w:rPr>
          <w:rFonts w:hint="eastAsia" w:eastAsia="仿宋_GB2312"/>
          <w:sz w:val="32"/>
          <w:szCs w:val="32"/>
        </w:rPr>
        <w:t>；</w:t>
      </w:r>
      <w:r>
        <w:rPr>
          <w:rFonts w:eastAsia="仿宋_GB2312"/>
          <w:sz w:val="32"/>
          <w:szCs w:val="32"/>
        </w:rPr>
        <w:t>11</w:t>
      </w:r>
      <w:r>
        <w:rPr>
          <w:rFonts w:hint="eastAsia" w:eastAsia="仿宋_GB2312"/>
          <w:sz w:val="32"/>
          <w:szCs w:val="32"/>
        </w:rPr>
        <w:t>月完成目标任务</w:t>
      </w:r>
      <w:r>
        <w:rPr>
          <w:rFonts w:eastAsia="仿宋_GB2312"/>
          <w:sz w:val="32"/>
          <w:szCs w:val="32"/>
        </w:rPr>
        <w:t>100%</w:t>
      </w:r>
      <w:r>
        <w:rPr>
          <w:rFonts w:hint="eastAsia" w:eastAsia="仿宋_GB2312"/>
          <w:sz w:val="32"/>
          <w:szCs w:val="32"/>
        </w:rPr>
        <w:t>，资金拨付</w:t>
      </w:r>
      <w:r>
        <w:rPr>
          <w:rFonts w:eastAsia="仿宋_GB2312"/>
          <w:sz w:val="32"/>
          <w:szCs w:val="32"/>
        </w:rPr>
        <w:t>100%</w:t>
      </w:r>
      <w:r>
        <w:rPr>
          <w:rFonts w:hint="eastAsia" w:eastAsia="仿宋_GB2312"/>
          <w:sz w:val="32"/>
          <w:szCs w:val="32"/>
        </w:rPr>
        <w:t>；</w:t>
      </w:r>
      <w:r>
        <w:rPr>
          <w:rFonts w:eastAsia="仿宋_GB2312"/>
          <w:sz w:val="32"/>
          <w:szCs w:val="32"/>
        </w:rPr>
        <w:t xml:space="preserve"> 12</w:t>
      </w:r>
      <w:r>
        <w:rPr>
          <w:rFonts w:hint="eastAsia" w:eastAsia="仿宋_GB2312"/>
          <w:sz w:val="32"/>
          <w:szCs w:val="32"/>
        </w:rPr>
        <w:t>月抽查核实。</w:t>
      </w:r>
    </w:p>
    <w:p>
      <w:pPr>
        <w:spacing w:line="353" w:lineRule="auto"/>
        <w:ind w:firstLine="643" w:firstLineChars="200"/>
        <w:rPr>
          <w:rFonts w:eastAsia="仿宋_GB2312"/>
          <w:sz w:val="32"/>
          <w:szCs w:val="32"/>
        </w:rPr>
      </w:pPr>
      <w:r>
        <w:rPr>
          <w:rFonts w:hint="eastAsia" w:ascii="仿宋_GB2312" w:hAnsi="宋体" w:eastAsia="仿宋_GB2312"/>
          <w:b/>
          <w:sz w:val="32"/>
          <w:szCs w:val="32"/>
          <w:lang w:val="zh-CN"/>
        </w:rPr>
        <w:t>2.资金到位。</w:t>
      </w:r>
      <w:r>
        <w:rPr>
          <w:rFonts w:eastAsia="仿宋_GB2312"/>
          <w:sz w:val="32"/>
          <w:szCs w:val="32"/>
        </w:rPr>
        <w:t>2021年西区实际到位国家基本公共卫生服务项目资金总额107.32万元，按照时间节点要求及时下拨。</w:t>
      </w:r>
    </w:p>
    <w:p>
      <w:pPr>
        <w:spacing w:line="353" w:lineRule="auto"/>
        <w:ind w:firstLine="643" w:firstLineChars="200"/>
        <w:rPr>
          <w:rFonts w:eastAsia="仿宋_GB2312"/>
          <w:sz w:val="32"/>
          <w:szCs w:val="32"/>
        </w:rPr>
      </w:pPr>
      <w:r>
        <w:rPr>
          <w:rFonts w:hint="eastAsia" w:ascii="仿宋_GB2312" w:hAnsi="宋体" w:eastAsia="仿宋_GB2312"/>
          <w:b/>
          <w:sz w:val="32"/>
          <w:szCs w:val="32"/>
          <w:lang w:val="zh-CN"/>
        </w:rPr>
        <w:t>3.资金使用。</w:t>
      </w:r>
      <w:r>
        <w:rPr>
          <w:rFonts w:eastAsia="仿宋_GB2312"/>
          <w:sz w:val="32"/>
          <w:szCs w:val="32"/>
        </w:rPr>
        <w:t>按照民生工程的要求</w:t>
      </w:r>
      <w:r>
        <w:rPr>
          <w:rFonts w:hint="eastAsia" w:eastAsia="仿宋_GB2312"/>
          <w:sz w:val="32"/>
          <w:szCs w:val="32"/>
        </w:rPr>
        <w:t>，</w:t>
      </w:r>
      <w:r>
        <w:rPr>
          <w:rFonts w:eastAsia="仿宋_GB2312"/>
          <w:sz w:val="32"/>
          <w:szCs w:val="32"/>
        </w:rPr>
        <w:t>于</w:t>
      </w:r>
      <w:r>
        <w:rPr>
          <w:rFonts w:hint="eastAsia" w:eastAsia="仿宋_GB2312"/>
          <w:sz w:val="32"/>
          <w:szCs w:val="32"/>
        </w:rPr>
        <w:t>2</w:t>
      </w:r>
      <w:r>
        <w:rPr>
          <w:rFonts w:eastAsia="仿宋_GB2312"/>
          <w:sz w:val="32"/>
          <w:szCs w:val="32"/>
        </w:rPr>
        <w:t>021年</w:t>
      </w:r>
      <w:r>
        <w:rPr>
          <w:rFonts w:hint="eastAsia" w:eastAsia="仿宋_GB2312"/>
          <w:sz w:val="32"/>
          <w:szCs w:val="32"/>
        </w:rPr>
        <w:t>1</w:t>
      </w:r>
      <w:r>
        <w:rPr>
          <w:rFonts w:eastAsia="仿宋_GB2312"/>
          <w:sz w:val="32"/>
          <w:szCs w:val="32"/>
        </w:rPr>
        <w:t>1月全额拨付基层医疗卫生机构。</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autoSpaceDE w:val="0"/>
        <w:autoSpaceDN w:val="0"/>
        <w:spacing w:line="353" w:lineRule="auto"/>
        <w:ind w:firstLine="640" w:firstLineChars="200"/>
        <w:rPr>
          <w:rFonts w:eastAsia="仿宋_GB2312"/>
          <w:sz w:val="32"/>
          <w:szCs w:val="32"/>
        </w:rPr>
      </w:pPr>
      <w:r>
        <w:rPr>
          <w:rFonts w:eastAsia="仿宋_GB2312"/>
          <w:sz w:val="32"/>
          <w:szCs w:val="32"/>
        </w:rPr>
        <w:t>财务管理制度健全，严格执行财务管理制度，账务处理及时，会计核算规范。</w:t>
      </w:r>
      <w:r>
        <w:rPr>
          <w:rFonts w:hint="eastAsia" w:eastAsia="仿宋_GB2312"/>
          <w:sz w:val="32"/>
          <w:szCs w:val="32"/>
        </w:rPr>
        <w:t>工作中</w:t>
      </w:r>
      <w:r>
        <w:rPr>
          <w:rFonts w:eastAsia="仿宋_GB2312"/>
          <w:sz w:val="32"/>
          <w:szCs w:val="32"/>
        </w:rPr>
        <w:t>总结经验和亮点，发现问题，</w:t>
      </w:r>
      <w:r>
        <w:rPr>
          <w:rFonts w:hint="eastAsia" w:eastAsia="仿宋_GB2312"/>
          <w:sz w:val="32"/>
          <w:szCs w:val="32"/>
        </w:rPr>
        <w:t>及时</w:t>
      </w:r>
      <w:r>
        <w:rPr>
          <w:rFonts w:eastAsia="仿宋_GB2312"/>
          <w:sz w:val="32"/>
          <w:szCs w:val="32"/>
        </w:rPr>
        <w:t>改进，促进项目规范管理，并不断提高服务质量，保障项目资金使用效益，使群众受益水平不断提升。</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（一）项目组织架构及实施流程。</w:t>
      </w:r>
    </w:p>
    <w:p>
      <w:pPr>
        <w:autoSpaceDE w:val="0"/>
        <w:autoSpaceDN w:val="0"/>
        <w:spacing w:line="353" w:lineRule="auto"/>
        <w:ind w:firstLine="640" w:firstLineChars="200"/>
        <w:rPr>
          <w:rFonts w:eastAsia="仿宋_GB2312"/>
          <w:sz w:val="32"/>
          <w:szCs w:val="32"/>
        </w:rPr>
      </w:pPr>
      <w:r>
        <w:rPr>
          <w:rFonts w:eastAsia="仿宋_GB2312"/>
          <w:sz w:val="32"/>
          <w:szCs w:val="32"/>
        </w:rPr>
        <w:t>根据《关于提前下达2021年卫生健康省级补助资金的通知》（攀财资社〔2020〕238号）《攀枝花市财政局 攀枝花市卫生健康委员会关于下达2021年基本公共卫生服务中央补助资金（第一批）的通知》（攀财资社〔2021〕11号）《攀枝花市财政局 攀枝花市卫生健康委员会关于下达2021年中央、省级和市级财政基本公共卫生服务补助资金的通知》（攀财资社〔2021〕85号）文件中资金安排及《攀枝花市西区卫生健康局关于印发2021年基本公共卫生服务项目实施方案的通知》（攀西卫健〔2021〕98号）《攀枝花市西区卫生健康局关于开展2021年度基本公共卫生服务项目绩效评价方案》（攀西卫健〔2021〕97号）文件要求，区均等化指导中心按照《国家基本公共卫生服务规范（第三版）》服务内容，对格里坪镇卫生院、6家社区卫生服务中心、2家社区卫生服务站、2家村卫生室实施了基本公共卫生服务项目绩效评价工作。总结经验和亮点，发现问题，改进工作，促进项目规范管理，并不断提高服务质量，保障项目资金使用效益，使群众受益水平不断提升。</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（二）项目管理情况。</w:t>
      </w:r>
      <w:r>
        <w:rPr>
          <w:rFonts w:eastAsia="仿宋_GB2312"/>
          <w:sz w:val="32"/>
          <w:szCs w:val="32"/>
        </w:rPr>
        <w:t>按照文件要求，专款专用，做到资金合理规范使用，划拨基层医疗卫生机构的基本公共卫生服务项目补助资金，全部用于基本公共卫生服务项目及疫情防控工作的开展。</w:t>
      </w:r>
    </w:p>
    <w:p>
      <w:pPr>
        <w:pStyle w:val="2"/>
        <w:spacing w:before="93" w:line="353" w:lineRule="auto"/>
        <w:ind w:firstLine="640" w:firstLineChars="200"/>
        <w:rPr>
          <w:rFonts w:hAnsi="仿宋_GB2312" w:cs="仿宋_GB2312"/>
        </w:rPr>
      </w:pPr>
      <w:r>
        <w:rPr>
          <w:rFonts w:hint="eastAsia" w:ascii="楷体_GB2312" w:hAnsi="宋体" w:eastAsia="楷体_GB2312"/>
          <w:sz w:val="32"/>
          <w:szCs w:val="32"/>
          <w:lang w:val="zh-CN"/>
        </w:rPr>
        <w:t>（三）项目监管情况。</w:t>
      </w:r>
      <w:r>
        <w:rPr>
          <w:rFonts w:hint="eastAsia" w:hAnsi="仿宋_GB2312" w:cs="仿宋_GB2312"/>
          <w:sz w:val="32"/>
          <w:szCs w:val="32"/>
        </w:rPr>
        <w:t>评价范围覆盖辖区内所有乡镇卫生院、社区卫生服务中心。评价项目必须包含原基本公共卫生服务项目所有内容，居民感受度纳入重要评价评估内容。</w:t>
      </w:r>
      <w:r>
        <w:rPr>
          <w:rFonts w:ascii="Times New Roman"/>
          <w:sz w:val="32"/>
          <w:szCs w:val="32"/>
        </w:rPr>
        <w:t>对辖区内20%的社区卫生服务站、村卫生室</w:t>
      </w:r>
      <w:r>
        <w:rPr>
          <w:rFonts w:hint="eastAsia" w:ascii="Times New Roman"/>
          <w:sz w:val="32"/>
          <w:szCs w:val="32"/>
        </w:rPr>
        <w:t>进行项目</w:t>
      </w:r>
      <w:r>
        <w:rPr>
          <w:rFonts w:ascii="Times New Roman"/>
          <w:sz w:val="32"/>
          <w:szCs w:val="32"/>
        </w:rPr>
        <w:t>抽查复核</w:t>
      </w:r>
      <w:r>
        <w:rPr>
          <w:rFonts w:hint="eastAsia" w:ascii="Times New Roman"/>
          <w:sz w:val="32"/>
          <w:szCs w:val="32"/>
        </w:rPr>
        <w:t>。</w:t>
      </w:r>
      <w:r>
        <w:rPr>
          <w:rFonts w:hint="eastAsia" w:hAnsi="仿宋_GB2312" w:cs="仿宋_GB2312"/>
          <w:sz w:val="32"/>
          <w:szCs w:val="32"/>
        </w:rPr>
        <w:t>乡镇卫生院和社区卫生服务中心强化村卫生室和服务站的全面评价，严肃处理弄虚作假情况，严格实行评价结果与资金拨付挂钩。</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spacing w:line="353" w:lineRule="auto"/>
        <w:ind w:firstLine="640" w:firstLineChars="200"/>
        <w:contextualSpacing/>
        <w:rPr>
          <w:rFonts w:eastAsia="仿宋_GB2312"/>
          <w:sz w:val="32"/>
          <w:szCs w:val="32"/>
        </w:rPr>
      </w:pPr>
      <w:r>
        <w:rPr>
          <w:rFonts w:hint="eastAsia" w:eastAsia="仿宋_GB2312"/>
          <w:sz w:val="32"/>
          <w:szCs w:val="32"/>
        </w:rPr>
        <w:t>现场评价过程中，指标覆盖情况如下：</w:t>
      </w:r>
      <w:r>
        <w:rPr>
          <w:rFonts w:eastAsia="仿宋_GB2312"/>
          <w:sz w:val="32"/>
          <w:szCs w:val="32"/>
        </w:rPr>
        <w:t>建立电子健康档案133650份，电子建档率97.55%、动态使用率80.48%，0-6岁儿童健康管理率为94.37%，早孕建册率为78.26%，65岁及以上老年人健康管理率63.81%，高血压患者规范管理率为61.81%，2型糖尿病患者规范管理率为62.87%，严重精神障碍患者规范化管理率91.16%。重点人群签约服务覆盖率72.97%，一般人群签约服务覆盖率39.58%。在老年人、慢病患者、0-6岁儿童、孕产妇等重点人群中开展的基本公共卫生服务满意度测评，电话访谈满意度达100%。</w:t>
      </w:r>
    </w:p>
    <w:p>
      <w:pPr>
        <w:adjustRightInd w:val="0"/>
        <w:spacing w:line="353" w:lineRule="auto"/>
        <w:ind w:firstLine="720"/>
        <w:contextualSpacing/>
        <w:rPr>
          <w:rFonts w:ascii="楷体_GB2312" w:hAnsi="宋体" w:eastAsia="楷体_GB2312"/>
          <w:sz w:val="32"/>
          <w:szCs w:val="32"/>
          <w:lang w:val="zh-CN"/>
        </w:rPr>
      </w:pPr>
      <w:r>
        <w:rPr>
          <w:rFonts w:hint="eastAsia" w:ascii="楷体_GB2312" w:hAnsi="宋体" w:eastAsia="楷体_GB2312"/>
          <w:sz w:val="32"/>
          <w:szCs w:val="32"/>
          <w:lang w:val="zh-CN"/>
        </w:rPr>
        <w:t>（二）项目效益情况。</w:t>
      </w:r>
    </w:p>
    <w:p>
      <w:pPr>
        <w:adjustRightInd w:val="0"/>
        <w:spacing w:line="353" w:lineRule="auto"/>
        <w:ind w:firstLine="640" w:firstLineChars="200"/>
        <w:contextualSpacing/>
        <w:rPr>
          <w:rFonts w:ascii="仿宋_GB2312" w:hAnsi="仿宋_GB2312" w:eastAsia="仿宋_GB2312" w:cs="仿宋_GB2312"/>
          <w:sz w:val="32"/>
          <w:szCs w:val="32"/>
          <w:lang w:val="zh-CN" w:bidi="zh-CN"/>
        </w:rPr>
      </w:pPr>
      <w:r>
        <w:rPr>
          <w:rFonts w:hint="eastAsia" w:ascii="仿宋_GB2312" w:hAnsi="仿宋_GB2312" w:eastAsia="仿宋_GB2312" w:cs="仿宋_GB2312"/>
          <w:sz w:val="32"/>
          <w:szCs w:val="32"/>
          <w:lang w:val="zh-CN" w:bidi="zh-CN"/>
        </w:rPr>
        <w:t>2021 年基本公共卫生服务项目工作部署，从组织管理，资金管理，应急管理，项目执行、绩效考核和实施成效、家庭医生签约服务等方面狠抓落实，全面推进基本公共卫生服务均等化，通过不断丰富项目内容，提升服务质量和服务规范，进一步提升城乡居民健康水平，缩小不同收入水平居民之间的健康差距，提高重点人群的健康水平、降低婴儿、孕产妇死亡率，有效控制新冠肺炎疫情、降低其他法定传染病发病率。</w:t>
      </w:r>
    </w:p>
    <w:p>
      <w:pPr>
        <w:adjustRightInd w:val="0"/>
        <w:spacing w:line="353" w:lineRule="auto"/>
        <w:ind w:firstLine="720"/>
        <w:contextualSpacing/>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（一）评价结论。</w:t>
      </w:r>
    </w:p>
    <w:p>
      <w:pPr>
        <w:spacing w:line="353" w:lineRule="auto"/>
        <w:ind w:firstLine="640" w:firstLineChars="200"/>
        <w:rPr>
          <w:rFonts w:eastAsia="仿宋_GB2312"/>
          <w:sz w:val="32"/>
          <w:szCs w:val="32"/>
        </w:rPr>
      </w:pPr>
      <w:r>
        <w:rPr>
          <w:rFonts w:eastAsia="仿宋_GB2312"/>
          <w:sz w:val="32"/>
          <w:szCs w:val="32"/>
        </w:rPr>
        <w:t>按照《攀枝花市西区卫生健康局关于印发2021年基本公共卫生服务项目实施方案的通知》（攀西卫健〔2021〕98号）《攀枝花市西区卫生健康局关于开展2021年度基本公共卫生服务项目绩效评价方案》（攀西卫健〔2021〕97号）文件要求，区级年终绩效评价中格里坪镇卫生院、景怡社区卫生服务站分别排名第一名，奖励金额分别为2万元和1万元。（清香坪社区卫生服务中心及蓝湖社区卫生服务站在年终绩效评价中排名末位，分别扣2万元和1万元。）</w:t>
      </w:r>
    </w:p>
    <w:p>
      <w:pPr>
        <w:adjustRightInd w:val="0"/>
        <w:snapToGrid w:val="0"/>
        <w:spacing w:line="600" w:lineRule="exact"/>
        <w:ind w:firstLine="720"/>
        <w:rPr>
          <w:rFonts w:ascii="楷体_GB2312" w:hAnsi="宋体" w:eastAsia="楷体_GB2312"/>
          <w:sz w:val="32"/>
          <w:szCs w:val="32"/>
          <w:lang w:val="zh-CN"/>
        </w:rPr>
      </w:pPr>
      <w:r>
        <w:rPr>
          <w:rFonts w:hint="eastAsia" w:ascii="楷体_GB2312" w:hAnsi="宋体" w:eastAsia="楷体_GB2312"/>
          <w:sz w:val="32"/>
          <w:szCs w:val="32"/>
          <w:lang w:val="zh-CN"/>
        </w:rPr>
        <w:t>（二）存在的问题。</w:t>
      </w:r>
    </w:p>
    <w:p>
      <w:pPr>
        <w:autoSpaceDE w:val="0"/>
        <w:autoSpaceDN w:val="0"/>
        <w:spacing w:line="353" w:lineRule="auto"/>
        <w:ind w:firstLine="640" w:firstLineChars="200"/>
        <w:rPr>
          <w:rFonts w:eastAsia="仿宋_GB2312"/>
          <w:sz w:val="32"/>
          <w:szCs w:val="32"/>
        </w:rPr>
      </w:pPr>
      <w:r>
        <w:rPr>
          <w:rFonts w:eastAsia="仿宋_GB2312"/>
          <w:sz w:val="32"/>
          <w:szCs w:val="32"/>
        </w:rPr>
        <w:t>1.随着基本公共卫生服务管理工作要求更规范、质量考核标准更严格、更细化。同时随着新冠疫情常态化防控的工作开展，工作量激增，导致各岗位人员配置紧张。</w:t>
      </w:r>
    </w:p>
    <w:p>
      <w:pPr>
        <w:autoSpaceDE w:val="0"/>
        <w:autoSpaceDN w:val="0"/>
        <w:spacing w:line="353" w:lineRule="auto"/>
        <w:ind w:firstLine="640" w:firstLineChars="200"/>
        <w:rPr>
          <w:rFonts w:eastAsia="仿宋_GB2312"/>
          <w:sz w:val="32"/>
          <w:szCs w:val="32"/>
        </w:rPr>
      </w:pPr>
      <w:r>
        <w:rPr>
          <w:rFonts w:eastAsia="仿宋_GB2312"/>
          <w:sz w:val="32"/>
          <w:szCs w:val="32"/>
        </w:rPr>
        <w:t>2.部分项目的规范性不够，导致个别项目未完成任务指标。在档案建立、儿妇保管理、慢性病随访等方面，个别信息缺乏真实性、逻辑性，档案存在漏项、缺项、涂改、填写不规范现象。普通人群健康档案使用率较低，存在死档现象。</w:t>
      </w:r>
    </w:p>
    <w:p>
      <w:pPr>
        <w:autoSpaceDE w:val="0"/>
        <w:autoSpaceDN w:val="0"/>
        <w:spacing w:line="353" w:lineRule="auto"/>
        <w:ind w:firstLine="640" w:firstLineChars="200"/>
        <w:contextualSpacing/>
        <w:rPr>
          <w:rFonts w:eastAsia="仿宋_GB2312"/>
          <w:sz w:val="32"/>
          <w:szCs w:val="32"/>
        </w:rPr>
      </w:pPr>
      <w:r>
        <w:rPr>
          <w:rFonts w:eastAsia="仿宋_GB2312"/>
          <w:sz w:val="32"/>
          <w:szCs w:val="32"/>
        </w:rPr>
        <w:t>3.未能与跨区域数据互联互通，信息系统支撑能力不足，各系统之间互联互通不到位，统计查询功能不完善，需要工作人员重复录入，影响工作效率。</w:t>
      </w:r>
    </w:p>
    <w:p>
      <w:pPr>
        <w:adjustRightInd w:val="0"/>
        <w:spacing w:line="353" w:lineRule="auto"/>
        <w:ind w:firstLine="720"/>
        <w:contextualSpacing/>
        <w:rPr>
          <w:rFonts w:ascii="楷体_GB2312" w:hAnsi="宋体" w:eastAsia="楷体_GB2312"/>
          <w:sz w:val="32"/>
          <w:szCs w:val="32"/>
          <w:lang w:val="zh-CN"/>
        </w:rPr>
      </w:pPr>
      <w:r>
        <w:rPr>
          <w:rFonts w:hint="eastAsia" w:ascii="楷体_GB2312" w:hAnsi="宋体" w:eastAsia="楷体_GB2312"/>
          <w:sz w:val="32"/>
          <w:szCs w:val="32"/>
          <w:lang w:val="zh-CN"/>
        </w:rPr>
        <w:t>（三）相关建议。</w:t>
      </w:r>
    </w:p>
    <w:p>
      <w:pPr>
        <w:autoSpaceDE w:val="0"/>
        <w:autoSpaceDN w:val="0"/>
        <w:spacing w:line="353" w:lineRule="auto"/>
        <w:ind w:firstLine="643" w:firstLineChars="200"/>
        <w:rPr>
          <w:rFonts w:eastAsia="仿宋_GB2312"/>
          <w:sz w:val="32"/>
          <w:szCs w:val="32"/>
        </w:rPr>
      </w:pPr>
      <w:r>
        <w:rPr>
          <w:rFonts w:hint="eastAsia" w:ascii="仿宋_GB2312" w:eastAsia="仿宋_GB2312"/>
          <w:b/>
          <w:sz w:val="32"/>
          <w:szCs w:val="32"/>
        </w:rPr>
        <w:t>1.严格按照规范操作，提升项目执行质量。</w:t>
      </w:r>
      <w:r>
        <w:rPr>
          <w:rFonts w:eastAsia="仿宋_GB2312"/>
          <w:sz w:val="32"/>
          <w:szCs w:val="32"/>
        </w:rPr>
        <w:t>加强督导检查力度，认真按照《国家基本公共卫生服务规范</w:t>
      </w:r>
      <w:r>
        <w:rPr>
          <w:rFonts w:hint="eastAsia" w:eastAsia="仿宋_GB2312"/>
          <w:sz w:val="32"/>
          <w:szCs w:val="32"/>
        </w:rPr>
        <w:t>（</w:t>
      </w:r>
      <w:r>
        <w:rPr>
          <w:rFonts w:eastAsia="仿宋_GB2312"/>
          <w:sz w:val="32"/>
          <w:szCs w:val="32"/>
        </w:rPr>
        <w:t>第三版</w:t>
      </w:r>
      <w:r>
        <w:rPr>
          <w:rFonts w:hint="eastAsia" w:eastAsia="仿宋_GB2312"/>
          <w:sz w:val="32"/>
          <w:szCs w:val="32"/>
        </w:rPr>
        <w:t>）</w:t>
      </w:r>
      <w:r>
        <w:rPr>
          <w:rFonts w:eastAsia="仿宋_GB2312"/>
          <w:sz w:val="32"/>
          <w:szCs w:val="32"/>
        </w:rPr>
        <w:t>》服务内容、程序、要求等完成指标，提高质量，切实做到数量、质量、效果并重，各项目实施人员熟练掌握国家基本公共卫生服务项目标准和工作规范，细化工作流程，提升项目执行质量。</w:t>
      </w:r>
    </w:p>
    <w:p>
      <w:pPr>
        <w:autoSpaceDE w:val="0"/>
        <w:autoSpaceDN w:val="0"/>
        <w:spacing w:line="353" w:lineRule="auto"/>
        <w:ind w:firstLine="643" w:firstLineChars="200"/>
        <w:rPr>
          <w:rFonts w:eastAsia="仿宋_GB2312"/>
          <w:sz w:val="32"/>
          <w:szCs w:val="32"/>
        </w:rPr>
      </w:pPr>
      <w:r>
        <w:rPr>
          <w:rFonts w:hint="eastAsia" w:ascii="仿宋_GB2312" w:eastAsia="仿宋_GB2312"/>
          <w:b/>
          <w:sz w:val="32"/>
          <w:szCs w:val="32"/>
        </w:rPr>
        <w:t>2.重视人才培养，提升能力建设。</w:t>
      </w:r>
      <w:r>
        <w:rPr>
          <w:rFonts w:eastAsia="仿宋_GB2312"/>
          <w:sz w:val="32"/>
          <w:szCs w:val="32"/>
        </w:rPr>
        <w:t>持续开展《国家基本公卫规范（第三版）》培训，完善绩效考核制度。按照中心管站的一体化要求，做好对辖区内社区卫生服务站、村卫生室的业务指导，提高整体服务能力和素质。</w:t>
      </w:r>
    </w:p>
    <w:p>
      <w:pPr>
        <w:autoSpaceDE w:val="0"/>
        <w:autoSpaceDN w:val="0"/>
        <w:spacing w:line="353" w:lineRule="auto"/>
        <w:ind w:firstLine="643" w:firstLineChars="200"/>
        <w:rPr>
          <w:rFonts w:eastAsia="仿宋_GB2312"/>
          <w:sz w:val="32"/>
          <w:szCs w:val="32"/>
        </w:rPr>
      </w:pPr>
      <w:r>
        <w:rPr>
          <w:rFonts w:hint="eastAsia" w:ascii="仿宋_GB2312" w:eastAsia="仿宋_GB2312"/>
          <w:b/>
          <w:sz w:val="32"/>
          <w:szCs w:val="32"/>
        </w:rPr>
        <w:t>3.整合信息系统，促进信息共享。</w:t>
      </w:r>
      <w:r>
        <w:rPr>
          <w:rFonts w:eastAsia="仿宋_GB2312"/>
          <w:sz w:val="32"/>
          <w:szCs w:val="32"/>
        </w:rPr>
        <w:t>加快推进卫生信息一体化建设。有效整合基本公共卫生服务项目与计划免疫、妇幼保健、严重精神障碍、肺结核、慢性病等其他信息系统的融合，减轻基层人员工作量。以居民电子健康档案、电子病历、远程会诊系统、区域卫生信息平台等为建设重点，统筹规划，完善区域之间、医疗卫生机构与社会保障系统之间的信息共享措施，实现互联互通、资源信息共享，最大化提高基本公共卫生服务项目的工作效率。</w:t>
      </w:r>
    </w:p>
    <w:p>
      <w:pPr>
        <w:pStyle w:val="2"/>
        <w:spacing w:before="93"/>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widowControl/>
        <w:adjustRightInd w:val="0"/>
        <w:snapToGrid w:val="0"/>
        <w:spacing w:line="580" w:lineRule="exact"/>
        <w:contextualSpacing/>
        <w:jc w:val="left"/>
        <w:rPr>
          <w:rFonts w:ascii="黑体" w:hAnsi="黑体" w:eastAsia="黑体" w:cs="宋体"/>
          <w:kern w:val="0"/>
          <w:sz w:val="32"/>
          <w:szCs w:val="32"/>
          <w:shd w:val="clear" w:color="auto" w:fill="FFFFFF"/>
          <w:lang w:val="zh-CN"/>
        </w:rPr>
      </w:pPr>
      <w:r>
        <w:rPr>
          <w:rFonts w:hint="eastAsia" w:ascii="黑体" w:hAnsi="黑体" w:eastAsia="黑体" w:cs="宋体"/>
          <w:kern w:val="0"/>
          <w:sz w:val="32"/>
          <w:szCs w:val="32"/>
          <w:shd w:val="clear" w:color="auto" w:fill="FFFFFF"/>
          <w:lang w:val="zh-CN"/>
        </w:rPr>
        <w:t>附件3：</w:t>
      </w:r>
    </w:p>
    <w:p>
      <w:pPr>
        <w:spacing w:line="600" w:lineRule="exact"/>
        <w:jc w:val="center"/>
        <w:outlineLvl w:val="0"/>
        <w:rPr>
          <w:rFonts w:ascii="黑体" w:hAnsi="黑体" w:eastAsia="黑体"/>
          <w:sz w:val="44"/>
          <w:szCs w:val="44"/>
        </w:rPr>
      </w:pPr>
      <w:bookmarkStart w:id="59" w:name="_Toc15396618"/>
      <w:r>
        <w:drawing>
          <wp:anchor distT="0" distB="0" distL="114300" distR="114300" simplePos="0" relativeHeight="251657216" behindDoc="0" locked="0" layoutInCell="1" allowOverlap="1">
            <wp:simplePos x="0" y="0"/>
            <wp:positionH relativeFrom="column">
              <wp:posOffset>140335</wp:posOffset>
            </wp:positionH>
            <wp:positionV relativeFrom="paragraph">
              <wp:posOffset>407035</wp:posOffset>
            </wp:positionV>
            <wp:extent cx="5274310" cy="7391400"/>
            <wp:effectExtent l="0" t="0" r="2540" b="0"/>
            <wp:wrapSquare wrapText="bothSides"/>
            <wp:docPr id="7" name="图片 7" descr="H:\公卫中心\1桌面\财务\决算\2022\公共卫生服务中心决算\公开\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公卫中心\1桌面\财务\决算\2022\公共卫生服务中心决算\公开\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74310" cy="7391419"/>
                    </a:xfrm>
                    <a:prstGeom prst="rect">
                      <a:avLst/>
                    </a:prstGeom>
                    <a:noFill/>
                    <a:ln>
                      <a:noFill/>
                    </a:ln>
                  </pic:spPr>
                </pic:pic>
              </a:graphicData>
            </a:graphic>
          </wp:anchor>
        </w:drawing>
      </w:r>
    </w:p>
    <w:p>
      <w:pPr>
        <w:pStyle w:val="2"/>
        <w:spacing w:before="93"/>
      </w:pPr>
    </w:p>
    <w:p>
      <w:pPr>
        <w:pStyle w:val="2"/>
        <w:spacing w:before="93"/>
      </w:pPr>
    </w:p>
    <w:p>
      <w:pPr>
        <w:pStyle w:val="2"/>
        <w:spacing w:before="93"/>
      </w:pPr>
      <w:r>
        <w:drawing>
          <wp:inline distT="0" distB="0" distL="0" distR="0">
            <wp:extent cx="5274310" cy="2087245"/>
            <wp:effectExtent l="0" t="0" r="2540" b="8255"/>
            <wp:docPr id="8" name="图片 8" descr="H:\公卫中心\1桌面\财务\决算\2022\公共卫生服务中心决算\公开\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公卫中心\1桌面\财务\决算\2022\公共卫生服务中心决算\公开\1-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4310" cy="2087859"/>
                    </a:xfrm>
                    <a:prstGeom prst="rect">
                      <a:avLst/>
                    </a:prstGeom>
                    <a:noFill/>
                    <a:ln>
                      <a:noFill/>
                    </a:ln>
                  </pic:spPr>
                </pic:pic>
              </a:graphicData>
            </a:graphic>
          </wp:inline>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r>
        <w:drawing>
          <wp:inline distT="0" distB="0" distL="0" distR="0">
            <wp:extent cx="5274310" cy="7098030"/>
            <wp:effectExtent l="0" t="0" r="2540" b="7620"/>
            <wp:docPr id="9" name="图片 9" descr="H:\公卫中心\1桌面\财务\决算\2022\公共卫生服务中心决算\公开\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公卫中心\1桌面\财务\决算\2022\公共卫生服务中心决算\公开\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4310" cy="7098186"/>
                    </a:xfrm>
                    <a:prstGeom prst="rect">
                      <a:avLst/>
                    </a:prstGeom>
                    <a:noFill/>
                    <a:ln>
                      <a:noFill/>
                    </a:ln>
                  </pic:spPr>
                </pic:pic>
              </a:graphicData>
            </a:graphic>
          </wp:inline>
        </w:drawing>
      </w:r>
    </w:p>
    <w:p>
      <w:pPr>
        <w:pStyle w:val="2"/>
        <w:spacing w:before="93"/>
      </w:pPr>
    </w:p>
    <w:p>
      <w:pPr>
        <w:pStyle w:val="2"/>
        <w:spacing w:before="93"/>
      </w:pPr>
    </w:p>
    <w:p>
      <w:pPr>
        <w:spacing w:line="600" w:lineRule="exact"/>
        <w:jc w:val="center"/>
        <w:outlineLvl w:val="0"/>
        <w:rPr>
          <w:rFonts w:ascii="黑体" w:hAnsi="黑体" w:eastAsia="黑体"/>
          <w:sz w:val="44"/>
          <w:szCs w:val="44"/>
        </w:rPr>
      </w:pPr>
    </w:p>
    <w:p>
      <w:pPr>
        <w:spacing w:line="600" w:lineRule="exact"/>
        <w:outlineLvl w:val="0"/>
        <w:rPr>
          <w:rFonts w:ascii="黑体" w:hAnsi="黑体" w:eastAsia="黑体"/>
          <w:sz w:val="44"/>
          <w:szCs w:val="44"/>
        </w:rPr>
      </w:pPr>
    </w:p>
    <w:p>
      <w:pPr>
        <w:pStyle w:val="2"/>
        <w:spacing w:before="93"/>
      </w:pPr>
      <w:r>
        <w:drawing>
          <wp:inline distT="0" distB="0" distL="0" distR="0">
            <wp:extent cx="5274310" cy="5848985"/>
            <wp:effectExtent l="0" t="0" r="2540" b="0"/>
            <wp:docPr id="11" name="图片 11" descr="H:\公卫中心\1桌面\财务\决算\2022\公共卫生服务中心决算\公开\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公卫中心\1桌面\财务\决算\2022\公共卫生服务中心决算\公开\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4310" cy="5849541"/>
                    </a:xfrm>
                    <a:prstGeom prst="rect">
                      <a:avLst/>
                    </a:prstGeom>
                    <a:noFill/>
                    <a:ln>
                      <a:noFill/>
                    </a:ln>
                  </pic:spPr>
                </pic:pic>
              </a:graphicData>
            </a:graphic>
          </wp:inline>
        </w:drawing>
      </w:r>
    </w:p>
    <w:p>
      <w:pPr>
        <w:spacing w:line="600" w:lineRule="exact"/>
        <w:jc w:val="center"/>
        <w:outlineLvl w:val="0"/>
        <w:rPr>
          <w:rFonts w:ascii="黑体" w:hAnsi="黑体" w:eastAsia="黑体"/>
          <w:sz w:val="44"/>
          <w:szCs w:val="44"/>
        </w:rPr>
      </w:pPr>
    </w:p>
    <w:p>
      <w:pPr>
        <w:pStyle w:val="2"/>
        <w:spacing w:before="93"/>
      </w:pPr>
      <w:r>
        <w:drawing>
          <wp:anchor distT="0" distB="0" distL="114300" distR="114300" simplePos="0" relativeHeight="251659264" behindDoc="0" locked="0" layoutInCell="1" allowOverlap="1">
            <wp:simplePos x="0" y="0"/>
            <wp:positionH relativeFrom="column">
              <wp:posOffset>269240</wp:posOffset>
            </wp:positionH>
            <wp:positionV relativeFrom="paragraph">
              <wp:posOffset>766445</wp:posOffset>
            </wp:positionV>
            <wp:extent cx="5274310" cy="7324725"/>
            <wp:effectExtent l="0" t="0" r="2540" b="0"/>
            <wp:wrapSquare wrapText="bothSides"/>
            <wp:docPr id="12" name="图片 12" descr="H:\公卫中心\1桌面\财务\决算\2022\公共卫生服务中心决算\公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公卫中心\1桌面\财务\决算\2022\公共卫生服务中心决算\公开\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4310" cy="7324449"/>
                    </a:xfrm>
                    <a:prstGeom prst="rect">
                      <a:avLst/>
                    </a:prstGeom>
                    <a:noFill/>
                    <a:ln>
                      <a:noFill/>
                    </a:ln>
                  </pic:spPr>
                </pic:pic>
              </a:graphicData>
            </a:graphic>
          </wp:anchor>
        </w:drawing>
      </w:r>
    </w:p>
    <w:p>
      <w:pPr>
        <w:pStyle w:val="2"/>
        <w:spacing w:before="93"/>
      </w:pPr>
    </w:p>
    <w:p>
      <w:pPr>
        <w:pStyle w:val="2"/>
        <w:spacing w:before="93"/>
      </w:pPr>
      <w:r>
        <w:drawing>
          <wp:inline distT="0" distB="0" distL="0" distR="0">
            <wp:extent cx="5274310" cy="6889750"/>
            <wp:effectExtent l="0" t="0" r="2540" b="6350"/>
            <wp:docPr id="13" name="图片 13" descr="H:\公卫中心\1桌面\财务\决算\2022\公共卫生服务中心决算\公开\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公卫中心\1桌面\财务\决算\2022\公共卫生服务中心决算\公开\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310" cy="6890239"/>
                    </a:xfrm>
                    <a:prstGeom prst="rect">
                      <a:avLst/>
                    </a:prstGeom>
                    <a:noFill/>
                    <a:ln>
                      <a:noFill/>
                    </a:ln>
                  </pic:spPr>
                </pic:pic>
              </a:graphicData>
            </a:graphic>
          </wp:inline>
        </w:drawing>
      </w:r>
    </w:p>
    <w:p>
      <w:pPr>
        <w:pStyle w:val="2"/>
        <w:spacing w:before="93"/>
      </w:pPr>
    </w:p>
    <w:p>
      <w:pPr>
        <w:pStyle w:val="2"/>
        <w:spacing w:before="93"/>
      </w:pPr>
    </w:p>
    <w:p>
      <w:pPr>
        <w:pStyle w:val="2"/>
        <w:spacing w:before="93"/>
      </w:pPr>
    </w:p>
    <w:p>
      <w:pPr>
        <w:pStyle w:val="2"/>
        <w:spacing w:before="93"/>
      </w:pPr>
    </w:p>
    <w:p>
      <w:pPr>
        <w:pStyle w:val="2"/>
        <w:spacing w:before="93"/>
      </w:pPr>
      <w:r>
        <w:drawing>
          <wp:inline distT="0" distB="0" distL="0" distR="0">
            <wp:extent cx="5273675" cy="7124700"/>
            <wp:effectExtent l="19050" t="0" r="2686" b="0"/>
            <wp:docPr id="14" name="图片 14" descr="H:\公卫中心\1桌面\财务\决算\2022\公共卫生服务中心决算\公开\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H:\公卫中心\1桌面\财务\决算\2022\公共卫生服务中心决算\公开\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4310" cy="7124897"/>
                    </a:xfrm>
                    <a:prstGeom prst="rect">
                      <a:avLst/>
                    </a:prstGeom>
                    <a:noFill/>
                    <a:ln>
                      <a:noFill/>
                    </a:ln>
                  </pic:spPr>
                </pic:pic>
              </a:graphicData>
            </a:graphic>
          </wp:inline>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r>
        <w:drawing>
          <wp:inline distT="0" distB="0" distL="0" distR="0">
            <wp:extent cx="5274310" cy="5658485"/>
            <wp:effectExtent l="0" t="0" r="2540" b="0"/>
            <wp:docPr id="15" name="图片 15" descr="H:\公卫中心\1桌面\财务\决算\2022\公共卫生服务中心决算\公开\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H:\公卫中心\1桌面\财务\决算\2022\公共卫生服务中心决算\公开\7.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274310" cy="5658785"/>
                    </a:xfrm>
                    <a:prstGeom prst="rect">
                      <a:avLst/>
                    </a:prstGeom>
                    <a:noFill/>
                    <a:ln>
                      <a:noFill/>
                    </a:ln>
                  </pic:spPr>
                </pic:pic>
              </a:graphicData>
            </a:graphic>
          </wp:inline>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r>
        <w:drawing>
          <wp:inline distT="0" distB="0" distL="0" distR="0">
            <wp:extent cx="5274310" cy="4627245"/>
            <wp:effectExtent l="0" t="0" r="2540" b="1905"/>
            <wp:docPr id="16" name="图片 16" descr="H:\公卫中心\1桌面\财务\决算\2022\公共卫生服务中心决算\公开\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公卫中心\1桌面\财务\决算\2022\公共卫生服务中心决算\公开\8.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274310" cy="4627317"/>
                    </a:xfrm>
                    <a:prstGeom prst="rect">
                      <a:avLst/>
                    </a:prstGeom>
                    <a:noFill/>
                    <a:ln>
                      <a:noFill/>
                    </a:ln>
                  </pic:spPr>
                </pic:pic>
              </a:graphicData>
            </a:graphic>
          </wp:inline>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r>
        <w:drawing>
          <wp:inline distT="0" distB="0" distL="0" distR="0">
            <wp:extent cx="5274310" cy="7171055"/>
            <wp:effectExtent l="0" t="0" r="2540" b="0"/>
            <wp:docPr id="17" name="图片 17" descr="H:\公卫中心\1桌面\财务\决算\2022\公共卫生服务中心决算\公开\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H:\公卫中心\1桌面\财务\决算\2022\公共卫生服务中心决算\公开\9.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274310" cy="7171424"/>
                    </a:xfrm>
                    <a:prstGeom prst="rect">
                      <a:avLst/>
                    </a:prstGeom>
                    <a:noFill/>
                    <a:ln>
                      <a:noFill/>
                    </a:ln>
                  </pic:spPr>
                </pic:pic>
              </a:graphicData>
            </a:graphic>
          </wp:inline>
        </w:drawing>
      </w:r>
    </w:p>
    <w:p>
      <w:pPr>
        <w:pStyle w:val="2"/>
        <w:spacing w:before="93"/>
      </w:pPr>
    </w:p>
    <w:p>
      <w:pPr>
        <w:pStyle w:val="2"/>
        <w:spacing w:before="93"/>
      </w:pPr>
    </w:p>
    <w:p>
      <w:pPr>
        <w:pStyle w:val="2"/>
        <w:spacing w:before="93"/>
      </w:pPr>
    </w:p>
    <w:p>
      <w:pPr>
        <w:pStyle w:val="2"/>
        <w:spacing w:before="93"/>
      </w:pPr>
      <w:r>
        <w:drawing>
          <wp:inline distT="0" distB="0" distL="0" distR="0">
            <wp:extent cx="5274310" cy="5875020"/>
            <wp:effectExtent l="0" t="0" r="2540" b="0"/>
            <wp:docPr id="18" name="图片 18" descr="H:\公卫中心\1桌面\财务\决算\2022\公共卫生服务中心决算\公开\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H:\公卫中心\1桌面\财务\决算\2022\公共卫生服务中心决算\公开\1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274310" cy="5875022"/>
                    </a:xfrm>
                    <a:prstGeom prst="rect">
                      <a:avLst/>
                    </a:prstGeom>
                    <a:noFill/>
                    <a:ln>
                      <a:noFill/>
                    </a:ln>
                  </pic:spPr>
                </pic:pic>
              </a:graphicData>
            </a:graphic>
          </wp:inline>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r>
        <w:drawing>
          <wp:inline distT="0" distB="0" distL="0" distR="0">
            <wp:extent cx="5274310" cy="5652770"/>
            <wp:effectExtent l="0" t="0" r="2540" b="5080"/>
            <wp:docPr id="19" name="图片 19" descr="H:\公卫中心\1桌面\财务\决算\2022\公共卫生服务中心决算\公开\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公卫中心\1桌面\财务\决算\2022\公共卫生服务中心决算\公开\1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274310" cy="5653003"/>
                    </a:xfrm>
                    <a:prstGeom prst="rect">
                      <a:avLst/>
                    </a:prstGeom>
                    <a:noFill/>
                    <a:ln>
                      <a:noFill/>
                    </a:ln>
                  </pic:spPr>
                </pic:pic>
              </a:graphicData>
            </a:graphic>
          </wp:inline>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r>
        <w:drawing>
          <wp:inline distT="0" distB="0" distL="0" distR="0">
            <wp:extent cx="5274310" cy="6462395"/>
            <wp:effectExtent l="0" t="0" r="2540" b="0"/>
            <wp:docPr id="20" name="图片 20" descr="H:\公卫中心\1桌面\财务\决算\2022\公共卫生服务中心决算\公开\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H:\公卫中心\1桌面\财务\决算\2022\公共卫生服务中心决算\公开\1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274310" cy="6462685"/>
                    </a:xfrm>
                    <a:prstGeom prst="rect">
                      <a:avLst/>
                    </a:prstGeom>
                    <a:noFill/>
                    <a:ln>
                      <a:noFill/>
                    </a:ln>
                  </pic:spPr>
                </pic:pic>
              </a:graphicData>
            </a:graphic>
          </wp:inline>
        </w:drawing>
      </w:r>
    </w:p>
    <w:p>
      <w:pPr>
        <w:pStyle w:val="2"/>
        <w:spacing w:before="93"/>
      </w:pPr>
    </w:p>
    <w:p>
      <w:pPr>
        <w:pStyle w:val="2"/>
        <w:spacing w:before="93"/>
      </w:pPr>
    </w:p>
    <w:p>
      <w:pPr>
        <w:pStyle w:val="2"/>
        <w:spacing w:before="93"/>
      </w:pPr>
    </w:p>
    <w:p>
      <w:pPr>
        <w:pStyle w:val="2"/>
        <w:spacing w:before="93"/>
      </w:pPr>
    </w:p>
    <w:p>
      <w:pPr>
        <w:spacing w:line="600" w:lineRule="exact"/>
        <w:jc w:val="center"/>
        <w:outlineLvl w:val="0"/>
        <w:rPr>
          <w:rStyle w:val="26"/>
          <w:rFonts w:ascii="黑体" w:hAnsi="黑体" w:eastAsia="黑体"/>
          <w:b w:val="0"/>
        </w:rPr>
      </w:pPr>
      <w:r>
        <w:rPr>
          <w:rFonts w:hint="eastAsia" w:ascii="黑体" w:hAnsi="黑体" w:eastAsia="黑体"/>
          <w:sz w:val="44"/>
          <w:szCs w:val="44"/>
        </w:rPr>
        <w:t>第</w:t>
      </w:r>
      <w:r>
        <w:rPr>
          <w:rStyle w:val="26"/>
          <w:rFonts w:hint="eastAsia" w:ascii="黑体" w:hAnsi="黑体" w:eastAsia="黑体"/>
          <w:b w:val="0"/>
        </w:rPr>
        <w:t>五部分 附表</w:t>
      </w:r>
      <w:bookmarkEnd w:id="57"/>
      <w:bookmarkEnd w:id="59"/>
      <w:bookmarkStart w:id="60" w:name="_Toc15396619"/>
    </w:p>
    <w:p>
      <w:pPr>
        <w:pStyle w:val="2"/>
        <w:spacing w:before="93"/>
      </w:pPr>
    </w:p>
    <w:p>
      <w:pPr>
        <w:pStyle w:val="4"/>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60"/>
    </w:p>
    <w:p>
      <w:pPr>
        <w:pStyle w:val="4"/>
        <w:rPr>
          <w:rFonts w:ascii="仿宋" w:hAnsi="仿宋" w:eastAsia="仿宋"/>
        </w:rPr>
      </w:pPr>
      <w:bookmarkStart w:id="61" w:name="_Toc15396620"/>
      <w:r>
        <w:rPr>
          <w:rFonts w:hint="eastAsia" w:ascii="仿宋" w:hAnsi="仿宋" w:eastAsia="仿宋"/>
          <w:b w:val="0"/>
        </w:rPr>
        <w:t>二、收</w:t>
      </w:r>
      <w:r>
        <w:rPr>
          <w:rStyle w:val="27"/>
          <w:rFonts w:hint="eastAsia" w:ascii="仿宋" w:hAnsi="仿宋" w:eastAsia="仿宋"/>
          <w:b w:val="0"/>
          <w:bCs w:val="0"/>
        </w:rPr>
        <w:t>入决算表</w:t>
      </w:r>
      <w:bookmarkEnd w:id="61"/>
    </w:p>
    <w:p>
      <w:pPr>
        <w:pStyle w:val="4"/>
        <w:rPr>
          <w:rFonts w:ascii="仿宋" w:hAnsi="仿宋" w:eastAsia="仿宋"/>
        </w:rPr>
      </w:pPr>
      <w:bookmarkStart w:id="62"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63"/>
    </w:p>
    <w:p>
      <w:pPr>
        <w:pStyle w:val="4"/>
        <w:rPr>
          <w:rStyle w:val="27"/>
          <w:rFonts w:ascii="仿宋" w:hAnsi="仿宋" w:eastAsia="仿宋"/>
          <w:b w:val="0"/>
          <w:bCs w:val="0"/>
        </w:rPr>
      </w:pPr>
      <w:bookmarkStart w:id="64"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27"/>
          <w:rFonts w:hint="eastAsia" w:ascii="仿宋" w:hAnsi="仿宋" w:eastAsia="仿宋"/>
          <w:b w:val="0"/>
          <w:bCs w:val="0"/>
        </w:rPr>
        <w:t>十、</w:t>
      </w:r>
      <w:r>
        <w:rPr>
          <w:rFonts w:hint="eastAsia" w:ascii="仿宋" w:hAnsi="仿宋" w:eastAsia="仿宋"/>
          <w:b w:val="0"/>
        </w:rPr>
        <w:t>一</w:t>
      </w:r>
      <w:r>
        <w:rPr>
          <w:rStyle w:val="27"/>
          <w:rFonts w:hint="eastAsia" w:ascii="仿宋" w:hAnsi="仿宋" w:eastAsia="仿宋"/>
          <w:b w:val="0"/>
          <w:bCs w:val="0"/>
        </w:rPr>
        <w:t>般公共预算财政拨款“三公”经费支出决算表</w:t>
      </w:r>
      <w:bookmarkEnd w:id="69"/>
    </w:p>
    <w:p>
      <w:pPr>
        <w:pStyle w:val="4"/>
        <w:rPr>
          <w:rFonts w:ascii="仿宋" w:hAnsi="仿宋" w:eastAsia="仿宋"/>
        </w:rPr>
      </w:pPr>
      <w:bookmarkStart w:id="70" w:name="_Toc15396629"/>
      <w:r>
        <w:rPr>
          <w:rStyle w:val="27"/>
          <w:rFonts w:hint="eastAsia" w:ascii="仿宋" w:hAnsi="仿宋" w:eastAsia="仿宋"/>
          <w:b w:val="0"/>
          <w:bCs w:val="0"/>
        </w:rPr>
        <w:t>十一、</w:t>
      </w:r>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70"/>
    </w:p>
    <w:p>
      <w:pPr>
        <w:pStyle w:val="4"/>
        <w:rPr>
          <w:rFonts w:ascii="仿宋" w:hAnsi="仿宋" w:eastAsia="仿宋"/>
        </w:rPr>
      </w:pPr>
      <w:bookmarkStart w:id="71" w:name="_Toc15396630"/>
      <w:r>
        <w:rPr>
          <w:rStyle w:val="27"/>
          <w:rFonts w:hint="eastAsia" w:ascii="仿宋" w:hAnsi="仿宋" w:eastAsia="仿宋"/>
          <w:b w:val="0"/>
          <w:bCs w:val="0"/>
        </w:rPr>
        <w:t>十二、</w:t>
      </w:r>
      <w:r>
        <w:rPr>
          <w:rFonts w:hint="eastAsia" w:ascii="仿宋" w:hAnsi="仿宋" w:eastAsia="仿宋"/>
          <w:b w:val="0"/>
        </w:rPr>
        <w:t>政</w:t>
      </w:r>
      <w:r>
        <w:rPr>
          <w:rStyle w:val="27"/>
          <w:rFonts w:hint="eastAsia" w:ascii="仿宋" w:hAnsi="仿宋" w:eastAsia="仿宋"/>
          <w:b w:val="0"/>
          <w:bCs w:val="0"/>
        </w:rPr>
        <w:t>府性基金预算财政拨款“三公”经费支出决算表</w:t>
      </w:r>
      <w:bookmarkEnd w:id="71"/>
    </w:p>
    <w:p>
      <w:pPr>
        <w:pStyle w:val="4"/>
        <w:rPr>
          <w:rStyle w:val="27"/>
          <w:rFonts w:ascii="仿宋" w:hAnsi="仿宋" w:eastAsia="仿宋"/>
          <w:b w:val="0"/>
          <w:bCs w:val="0"/>
        </w:rPr>
      </w:pPr>
      <w:bookmarkStart w:id="72" w:name="_Toc15396631"/>
      <w:r>
        <w:rPr>
          <w:rStyle w:val="27"/>
          <w:rFonts w:hint="eastAsia" w:ascii="仿宋" w:hAnsi="仿宋" w:eastAsia="仿宋"/>
          <w:b w:val="0"/>
          <w:bCs w:val="0"/>
        </w:rPr>
        <w:t>十三、</w:t>
      </w:r>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72"/>
    </w:p>
    <w:p>
      <w:pPr>
        <w:rPr>
          <w:rFonts w:eastAsia="仿宋"/>
        </w:rPr>
      </w:pPr>
      <w:r>
        <w:rPr>
          <w:rStyle w:val="27"/>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EndPr>
      <w:rPr>
        <w:rFonts w:asciiTheme="minorEastAsia" w:hAnsiTheme="minorEastAsia" w:eastAsiaTheme="minorEastAsia"/>
        <w:sz w:val="28"/>
        <w:szCs w:val="28"/>
      </w:rPr>
    </w:sdtEndPr>
    <w:sdtContent>
      <w:p>
        <w:pPr>
          <w:pStyle w:val="10"/>
          <w:jc w:val="center"/>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22</w:t>
        </w:r>
        <w:r>
          <w:rPr>
            <w:rFonts w:asciiTheme="minorEastAsia" w:hAnsiTheme="minorEastAsia" w:eastAsiaTheme="minorEastAsia"/>
            <w:sz w:val="28"/>
            <w:szCs w:val="28"/>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E794925"/>
    <w:multiLevelType w:val="singleLevel"/>
    <w:tmpl w:val="3E794925"/>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MzgyNDU0MjE1YmRhOGRhNjg5NGM3YTkxYjVjOWMifQ=="/>
  </w:docVars>
  <w:rsids>
    <w:rsidRoot w:val="00F1361C"/>
    <w:rsid w:val="000070B2"/>
    <w:rsid w:val="000222C6"/>
    <w:rsid w:val="00023F9D"/>
    <w:rsid w:val="0002549F"/>
    <w:rsid w:val="00036117"/>
    <w:rsid w:val="000468DB"/>
    <w:rsid w:val="00056184"/>
    <w:rsid w:val="0006487A"/>
    <w:rsid w:val="00065F8F"/>
    <w:rsid w:val="00070A43"/>
    <w:rsid w:val="000768F2"/>
    <w:rsid w:val="000814DE"/>
    <w:rsid w:val="0009184B"/>
    <w:rsid w:val="00094236"/>
    <w:rsid w:val="0009593C"/>
    <w:rsid w:val="0009730F"/>
    <w:rsid w:val="00097322"/>
    <w:rsid w:val="000A6A92"/>
    <w:rsid w:val="000B047F"/>
    <w:rsid w:val="000B3A66"/>
    <w:rsid w:val="000B5923"/>
    <w:rsid w:val="000B5A48"/>
    <w:rsid w:val="000B6FF3"/>
    <w:rsid w:val="000C1505"/>
    <w:rsid w:val="000C3467"/>
    <w:rsid w:val="000C3CA6"/>
    <w:rsid w:val="000C5FD2"/>
    <w:rsid w:val="000D1267"/>
    <w:rsid w:val="000D1D50"/>
    <w:rsid w:val="000D5782"/>
    <w:rsid w:val="000E6613"/>
    <w:rsid w:val="000E7119"/>
    <w:rsid w:val="00114E9B"/>
    <w:rsid w:val="00124743"/>
    <w:rsid w:val="0012514A"/>
    <w:rsid w:val="00142216"/>
    <w:rsid w:val="00144D6A"/>
    <w:rsid w:val="0014729F"/>
    <w:rsid w:val="00157BAB"/>
    <w:rsid w:val="001654D1"/>
    <w:rsid w:val="00174518"/>
    <w:rsid w:val="0018106D"/>
    <w:rsid w:val="001877A7"/>
    <w:rsid w:val="00191536"/>
    <w:rsid w:val="00196687"/>
    <w:rsid w:val="001A4BE8"/>
    <w:rsid w:val="001C0962"/>
    <w:rsid w:val="001C453A"/>
    <w:rsid w:val="001C53A0"/>
    <w:rsid w:val="001C5F79"/>
    <w:rsid w:val="001C6020"/>
    <w:rsid w:val="001D7531"/>
    <w:rsid w:val="001E737D"/>
    <w:rsid w:val="001F0592"/>
    <w:rsid w:val="001F7506"/>
    <w:rsid w:val="002006CD"/>
    <w:rsid w:val="00202B36"/>
    <w:rsid w:val="00204B7A"/>
    <w:rsid w:val="00204CDE"/>
    <w:rsid w:val="00210B20"/>
    <w:rsid w:val="0021101A"/>
    <w:rsid w:val="0021632F"/>
    <w:rsid w:val="0021656B"/>
    <w:rsid w:val="00220536"/>
    <w:rsid w:val="00221F53"/>
    <w:rsid w:val="00235629"/>
    <w:rsid w:val="00255A38"/>
    <w:rsid w:val="00257646"/>
    <w:rsid w:val="00260C38"/>
    <w:rsid w:val="00261366"/>
    <w:rsid w:val="002616C0"/>
    <w:rsid w:val="002630B5"/>
    <w:rsid w:val="00265372"/>
    <w:rsid w:val="002662AA"/>
    <w:rsid w:val="00280496"/>
    <w:rsid w:val="00294DC9"/>
    <w:rsid w:val="00295495"/>
    <w:rsid w:val="002A31DE"/>
    <w:rsid w:val="002A3229"/>
    <w:rsid w:val="002B2613"/>
    <w:rsid w:val="002B3C02"/>
    <w:rsid w:val="002B6534"/>
    <w:rsid w:val="002C013D"/>
    <w:rsid w:val="002D6D05"/>
    <w:rsid w:val="002F1818"/>
    <w:rsid w:val="002F567B"/>
    <w:rsid w:val="003216A9"/>
    <w:rsid w:val="00335A74"/>
    <w:rsid w:val="003507CC"/>
    <w:rsid w:val="003645BD"/>
    <w:rsid w:val="0036561B"/>
    <w:rsid w:val="0037013F"/>
    <w:rsid w:val="00380C92"/>
    <w:rsid w:val="003A22E2"/>
    <w:rsid w:val="003A470A"/>
    <w:rsid w:val="003A484F"/>
    <w:rsid w:val="003A4883"/>
    <w:rsid w:val="003A6F71"/>
    <w:rsid w:val="003B0BE0"/>
    <w:rsid w:val="003B0C1B"/>
    <w:rsid w:val="003B151A"/>
    <w:rsid w:val="003B688C"/>
    <w:rsid w:val="003C0291"/>
    <w:rsid w:val="003C39AE"/>
    <w:rsid w:val="003C7B60"/>
    <w:rsid w:val="003D0C0F"/>
    <w:rsid w:val="003D1FB2"/>
    <w:rsid w:val="003D38E1"/>
    <w:rsid w:val="003D5CDB"/>
    <w:rsid w:val="003D66DA"/>
    <w:rsid w:val="003E1310"/>
    <w:rsid w:val="003E1CD4"/>
    <w:rsid w:val="003E491B"/>
    <w:rsid w:val="003E6F55"/>
    <w:rsid w:val="003F3D8E"/>
    <w:rsid w:val="00403753"/>
    <w:rsid w:val="00403DDC"/>
    <w:rsid w:val="00406254"/>
    <w:rsid w:val="004223DE"/>
    <w:rsid w:val="00427E61"/>
    <w:rsid w:val="00434489"/>
    <w:rsid w:val="00437085"/>
    <w:rsid w:val="00443880"/>
    <w:rsid w:val="004464F4"/>
    <w:rsid w:val="004664AF"/>
    <w:rsid w:val="00471401"/>
    <w:rsid w:val="00473F31"/>
    <w:rsid w:val="0047518D"/>
    <w:rsid w:val="0048263A"/>
    <w:rsid w:val="00487E5D"/>
    <w:rsid w:val="00492122"/>
    <w:rsid w:val="0049411E"/>
    <w:rsid w:val="004966EE"/>
    <w:rsid w:val="004A711F"/>
    <w:rsid w:val="004B199D"/>
    <w:rsid w:val="004B4690"/>
    <w:rsid w:val="004E0A2D"/>
    <w:rsid w:val="004E206B"/>
    <w:rsid w:val="004E6DF7"/>
    <w:rsid w:val="004F0FBD"/>
    <w:rsid w:val="00505A47"/>
    <w:rsid w:val="00512FDA"/>
    <w:rsid w:val="00520DA0"/>
    <w:rsid w:val="00527B61"/>
    <w:rsid w:val="00534660"/>
    <w:rsid w:val="005644F6"/>
    <w:rsid w:val="005664BB"/>
    <w:rsid w:val="00566FFA"/>
    <w:rsid w:val="0057292C"/>
    <w:rsid w:val="0057481D"/>
    <w:rsid w:val="0058486E"/>
    <w:rsid w:val="00585B33"/>
    <w:rsid w:val="0059014D"/>
    <w:rsid w:val="005B5C64"/>
    <w:rsid w:val="005C5337"/>
    <w:rsid w:val="005C6BD0"/>
    <w:rsid w:val="005D1C8B"/>
    <w:rsid w:val="005D468D"/>
    <w:rsid w:val="005D5CED"/>
    <w:rsid w:val="005E3CBF"/>
    <w:rsid w:val="005F1A4C"/>
    <w:rsid w:val="00605688"/>
    <w:rsid w:val="006070AF"/>
    <w:rsid w:val="00607E6C"/>
    <w:rsid w:val="006101B1"/>
    <w:rsid w:val="00614E44"/>
    <w:rsid w:val="0062270A"/>
    <w:rsid w:val="00622830"/>
    <w:rsid w:val="00623DA0"/>
    <w:rsid w:val="00630AEF"/>
    <w:rsid w:val="006325F8"/>
    <w:rsid w:val="00633463"/>
    <w:rsid w:val="00634C9A"/>
    <w:rsid w:val="006416CA"/>
    <w:rsid w:val="006440E4"/>
    <w:rsid w:val="00657B11"/>
    <w:rsid w:val="0066343B"/>
    <w:rsid w:val="006634E0"/>
    <w:rsid w:val="00664777"/>
    <w:rsid w:val="00667AF7"/>
    <w:rsid w:val="006748A4"/>
    <w:rsid w:val="00681A31"/>
    <w:rsid w:val="00683E73"/>
    <w:rsid w:val="006912C3"/>
    <w:rsid w:val="00692EA3"/>
    <w:rsid w:val="006A1D8F"/>
    <w:rsid w:val="006A3141"/>
    <w:rsid w:val="006A5E34"/>
    <w:rsid w:val="006B2422"/>
    <w:rsid w:val="006B2B9A"/>
    <w:rsid w:val="006C1937"/>
    <w:rsid w:val="006C2D92"/>
    <w:rsid w:val="006D5406"/>
    <w:rsid w:val="006E1829"/>
    <w:rsid w:val="006F020C"/>
    <w:rsid w:val="00712652"/>
    <w:rsid w:val="007127B7"/>
    <w:rsid w:val="0071798E"/>
    <w:rsid w:val="0072511B"/>
    <w:rsid w:val="00733BBC"/>
    <w:rsid w:val="007416B6"/>
    <w:rsid w:val="00746F48"/>
    <w:rsid w:val="0075404D"/>
    <w:rsid w:val="0076182A"/>
    <w:rsid w:val="00767B7E"/>
    <w:rsid w:val="007770C3"/>
    <w:rsid w:val="00784D24"/>
    <w:rsid w:val="00785FBA"/>
    <w:rsid w:val="00786E4A"/>
    <w:rsid w:val="007875EB"/>
    <w:rsid w:val="007910EC"/>
    <w:rsid w:val="0079426B"/>
    <w:rsid w:val="007B57AB"/>
    <w:rsid w:val="007C5976"/>
    <w:rsid w:val="007D1682"/>
    <w:rsid w:val="007D312A"/>
    <w:rsid w:val="007D3F19"/>
    <w:rsid w:val="007E0336"/>
    <w:rsid w:val="007E23B0"/>
    <w:rsid w:val="007E23E5"/>
    <w:rsid w:val="007F0DC5"/>
    <w:rsid w:val="007F1991"/>
    <w:rsid w:val="007F2C2F"/>
    <w:rsid w:val="007F55FC"/>
    <w:rsid w:val="007F5665"/>
    <w:rsid w:val="007F7E72"/>
    <w:rsid w:val="00800112"/>
    <w:rsid w:val="008124D0"/>
    <w:rsid w:val="00813348"/>
    <w:rsid w:val="00813EBF"/>
    <w:rsid w:val="008253BB"/>
    <w:rsid w:val="0083706E"/>
    <w:rsid w:val="008408F6"/>
    <w:rsid w:val="008423A5"/>
    <w:rsid w:val="00850625"/>
    <w:rsid w:val="008525FB"/>
    <w:rsid w:val="00853718"/>
    <w:rsid w:val="00855221"/>
    <w:rsid w:val="00860645"/>
    <w:rsid w:val="00871F71"/>
    <w:rsid w:val="00872FD8"/>
    <w:rsid w:val="00885AF4"/>
    <w:rsid w:val="008939CD"/>
    <w:rsid w:val="008B0191"/>
    <w:rsid w:val="008B768C"/>
    <w:rsid w:val="008C4DB1"/>
    <w:rsid w:val="008C4EAF"/>
    <w:rsid w:val="008C5176"/>
    <w:rsid w:val="008C7FD0"/>
    <w:rsid w:val="008D5D82"/>
    <w:rsid w:val="008E1DE7"/>
    <w:rsid w:val="008E707C"/>
    <w:rsid w:val="00900B08"/>
    <w:rsid w:val="00902155"/>
    <w:rsid w:val="00902FA3"/>
    <w:rsid w:val="00910C5C"/>
    <w:rsid w:val="00923564"/>
    <w:rsid w:val="0092392E"/>
    <w:rsid w:val="009315F9"/>
    <w:rsid w:val="00933499"/>
    <w:rsid w:val="00934C76"/>
    <w:rsid w:val="00935C98"/>
    <w:rsid w:val="00946945"/>
    <w:rsid w:val="00947B2B"/>
    <w:rsid w:val="00951248"/>
    <w:rsid w:val="0095152F"/>
    <w:rsid w:val="00954C49"/>
    <w:rsid w:val="00955E37"/>
    <w:rsid w:val="0096684B"/>
    <w:rsid w:val="0097099F"/>
    <w:rsid w:val="00971997"/>
    <w:rsid w:val="00971FFC"/>
    <w:rsid w:val="00984758"/>
    <w:rsid w:val="0098660A"/>
    <w:rsid w:val="009931C3"/>
    <w:rsid w:val="0099758F"/>
    <w:rsid w:val="009B2C43"/>
    <w:rsid w:val="009B4EAE"/>
    <w:rsid w:val="009B7573"/>
    <w:rsid w:val="009C0E26"/>
    <w:rsid w:val="009C22F4"/>
    <w:rsid w:val="009C2A4B"/>
    <w:rsid w:val="009C2E98"/>
    <w:rsid w:val="009D3447"/>
    <w:rsid w:val="009D4711"/>
    <w:rsid w:val="009F1185"/>
    <w:rsid w:val="009F18CD"/>
    <w:rsid w:val="009F2A13"/>
    <w:rsid w:val="009F2DE5"/>
    <w:rsid w:val="009F5F8C"/>
    <w:rsid w:val="009F7527"/>
    <w:rsid w:val="00A01D82"/>
    <w:rsid w:val="00A04EB0"/>
    <w:rsid w:val="00A13CC1"/>
    <w:rsid w:val="00A16847"/>
    <w:rsid w:val="00A2131B"/>
    <w:rsid w:val="00A237D8"/>
    <w:rsid w:val="00A268C4"/>
    <w:rsid w:val="00A307CD"/>
    <w:rsid w:val="00A331C8"/>
    <w:rsid w:val="00A40A00"/>
    <w:rsid w:val="00A4142F"/>
    <w:rsid w:val="00A422EB"/>
    <w:rsid w:val="00A452BA"/>
    <w:rsid w:val="00A45BB7"/>
    <w:rsid w:val="00A526C5"/>
    <w:rsid w:val="00A54119"/>
    <w:rsid w:val="00A56DF2"/>
    <w:rsid w:val="00A56E6E"/>
    <w:rsid w:val="00A67AB5"/>
    <w:rsid w:val="00A733B2"/>
    <w:rsid w:val="00A741C2"/>
    <w:rsid w:val="00A86ACD"/>
    <w:rsid w:val="00A900FD"/>
    <w:rsid w:val="00A91760"/>
    <w:rsid w:val="00A93B00"/>
    <w:rsid w:val="00A93C21"/>
    <w:rsid w:val="00AA6E72"/>
    <w:rsid w:val="00AB64C9"/>
    <w:rsid w:val="00AC3C6A"/>
    <w:rsid w:val="00AC60C1"/>
    <w:rsid w:val="00AD5620"/>
    <w:rsid w:val="00AD656B"/>
    <w:rsid w:val="00AD7368"/>
    <w:rsid w:val="00AD7C1B"/>
    <w:rsid w:val="00AE16BA"/>
    <w:rsid w:val="00AE1EBE"/>
    <w:rsid w:val="00AE293D"/>
    <w:rsid w:val="00AF2252"/>
    <w:rsid w:val="00B03C9D"/>
    <w:rsid w:val="00B060AE"/>
    <w:rsid w:val="00B10517"/>
    <w:rsid w:val="00B14E76"/>
    <w:rsid w:val="00B161B8"/>
    <w:rsid w:val="00B2048C"/>
    <w:rsid w:val="00B255A5"/>
    <w:rsid w:val="00B310B9"/>
    <w:rsid w:val="00B35F3F"/>
    <w:rsid w:val="00B36CBB"/>
    <w:rsid w:val="00B425E0"/>
    <w:rsid w:val="00B42C80"/>
    <w:rsid w:val="00B440AA"/>
    <w:rsid w:val="00B44B70"/>
    <w:rsid w:val="00B53C56"/>
    <w:rsid w:val="00B57DAF"/>
    <w:rsid w:val="00B71359"/>
    <w:rsid w:val="00B76E8F"/>
    <w:rsid w:val="00B7740E"/>
    <w:rsid w:val="00B77EA6"/>
    <w:rsid w:val="00B81598"/>
    <w:rsid w:val="00B841F1"/>
    <w:rsid w:val="00B9271D"/>
    <w:rsid w:val="00B944D6"/>
    <w:rsid w:val="00BA50D7"/>
    <w:rsid w:val="00BA60E4"/>
    <w:rsid w:val="00BB4DF0"/>
    <w:rsid w:val="00BC289F"/>
    <w:rsid w:val="00BC2D50"/>
    <w:rsid w:val="00BC5361"/>
    <w:rsid w:val="00BC5460"/>
    <w:rsid w:val="00BC6B50"/>
    <w:rsid w:val="00BD0E25"/>
    <w:rsid w:val="00BE40A9"/>
    <w:rsid w:val="00BE7E20"/>
    <w:rsid w:val="00BF3090"/>
    <w:rsid w:val="00BF5BD6"/>
    <w:rsid w:val="00C03E31"/>
    <w:rsid w:val="00C33E72"/>
    <w:rsid w:val="00C354B2"/>
    <w:rsid w:val="00C35554"/>
    <w:rsid w:val="00C42709"/>
    <w:rsid w:val="00C533CC"/>
    <w:rsid w:val="00C56D16"/>
    <w:rsid w:val="00C5751C"/>
    <w:rsid w:val="00C61BFC"/>
    <w:rsid w:val="00C62B85"/>
    <w:rsid w:val="00C65438"/>
    <w:rsid w:val="00C658F3"/>
    <w:rsid w:val="00C773B2"/>
    <w:rsid w:val="00C87FD8"/>
    <w:rsid w:val="00C91381"/>
    <w:rsid w:val="00C91CBB"/>
    <w:rsid w:val="00CA31D0"/>
    <w:rsid w:val="00CB4E70"/>
    <w:rsid w:val="00CC09B6"/>
    <w:rsid w:val="00CC666F"/>
    <w:rsid w:val="00CD1E3F"/>
    <w:rsid w:val="00CD7E39"/>
    <w:rsid w:val="00CE44F6"/>
    <w:rsid w:val="00CE49DA"/>
    <w:rsid w:val="00CE7B61"/>
    <w:rsid w:val="00CF0816"/>
    <w:rsid w:val="00D00095"/>
    <w:rsid w:val="00D000A3"/>
    <w:rsid w:val="00D114F0"/>
    <w:rsid w:val="00D14E0A"/>
    <w:rsid w:val="00D20620"/>
    <w:rsid w:val="00D254F7"/>
    <w:rsid w:val="00D26091"/>
    <w:rsid w:val="00D2685C"/>
    <w:rsid w:val="00D34E7C"/>
    <w:rsid w:val="00D35489"/>
    <w:rsid w:val="00D36AFE"/>
    <w:rsid w:val="00D41E3F"/>
    <w:rsid w:val="00D51276"/>
    <w:rsid w:val="00D7035F"/>
    <w:rsid w:val="00D9549F"/>
    <w:rsid w:val="00DA634F"/>
    <w:rsid w:val="00DA65AC"/>
    <w:rsid w:val="00DB1913"/>
    <w:rsid w:val="00DC410D"/>
    <w:rsid w:val="00DC5A81"/>
    <w:rsid w:val="00DC68CA"/>
    <w:rsid w:val="00DC7CBA"/>
    <w:rsid w:val="00DD65D7"/>
    <w:rsid w:val="00DD73B7"/>
    <w:rsid w:val="00DE4FBE"/>
    <w:rsid w:val="00DF03E5"/>
    <w:rsid w:val="00DF28BC"/>
    <w:rsid w:val="00DF34B9"/>
    <w:rsid w:val="00E01053"/>
    <w:rsid w:val="00E07ACF"/>
    <w:rsid w:val="00E2674A"/>
    <w:rsid w:val="00E31903"/>
    <w:rsid w:val="00E331A1"/>
    <w:rsid w:val="00E33202"/>
    <w:rsid w:val="00E336A9"/>
    <w:rsid w:val="00E47040"/>
    <w:rsid w:val="00E472B1"/>
    <w:rsid w:val="00E50624"/>
    <w:rsid w:val="00E568DF"/>
    <w:rsid w:val="00E64269"/>
    <w:rsid w:val="00E750C5"/>
    <w:rsid w:val="00E76222"/>
    <w:rsid w:val="00E82267"/>
    <w:rsid w:val="00E824E5"/>
    <w:rsid w:val="00E853CE"/>
    <w:rsid w:val="00E867B6"/>
    <w:rsid w:val="00EA010F"/>
    <w:rsid w:val="00EA2658"/>
    <w:rsid w:val="00EB51C5"/>
    <w:rsid w:val="00EB7E62"/>
    <w:rsid w:val="00ED1B63"/>
    <w:rsid w:val="00ED3C1F"/>
    <w:rsid w:val="00ED4085"/>
    <w:rsid w:val="00ED420E"/>
    <w:rsid w:val="00ED44C4"/>
    <w:rsid w:val="00ED669E"/>
    <w:rsid w:val="00ED6FBE"/>
    <w:rsid w:val="00EE2F57"/>
    <w:rsid w:val="00EF4C34"/>
    <w:rsid w:val="00EF77C6"/>
    <w:rsid w:val="00EF77CF"/>
    <w:rsid w:val="00F05438"/>
    <w:rsid w:val="00F1361C"/>
    <w:rsid w:val="00F156F0"/>
    <w:rsid w:val="00F160C7"/>
    <w:rsid w:val="00F23859"/>
    <w:rsid w:val="00F2408F"/>
    <w:rsid w:val="00F240E9"/>
    <w:rsid w:val="00F27459"/>
    <w:rsid w:val="00F36D8F"/>
    <w:rsid w:val="00F417B1"/>
    <w:rsid w:val="00F45853"/>
    <w:rsid w:val="00F57171"/>
    <w:rsid w:val="00F602DF"/>
    <w:rsid w:val="00F7155D"/>
    <w:rsid w:val="00F754A1"/>
    <w:rsid w:val="00F81FD9"/>
    <w:rsid w:val="00F841AA"/>
    <w:rsid w:val="00F84A94"/>
    <w:rsid w:val="00F87E96"/>
    <w:rsid w:val="00FA23BC"/>
    <w:rsid w:val="00FA23E8"/>
    <w:rsid w:val="00FC58DD"/>
    <w:rsid w:val="00FD3CC1"/>
    <w:rsid w:val="00FF1E02"/>
    <w:rsid w:val="00FF30B4"/>
    <w:rsid w:val="066E0107"/>
    <w:rsid w:val="067C6FD8"/>
    <w:rsid w:val="07996F6E"/>
    <w:rsid w:val="0A2032A3"/>
    <w:rsid w:val="101860EC"/>
    <w:rsid w:val="10C055FF"/>
    <w:rsid w:val="118107EC"/>
    <w:rsid w:val="13D50BC4"/>
    <w:rsid w:val="16BB723D"/>
    <w:rsid w:val="1BE8440E"/>
    <w:rsid w:val="1D155CEE"/>
    <w:rsid w:val="23860B96"/>
    <w:rsid w:val="240371BF"/>
    <w:rsid w:val="29FD04D3"/>
    <w:rsid w:val="2C8A61B5"/>
    <w:rsid w:val="2DF04E50"/>
    <w:rsid w:val="319F7F4E"/>
    <w:rsid w:val="36AA5135"/>
    <w:rsid w:val="37E16F03"/>
    <w:rsid w:val="3D98207C"/>
    <w:rsid w:val="44E268DA"/>
    <w:rsid w:val="4A627F82"/>
    <w:rsid w:val="4B4F25DA"/>
    <w:rsid w:val="4BE068DB"/>
    <w:rsid w:val="4D577224"/>
    <w:rsid w:val="4EAB630A"/>
    <w:rsid w:val="4ECE2238"/>
    <w:rsid w:val="51CB0F46"/>
    <w:rsid w:val="57350D1D"/>
    <w:rsid w:val="5AF92295"/>
    <w:rsid w:val="5CD71FC4"/>
    <w:rsid w:val="6C4A05C8"/>
    <w:rsid w:val="6E7E3605"/>
    <w:rsid w:val="6F4369CD"/>
    <w:rsid w:val="6FF5CC65"/>
    <w:rsid w:val="715C0E4B"/>
    <w:rsid w:val="72734D90"/>
    <w:rsid w:val="73AD73D5"/>
    <w:rsid w:val="73B6EB34"/>
    <w:rsid w:val="79EE5BA4"/>
    <w:rsid w:val="7A894339"/>
    <w:rsid w:val="7EEF11D3"/>
    <w:rsid w:val="7FA30C79"/>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Salutation"/>
    <w:basedOn w:val="1"/>
    <w:next w:val="1"/>
    <w:link w:val="33"/>
    <w:unhideWhenUsed/>
    <w:qFormat/>
    <w:uiPriority w:val="99"/>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link w:val="32"/>
    <w:qFormat/>
    <w:uiPriority w:val="0"/>
    <w:rPr>
      <w:rFonts w:ascii="宋体" w:hAnsi="Courier New"/>
    </w:r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1"/>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4"/>
    <w:link w:val="9"/>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纯文本 Char"/>
    <w:basedOn w:val="14"/>
    <w:link w:val="8"/>
    <w:uiPriority w:val="0"/>
    <w:rPr>
      <w:rFonts w:ascii="宋体" w:hAnsi="Courier New" w:eastAsia="宋体" w:cs="Times New Roman"/>
      <w:kern w:val="2"/>
      <w:sz w:val="21"/>
      <w:szCs w:val="24"/>
    </w:rPr>
  </w:style>
  <w:style w:type="character" w:customStyle="1" w:styleId="33">
    <w:name w:val="称呼 Char"/>
    <w:basedOn w:val="14"/>
    <w:link w:val="6"/>
    <w:qFormat/>
    <w:uiPriority w:val="99"/>
    <w:rPr>
      <w:rFonts w:ascii="Times New Roman" w:hAnsi="Times New Roman" w:eastAsia="宋体" w:cs="Times New Roman"/>
      <w:kern w:val="2"/>
      <w:sz w:val="21"/>
      <w:szCs w:val="24"/>
    </w:rPr>
  </w:style>
  <w:style w:type="paragraph" w:customStyle="1" w:styleId="34">
    <w:name w:val="BodyText"/>
    <w:basedOn w:val="1"/>
    <w:next w:val="1"/>
    <w:qFormat/>
    <w:uiPriority w:val="0"/>
    <w:pPr>
      <w:ind w:left="111"/>
      <w:textAlignment w:val="baseline"/>
    </w:pPr>
    <w:rPr>
      <w:rFonts w:ascii="仿宋_GB2312" w:hAnsi="仿宋_GB2312" w:eastAsia="仿宋_GB2312" w:cstheme="minorBidi"/>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2862.24</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2969.92</c:v>
                </c:pt>
              </c:numCache>
            </c:numRef>
          </c:val>
        </c:ser>
        <c:dLbls>
          <c:showLegendKey val="0"/>
          <c:showVal val="1"/>
          <c:showCatName val="0"/>
          <c:showSerName val="0"/>
          <c:showPercent val="0"/>
          <c:showBubbleSize val="0"/>
        </c:dLbls>
        <c:gapWidth val="219"/>
        <c:overlap val="-27"/>
        <c:axId val="-1440157968"/>
        <c:axId val="-1440156880"/>
      </c:barChart>
      <c:catAx>
        <c:axId val="-144015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0156880"/>
        <c:crosses val="autoZero"/>
        <c:auto val="1"/>
        <c:lblAlgn val="ctr"/>
        <c:lblOffset val="100"/>
        <c:noMultiLvlLbl val="0"/>
      </c:catAx>
      <c:valAx>
        <c:axId val="-1440156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0157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2969.92</c:v>
                </c:pt>
                <c:pt idx="1">
                  <c:v>0.03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361.87</c:v>
                </c:pt>
                <c:pt idx="1">
                  <c:v>2608.02</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2020年财政拨款收、支总计</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2861.76</c:v>
                </c:pt>
              </c:numCache>
            </c:numRef>
          </c:val>
        </c:ser>
        <c:ser>
          <c:idx val="1"/>
          <c:order val="1"/>
          <c:tx>
            <c:strRef>
              <c:f>Sheet1!$C$1</c:f>
              <c:strCache>
                <c:ptCount val="1"/>
                <c:pt idx="0">
                  <c:v>2021年财政拨款收、支总计</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2969.89</c:v>
                </c:pt>
              </c:numCache>
            </c:numRef>
          </c:val>
        </c:ser>
        <c:dLbls>
          <c:showLegendKey val="0"/>
          <c:showVal val="1"/>
          <c:showCatName val="0"/>
          <c:showSerName val="0"/>
          <c:showPercent val="0"/>
          <c:showBubbleSize val="0"/>
        </c:dLbls>
        <c:gapWidth val="219"/>
        <c:overlap val="-27"/>
        <c:axId val="-1440156336"/>
        <c:axId val="-1550471248"/>
      </c:barChart>
      <c:catAx>
        <c:axId val="-144015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0471248"/>
        <c:crosses val="autoZero"/>
        <c:auto val="1"/>
        <c:lblAlgn val="ctr"/>
        <c:lblOffset val="100"/>
        <c:noMultiLvlLbl val="0"/>
      </c:catAx>
      <c:valAx>
        <c:axId val="-1550471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01563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a:p>
        </c:rich>
      </c:tx>
      <c:layout>
        <c:manualLayout>
          <c:xMode val="edge"/>
          <c:yMode val="edge"/>
          <c:x val="0.442154622212354"/>
          <c:y val="0"/>
        </c:manualLayout>
      </c:layout>
      <c:overlay val="0"/>
      <c:spPr>
        <a:noFill/>
        <a:ln>
          <a:noFill/>
        </a:ln>
        <a:effectLst/>
      </c:spPr>
    </c:title>
    <c:autoTitleDeleted val="0"/>
    <c:plotArea>
      <c:layout>
        <c:manualLayout>
          <c:layoutTarget val="inner"/>
          <c:xMode val="edge"/>
          <c:yMode val="edge"/>
          <c:x val="0.0812411680644041"/>
          <c:y val="0.136579264318454"/>
          <c:w val="0.926777910285896"/>
          <c:h val="0.649170912459473"/>
        </c:manualLayout>
      </c:layout>
      <c:barChart>
        <c:barDir val="col"/>
        <c:grouping val="clustered"/>
        <c:varyColors val="0"/>
        <c:ser>
          <c:idx val="0"/>
          <c:order val="0"/>
          <c:tx>
            <c:strRef>
              <c:f>Sheet1!$B$1</c:f>
              <c:strCache>
                <c:ptCount val="1"/>
                <c:pt idx="0">
                  <c:v>2020年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2760.57</c:v>
                </c:pt>
              </c:numCache>
            </c:numRef>
          </c:val>
        </c:ser>
        <c:ser>
          <c:idx val="1"/>
          <c:order val="1"/>
          <c:tx>
            <c:strRef>
              <c:f>Sheet1!$C$1</c:f>
              <c:strCache>
                <c:ptCount val="1"/>
                <c:pt idx="0">
                  <c:v>2021年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2969.89</c:v>
                </c:pt>
              </c:numCache>
            </c:numRef>
          </c:val>
        </c:ser>
        <c:dLbls>
          <c:showLegendKey val="0"/>
          <c:showVal val="1"/>
          <c:showCatName val="0"/>
          <c:showSerName val="0"/>
          <c:showPercent val="0"/>
          <c:showBubbleSize val="0"/>
        </c:dLbls>
        <c:gapWidth val="219"/>
        <c:overlap val="-27"/>
        <c:axId val="-1550469072"/>
        <c:axId val="-1550462544"/>
      </c:barChart>
      <c:catAx>
        <c:axId val="-155046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0462544"/>
        <c:crosses val="autoZero"/>
        <c:auto val="1"/>
        <c:lblAlgn val="ctr"/>
        <c:lblOffset val="100"/>
        <c:noMultiLvlLbl val="0"/>
      </c:catAx>
      <c:valAx>
        <c:axId val="-155046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04690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420792482808178"/>
                  <c:y val="0.0108858064568554"/>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dLbl>
              <c:idx val="2"/>
              <c:layout>
                <c:manualLayout>
                  <c:x val="-0.083225199125573"/>
                  <c:y val="0.0109020582953447"/>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37.61</c:v>
                </c:pt>
                <c:pt idx="1">
                  <c:v>2895.92</c:v>
                </c:pt>
                <c:pt idx="2">
                  <c:v>36.36</c:v>
                </c:pt>
              </c:numCache>
            </c:numRef>
          </c:val>
        </c:ser>
        <c:dLbls>
          <c:showLegendKey val="1"/>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472D11-C60F-48A0-A898-581D714088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47</Pages>
  <Words>2115</Words>
  <Characters>12060</Characters>
  <Lines>100</Lines>
  <Paragraphs>28</Paragraphs>
  <TotalTime>2860</TotalTime>
  <ScaleCrop>false</ScaleCrop>
  <LinksUpToDate>false</LinksUpToDate>
  <CharactersWithSpaces>14147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蒲玉寰</cp:lastModifiedBy>
  <cp:lastPrinted>2023-10-08T09:50:00Z</cp:lastPrinted>
  <dcterms:modified xsi:type="dcterms:W3CDTF">2023-10-30T11:50:41Z</dcterms:modified>
  <dc:title>四川省***</dc:title>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4E7D7BB643864D41AFE6DF6AD5EF7F79</vt:lpwstr>
  </property>
</Properties>
</file>