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78441"/>
      <w:bookmarkStart w:id="2" w:name="_Toc15377425"/>
      <w:bookmarkStart w:id="3" w:name="_Toc15396597"/>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426"/>
      <w:bookmarkStart w:id="8" w:name="_Toc15378442"/>
      <w:bookmarkStart w:id="9" w:name="_Toc15377194"/>
      <w:bookmarkStart w:id="10" w:name="_Toc15396598"/>
      <w:r>
        <w:rPr>
          <w:rFonts w:hint="eastAsia" w:ascii="方正小标宋简体" w:hAnsi="方正小标宋简体" w:eastAsia="方正小标宋简体" w:cs="方正小标宋简体"/>
          <w:sz w:val="72"/>
          <w:szCs w:val="72"/>
        </w:rPr>
        <w:t>攀枝花市西区</w:t>
      </w:r>
      <w:bookmarkEnd w:id="5"/>
      <w:bookmarkStart w:id="11" w:name="_Toc15306268"/>
      <w:r>
        <w:rPr>
          <w:rFonts w:hint="eastAsia" w:ascii="方正小标宋简体" w:hAnsi="方正小标宋简体" w:eastAsia="方正小标宋简体" w:cs="方正小标宋简体"/>
          <w:sz w:val="72"/>
          <w:szCs w:val="72"/>
        </w:rPr>
        <w:t>科学技术</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协会部门决算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公开时间：2023年</w:t>
      </w:r>
      <w:r>
        <w:rPr>
          <w:rFonts w:hint="eastAsia"/>
          <w:lang w:val="en-US" w:eastAsia="zh-CN"/>
        </w:rPr>
        <w:t>10</w:t>
      </w:r>
      <w:r>
        <w:rPr>
          <w:rFonts w:hint="eastAsia"/>
        </w:rPr>
        <w:t>月</w:t>
      </w:r>
      <w:r>
        <w:rPr>
          <w:rFonts w:hint="eastAsia"/>
          <w:lang w:val="en-US" w:eastAsia="zh-CN"/>
        </w:rPr>
        <w:t>30</w:t>
      </w:r>
      <w:bookmarkStart w:id="67" w:name="_GoBack"/>
      <w:bookmarkEnd w:id="67"/>
      <w:r>
        <w:rPr>
          <w:rFonts w:hint="eastAsia"/>
        </w:rPr>
        <w:t>日</w:t>
      </w:r>
    </w:p>
    <w:p>
      <w:pPr>
        <w:rPr>
          <w:rFonts w:hint="default" w:ascii="Times New Roman" w:hAnsi="Times New Roman" w:cs="Times New Roman"/>
        </w:rPr>
      </w:pPr>
    </w:p>
    <w:p>
      <w:pPr>
        <w:pStyle w:val="13"/>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第一部分 部门概况</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4</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一、部门职责</w:t>
      </w:r>
      <w:r>
        <w:rPr>
          <w:rFonts w:hint="default" w:ascii="Times New Roman" w:hAnsi="Times New Roman" w:cs="Times New Roman"/>
          <w:sz w:val="24"/>
        </w:rPr>
        <w:tab/>
      </w:r>
      <w:r>
        <w:rPr>
          <w:rFonts w:hint="default" w:ascii="Times New Roman" w:hAnsi="Times New Roman" w:cs="Times New Roman"/>
          <w:sz w:val="24"/>
          <w:lang w:val="en-US" w:eastAsia="zh-CN"/>
        </w:rPr>
        <w:t>4</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二、机构设置</w:t>
      </w:r>
      <w:r>
        <w:rPr>
          <w:rFonts w:hint="default" w:ascii="Times New Roman" w:hAnsi="Times New Roman" w:cs="Times New Roman"/>
          <w:sz w:val="24"/>
          <w:lang w:val="en-US" w:eastAsia="zh-CN"/>
        </w:rPr>
        <w:t>.........................................................................................................5</w:t>
      </w:r>
    </w:p>
    <w:p>
      <w:pPr>
        <w:pStyle w:val="13"/>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第二部分 2022年度部门决算情况说明</w:t>
      </w:r>
      <w:r>
        <w:rPr>
          <w:rFonts w:hint="default" w:ascii="Times New Roman" w:hAnsi="Times New Roman" w:eastAsia="宋体" w:cs="Times New Roman"/>
          <w:kern w:val="2"/>
          <w:sz w:val="24"/>
          <w:szCs w:val="24"/>
          <w:lang w:val="en-US" w:eastAsia="zh-CN" w:bidi="ar-SA"/>
        </w:rPr>
        <w:t>.....................................................................</w:t>
      </w:r>
      <w:r>
        <w:rPr>
          <w:rFonts w:hint="default" w:ascii="Times New Roman" w:hAnsi="Times New Roman" w:cs="Times New Roman"/>
          <w:sz w:val="24"/>
          <w:lang w:val="en-US" w:eastAsia="zh-CN"/>
        </w:rPr>
        <w:t>6</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一、收入支出决算总体情况说明</w:t>
      </w:r>
      <w:r>
        <w:rPr>
          <w:rFonts w:hint="default" w:ascii="Times New Roman" w:hAnsi="Times New Roman" w:cs="Times New Roman"/>
          <w:sz w:val="24"/>
          <w:lang w:val="en-US" w:eastAsia="zh-CN"/>
        </w:rPr>
        <w:t>.........................................................................6</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二、收入决算情况说明</w:t>
      </w:r>
      <w:r>
        <w:rPr>
          <w:rFonts w:hint="default" w:ascii="Times New Roman" w:hAnsi="Times New Roman" w:cs="Times New Roman"/>
          <w:sz w:val="24"/>
          <w:lang w:val="en-US" w:eastAsia="zh-CN"/>
        </w:rPr>
        <w:t>.........................................................................................6</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三、支出决算情况说明</w:t>
      </w:r>
      <w:r>
        <w:rPr>
          <w:rFonts w:hint="default" w:ascii="Times New Roman" w:hAnsi="Times New Roman" w:cs="Times New Roman"/>
          <w:sz w:val="24"/>
          <w:lang w:val="en-US" w:eastAsia="zh-CN"/>
        </w:rPr>
        <w:t>.........................................................................................6</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lang w:val="en-US" w:eastAsia="zh-CN"/>
        </w:rPr>
        <w:t>.........................................................6</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lang w:val="en-US" w:eastAsia="zh-CN"/>
        </w:rPr>
        <w:t>.................................................7</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lang w:val="en-US" w:eastAsia="zh-CN"/>
        </w:rPr>
        <w:t>.........................................8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七、财政拨款“三公”经费支出决算情况说明</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八、政府性基金预算支出决算情况说明</w:t>
      </w:r>
      <w:r>
        <w:rPr>
          <w:rFonts w:hint="default" w:ascii="Times New Roman" w:hAnsi="Times New Roman" w:cs="Times New Roman"/>
          <w:sz w:val="24"/>
          <w:lang w:val="en-US" w:eastAsia="zh-CN"/>
        </w:rPr>
        <w:t>.............................................................9</w:t>
      </w:r>
    </w:p>
    <w:p>
      <w:pPr>
        <w:pStyle w:val="14"/>
        <w:adjustRightInd w:val="0"/>
        <w:snapToGrid w:val="0"/>
        <w:spacing w:line="440" w:lineRule="exact"/>
        <w:ind w:leftChars="0"/>
        <w:jc w:val="left"/>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九、国有资本经营预算支出决算情况说明</w:t>
      </w:r>
      <w:r>
        <w:rPr>
          <w:rFonts w:hint="default" w:ascii="Times New Roman" w:hAnsi="Times New Roman" w:eastAsia="宋体" w:cs="Times New Roman"/>
          <w:kern w:val="2"/>
          <w:sz w:val="24"/>
          <w:szCs w:val="24"/>
          <w:lang w:val="en-US" w:eastAsia="zh-CN" w:bidi="ar-SA"/>
        </w:rPr>
        <w:t>.........................................................</w:t>
      </w:r>
      <w:r>
        <w:rPr>
          <w:rFonts w:hint="default" w:ascii="Times New Roman" w:hAnsi="Times New Roman" w:cs="Times New Roman" w:eastAsiaTheme="minorEastAsia"/>
          <w:sz w:val="24"/>
          <w:lang w:val="en-US" w:eastAsia="zh-CN"/>
        </w:rPr>
        <w:t>9</w:t>
      </w:r>
    </w:p>
    <w:p>
      <w:pPr>
        <w:adjustRightInd w:val="0"/>
        <w:snapToGrid w:val="0"/>
        <w:spacing w:line="440" w:lineRule="exact"/>
        <w:ind w:firstLine="420" w:firstLineChars="175"/>
        <w:jc w:val="left"/>
        <w:rPr>
          <w:rFonts w:hint="default" w:ascii="Times New Roman" w:hAnsi="Times New Roman" w:cs="Times New Roman" w:eastAsiaTheme="minorEastAsia"/>
          <w:sz w:val="24"/>
          <w:lang w:val="en-US" w:eastAsia="zh-CN"/>
        </w:rPr>
      </w:pPr>
      <w:r>
        <w:rPr>
          <w:rStyle w:val="20"/>
          <w:rFonts w:hint="default" w:ascii="Times New Roman" w:hAnsi="Times New Roman" w:cs="Times New Roman" w:eastAsiaTheme="minorEastAsia"/>
          <w:color w:val="auto"/>
          <w:sz w:val="24"/>
          <w:u w:val="none"/>
        </w:rPr>
        <w:t>十、</w:t>
      </w:r>
      <w:r>
        <w:rPr>
          <w:rFonts w:hint="default" w:ascii="Times New Roman" w:hAnsi="Times New Roman" w:cs="Times New Roman" w:eastAsiaTheme="minorEastAsia"/>
          <w:sz w:val="24"/>
        </w:rPr>
        <w:t>其他重要事项的情况说明</w:t>
      </w:r>
      <w:r>
        <w:rPr>
          <w:rFonts w:hint="default" w:ascii="Times New Roman" w:hAnsi="Times New Roman" w:eastAsia="宋体" w:cs="Times New Roman"/>
          <w:kern w:val="2"/>
          <w:sz w:val="24"/>
          <w:szCs w:val="24"/>
          <w:lang w:val="en-US" w:eastAsia="zh-CN" w:bidi="ar-SA"/>
        </w:rPr>
        <w:t>...........................................................................</w:t>
      </w:r>
      <w:r>
        <w:rPr>
          <w:rFonts w:hint="default" w:ascii="Times New Roman" w:hAnsi="Times New Roman" w:cs="Times New Roman" w:eastAsiaTheme="minorEastAsia"/>
          <w:sz w:val="24"/>
          <w:lang w:val="en-US" w:eastAsia="zh-CN"/>
        </w:rPr>
        <w:t>10</w:t>
      </w:r>
    </w:p>
    <w:p>
      <w:pPr>
        <w:pStyle w:val="13"/>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第三部分 名词解释</w:t>
      </w:r>
      <w:r>
        <w:rPr>
          <w:rFonts w:hint="default" w:ascii="Times New Roman" w:hAnsi="Times New Roman" w:eastAsia="宋体" w:cs="Times New Roman"/>
          <w:kern w:val="2"/>
          <w:sz w:val="24"/>
          <w:szCs w:val="24"/>
          <w:lang w:val="en-US" w:eastAsia="zh-CN" w:bidi="ar-SA"/>
        </w:rPr>
        <w:t>....................................................................................................</w:t>
      </w:r>
      <w:r>
        <w:rPr>
          <w:rFonts w:hint="default" w:ascii="Times New Roman" w:hAnsi="Times New Roman" w:cs="Times New Roman"/>
          <w:sz w:val="24"/>
          <w:lang w:val="en-US" w:eastAsia="zh-CN"/>
        </w:rPr>
        <w:t>11</w:t>
      </w:r>
    </w:p>
    <w:p>
      <w:pPr>
        <w:pStyle w:val="13"/>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第四部分 附件</w:t>
      </w:r>
      <w:r>
        <w:rPr>
          <w:rFonts w:hint="default" w:ascii="Times New Roman" w:hAnsi="Times New Roman" w:eastAsia="宋体" w:cs="Times New Roman"/>
          <w:kern w:val="2"/>
          <w:sz w:val="24"/>
          <w:szCs w:val="24"/>
          <w:lang w:val="en-US" w:eastAsia="zh-CN" w:bidi="ar-SA"/>
        </w:rPr>
        <w:t>............................................................................................................</w:t>
      </w:r>
      <w:r>
        <w:rPr>
          <w:rFonts w:hint="default" w:ascii="Times New Roman" w:hAnsi="Times New Roman" w:cs="Times New Roman"/>
          <w:sz w:val="24"/>
          <w:lang w:val="en-US" w:eastAsia="zh-CN"/>
        </w:rPr>
        <w:t>13</w:t>
      </w:r>
    </w:p>
    <w:p>
      <w:pPr>
        <w:pStyle w:val="13"/>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cs="Times New Roman"/>
          <w:sz w:val="24"/>
        </w:rPr>
        <w:t>第五部分 附表</w:t>
      </w:r>
      <w:r>
        <w:rPr>
          <w:rFonts w:hint="default" w:ascii="Times New Roman" w:hAnsi="Times New Roman" w:eastAsia="宋体" w:cs="Times New Roman"/>
          <w:kern w:val="2"/>
          <w:sz w:val="24"/>
          <w:szCs w:val="24"/>
          <w:lang w:val="en-US" w:eastAsia="zh-CN" w:bidi="ar-SA"/>
        </w:rPr>
        <w:t>............................................................................................................</w:t>
      </w:r>
      <w:r>
        <w:rPr>
          <w:rFonts w:hint="default" w:ascii="Times New Roman" w:hAnsi="Times New Roman" w:cs="Times New Roman"/>
          <w:sz w:val="24"/>
          <w:lang w:val="en-US" w:eastAsia="zh-CN"/>
        </w:rPr>
        <w:t>28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一、收入支出决算总表</w:t>
      </w:r>
      <w:r>
        <w:rPr>
          <w:rFonts w:hint="default" w:ascii="Times New Roman" w:hAnsi="Times New Roman" w:cs="Times New Roman"/>
          <w:sz w:val="24"/>
          <w:lang w:val="en-US" w:eastAsia="zh-CN"/>
        </w:rPr>
        <w:t>.......................................................................................28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二、收入决算表</w:t>
      </w:r>
      <w:r>
        <w:rPr>
          <w:rFonts w:hint="default" w:ascii="Times New Roman" w:hAnsi="Times New Roman" w:cs="Times New Roman"/>
          <w:sz w:val="24"/>
          <w:lang w:val="en-US" w:eastAsia="zh-CN"/>
        </w:rPr>
        <w:t>...................................................................................................28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三、支出决算表</w:t>
      </w:r>
      <w:r>
        <w:rPr>
          <w:rFonts w:hint="default" w:ascii="Times New Roman" w:hAnsi="Times New Roman" w:cs="Times New Roman"/>
          <w:sz w:val="24"/>
          <w:lang w:val="en-US" w:eastAsia="zh-CN"/>
        </w:rPr>
        <w:t>...................................................................................................28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四、财政拨款收入支出决算总表</w:t>
      </w:r>
      <w:r>
        <w:rPr>
          <w:rFonts w:hint="default" w:ascii="Times New Roman" w:hAnsi="Times New Roman" w:cs="Times New Roman"/>
          <w:sz w:val="24"/>
          <w:lang w:val="en-US" w:eastAsia="zh-CN"/>
        </w:rPr>
        <w:t>.......................................................................28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五、财政拨款支出决算明细表</w:t>
      </w:r>
      <w:r>
        <w:rPr>
          <w:rFonts w:hint="default" w:ascii="Times New Roman" w:hAnsi="Times New Roman" w:cs="Times New Roman"/>
          <w:sz w:val="24"/>
          <w:lang w:val="en-US" w:eastAsia="zh-CN"/>
        </w:rPr>
        <w:t>...........................................................................28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六、一般公共预算财政拨款支出决算表</w:t>
      </w:r>
      <w:r>
        <w:rPr>
          <w:rFonts w:hint="default" w:ascii="Times New Roman" w:hAnsi="Times New Roman" w:cs="Times New Roman"/>
          <w:sz w:val="24"/>
          <w:lang w:val="en-US" w:eastAsia="zh-CN"/>
        </w:rPr>
        <w:t>...........................................................28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七、一般公共预算财政拨款支出决算明细表</w:t>
      </w:r>
      <w:r>
        <w:rPr>
          <w:rFonts w:hint="default" w:ascii="Times New Roman" w:hAnsi="Times New Roman" w:cs="Times New Roman"/>
          <w:sz w:val="24"/>
          <w:lang w:val="en-US" w:eastAsia="zh-CN"/>
        </w:rPr>
        <w:t>...................................................28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八、一般公共预算财政拨款基本支出决算明细表</w:t>
      </w:r>
      <w:r>
        <w:rPr>
          <w:rFonts w:hint="default" w:ascii="Times New Roman" w:hAnsi="Times New Roman" w:cs="Times New Roman"/>
          <w:sz w:val="24"/>
          <w:lang w:val="en-US" w:eastAsia="zh-CN"/>
        </w:rPr>
        <w:t>...........................................28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九、一般公共预算财政拨款项目支出决算表</w:t>
      </w:r>
      <w:r>
        <w:rPr>
          <w:rFonts w:hint="default" w:ascii="Times New Roman" w:hAnsi="Times New Roman" w:cs="Times New Roman"/>
          <w:sz w:val="24"/>
          <w:lang w:val="en-US" w:eastAsia="zh-CN"/>
        </w:rPr>
        <w:t>....................................................28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十、政府性基金预算财政拨款收入支出决算表</w:t>
      </w:r>
      <w:r>
        <w:rPr>
          <w:rFonts w:hint="default" w:ascii="Times New Roman" w:hAnsi="Times New Roman" w:cs="Times New Roman"/>
          <w:sz w:val="24"/>
          <w:lang w:val="en-US" w:eastAsia="zh-CN"/>
        </w:rPr>
        <w:t>...............................................28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十一、国有资本经营预算财政拨款收入支出决算表</w:t>
      </w:r>
      <w:r>
        <w:rPr>
          <w:rFonts w:hint="default" w:ascii="Times New Roman" w:hAnsi="Times New Roman" w:cs="Times New Roman"/>
          <w:sz w:val="24"/>
          <w:lang w:val="en-US" w:eastAsia="zh-CN"/>
        </w:rPr>
        <w:t>.......................................28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十二、国有资本经营预算财政拨款支出决算表</w:t>
      </w:r>
      <w:r>
        <w:rPr>
          <w:rFonts w:hint="default" w:ascii="Times New Roman" w:hAnsi="Times New Roman" w:cs="Times New Roman"/>
          <w:sz w:val="24"/>
          <w:lang w:val="en-US" w:eastAsia="zh-CN"/>
        </w:rPr>
        <w:t>...............................................28</w:t>
      </w:r>
    </w:p>
    <w:p>
      <w:pPr>
        <w:pStyle w:val="14"/>
        <w:adjustRightInd w:val="0"/>
        <w:snapToGrid w:val="0"/>
        <w:spacing w:line="440" w:lineRule="exact"/>
        <w:jc w:val="left"/>
        <w:rPr>
          <w:rFonts w:hint="default" w:ascii="Times New Roman" w:hAnsi="Times New Roman" w:eastAsia="宋体" w:cs="Times New Roman"/>
          <w:sz w:val="24"/>
          <w:lang w:val="en-US" w:eastAsia="zh-CN"/>
        </w:rPr>
      </w:pPr>
      <w:r>
        <w:rPr>
          <w:rFonts w:hint="default" w:ascii="Times New Roman" w:hAnsi="Times New Roman" w:cs="Times New Roman"/>
          <w:sz w:val="24"/>
        </w:rPr>
        <w:t>十三、财政拨款“三公”经费支出决算表</w:t>
      </w:r>
      <w:r>
        <w:rPr>
          <w:rFonts w:hint="default" w:ascii="Times New Roman" w:hAnsi="Times New Roman" w:cs="Times New Roman"/>
          <w:sz w:val="24"/>
          <w:lang w:val="en-US" w:eastAsia="zh-CN"/>
        </w:rPr>
        <w:t>..................</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.....................................28</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30"/>
          <w:rFonts w:ascii="黑体" w:hAnsi="黑体" w:eastAsia="黑体"/>
          <w:b/>
          <w:bCs w:val="0"/>
        </w:rPr>
      </w:pPr>
      <w:r>
        <w:rPr>
          <w:rFonts w:hint="eastAsia" w:ascii="黑体" w:hAnsi="黑体" w:eastAsia="黑体"/>
          <w:b w:val="0"/>
        </w:rPr>
        <w:t xml:space="preserve">第一部分 </w:t>
      </w:r>
      <w:r>
        <w:rPr>
          <w:rStyle w:val="30"/>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1"/>
        </w:numPr>
        <w:rPr>
          <w:rFonts w:ascii="黑体" w:hAnsi="黑体" w:eastAsia="黑体"/>
          <w:b w:val="0"/>
        </w:rPr>
      </w:pPr>
      <w:r>
        <w:rPr>
          <w:rFonts w:hint="eastAsia" w:ascii="黑体" w:hAnsi="黑体" w:eastAsia="黑体"/>
          <w:b w:val="0"/>
        </w:rPr>
        <w:t>部门职责</w:t>
      </w:r>
    </w:p>
    <w:p>
      <w:pPr>
        <w:ind w:firstLine="640" w:firstLineChars="200"/>
      </w:pPr>
      <w:r>
        <w:rPr>
          <w:rFonts w:eastAsia="仿宋_GB2312"/>
          <w:color w:val="000000"/>
          <w:sz w:val="32"/>
          <w:szCs w:val="32"/>
        </w:rPr>
        <w:t>一是密切联系科学技术工作者，宣传党的路线方针政策，反映科学技术工作者的建议、意见和诉求，维护科学技术工作者的合法权益，建设科技工作者之家；二是开展学术交流，活跃学术思想，倡导学术民主，优化学术环境，促进学科发展,推进国家创新体系建设；三是组织科学技术工作者创新争先，加快科学技术成果转化应用，推动产学研深度融合；四是弘扬科学精神，普及科学知识，推广先进技术，传播科学思想和科学方法，捍卫科学尊严，提高全民科学素质；五是弘扬科学家精神，健全科学共同体的自律功能，推动建立和完善科学研究诚信监督机制，促进科学道德建设和学风建设，宣传优秀科学技术工作者，培育科学文化，践行社会主义核心价值观；六是组织科学技术工作者参与国家科技战略、规划、布局、政策、法律法规的咨询制定和国家事务的政治协商、科学决策、民主监督工作，建设中国特色高水平科技创新智库；七是组织所属学会有序承接科技评估、工程技术领域职业资格认定、技术标准研制、国家科技奖励推荐等政府委托工作；八是注重激发青少年科技兴趣，发现培养杰出青年科学家和创新团队，表彰奖励优秀科学技术工作者，举荐科学技术人才；九是开展民间国际科学技术交流活动，促进国际科学技术合作，发展同国(境)外科学技术团体和科学技术工作者的友好交往，为海外科技人才来华创新创业提供服务；十是兴办符合中国科学技术协会宗旨的社会公益性事业。</w:t>
      </w:r>
    </w:p>
    <w:p>
      <w:pPr>
        <w:pStyle w:val="4"/>
        <w:rPr>
          <w:rStyle w:val="31"/>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31"/>
          <w:rFonts w:hint="eastAsia" w:ascii="黑体" w:hAnsi="黑体" w:eastAsia="黑体"/>
          <w:b w:val="0"/>
          <w:bCs w:val="0"/>
        </w:rPr>
        <w:t>构设置</w:t>
      </w:r>
      <w:bookmarkEnd w:id="14"/>
      <w:bookmarkEnd w:id="15"/>
    </w:p>
    <w:p>
      <w:pPr>
        <w:ind w:firstLine="800" w:firstLineChars="250"/>
        <w:rPr>
          <w:rFonts w:ascii="仿宋" w:hAnsi="仿宋" w:eastAsia="仿宋"/>
          <w:sz w:val="32"/>
          <w:szCs w:val="32"/>
        </w:rPr>
      </w:pPr>
      <w:r>
        <w:rPr>
          <w:rFonts w:hint="eastAsia" w:ascii="仿宋" w:hAnsi="仿宋" w:eastAsia="仿宋"/>
          <w:sz w:val="32"/>
          <w:szCs w:val="32"/>
        </w:rPr>
        <w:t>攀枝花市西区科学技术协会下属二级预算单位</w:t>
      </w:r>
      <w:r>
        <w:rPr>
          <w:rFonts w:ascii="仿宋" w:hAnsi="仿宋" w:eastAsia="仿宋"/>
          <w:sz w:val="32"/>
          <w:szCs w:val="32"/>
        </w:rPr>
        <w:t>0</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0</w:t>
      </w:r>
      <w:r>
        <w:rPr>
          <w:rFonts w:hint="eastAsia" w:ascii="仿宋" w:hAnsi="仿宋" w:eastAsia="仿宋"/>
          <w:sz w:val="32"/>
          <w:szCs w:val="32"/>
        </w:rPr>
        <w:t>个。</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30"/>
          <w:rFonts w:ascii="黑体" w:hAnsi="黑体" w:eastAsia="黑体"/>
          <w:b w:val="0"/>
          <w:bCs/>
        </w:rPr>
      </w:pPr>
      <w:bookmarkStart w:id="16" w:name="_Toc15377204"/>
      <w:bookmarkStart w:id="17" w:name="_Toc15396602"/>
      <w:r>
        <w:rPr>
          <w:rFonts w:hint="eastAsia" w:ascii="黑体" w:hAnsi="黑体" w:eastAsia="黑体"/>
          <w:b w:val="0"/>
        </w:rPr>
        <w:t>第二部分 2022年度</w:t>
      </w:r>
      <w:r>
        <w:rPr>
          <w:rStyle w:val="30"/>
          <w:rFonts w:hint="eastAsia" w:ascii="黑体" w:hAnsi="黑体" w:eastAsia="黑体"/>
          <w:b w:val="0"/>
          <w:bCs/>
        </w:rPr>
        <w:t>部门决算情况说明</w:t>
      </w:r>
      <w:bookmarkEnd w:id="16"/>
      <w:bookmarkEnd w:id="17"/>
    </w:p>
    <w:p/>
    <w:p>
      <w:pPr>
        <w:pStyle w:val="29"/>
        <w:numPr>
          <w:ilvl w:val="0"/>
          <w:numId w:val="2"/>
        </w:numPr>
        <w:spacing w:line="600" w:lineRule="exact"/>
        <w:ind w:firstLineChars="0"/>
        <w:outlineLvl w:val="1"/>
        <w:rPr>
          <w:rStyle w:val="31"/>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31"/>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ascii="仿宋" w:hAnsi="仿宋" w:eastAsia="仿宋"/>
          <w:sz w:val="32"/>
          <w:szCs w:val="32"/>
        </w:rPr>
        <w:t>75.04</w:t>
      </w:r>
      <w:r>
        <w:rPr>
          <w:rFonts w:hint="eastAsia" w:ascii="仿宋" w:hAnsi="仿宋" w:eastAsia="仿宋"/>
          <w:sz w:val="32"/>
          <w:szCs w:val="32"/>
        </w:rPr>
        <w:t>万元。与2021年相比，收、支总计各增加</w:t>
      </w:r>
      <w:r>
        <w:rPr>
          <w:rFonts w:ascii="仿宋" w:hAnsi="仿宋" w:eastAsia="仿宋"/>
          <w:sz w:val="32"/>
          <w:szCs w:val="32"/>
        </w:rPr>
        <w:t>0.6</w:t>
      </w:r>
      <w:r>
        <w:rPr>
          <w:rFonts w:hint="eastAsia" w:ascii="仿宋" w:hAnsi="仿宋" w:eastAsia="仿宋"/>
          <w:sz w:val="32"/>
          <w:szCs w:val="32"/>
        </w:rPr>
        <w:t>万元，增长</w:t>
      </w:r>
      <w:r>
        <w:rPr>
          <w:rFonts w:ascii="仿宋" w:hAnsi="仿宋" w:eastAsia="仿宋"/>
          <w:sz w:val="32"/>
          <w:szCs w:val="32"/>
        </w:rPr>
        <w:t>0.8%</w:t>
      </w:r>
      <w:r>
        <w:rPr>
          <w:rFonts w:hint="eastAsia" w:ascii="仿宋" w:hAnsi="仿宋" w:eastAsia="仿宋"/>
          <w:sz w:val="32"/>
          <w:szCs w:val="32"/>
        </w:rPr>
        <w:t>。主要变动原因是财政拨款收入增加。</w:t>
      </w:r>
    </w:p>
    <w:p>
      <w:pPr>
        <w:pStyle w:val="29"/>
        <w:numPr>
          <w:ilvl w:val="0"/>
          <w:numId w:val="2"/>
        </w:numPr>
        <w:spacing w:line="600" w:lineRule="exact"/>
        <w:ind w:firstLineChars="0"/>
        <w:outlineLvl w:val="1"/>
        <w:rPr>
          <w:rStyle w:val="31"/>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31"/>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ascii="仿宋" w:hAnsi="仿宋" w:eastAsia="仿宋"/>
          <w:sz w:val="32"/>
          <w:szCs w:val="32"/>
        </w:rPr>
        <w:t>75.04</w:t>
      </w:r>
      <w:r>
        <w:rPr>
          <w:rFonts w:hint="eastAsia" w:ascii="仿宋" w:hAnsi="仿宋" w:eastAsia="仿宋"/>
          <w:sz w:val="32"/>
          <w:szCs w:val="32"/>
        </w:rPr>
        <w:t>万元，其中：一般公共预算财政拨款收入</w:t>
      </w:r>
      <w:r>
        <w:rPr>
          <w:rFonts w:ascii="仿宋" w:hAnsi="仿宋" w:eastAsia="仿宋"/>
          <w:sz w:val="32"/>
          <w:szCs w:val="32"/>
        </w:rPr>
        <w:t>72.71</w:t>
      </w:r>
      <w:r>
        <w:rPr>
          <w:rFonts w:hint="eastAsia" w:ascii="仿宋" w:hAnsi="仿宋" w:eastAsia="仿宋"/>
          <w:sz w:val="32"/>
          <w:szCs w:val="32"/>
        </w:rPr>
        <w:t>万元，占</w:t>
      </w:r>
      <w:r>
        <w:rPr>
          <w:rFonts w:ascii="仿宋" w:hAnsi="仿宋" w:eastAsia="仿宋"/>
          <w:sz w:val="32"/>
          <w:szCs w:val="32"/>
        </w:rPr>
        <w:t>96.89%</w:t>
      </w:r>
      <w:r>
        <w:rPr>
          <w:rFonts w:hint="eastAsia" w:ascii="仿宋" w:hAnsi="仿宋" w:eastAsia="仿宋"/>
          <w:sz w:val="32"/>
          <w:szCs w:val="32"/>
        </w:rPr>
        <w:t>；政府性基金预算财政拨款收入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；国有资本经营预算财政拨款收入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；上级补助收入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；附属单位上缴收入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；其他收入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p>
    <w:p>
      <w:pPr>
        <w:pStyle w:val="29"/>
        <w:numPr>
          <w:ilvl w:val="0"/>
          <w:numId w:val="2"/>
        </w:numPr>
        <w:spacing w:line="600" w:lineRule="exact"/>
        <w:ind w:firstLineChars="0"/>
        <w:outlineLvl w:val="1"/>
        <w:rPr>
          <w:rStyle w:val="31"/>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1"/>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ascii="仿宋" w:hAnsi="仿宋" w:eastAsia="仿宋"/>
          <w:sz w:val="32"/>
          <w:szCs w:val="32"/>
        </w:rPr>
        <w:t>75.04</w:t>
      </w:r>
      <w:r>
        <w:rPr>
          <w:rFonts w:hint="eastAsia" w:ascii="仿宋" w:hAnsi="仿宋" w:eastAsia="仿宋"/>
          <w:sz w:val="32"/>
          <w:szCs w:val="32"/>
        </w:rPr>
        <w:t>万元，其中：基本支出</w:t>
      </w:r>
      <w:r>
        <w:rPr>
          <w:rFonts w:ascii="仿宋" w:hAnsi="仿宋" w:eastAsia="仿宋"/>
          <w:sz w:val="32"/>
          <w:szCs w:val="32"/>
        </w:rPr>
        <w:t>54.63</w:t>
      </w:r>
      <w:r>
        <w:rPr>
          <w:rFonts w:hint="eastAsia" w:ascii="仿宋" w:hAnsi="仿宋" w:eastAsia="仿宋"/>
          <w:sz w:val="32"/>
          <w:szCs w:val="32"/>
        </w:rPr>
        <w:t>万元，占</w:t>
      </w:r>
      <w:r>
        <w:rPr>
          <w:rFonts w:ascii="仿宋" w:hAnsi="仿宋" w:eastAsia="仿宋"/>
          <w:sz w:val="32"/>
          <w:szCs w:val="32"/>
        </w:rPr>
        <w:t>72.80%</w:t>
      </w:r>
      <w:r>
        <w:rPr>
          <w:rFonts w:hint="eastAsia" w:ascii="仿宋" w:hAnsi="仿宋" w:eastAsia="仿宋"/>
          <w:sz w:val="32"/>
          <w:szCs w:val="32"/>
        </w:rPr>
        <w:t>；项目支出</w:t>
      </w:r>
      <w:r>
        <w:rPr>
          <w:rFonts w:ascii="仿宋" w:hAnsi="仿宋" w:eastAsia="仿宋"/>
          <w:sz w:val="32"/>
          <w:szCs w:val="32"/>
        </w:rPr>
        <w:t>20.42</w:t>
      </w:r>
      <w:r>
        <w:rPr>
          <w:rFonts w:hint="eastAsia" w:ascii="仿宋" w:hAnsi="仿宋" w:eastAsia="仿宋"/>
          <w:sz w:val="32"/>
          <w:szCs w:val="32"/>
        </w:rPr>
        <w:t>万元，占</w:t>
      </w:r>
      <w:r>
        <w:rPr>
          <w:rFonts w:ascii="仿宋" w:hAnsi="仿宋" w:eastAsia="仿宋"/>
          <w:sz w:val="32"/>
          <w:szCs w:val="32"/>
        </w:rPr>
        <w:t>27.21%</w:t>
      </w:r>
      <w:r>
        <w:rPr>
          <w:rFonts w:hint="eastAsia" w:ascii="仿宋" w:hAnsi="仿宋" w:eastAsia="仿宋"/>
          <w:sz w:val="32"/>
          <w:szCs w:val="32"/>
        </w:rPr>
        <w:t>；上缴上级支出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；经营支出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；对附属单位补助支出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p>
    <w:p>
      <w:pPr>
        <w:spacing w:line="600" w:lineRule="exact"/>
        <w:ind w:firstLine="640" w:firstLineChars="200"/>
        <w:outlineLvl w:val="1"/>
        <w:rPr>
          <w:rStyle w:val="31"/>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ascii="仿宋" w:hAnsi="仿宋" w:eastAsia="仿宋"/>
          <w:sz w:val="32"/>
          <w:szCs w:val="32"/>
        </w:rPr>
        <w:t>75.04</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21年相比，财政拨款收、支总计各增加</w:t>
      </w:r>
      <w:r>
        <w:rPr>
          <w:rFonts w:ascii="仿宋" w:hAnsi="仿宋" w:eastAsia="仿宋"/>
          <w:sz w:val="32"/>
          <w:szCs w:val="32"/>
        </w:rPr>
        <w:t>0.6</w:t>
      </w:r>
      <w:r>
        <w:rPr>
          <w:rFonts w:hint="eastAsia" w:ascii="仿宋" w:hAnsi="仿宋" w:eastAsia="仿宋"/>
          <w:sz w:val="32"/>
          <w:szCs w:val="32"/>
        </w:rPr>
        <w:t>万元，增长</w:t>
      </w:r>
      <w:r>
        <w:rPr>
          <w:rFonts w:ascii="仿宋" w:hAnsi="仿宋" w:eastAsia="仿宋"/>
          <w:sz w:val="32"/>
          <w:szCs w:val="32"/>
        </w:rPr>
        <w:t>0.8%</w:t>
      </w:r>
      <w:r>
        <w:rPr>
          <w:rFonts w:hint="eastAsia" w:ascii="仿宋" w:hAnsi="仿宋" w:eastAsia="仿宋"/>
          <w:sz w:val="32"/>
          <w:szCs w:val="32"/>
        </w:rPr>
        <w:t>。主要变动原因是财政拨款收入增加。</w:t>
      </w:r>
    </w:p>
    <w:p>
      <w:pPr>
        <w:spacing w:line="600" w:lineRule="exact"/>
        <w:ind w:firstLine="640" w:firstLineChars="200"/>
        <w:outlineLvl w:val="1"/>
        <w:rPr>
          <w:rStyle w:val="31"/>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72.71</w:t>
      </w:r>
      <w:r>
        <w:rPr>
          <w:rFonts w:hint="eastAsia" w:ascii="仿宋" w:hAnsi="仿宋" w:eastAsia="仿宋"/>
          <w:sz w:val="32"/>
          <w:szCs w:val="32"/>
        </w:rPr>
        <w:t>万元，占本年支出合计的</w:t>
      </w:r>
      <w:r>
        <w:rPr>
          <w:rFonts w:ascii="仿宋" w:hAnsi="仿宋" w:eastAsia="仿宋"/>
          <w:sz w:val="32"/>
          <w:szCs w:val="32"/>
        </w:rPr>
        <w:t>96.89%</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ascii="仿宋" w:hAnsi="仿宋" w:eastAsia="仿宋"/>
          <w:sz w:val="32"/>
          <w:szCs w:val="32"/>
        </w:rPr>
        <w:t>1.23</w:t>
      </w:r>
      <w:r>
        <w:rPr>
          <w:rFonts w:hint="eastAsia" w:ascii="仿宋" w:hAnsi="仿宋" w:eastAsia="仿宋"/>
          <w:sz w:val="32"/>
          <w:szCs w:val="32"/>
        </w:rPr>
        <w:t>万元，下降</w:t>
      </w:r>
      <w:r>
        <w:rPr>
          <w:rFonts w:ascii="仿宋" w:hAnsi="仿宋" w:eastAsia="仿宋"/>
          <w:sz w:val="32"/>
          <w:szCs w:val="32"/>
        </w:rPr>
        <w:t>1.66%</w:t>
      </w:r>
      <w:r>
        <w:rPr>
          <w:rFonts w:hint="eastAsia" w:ascii="仿宋" w:hAnsi="仿宋" w:eastAsia="仿宋"/>
          <w:sz w:val="32"/>
          <w:szCs w:val="32"/>
        </w:rPr>
        <w:t>。主要变动原因是财政</w:t>
      </w:r>
      <w:r>
        <w:rPr>
          <w:rFonts w:ascii="仿宋" w:hAnsi="仿宋" w:eastAsia="仿宋"/>
          <w:sz w:val="32"/>
          <w:szCs w:val="32"/>
        </w:rPr>
        <w:t>拨款减少。</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75.04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科学技术支出</w:t>
      </w:r>
      <w:r>
        <w:rPr>
          <w:rFonts w:ascii="仿宋" w:hAnsi="仿宋" w:eastAsia="仿宋"/>
          <w:sz w:val="32"/>
          <w:szCs w:val="32"/>
        </w:rPr>
        <w:t>63.73</w:t>
      </w:r>
      <w:r>
        <w:rPr>
          <w:rFonts w:hint="eastAsia" w:ascii="仿宋" w:hAnsi="仿宋" w:eastAsia="仿宋"/>
          <w:sz w:val="32"/>
          <w:szCs w:val="32"/>
        </w:rPr>
        <w:t>万元，占</w:t>
      </w:r>
      <w:r>
        <w:rPr>
          <w:rFonts w:ascii="仿宋" w:hAnsi="仿宋" w:eastAsia="仿宋"/>
          <w:sz w:val="32"/>
          <w:szCs w:val="32"/>
        </w:rPr>
        <w:t>84.93%</w:t>
      </w:r>
      <w:r>
        <w:rPr>
          <w:rFonts w:hint="eastAsia" w:ascii="仿宋" w:hAnsi="仿宋" w:eastAsia="仿宋"/>
          <w:sz w:val="32"/>
          <w:szCs w:val="32"/>
        </w:rPr>
        <w:t>；</w:t>
      </w:r>
      <w:r>
        <w:rPr>
          <w:rFonts w:hint="eastAsia" w:ascii="仿宋" w:hAnsi="仿宋" w:eastAsia="仿宋"/>
          <w:b/>
          <w:sz w:val="32"/>
          <w:szCs w:val="32"/>
        </w:rPr>
        <w:t>社会保障</w:t>
      </w:r>
      <w:r>
        <w:rPr>
          <w:rFonts w:ascii="仿宋" w:hAnsi="仿宋" w:eastAsia="仿宋"/>
          <w:b/>
          <w:sz w:val="32"/>
          <w:szCs w:val="32"/>
        </w:rPr>
        <w:t>和就业支出</w:t>
      </w: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67</w:t>
      </w:r>
      <w:r>
        <w:rPr>
          <w:rFonts w:hint="eastAsia" w:ascii="仿宋" w:hAnsi="仿宋" w:eastAsia="仿宋"/>
          <w:sz w:val="32"/>
          <w:szCs w:val="32"/>
        </w:rPr>
        <w:t>万元，占</w:t>
      </w:r>
      <w:r>
        <w:rPr>
          <w:rFonts w:ascii="仿宋" w:hAnsi="仿宋" w:eastAsia="仿宋"/>
          <w:sz w:val="32"/>
          <w:szCs w:val="32"/>
        </w:rPr>
        <w:t>4.89%</w:t>
      </w:r>
      <w:r>
        <w:rPr>
          <w:rFonts w:hint="eastAsia" w:ascii="仿宋" w:hAnsi="仿宋" w:eastAsia="仿宋"/>
          <w:sz w:val="32"/>
          <w:szCs w:val="32"/>
        </w:rPr>
        <w:t>；</w:t>
      </w:r>
      <w:r>
        <w:rPr>
          <w:rFonts w:hint="eastAsia" w:ascii="仿宋" w:hAnsi="仿宋" w:eastAsia="仿宋"/>
          <w:b/>
          <w:sz w:val="32"/>
          <w:szCs w:val="32"/>
        </w:rPr>
        <w:t>卫生健康支出3.03</w:t>
      </w:r>
      <w:r>
        <w:rPr>
          <w:rFonts w:hint="eastAsia" w:ascii="仿宋" w:hAnsi="仿宋" w:eastAsia="仿宋"/>
          <w:sz w:val="32"/>
          <w:szCs w:val="32"/>
        </w:rPr>
        <w:t>万元，占</w:t>
      </w:r>
      <w:r>
        <w:rPr>
          <w:rFonts w:ascii="仿宋" w:hAnsi="仿宋" w:eastAsia="仿宋"/>
          <w:sz w:val="32"/>
          <w:szCs w:val="32"/>
        </w:rPr>
        <w:t>4.04%</w:t>
      </w:r>
      <w:r>
        <w:rPr>
          <w:rFonts w:hint="eastAsia" w:ascii="仿宋" w:hAnsi="仿宋" w:eastAsia="仿宋"/>
          <w:sz w:val="32"/>
          <w:szCs w:val="32"/>
        </w:rPr>
        <w:t>；</w:t>
      </w:r>
      <w:r>
        <w:rPr>
          <w:rFonts w:hint="eastAsia" w:ascii="仿宋" w:hAnsi="仿宋" w:eastAsia="仿宋"/>
          <w:b/>
          <w:bCs/>
          <w:sz w:val="32"/>
          <w:szCs w:val="32"/>
        </w:rPr>
        <w:t>住房保障支出4.61万元，占</w:t>
      </w:r>
      <w:r>
        <w:rPr>
          <w:rFonts w:ascii="仿宋" w:hAnsi="仿宋" w:eastAsia="仿宋"/>
          <w:b/>
          <w:bCs/>
          <w:sz w:val="32"/>
          <w:szCs w:val="32"/>
        </w:rPr>
        <w:t>6.14%</w:t>
      </w:r>
      <w:r>
        <w:rPr>
          <w:rFonts w:hint="eastAsia" w:ascii="仿宋" w:hAnsi="仿宋" w:eastAsia="仿宋"/>
          <w:sz w:val="32"/>
          <w:szCs w:val="32"/>
        </w:rPr>
        <w:t>；。</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213"/>
      <w:bookmarkStart w:id="32" w:name="_Toc15377444"/>
      <w:bookmarkStart w:id="33" w:name="_Toc15378460"/>
      <w:r>
        <w:rPr>
          <w:rFonts w:hint="eastAsia" w:ascii="仿宋" w:hAnsi="仿宋" w:eastAsia="仿宋"/>
          <w:b/>
          <w:sz w:val="32"/>
          <w:szCs w:val="32"/>
        </w:rPr>
        <w:t>2022年一般公共预算支出决算数为</w:t>
      </w:r>
      <w:r>
        <w:rPr>
          <w:rFonts w:ascii="仿宋" w:hAnsi="仿宋" w:eastAsia="仿宋"/>
          <w:b/>
          <w:sz w:val="32"/>
          <w:szCs w:val="32"/>
        </w:rPr>
        <w:t>75.04</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ascii="仿宋" w:hAnsi="仿宋" w:eastAsia="仿宋"/>
          <w:bCs/>
          <w:sz w:val="32"/>
          <w:szCs w:val="32"/>
        </w:rPr>
        <w:t>100%</w:t>
      </w:r>
      <w:r>
        <w:rPr>
          <w:rStyle w:val="18"/>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8"/>
          <w:rFonts w:ascii="仿宋" w:hAnsi="仿宋" w:eastAsia="仿宋"/>
          <w:bCs/>
          <w:sz w:val="32"/>
          <w:szCs w:val="32"/>
        </w:rPr>
        <w:t>1.</w:t>
      </w:r>
      <w:r>
        <w:rPr>
          <w:rStyle w:val="18"/>
          <w:rFonts w:hint="eastAsia" w:ascii="仿宋" w:hAnsi="仿宋" w:eastAsia="仿宋"/>
          <w:bCs/>
          <w:sz w:val="32"/>
          <w:szCs w:val="32"/>
        </w:rPr>
        <w:t>科学技术支出（类）科学管理事务（款）行政运行（项）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43.31</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Style w:val="18"/>
          <w:rFonts w:ascii="仿宋" w:hAnsi="仿宋" w:eastAsia="仿宋"/>
          <w:b w:val="0"/>
          <w:bCs/>
          <w:sz w:val="32"/>
          <w:szCs w:val="32"/>
        </w:rPr>
        <w:t>其他科学技术</w:t>
      </w:r>
      <w:r>
        <w:rPr>
          <w:rStyle w:val="18"/>
          <w:rFonts w:hint="eastAsia" w:ascii="仿宋" w:hAnsi="仿宋" w:eastAsia="仿宋"/>
          <w:b w:val="0"/>
          <w:bCs/>
          <w:sz w:val="32"/>
          <w:szCs w:val="32"/>
        </w:rPr>
        <w:t>管理</w:t>
      </w:r>
      <w:r>
        <w:rPr>
          <w:rStyle w:val="18"/>
          <w:rFonts w:ascii="仿宋" w:hAnsi="仿宋" w:eastAsia="仿宋"/>
          <w:b w:val="0"/>
          <w:bCs/>
          <w:sz w:val="32"/>
          <w:szCs w:val="32"/>
        </w:rPr>
        <w:t>事务支出（</w:t>
      </w:r>
      <w:r>
        <w:rPr>
          <w:rStyle w:val="18"/>
          <w:rFonts w:hint="eastAsia" w:ascii="仿宋" w:hAnsi="仿宋" w:eastAsia="仿宋"/>
          <w:b w:val="0"/>
          <w:bCs/>
          <w:sz w:val="32"/>
          <w:szCs w:val="32"/>
        </w:rPr>
        <w:t>项</w:t>
      </w:r>
      <w:r>
        <w:rPr>
          <w:rStyle w:val="18"/>
          <w:rFonts w:ascii="仿宋" w:hAnsi="仿宋" w:eastAsia="仿宋"/>
          <w:b w:val="0"/>
          <w:bCs/>
          <w:sz w:val="32"/>
          <w:szCs w:val="32"/>
        </w:rPr>
        <w:t>）</w:t>
      </w:r>
      <w:r>
        <w:rPr>
          <w:rStyle w:val="18"/>
          <w:rFonts w:hint="eastAsia" w:ascii="仿宋" w:hAnsi="仿宋" w:eastAsia="仿宋"/>
          <w:b w:val="0"/>
          <w:bCs/>
          <w:sz w:val="32"/>
          <w:szCs w:val="32"/>
        </w:rPr>
        <w:t>支出</w:t>
      </w:r>
      <w:r>
        <w:rPr>
          <w:rStyle w:val="18"/>
          <w:rFonts w:ascii="仿宋" w:hAnsi="仿宋" w:eastAsia="仿宋"/>
          <w:b w:val="0"/>
          <w:bCs/>
          <w:sz w:val="32"/>
          <w:szCs w:val="32"/>
        </w:rPr>
        <w:t>决算为</w:t>
      </w:r>
      <w:r>
        <w:rPr>
          <w:rStyle w:val="18"/>
          <w:rFonts w:hint="eastAsia" w:ascii="仿宋" w:hAnsi="仿宋" w:eastAsia="仿宋"/>
          <w:b w:val="0"/>
          <w:bCs/>
          <w:sz w:val="32"/>
          <w:szCs w:val="32"/>
        </w:rPr>
        <w:t>0.47万元</w:t>
      </w:r>
      <w:r>
        <w:rPr>
          <w:rStyle w:val="18"/>
          <w:rFonts w:ascii="仿宋" w:hAnsi="仿宋" w:eastAsia="仿宋"/>
          <w:b w:val="0"/>
          <w:bCs/>
          <w:sz w:val="32"/>
          <w:szCs w:val="32"/>
        </w:rPr>
        <w:t>，完成预算</w:t>
      </w:r>
      <w:r>
        <w:rPr>
          <w:rStyle w:val="18"/>
          <w:rFonts w:hint="eastAsia" w:ascii="仿宋" w:hAnsi="仿宋" w:eastAsia="仿宋"/>
          <w:b w:val="0"/>
          <w:bCs/>
          <w:sz w:val="32"/>
          <w:szCs w:val="32"/>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8"/>
          <w:rFonts w:ascii="仿宋" w:hAnsi="仿宋" w:eastAsia="仿宋"/>
          <w:bCs/>
          <w:sz w:val="32"/>
          <w:szCs w:val="32"/>
        </w:rPr>
        <w:t>2.</w:t>
      </w:r>
      <w:r>
        <w:rPr>
          <w:rStyle w:val="18"/>
          <w:rFonts w:hint="eastAsia" w:ascii="仿宋" w:hAnsi="仿宋" w:eastAsia="仿宋"/>
          <w:bCs/>
          <w:sz w:val="32"/>
          <w:szCs w:val="32"/>
        </w:rPr>
        <w:t xml:space="preserve"> 科学技术支出（类）科学技术普及（款）科普活动（项）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0.99</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Style w:val="18"/>
          <w:rFonts w:hint="eastAsia" w:ascii="仿宋" w:hAnsi="仿宋" w:eastAsia="仿宋"/>
          <w:bCs/>
          <w:sz w:val="32"/>
          <w:szCs w:val="32"/>
        </w:rPr>
        <w:t>其他</w:t>
      </w:r>
      <w:r>
        <w:rPr>
          <w:rStyle w:val="18"/>
          <w:rFonts w:ascii="仿宋" w:hAnsi="仿宋" w:eastAsia="仿宋"/>
          <w:bCs/>
          <w:sz w:val="32"/>
          <w:szCs w:val="32"/>
        </w:rPr>
        <w:t>科学技术</w:t>
      </w:r>
      <w:r>
        <w:rPr>
          <w:rStyle w:val="18"/>
          <w:rFonts w:hint="eastAsia" w:ascii="仿宋" w:hAnsi="仿宋" w:eastAsia="仿宋"/>
          <w:bCs/>
          <w:sz w:val="32"/>
          <w:szCs w:val="32"/>
        </w:rPr>
        <w:t>普及</w:t>
      </w:r>
      <w:r>
        <w:rPr>
          <w:rStyle w:val="18"/>
          <w:rFonts w:ascii="仿宋" w:hAnsi="仿宋" w:eastAsia="仿宋"/>
          <w:bCs/>
          <w:sz w:val="32"/>
          <w:szCs w:val="32"/>
        </w:rPr>
        <w:t>支出</w:t>
      </w:r>
      <w:r>
        <w:rPr>
          <w:rStyle w:val="18"/>
          <w:rFonts w:hint="eastAsia" w:ascii="仿宋" w:hAnsi="仿宋" w:eastAsia="仿宋"/>
          <w:bCs/>
          <w:sz w:val="32"/>
          <w:szCs w:val="32"/>
        </w:rPr>
        <w:t>（项）：</w:t>
      </w:r>
      <w:r>
        <w:rPr>
          <w:rStyle w:val="18"/>
          <w:rFonts w:hint="eastAsia" w:ascii="仿宋" w:hAnsi="仿宋" w:eastAsia="仿宋"/>
          <w:b w:val="0"/>
          <w:bCs/>
          <w:sz w:val="32"/>
          <w:szCs w:val="32"/>
        </w:rPr>
        <w:t>支出决算为</w:t>
      </w:r>
      <w:r>
        <w:rPr>
          <w:rStyle w:val="18"/>
          <w:rFonts w:ascii="仿宋" w:hAnsi="仿宋" w:eastAsia="仿宋"/>
          <w:b w:val="0"/>
          <w:bCs/>
          <w:sz w:val="32"/>
          <w:szCs w:val="32"/>
        </w:rPr>
        <w:t>18.96</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59.4</w:t>
      </w:r>
      <w:r>
        <w:rPr>
          <w:rStyle w:val="18"/>
          <w:rFonts w:ascii="仿宋" w:hAnsi="仿宋" w:eastAsia="仿宋"/>
          <w:b w:val="0"/>
          <w:bCs/>
          <w:sz w:val="32"/>
          <w:szCs w:val="32"/>
        </w:rPr>
        <w:t>%</w:t>
      </w:r>
      <w:r>
        <w:rPr>
          <w:rStyle w:val="18"/>
          <w:rFonts w:hint="eastAsia" w:ascii="仿宋" w:hAnsi="仿宋" w:eastAsia="仿宋"/>
          <w:b w:val="0"/>
          <w:bCs/>
          <w:sz w:val="32"/>
          <w:szCs w:val="32"/>
        </w:rPr>
        <w:t>，</w:t>
      </w:r>
      <w:r>
        <w:rPr>
          <w:rStyle w:val="18"/>
          <w:rFonts w:hint="eastAsia" w:ascii="仿宋" w:hAnsi="仿宋" w:eastAsia="仿宋"/>
          <w:b w:val="0"/>
          <w:bCs/>
          <w:sz w:val="32"/>
          <w:szCs w:val="32"/>
          <w:highlight w:val="none"/>
        </w:rPr>
        <w:t>决算数小于预算数的主要原因是</w:t>
      </w:r>
      <w:r>
        <w:rPr>
          <w:rStyle w:val="18"/>
          <w:rFonts w:hint="eastAsia" w:ascii="仿宋" w:hAnsi="仿宋" w:eastAsia="仿宋"/>
          <w:b w:val="0"/>
          <w:bCs/>
          <w:sz w:val="32"/>
          <w:szCs w:val="32"/>
          <w:highlight w:val="none"/>
          <w:lang w:eastAsia="zh-CN"/>
        </w:rPr>
        <w:t>财政未审核支付计划</w:t>
      </w:r>
      <w:r>
        <w:rPr>
          <w:rStyle w:val="18"/>
          <w:rFonts w:hint="eastAsia" w:ascii="仿宋" w:hAnsi="仿宋" w:eastAsia="仿宋"/>
          <w:b w:val="0"/>
          <w:bCs/>
          <w:sz w:val="32"/>
          <w:szCs w:val="32"/>
          <w:highlight w:val="none"/>
        </w:rPr>
        <w:t>。</w:t>
      </w:r>
    </w:p>
    <w:p>
      <w:pPr>
        <w:spacing w:line="600" w:lineRule="exact"/>
        <w:ind w:firstLine="643" w:firstLineChars="200"/>
        <w:rPr>
          <w:rFonts w:ascii="仿宋" w:hAnsi="仿宋" w:eastAsia="仿宋"/>
          <w:b/>
          <w:bCs/>
          <w:sz w:val="32"/>
          <w:szCs w:val="32"/>
        </w:rPr>
      </w:pPr>
      <w:r>
        <w:rPr>
          <w:rStyle w:val="18"/>
          <w:rFonts w:ascii="仿宋" w:hAnsi="仿宋" w:eastAsia="仿宋"/>
          <w:bCs/>
          <w:sz w:val="32"/>
          <w:szCs w:val="32"/>
        </w:rPr>
        <w:t>3.</w:t>
      </w:r>
      <w:r>
        <w:rPr>
          <w:rStyle w:val="18"/>
          <w:rFonts w:hint="eastAsia" w:ascii="仿宋" w:hAnsi="仿宋" w:eastAsia="仿宋"/>
          <w:bCs/>
          <w:sz w:val="32"/>
          <w:szCs w:val="32"/>
        </w:rPr>
        <w:t>社会保障和就业支出（类）行政事业单位</w:t>
      </w:r>
      <w:r>
        <w:rPr>
          <w:rStyle w:val="18"/>
          <w:rFonts w:ascii="仿宋" w:hAnsi="仿宋" w:eastAsia="仿宋"/>
          <w:bCs/>
          <w:sz w:val="32"/>
          <w:szCs w:val="32"/>
        </w:rPr>
        <w:t>养老支出</w:t>
      </w:r>
      <w:r>
        <w:rPr>
          <w:rStyle w:val="18"/>
          <w:rFonts w:hint="eastAsia" w:ascii="仿宋" w:hAnsi="仿宋" w:eastAsia="仿宋"/>
          <w:bCs/>
          <w:sz w:val="32"/>
          <w:szCs w:val="32"/>
        </w:rPr>
        <w:t>（款）机关事业单位</w:t>
      </w:r>
      <w:r>
        <w:rPr>
          <w:rStyle w:val="18"/>
          <w:rFonts w:ascii="仿宋" w:hAnsi="仿宋" w:eastAsia="仿宋"/>
          <w:bCs/>
          <w:sz w:val="32"/>
          <w:szCs w:val="32"/>
        </w:rPr>
        <w:t>基本养老保险缴费支出</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ascii="仿宋" w:hAnsi="仿宋" w:eastAsia="仿宋"/>
          <w:b w:val="0"/>
          <w:bCs/>
          <w:sz w:val="32"/>
          <w:szCs w:val="32"/>
        </w:rPr>
        <w:t>3.67</w:t>
      </w:r>
      <w:r>
        <w:rPr>
          <w:rStyle w:val="18"/>
          <w:rFonts w:hint="eastAsia" w:ascii="仿宋" w:hAnsi="仿宋" w:eastAsia="仿宋"/>
          <w:b w:val="0"/>
          <w:bCs/>
          <w:sz w:val="32"/>
          <w:szCs w:val="32"/>
        </w:rPr>
        <w:t>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p>
    <w:p>
      <w:pPr>
        <w:spacing w:line="600" w:lineRule="exact"/>
        <w:ind w:firstLine="643" w:firstLineChars="200"/>
        <w:rPr>
          <w:rFonts w:hint="eastAsia" w:ascii="仿宋" w:hAnsi="仿宋" w:eastAsia="仿宋"/>
          <w:b/>
          <w:sz w:val="32"/>
          <w:szCs w:val="32"/>
        </w:rPr>
      </w:pPr>
      <w:r>
        <w:rPr>
          <w:rStyle w:val="18"/>
          <w:rFonts w:ascii="仿宋" w:hAnsi="仿宋" w:eastAsia="仿宋"/>
          <w:bCs/>
          <w:sz w:val="32"/>
          <w:szCs w:val="32"/>
        </w:rPr>
        <w:t>4.</w:t>
      </w:r>
      <w:r>
        <w:rPr>
          <w:rFonts w:hint="eastAsia" w:ascii="仿宋" w:hAnsi="仿宋" w:eastAsia="仿宋"/>
          <w:b/>
          <w:bCs/>
          <w:sz w:val="32"/>
          <w:szCs w:val="32"/>
        </w:rPr>
        <w:t>卫生健康支出</w:t>
      </w:r>
      <w:r>
        <w:rPr>
          <w:rStyle w:val="18"/>
          <w:rFonts w:hint="eastAsia" w:ascii="仿宋" w:hAnsi="仿宋" w:eastAsia="仿宋"/>
          <w:bCs/>
          <w:sz w:val="32"/>
          <w:szCs w:val="32"/>
        </w:rPr>
        <w:t>（类）行政事业单位</w:t>
      </w:r>
      <w:r>
        <w:rPr>
          <w:rStyle w:val="18"/>
          <w:rFonts w:ascii="仿宋" w:hAnsi="仿宋" w:eastAsia="仿宋"/>
          <w:bCs/>
          <w:sz w:val="32"/>
          <w:szCs w:val="32"/>
        </w:rPr>
        <w:t>医疗</w:t>
      </w:r>
      <w:r>
        <w:rPr>
          <w:rStyle w:val="18"/>
          <w:rFonts w:hint="eastAsia" w:ascii="仿宋" w:hAnsi="仿宋" w:eastAsia="仿宋"/>
          <w:bCs/>
          <w:sz w:val="32"/>
          <w:szCs w:val="32"/>
        </w:rPr>
        <w:t>（款）行政单位医疗（项）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支出决算为2.81万元，完成预算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Style w:val="18"/>
          <w:rFonts w:hint="eastAsia" w:ascii="仿宋" w:hAnsi="仿宋" w:eastAsia="仿宋"/>
          <w:bCs/>
          <w:sz w:val="32"/>
          <w:szCs w:val="32"/>
        </w:rPr>
        <w:t>公务员</w:t>
      </w:r>
      <w:r>
        <w:rPr>
          <w:rStyle w:val="18"/>
          <w:rFonts w:ascii="仿宋" w:hAnsi="仿宋" w:eastAsia="仿宋"/>
          <w:bCs/>
          <w:sz w:val="32"/>
          <w:szCs w:val="32"/>
        </w:rPr>
        <w:t>医疗补助</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hint="eastAsia" w:ascii="仿宋" w:hAnsi="仿宋" w:eastAsia="仿宋"/>
          <w:b w:val="0"/>
          <w:bCs/>
          <w:sz w:val="32"/>
          <w:szCs w:val="32"/>
        </w:rPr>
        <w:t>支出决算为0.22万元，完成预算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p>
    <w:p>
      <w:pPr>
        <w:tabs>
          <w:tab w:val="right" w:pos="8306"/>
        </w:tabs>
        <w:spacing w:line="600" w:lineRule="exact"/>
        <w:ind w:firstLine="640"/>
        <w:outlineLvl w:val="1"/>
        <w:rPr>
          <w:rStyle w:val="31"/>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34"/>
      <w:bookmarkEnd w:id="35"/>
      <w:r>
        <w:rPr>
          <w:rStyle w:val="31"/>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ascii="仿宋" w:hAnsi="仿宋" w:eastAsia="仿宋"/>
          <w:sz w:val="32"/>
          <w:szCs w:val="32"/>
        </w:rPr>
        <w:t>54.63</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51.10</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3.53</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31"/>
          <w:rFonts w:ascii="黑体" w:hAnsi="黑体" w:eastAsia="黑体"/>
          <w:b w:val="0"/>
        </w:rPr>
      </w:pPr>
      <w:bookmarkStart w:id="36" w:name="_Toc15377215"/>
      <w:bookmarkStart w:id="37" w:name="_Toc15396609"/>
      <w:r>
        <w:rPr>
          <w:rFonts w:hint="eastAsia" w:ascii="黑体" w:eastAsia="黑体"/>
          <w:sz w:val="32"/>
          <w:szCs w:val="32"/>
        </w:rPr>
        <w:t>七、</w:t>
      </w:r>
      <w:r>
        <w:rPr>
          <w:rStyle w:val="31"/>
          <w:rFonts w:hint="eastAsia" w:ascii="黑体" w:hAnsi="黑体" w:eastAsia="黑体"/>
          <w:b w:val="0"/>
        </w:rPr>
        <w:t>财政拨款</w:t>
      </w:r>
      <w:r>
        <w:rPr>
          <w:rStyle w:val="31"/>
          <w:rFonts w:hint="eastAsia" w:ascii="黑体" w:hAnsi="黑体" w:eastAsia="黑体"/>
        </w:rPr>
        <w:t>“</w:t>
      </w:r>
      <w:r>
        <w:rPr>
          <w:rStyle w:val="31"/>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ascii="仿宋" w:hAnsi="仿宋" w:eastAsia="仿宋"/>
          <w:sz w:val="32"/>
          <w:szCs w:val="32"/>
        </w:rPr>
        <w:t>0</w:t>
      </w:r>
      <w:r>
        <w:rPr>
          <w:rFonts w:hint="eastAsia" w:ascii="仿宋" w:hAnsi="仿宋" w:eastAsia="仿宋"/>
          <w:sz w:val="32"/>
          <w:szCs w:val="32"/>
        </w:rPr>
        <w:t>万元，完成预算</w:t>
      </w:r>
      <w:r>
        <w:rPr>
          <w:rFonts w:ascii="仿宋" w:hAnsi="仿宋" w:eastAsia="仿宋"/>
          <w:sz w:val="32"/>
          <w:szCs w:val="32"/>
        </w:rPr>
        <w:t>0%</w:t>
      </w:r>
      <w:r>
        <w:rPr>
          <w:rFonts w:hint="eastAsia" w:ascii="仿宋" w:hAnsi="仿宋" w:eastAsia="仿宋"/>
          <w:sz w:val="32"/>
          <w:szCs w:val="32"/>
        </w:rPr>
        <w:t>，较上年持平。</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；公务用车购置及运行维护费支出决算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；公务接待费支出决算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人。因公出国（境）支出决算与</w:t>
      </w:r>
      <w:r>
        <w:rPr>
          <w:rFonts w:ascii="仿宋_GB2312" w:eastAsia="仿宋_GB2312"/>
          <w:sz w:val="32"/>
          <w:szCs w:val="32"/>
        </w:rPr>
        <w:t>20</w:t>
      </w:r>
      <w:r>
        <w:rPr>
          <w:rFonts w:hint="eastAsia" w:ascii="仿宋_GB2312" w:eastAsia="仿宋_GB2312"/>
          <w:sz w:val="32"/>
          <w:szCs w:val="32"/>
        </w:rPr>
        <w:t>21年持平。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21年持平。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万元。全年按规定更新购置公务用车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万元，越野车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万元，载客汽车</w:t>
      </w:r>
      <w:r>
        <w:rPr>
          <w:rFonts w:ascii="仿宋_GB2312" w:eastAsia="仿宋_GB2312"/>
          <w:sz w:val="32"/>
          <w:szCs w:val="32"/>
        </w:rPr>
        <w:t>0</w:t>
      </w:r>
      <w:r>
        <w:rPr>
          <w:rFonts w:hint="eastAsia" w:ascii="仿宋_GB2312" w:eastAsia="仿宋_GB2312"/>
          <w:sz w:val="32"/>
          <w:szCs w:val="32"/>
        </w:rPr>
        <w:t>辆、金额</w:t>
      </w:r>
      <w:r>
        <w:rPr>
          <w:rFonts w:ascii="仿宋_GB2312" w:eastAsia="仿宋_GB2312"/>
          <w:sz w:val="32"/>
          <w:szCs w:val="32"/>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ascii="仿宋_GB2312" w:eastAsia="仿宋_GB2312"/>
          <w:sz w:val="32"/>
          <w:szCs w:val="32"/>
        </w:rPr>
        <w:t>0</w:t>
      </w:r>
      <w:r>
        <w:rPr>
          <w:rFonts w:hint="eastAsia" w:ascii="仿宋_GB2312" w:eastAsia="仿宋_GB2312"/>
          <w:sz w:val="32"/>
          <w:szCs w:val="32"/>
        </w:rPr>
        <w:t>辆，其中：轿车</w:t>
      </w:r>
      <w:r>
        <w:rPr>
          <w:rFonts w:ascii="仿宋_GB2312" w:eastAsia="仿宋_GB2312"/>
          <w:sz w:val="32"/>
          <w:szCs w:val="32"/>
        </w:rPr>
        <w:t>0</w:t>
      </w:r>
      <w:r>
        <w:rPr>
          <w:rFonts w:hint="eastAsia" w:ascii="仿宋_GB2312" w:eastAsia="仿宋_GB2312"/>
          <w:sz w:val="32"/>
          <w:szCs w:val="32"/>
        </w:rPr>
        <w:t>辆、越野车</w:t>
      </w:r>
      <w:r>
        <w:rPr>
          <w:rFonts w:ascii="仿宋_GB2312" w:eastAsia="仿宋_GB2312"/>
          <w:sz w:val="32"/>
          <w:szCs w:val="32"/>
        </w:rPr>
        <w:t>0</w:t>
      </w:r>
      <w:r>
        <w:rPr>
          <w:rFonts w:hint="eastAsia" w:ascii="仿宋_GB2312" w:eastAsia="仿宋_GB2312"/>
          <w:sz w:val="32"/>
          <w:szCs w:val="32"/>
        </w:rPr>
        <w:t>辆、载客汽车</w:t>
      </w:r>
      <w:r>
        <w:rPr>
          <w:rFonts w:ascii="仿宋_GB2312" w:eastAsia="仿宋_GB2312"/>
          <w:sz w:val="32"/>
          <w:szCs w:val="32"/>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_GB2312" w:eastAsia="仿宋_GB2312"/>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公务接待费支出决算与</w:t>
      </w:r>
      <w:r>
        <w:rPr>
          <w:rFonts w:ascii="仿宋_GB2312" w:eastAsia="仿宋_GB2312"/>
          <w:sz w:val="32"/>
          <w:szCs w:val="32"/>
        </w:rPr>
        <w:t>20</w:t>
      </w:r>
      <w:r>
        <w:rPr>
          <w:rFonts w:hint="eastAsia" w:ascii="仿宋_GB2312" w:eastAsia="仿宋_GB2312"/>
          <w:sz w:val="32"/>
          <w:szCs w:val="32"/>
        </w:rPr>
        <w:t>21年持平。其中：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外事接待支出0</w:t>
      </w:r>
      <w:r>
        <w:rPr>
          <w:rFonts w:hint="eastAsia" w:ascii="仿宋_GB2312" w:eastAsia="仿宋_GB2312"/>
          <w:sz w:val="32"/>
          <w:szCs w:val="32"/>
        </w:rPr>
        <w:t>万元。</w:t>
      </w:r>
      <w:bookmarkStart w:id="40" w:name="_Toc15396610"/>
      <w:bookmarkStart w:id="41" w:name="_Toc15377218"/>
    </w:p>
    <w:p>
      <w:pPr>
        <w:spacing w:line="600" w:lineRule="exact"/>
        <w:ind w:firstLine="640"/>
        <w:outlineLvl w:val="1"/>
        <w:rPr>
          <w:rStyle w:val="31"/>
          <w:rFonts w:ascii="黑体" w:hAnsi="黑体" w:eastAsia="黑体"/>
        </w:rPr>
      </w:pPr>
      <w:r>
        <w:rPr>
          <w:rFonts w:hint="eastAsia" w:ascii="黑体" w:eastAsia="黑体"/>
          <w:sz w:val="32"/>
          <w:szCs w:val="32"/>
        </w:rPr>
        <w:t>八、</w:t>
      </w:r>
      <w:r>
        <w:rPr>
          <w:rStyle w:val="31"/>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1"/>
          <w:rFonts w:ascii="黑体" w:hAnsi="黑体" w:eastAsia="黑体"/>
          <w:b w:val="0"/>
        </w:rPr>
      </w:pPr>
      <w:bookmarkStart w:id="42" w:name="_Toc15377219"/>
      <w:bookmarkStart w:id="43" w:name="_Toc15396611"/>
      <w:r>
        <w:rPr>
          <w:rStyle w:val="31"/>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1"/>
          <w:rFonts w:ascii="黑体" w:hAnsi="黑体" w:eastAsia="黑体"/>
          <w:b w:val="0"/>
        </w:rPr>
      </w:pPr>
      <w:bookmarkStart w:id="44" w:name="_Toc15377221"/>
      <w:bookmarkStart w:id="45" w:name="_Toc15396612"/>
      <w:r>
        <w:rPr>
          <w:rStyle w:val="31"/>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22年，攀枝花市西区科学技术协会机关运行经费支出</w:t>
      </w:r>
      <w:r>
        <w:rPr>
          <w:rFonts w:ascii="仿宋_GB2312" w:eastAsia="仿宋_GB2312"/>
          <w:sz w:val="32"/>
          <w:szCs w:val="32"/>
        </w:rPr>
        <w:t>3.53</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ascii="仿宋_GB2312" w:eastAsia="仿宋_GB2312"/>
          <w:sz w:val="32"/>
          <w:szCs w:val="32"/>
        </w:rPr>
        <w:t>1.62</w:t>
      </w:r>
      <w:r>
        <w:rPr>
          <w:rFonts w:hint="eastAsia" w:ascii="仿宋_GB2312" w:eastAsia="仿宋_GB2312"/>
          <w:sz w:val="32"/>
          <w:szCs w:val="32"/>
        </w:rPr>
        <w:t>万元，下降</w:t>
      </w:r>
      <w:r>
        <w:rPr>
          <w:rFonts w:ascii="仿宋_GB2312" w:eastAsia="仿宋_GB2312"/>
          <w:sz w:val="32"/>
          <w:szCs w:val="32"/>
        </w:rPr>
        <w:t>31.46%</w:t>
      </w:r>
      <w:r>
        <w:rPr>
          <w:rFonts w:hint="eastAsia" w:ascii="仿宋_GB2312" w:eastAsia="仿宋_GB2312"/>
          <w:sz w:val="32"/>
          <w:szCs w:val="32"/>
        </w:rPr>
        <w:t>。主要原因是财政</w:t>
      </w:r>
      <w:r>
        <w:rPr>
          <w:rFonts w:ascii="仿宋_GB2312" w:eastAsia="仿宋_GB2312"/>
          <w:sz w:val="32"/>
          <w:szCs w:val="32"/>
        </w:rPr>
        <w:t>审核金额减少</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22年，攀枝花市西区科学技术协会政府采购支出总额</w:t>
      </w:r>
      <w:r>
        <w:rPr>
          <w:rFonts w:ascii="仿宋_GB2312" w:eastAsia="仿宋_GB2312"/>
          <w:sz w:val="32"/>
          <w:szCs w:val="32"/>
        </w:rPr>
        <w:t>0</w:t>
      </w:r>
      <w:r>
        <w:rPr>
          <w:rFonts w:hint="eastAsia" w:ascii="仿宋_GB2312" w:eastAsia="仿宋_GB2312"/>
          <w:sz w:val="32"/>
          <w:szCs w:val="32"/>
        </w:rPr>
        <w:t>万元，其中：政府采购货物支出</w:t>
      </w:r>
      <w:r>
        <w:rPr>
          <w:rFonts w:ascii="仿宋_GB2312" w:eastAsia="仿宋_GB2312"/>
          <w:sz w:val="32"/>
          <w:szCs w:val="32"/>
        </w:rPr>
        <w:t>0</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日，攀枝花市西区科学技术协会共有车辆</w:t>
      </w:r>
      <w:r>
        <w:rPr>
          <w:rFonts w:ascii="仿宋_GB2312" w:eastAsia="仿宋_GB2312"/>
          <w:sz w:val="32"/>
          <w:szCs w:val="32"/>
        </w:rPr>
        <w:t>0</w:t>
      </w:r>
      <w:r>
        <w:rPr>
          <w:rFonts w:hint="eastAsia" w:ascii="仿宋_GB2312" w:eastAsia="仿宋_GB2312"/>
          <w:sz w:val="32"/>
          <w:szCs w:val="32"/>
        </w:rPr>
        <w:t>辆，其中：主要领导干部用车</w:t>
      </w:r>
      <w:r>
        <w:rPr>
          <w:rFonts w:ascii="仿宋_GB2312" w:eastAsia="仿宋_GB2312"/>
          <w:sz w:val="32"/>
          <w:szCs w:val="32"/>
        </w:rPr>
        <w:t>0</w:t>
      </w:r>
      <w:r>
        <w:rPr>
          <w:rFonts w:hint="eastAsia" w:ascii="仿宋_GB2312" w:eastAsia="仿宋_GB2312"/>
          <w:sz w:val="32"/>
          <w:szCs w:val="32"/>
        </w:rPr>
        <w:t>辆、机要通信用车</w:t>
      </w:r>
      <w:r>
        <w:rPr>
          <w:rFonts w:ascii="仿宋_GB2312" w:eastAsia="仿宋_GB2312"/>
          <w:sz w:val="32"/>
          <w:szCs w:val="32"/>
        </w:rPr>
        <w:t>0</w:t>
      </w:r>
      <w:r>
        <w:rPr>
          <w:rFonts w:hint="eastAsia" w:ascii="仿宋_GB2312" w:eastAsia="仿宋_GB2312"/>
          <w:sz w:val="32"/>
          <w:szCs w:val="32"/>
        </w:rPr>
        <w:t>辆、应急保障用车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科普经费项目、全民科学素质行动计划项目、天府科技云运维项目3个项目开展了预算事前绩效评估，对3个项目编制了绩效目标，预算执行过程中，选取3个项目开展绩效监控。</w:t>
      </w:r>
    </w:p>
    <w:p>
      <w:pPr>
        <w:numPr>
          <w:ilvl w:val="0"/>
          <w:numId w:val="4"/>
        </w:numPr>
        <w:spacing w:line="600" w:lineRule="exact"/>
        <w:ind w:firstLine="660" w:firstLineChars="150"/>
        <w:jc w:val="center"/>
        <w:outlineLvl w:val="0"/>
        <w:rPr>
          <w:rStyle w:val="30"/>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30"/>
          <w:rFonts w:hint="eastAsia" w:ascii="黑体" w:hAnsi="黑体" w:eastAsia="黑体"/>
          <w:b w:val="0"/>
        </w:rPr>
        <w:t>词解释</w:t>
      </w:r>
      <w:bookmarkEnd w:id="49"/>
      <w:bookmarkEnd w:id="50"/>
    </w:p>
    <w:p>
      <w:pPr>
        <w:spacing w:line="600" w:lineRule="exact"/>
        <w:jc w:val="left"/>
        <w:rPr>
          <w:rFonts w:ascii="宋体"/>
          <w:b/>
          <w:sz w:val="44"/>
          <w:szCs w:val="44"/>
        </w:rPr>
      </w:pPr>
    </w:p>
    <w:p>
      <w:pPr>
        <w:autoSpaceDE w:val="0"/>
        <w:autoSpaceDN w:val="0"/>
        <w:adjustRightInd w:val="0"/>
        <w:spacing w:line="600" w:lineRule="exact"/>
        <w:ind w:firstLine="640" w:firstLineChars="200"/>
        <w:jc w:val="both"/>
        <w:rPr>
          <w:rFonts w:ascii="仿宋_GB2312" w:eastAsia="仿宋_GB2312"/>
          <w:sz w:val="32"/>
          <w:szCs w:val="32"/>
        </w:rPr>
      </w:pPr>
      <w:bookmarkStart w:id="51"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spacing w:line="56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一般公共预算：包括公共财政拨款（补助）资金、专项收入。</w:t>
      </w:r>
    </w:p>
    <w:p>
      <w:pPr>
        <w:autoSpaceDE w:val="0"/>
        <w:autoSpaceDN w:val="0"/>
        <w:adjustRightIn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autoSpaceDE w:val="0"/>
        <w:autoSpaceDN w:val="0"/>
        <w:adjustRightIn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基本支出：包括人员经费、商品和服务支出（定额）。其中，人员经费包括工资福利支出、对个人和家庭的补助。</w:t>
      </w:r>
    </w:p>
    <w:p>
      <w:pPr>
        <w:ind w:firstLine="640" w:firstLineChars="200"/>
        <w:jc w:val="both"/>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项目支出：项目支出：指在基本支出之外为完成特定行政任务和事业发展目标所发生的支出。</w:t>
      </w:r>
      <w:r>
        <w:rPr>
          <w:rFonts w:ascii="仿宋_GB2312" w:eastAsia="仿宋_GB2312"/>
          <w:sz w:val="32"/>
          <w:szCs w:val="32"/>
        </w:rPr>
        <w:t xml:space="preserve"> </w:t>
      </w:r>
    </w:p>
    <w:p>
      <w:pPr>
        <w:pStyle w:val="28"/>
        <w:spacing w:line="56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三公</w:t>
      </w:r>
      <w:r>
        <w:rPr>
          <w:rFonts w:ascii="仿宋_GB2312" w:eastAsia="仿宋_GB2312"/>
          <w:color w:val="auto"/>
          <w:sz w:val="32"/>
          <w:szCs w:val="32"/>
        </w:rPr>
        <w:t>”</w:t>
      </w:r>
      <w:r>
        <w:rPr>
          <w:rFonts w:hint="eastAsia" w:ascii="仿宋_GB2312" w:eastAsia="仿宋_GB2312"/>
          <w:color w:val="auto"/>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30"/>
          <w:rFonts w:hint="eastAsia" w:ascii="黑体" w:hAnsi="黑体" w:eastAsia="黑体"/>
          <w:b w:val="0"/>
        </w:rPr>
      </w:pPr>
      <w:r>
        <w:rPr>
          <w:rFonts w:hint="eastAsia" w:ascii="仿宋_GB2312" w:eastAsia="仿宋_GB2312"/>
          <w:color w:val="auto"/>
          <w:sz w:val="32"/>
          <w:szCs w:val="32"/>
        </w:rPr>
        <w:t>7</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b/>
          <w:sz w:val="44"/>
          <w:szCs w:val="44"/>
        </w:rPr>
        <w:br w:type="page"/>
      </w:r>
      <w:bookmarkStart w:id="52" w:name="_Toc15396614"/>
      <w:r>
        <w:rPr>
          <w:rFonts w:hint="eastAsia" w:ascii="黑体" w:hAnsi="黑体" w:eastAsia="黑体"/>
          <w:sz w:val="44"/>
          <w:szCs w:val="44"/>
        </w:rPr>
        <w:t>第</w:t>
      </w:r>
      <w:r>
        <w:rPr>
          <w:rStyle w:val="30"/>
          <w:rFonts w:hint="eastAsia" w:ascii="黑体" w:hAnsi="黑体" w:eastAsia="黑体"/>
          <w:b w:val="0"/>
        </w:rPr>
        <w:t>四部分 附件</w:t>
      </w:r>
      <w:bookmarkEnd w:id="52"/>
    </w:p>
    <w:p>
      <w:pPr>
        <w:pStyle w:val="2"/>
      </w:pPr>
    </w:p>
    <w:p>
      <w:pPr>
        <w:spacing w:line="572" w:lineRule="exact"/>
        <w:jc w:val="left"/>
        <w:outlineLvl w:val="0"/>
        <w:rPr>
          <w:rFonts w:ascii="仿宋_GB2312" w:hAnsi="仿宋_GB2312" w:eastAsia="仿宋_GB2312" w:cs="仿宋_GB2312"/>
          <w:sz w:val="32"/>
          <w:szCs w:val="32"/>
          <w:shd w:val="clear" w:color="auto" w:fill="FFFFFF"/>
        </w:rPr>
      </w:pPr>
      <w:r>
        <w:rPr>
          <w:rFonts w:hint="eastAsia" w:ascii="黑体" w:hAnsi="黑体" w:eastAsia="黑体" w:cs="黑体"/>
          <w:sz w:val="32"/>
          <w:szCs w:val="32"/>
        </w:rPr>
        <w:t>附件</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spacing w:line="572" w:lineRule="exact"/>
        <w:jc w:val="center"/>
        <w:rPr>
          <w:rFonts w:hint="eastAsia" w:ascii="方正小标宋_GBK" w:hAnsi="宋体" w:eastAsia="方正小标宋_GBK"/>
          <w:kern w:val="0"/>
          <w:sz w:val="44"/>
          <w:szCs w:val="44"/>
          <w:lang w:eastAsia="zh-CN"/>
        </w:rPr>
      </w:pPr>
      <w:bookmarkStart w:id="53" w:name="_Toc15396618"/>
      <w:r>
        <w:rPr>
          <w:rFonts w:hint="eastAsia" w:ascii="方正小标宋_GBK" w:hAnsi="宋体" w:eastAsia="方正小标宋_GBK"/>
          <w:kern w:val="0"/>
          <w:sz w:val="44"/>
          <w:szCs w:val="44"/>
        </w:rPr>
        <w:t>202</w:t>
      </w:r>
      <w:r>
        <w:rPr>
          <w:rFonts w:hint="eastAsia" w:ascii="方正小标宋_GBK" w:hAnsi="宋体" w:eastAsia="方正小标宋_GBK"/>
          <w:kern w:val="0"/>
          <w:sz w:val="44"/>
          <w:szCs w:val="44"/>
          <w:lang w:val="en-US" w:eastAsia="zh-CN"/>
        </w:rPr>
        <w:t>2</w:t>
      </w:r>
      <w:r>
        <w:rPr>
          <w:rFonts w:hint="eastAsia" w:ascii="方正小标宋_GBK" w:hAnsi="宋体" w:eastAsia="方正小标宋_GBK"/>
          <w:kern w:val="0"/>
          <w:sz w:val="44"/>
          <w:szCs w:val="44"/>
        </w:rPr>
        <w:t>年攀枝花市西区</w:t>
      </w:r>
      <w:r>
        <w:rPr>
          <w:rFonts w:hint="eastAsia" w:ascii="方正小标宋_GBK" w:hAnsi="宋体" w:eastAsia="方正小标宋_GBK"/>
          <w:kern w:val="0"/>
          <w:sz w:val="44"/>
          <w:szCs w:val="44"/>
          <w:lang w:eastAsia="zh-CN"/>
        </w:rPr>
        <w:t>科学技术协会</w:t>
      </w:r>
    </w:p>
    <w:p>
      <w:pPr>
        <w:spacing w:line="572" w:lineRule="exact"/>
        <w:jc w:val="center"/>
        <w:rPr>
          <w:rFonts w:ascii="方正小标宋_GBK" w:hAnsi="宋体" w:eastAsia="方正小标宋_GBK"/>
          <w:kern w:val="0"/>
          <w:sz w:val="44"/>
          <w:szCs w:val="44"/>
          <w:lang w:val="zh-CN"/>
        </w:rPr>
      </w:pPr>
      <w:r>
        <w:rPr>
          <w:rFonts w:hint="eastAsia" w:ascii="方正小标宋_GBK" w:hAnsi="宋体" w:eastAsia="方正小标宋_GBK"/>
          <w:kern w:val="0"/>
          <w:sz w:val="44"/>
          <w:szCs w:val="44"/>
        </w:rPr>
        <w:t>整体绩效评价报告</w:t>
      </w:r>
    </w:p>
    <w:p>
      <w:pPr>
        <w:widowControl/>
        <w:adjustRightInd w:val="0"/>
        <w:snapToGrid w:val="0"/>
        <w:spacing w:line="572" w:lineRule="exact"/>
        <w:ind w:firstLine="880" w:firstLineChars="200"/>
        <w:contextualSpacing/>
        <w:jc w:val="left"/>
        <w:rPr>
          <w:rFonts w:ascii="方正小标宋_GBK" w:hAnsi="宋体" w:eastAsia="方正小标宋_GBK" w:cs="宋体"/>
          <w:kern w:val="0"/>
          <w:sz w:val="44"/>
          <w:szCs w:val="44"/>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ascii="楷体" w:hAnsi="楷体" w:eastAsia="楷体" w:cs="宋体"/>
          <w:kern w:val="0"/>
          <w:sz w:val="32"/>
          <w:szCs w:val="32"/>
          <w:shd w:val="clear" w:color="auto" w:fill="FFFFFF"/>
          <w:lang w:val="zh-CN"/>
        </w:rPr>
      </w:pPr>
      <w:r>
        <w:rPr>
          <w:rFonts w:hint="eastAsia" w:ascii="楷体" w:hAnsi="楷体" w:eastAsia="楷体" w:cs="宋体"/>
          <w:kern w:val="0"/>
          <w:sz w:val="32"/>
          <w:szCs w:val="32"/>
          <w:shd w:val="clear" w:color="auto" w:fill="FFFFFF"/>
          <w:lang w:val="zh-CN"/>
        </w:rPr>
        <w:t>（一）机构组成。</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攀枝花市西区</w:t>
      </w:r>
      <w:r>
        <w:rPr>
          <w:rFonts w:hint="eastAsia" w:ascii="仿宋_GB2312" w:eastAsia="仿宋_GB2312"/>
          <w:sz w:val="32"/>
          <w:szCs w:val="32"/>
          <w:lang w:eastAsia="zh-CN"/>
        </w:rPr>
        <w:t>科协</w:t>
      </w:r>
      <w:r>
        <w:rPr>
          <w:rFonts w:hint="eastAsia" w:ascii="仿宋_GB2312" w:eastAsia="仿宋_GB2312"/>
          <w:sz w:val="32"/>
          <w:szCs w:val="32"/>
        </w:rPr>
        <w:t>机关设办公室</w:t>
      </w:r>
      <w:r>
        <w:rPr>
          <w:rFonts w:hint="eastAsia" w:ascii="仿宋_GB2312" w:eastAsia="仿宋_GB2312"/>
          <w:sz w:val="32"/>
          <w:szCs w:val="32"/>
          <w:lang w:val="en-US" w:eastAsia="zh-CN"/>
        </w:rPr>
        <w:t>1</w:t>
      </w:r>
      <w:r>
        <w:rPr>
          <w:rFonts w:hint="eastAsia" w:ascii="仿宋_GB2312" w:eastAsia="仿宋_GB2312"/>
          <w:sz w:val="32"/>
          <w:szCs w:val="32"/>
        </w:rPr>
        <w:t>个内设机构。</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spacing w:line="353" w:lineRule="auto"/>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是密切联系科学技术工作者，宣传党的路线方针政策，反映科学技术工作者的建议、意见和诉求，维护科学技术工作者的合法权益，建设科技工作者之家；二是开展学术交流，活跃学术思想，倡导学术民主，优化学术环境，促进学科发展,推进国家创新体系建设；三是组织科学技术工作者创新争先，加快科学技术成果转化应用，推动产学研深度融合；四是弘扬科学精神，普及科学知识，推广先进技术，传播科学思想和科学方法，捍卫科学尊严，提高全民科学素质；五是弘扬科学家精神，健全科学共同体的自律功能，推动建立和完善科学研究诚信监督机制，促进科学道德建设和学风建设，宣传优秀科学技术工作者，培育科学文化，践行社会主义核心价值观；六是组织科学技术工作者参与国家科技战略、规划、布局、政策、法律法规的咨询制定和国家事务的政治协商、科学决策、民主监督工作，建设中国特色高水平科技创新智库；七是组织所属学会有序承接科技评估、工程技术领域职业资格认定、技术标准研制、国家科技奖励推荐等政府委托工作；八是注重激发青少年科技兴趣，发现培养杰出青年科学家和创新团队，表彰奖励优秀科学技术工作者，举荐科学技术人才；九是开展民间国际科学技术交流活动，促进国际科学技术合作，发展同国(境)外科学技术团体和科学技术工作者的友好交往，为海外科技人才来华创新创业提供服务；十是兴办符合中国科学技术协会宗旨的社会公益性事业。</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spacing w:line="600" w:lineRule="exact"/>
        <w:ind w:firstLine="587"/>
        <w:rPr>
          <w:rFonts w:ascii="仿宋_GB2312" w:eastAsia="仿宋_GB2312"/>
          <w:lang w:val="zh-CN"/>
        </w:rPr>
      </w:pPr>
      <w:r>
        <w:rPr>
          <w:rFonts w:hint="eastAsia" w:ascii="仿宋_GB2312" w:eastAsia="仿宋_GB2312"/>
          <w:sz w:val="32"/>
          <w:szCs w:val="32"/>
        </w:rPr>
        <w:t>三定方案设行政编制</w:t>
      </w:r>
      <w:r>
        <w:rPr>
          <w:rFonts w:hint="eastAsia" w:ascii="仿宋_GB2312" w:eastAsia="仿宋_GB2312"/>
          <w:sz w:val="32"/>
          <w:szCs w:val="32"/>
          <w:lang w:val="en-US" w:eastAsia="zh-CN"/>
        </w:rPr>
        <w:t>2</w:t>
      </w:r>
      <w:r>
        <w:rPr>
          <w:rFonts w:hint="eastAsia" w:ascii="仿宋_GB2312" w:eastAsia="仿宋_GB2312"/>
          <w:sz w:val="32"/>
          <w:szCs w:val="32"/>
        </w:rPr>
        <w:t>人，本年末实有</w:t>
      </w:r>
      <w:r>
        <w:rPr>
          <w:rFonts w:hint="eastAsia" w:ascii="仿宋_GB2312" w:eastAsia="仿宋_GB2312"/>
          <w:sz w:val="32"/>
          <w:szCs w:val="32"/>
          <w:lang w:eastAsia="zh-CN"/>
        </w:rPr>
        <w:t>参公</w:t>
      </w:r>
      <w:r>
        <w:rPr>
          <w:rFonts w:hint="eastAsia" w:ascii="仿宋_GB2312" w:eastAsia="仿宋_GB2312"/>
          <w:sz w:val="32"/>
          <w:szCs w:val="32"/>
        </w:rPr>
        <w:t>人员</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_GB2312" w:eastAsia="仿宋_GB2312"/>
          <w:sz w:val="32"/>
          <w:szCs w:val="32"/>
          <w:lang w:eastAsia="zh-CN"/>
        </w:rPr>
        <w:t>辅助管理</w:t>
      </w:r>
      <w:r>
        <w:rPr>
          <w:rFonts w:hint="eastAsia" w:ascii="仿宋_GB2312" w:eastAsia="仿宋_GB2312"/>
          <w:sz w:val="32"/>
          <w:szCs w:val="32"/>
        </w:rPr>
        <w:t>1人，共计</w:t>
      </w:r>
      <w:r>
        <w:rPr>
          <w:rFonts w:hint="eastAsia" w:ascii="仿宋_GB2312" w:eastAsia="仿宋_GB2312"/>
          <w:sz w:val="32"/>
          <w:szCs w:val="32"/>
          <w:lang w:val="en-US" w:eastAsia="zh-CN"/>
        </w:rPr>
        <w:t>4</w:t>
      </w:r>
      <w:r>
        <w:rPr>
          <w:rFonts w:hint="eastAsia" w:ascii="仿宋_GB2312" w:eastAsia="仿宋_GB2312"/>
          <w:sz w:val="32"/>
          <w:szCs w:val="32"/>
        </w:rPr>
        <w:t>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widowControl/>
        <w:adjustRightInd w:val="0"/>
        <w:snapToGrid w:val="0"/>
        <w:spacing w:line="572" w:lineRule="exact"/>
        <w:ind w:firstLine="640" w:firstLineChars="200"/>
        <w:contextualSpacing/>
        <w:jc w:val="left"/>
        <w:rPr>
          <w:rFonts w:ascii="仿宋_GB2312" w:eastAsia="仿宋_GB2312"/>
          <w:sz w:val="32"/>
          <w:szCs w:val="32"/>
        </w:rPr>
      </w:pPr>
      <w:r>
        <w:rPr>
          <w:rFonts w:hint="eastAsia" w:ascii="仿宋_GB2312" w:eastAsia="仿宋_GB2312"/>
          <w:sz w:val="32"/>
          <w:szCs w:val="32"/>
        </w:rPr>
        <w:t>2021年本年收入合计</w:t>
      </w:r>
      <w:r>
        <w:rPr>
          <w:rFonts w:ascii="仿宋" w:hAnsi="仿宋" w:eastAsia="仿宋"/>
          <w:sz w:val="32"/>
          <w:szCs w:val="32"/>
        </w:rPr>
        <w:t>75.04</w:t>
      </w:r>
      <w:r>
        <w:rPr>
          <w:rFonts w:hint="eastAsia" w:ascii="仿宋_GB2312" w:eastAsia="仿宋_GB2312"/>
          <w:sz w:val="32"/>
          <w:szCs w:val="32"/>
        </w:rPr>
        <w:t>万元，其中：</w:t>
      </w:r>
      <w:r>
        <w:rPr>
          <w:rFonts w:hint="eastAsia" w:ascii="仿宋" w:hAnsi="仿宋" w:eastAsia="仿宋"/>
          <w:sz w:val="32"/>
          <w:szCs w:val="32"/>
        </w:rPr>
        <w:t>一般公共预算财政拨款收入</w:t>
      </w:r>
      <w:r>
        <w:rPr>
          <w:rFonts w:ascii="仿宋" w:hAnsi="仿宋" w:eastAsia="仿宋"/>
          <w:sz w:val="32"/>
          <w:szCs w:val="32"/>
        </w:rPr>
        <w:t>72.71</w:t>
      </w:r>
      <w:r>
        <w:rPr>
          <w:rFonts w:hint="eastAsia" w:ascii="仿宋" w:hAnsi="仿宋" w:eastAsia="仿宋"/>
          <w:sz w:val="32"/>
          <w:szCs w:val="32"/>
        </w:rPr>
        <w:t>万元，占</w:t>
      </w:r>
      <w:r>
        <w:rPr>
          <w:rFonts w:ascii="仿宋" w:hAnsi="仿宋" w:eastAsia="仿宋"/>
          <w:sz w:val="32"/>
          <w:szCs w:val="32"/>
        </w:rPr>
        <w:t>96.89%</w:t>
      </w:r>
      <w:r>
        <w:rPr>
          <w:rFonts w:hint="eastAsia" w:ascii="仿宋" w:hAnsi="仿宋" w:eastAsia="仿宋"/>
          <w:sz w:val="32"/>
          <w:szCs w:val="32"/>
        </w:rPr>
        <w:t>；政府性基金预算财政拨款收入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2.33万元，占3.1%</w:t>
      </w:r>
      <w:r>
        <w:rPr>
          <w:rFonts w:hint="eastAsia" w:ascii="仿宋_GB2312" w:eastAsia="仿宋_GB2312"/>
          <w:sz w:val="32"/>
          <w:szCs w:val="32"/>
        </w:rPr>
        <w:t xml:space="preserve">。  </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spacing w:line="600" w:lineRule="exact"/>
        <w:ind w:firstLine="640" w:firstLineChars="200"/>
        <w:outlineLvl w:val="1"/>
        <w:rPr>
          <w:rFonts w:ascii="仿宋_GB2312" w:eastAsia="仿宋_GB2312"/>
          <w:sz w:val="32"/>
          <w:szCs w:val="32"/>
        </w:rPr>
      </w:pPr>
      <w:r>
        <w:rPr>
          <w:rFonts w:hint="eastAsia" w:ascii="仿宋_GB2312" w:eastAsia="仿宋_GB2312"/>
          <w:sz w:val="32"/>
          <w:szCs w:val="32"/>
        </w:rPr>
        <w:t>2021年本年支出合计</w:t>
      </w:r>
      <w:r>
        <w:rPr>
          <w:rFonts w:hint="eastAsia" w:ascii="仿宋_GB2312" w:eastAsia="仿宋_GB2312"/>
          <w:sz w:val="32"/>
          <w:szCs w:val="32"/>
          <w:lang w:val="en-US" w:eastAsia="zh-CN"/>
        </w:rPr>
        <w:t>75.04</w:t>
      </w:r>
      <w:r>
        <w:rPr>
          <w:rFonts w:hint="eastAsia" w:ascii="仿宋_GB2312" w:eastAsia="仿宋_GB2312"/>
          <w:sz w:val="32"/>
          <w:szCs w:val="32"/>
        </w:rPr>
        <w:t>万元，其中：</w:t>
      </w:r>
      <w:r>
        <w:rPr>
          <w:rFonts w:hint="eastAsia" w:ascii="仿宋" w:hAnsi="仿宋" w:eastAsia="仿宋"/>
          <w:sz w:val="32"/>
          <w:szCs w:val="32"/>
        </w:rPr>
        <w:t>基本支出</w:t>
      </w:r>
      <w:r>
        <w:rPr>
          <w:rFonts w:ascii="仿宋" w:hAnsi="仿宋" w:eastAsia="仿宋"/>
          <w:sz w:val="32"/>
          <w:szCs w:val="32"/>
        </w:rPr>
        <w:t>54.63</w:t>
      </w:r>
      <w:r>
        <w:rPr>
          <w:rFonts w:hint="eastAsia" w:ascii="仿宋" w:hAnsi="仿宋" w:eastAsia="仿宋"/>
          <w:sz w:val="32"/>
          <w:szCs w:val="32"/>
        </w:rPr>
        <w:t>万元，占</w:t>
      </w:r>
      <w:r>
        <w:rPr>
          <w:rFonts w:ascii="仿宋" w:hAnsi="仿宋" w:eastAsia="仿宋"/>
          <w:sz w:val="32"/>
          <w:szCs w:val="32"/>
        </w:rPr>
        <w:t>72.80%</w:t>
      </w:r>
      <w:r>
        <w:rPr>
          <w:rFonts w:hint="eastAsia" w:ascii="仿宋" w:hAnsi="仿宋" w:eastAsia="仿宋"/>
          <w:sz w:val="32"/>
          <w:szCs w:val="32"/>
        </w:rPr>
        <w:t>；项目支出</w:t>
      </w:r>
      <w:r>
        <w:rPr>
          <w:rFonts w:ascii="仿宋" w:hAnsi="仿宋" w:eastAsia="仿宋"/>
          <w:sz w:val="32"/>
          <w:szCs w:val="32"/>
        </w:rPr>
        <w:t>20.42</w:t>
      </w:r>
      <w:r>
        <w:rPr>
          <w:rFonts w:hint="eastAsia" w:ascii="仿宋" w:hAnsi="仿宋" w:eastAsia="仿宋"/>
          <w:sz w:val="32"/>
          <w:szCs w:val="32"/>
        </w:rPr>
        <w:t>万元，占</w:t>
      </w:r>
      <w:r>
        <w:rPr>
          <w:rFonts w:ascii="仿宋" w:hAnsi="仿宋" w:eastAsia="仿宋"/>
          <w:sz w:val="32"/>
          <w:szCs w:val="32"/>
        </w:rPr>
        <w:t>27.21%</w:t>
      </w:r>
      <w:r>
        <w:rPr>
          <w:rFonts w:hint="eastAsia" w:ascii="仿宋_GB2312" w:eastAsia="仿宋_GB2312"/>
          <w:sz w:val="32"/>
          <w:szCs w:val="32"/>
        </w:rPr>
        <w:t>。</w:t>
      </w:r>
    </w:p>
    <w:p>
      <w:pPr>
        <w:widowControl/>
        <w:numPr>
          <w:ilvl w:val="0"/>
          <w:numId w:val="0"/>
        </w:numPr>
        <w:adjustRightInd w:val="0"/>
        <w:snapToGrid w:val="0"/>
        <w:spacing w:line="572" w:lineRule="exact"/>
        <w:ind w:left="640" w:leftChars="0"/>
        <w:contextualSpacing/>
        <w:jc w:val="left"/>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lang w:eastAsia="zh-CN"/>
        </w:rPr>
        <w:t>三、</w:t>
      </w:r>
      <w:r>
        <w:rPr>
          <w:rFonts w:hint="eastAsia" w:ascii="黑体" w:hAnsi="宋体" w:eastAsia="黑体" w:cs="宋体"/>
          <w:kern w:val="0"/>
          <w:sz w:val="32"/>
          <w:szCs w:val="32"/>
          <w:shd w:val="clear" w:color="auto" w:fill="FFFFFF"/>
        </w:rPr>
        <w:t>部门整体预算绩效管理情况</w:t>
      </w:r>
    </w:p>
    <w:p>
      <w:pPr>
        <w:widowControl/>
        <w:numPr>
          <w:ilvl w:val="0"/>
          <w:numId w:val="0"/>
        </w:numPr>
        <w:adjustRightInd w:val="0"/>
        <w:snapToGrid w:val="0"/>
        <w:spacing w:line="572" w:lineRule="exact"/>
        <w:ind w:left="640" w:leftChars="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pStyle w:val="9"/>
        <w:spacing w:line="60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基本支出</w:t>
      </w:r>
      <w:r>
        <w:rPr>
          <w:rFonts w:ascii="Times New Roman" w:hAnsi="Times New Roman" w:eastAsia="仿宋_GB2312"/>
          <w:sz w:val="32"/>
          <w:szCs w:val="32"/>
        </w:rPr>
        <w:t>预算绩效目标完成情况</w:t>
      </w:r>
    </w:p>
    <w:p>
      <w:pPr>
        <w:pStyle w:val="9"/>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（1）产出指标完成情况分析。包括数量指标、质量指标、时效指标和成本指标。</w:t>
      </w:r>
    </w:p>
    <w:p>
      <w:pPr>
        <w:pStyle w:val="9"/>
        <w:spacing w:line="58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根据工作时间及进度，按照单位实际情况按月及时支付人员工资、社保、公用经费等基本费用共计</w:t>
      </w:r>
      <w:r>
        <w:rPr>
          <w:rFonts w:hint="eastAsia" w:ascii="Times New Roman" w:hAnsi="Times New Roman" w:eastAsia="仿宋_GB2312"/>
          <w:sz w:val="32"/>
          <w:szCs w:val="32"/>
          <w:lang w:val="en-US" w:eastAsia="zh-CN"/>
        </w:rPr>
        <w:t>51.10</w:t>
      </w:r>
      <w:r>
        <w:rPr>
          <w:rFonts w:hint="eastAsia" w:ascii="Times New Roman" w:hAnsi="Times New Roman" w:eastAsia="仿宋_GB2312"/>
          <w:sz w:val="32"/>
          <w:szCs w:val="32"/>
        </w:rPr>
        <w:t>万元，完成进度100%，基本支出的数量、质量、时效、成本指标均达标。提高日常工作效率，保障</w:t>
      </w:r>
      <w:r>
        <w:rPr>
          <w:rFonts w:hint="eastAsia" w:ascii="Times New Roman" w:hAnsi="Times New Roman" w:eastAsia="仿宋_GB2312"/>
          <w:sz w:val="32"/>
          <w:szCs w:val="32"/>
          <w:lang w:eastAsia="zh-CN"/>
        </w:rPr>
        <w:t>科协</w:t>
      </w:r>
      <w:r>
        <w:rPr>
          <w:rFonts w:hint="eastAsia" w:ascii="Times New Roman" w:hAnsi="Times New Roman" w:eastAsia="仿宋_GB2312"/>
          <w:sz w:val="32"/>
          <w:szCs w:val="32"/>
        </w:rPr>
        <w:t>各项工作平稳运行，并不断加强预算执行管理，提升我</w:t>
      </w:r>
      <w:r>
        <w:rPr>
          <w:rFonts w:hint="eastAsia" w:ascii="Times New Roman" w:hAnsi="Times New Roman" w:eastAsia="仿宋_GB2312"/>
          <w:sz w:val="32"/>
          <w:szCs w:val="32"/>
          <w:lang w:eastAsia="zh-CN"/>
        </w:rPr>
        <w:t>单位科协</w:t>
      </w:r>
      <w:r>
        <w:rPr>
          <w:rFonts w:hint="eastAsia" w:ascii="Times New Roman" w:hAnsi="Times New Roman" w:eastAsia="仿宋_GB2312"/>
          <w:sz w:val="32"/>
          <w:szCs w:val="32"/>
        </w:rPr>
        <w:t>财务管理的科学化、精细化水平。</w:t>
      </w:r>
    </w:p>
    <w:p>
      <w:pPr>
        <w:pStyle w:val="9"/>
        <w:numPr>
          <w:ilvl w:val="0"/>
          <w:numId w:val="5"/>
        </w:num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效益指标完成情况分析。包括经济效益、社会效益、生态效益和可持续影响。</w:t>
      </w:r>
    </w:p>
    <w:p>
      <w:pPr>
        <w:pStyle w:val="9"/>
        <w:spacing w:line="588"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无</w:t>
      </w:r>
      <w:r>
        <w:rPr>
          <w:rFonts w:hint="eastAsia" w:ascii="Times New Roman" w:hAnsi="Times New Roman" w:eastAsia="仿宋_GB2312"/>
          <w:sz w:val="32"/>
          <w:szCs w:val="32"/>
          <w:lang w:eastAsia="zh-CN"/>
        </w:rPr>
        <w:t>。</w:t>
      </w:r>
    </w:p>
    <w:p>
      <w:pPr>
        <w:pStyle w:val="9"/>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（3）满意度指标完成情况分析。</w:t>
      </w:r>
    </w:p>
    <w:p>
      <w:pPr>
        <w:pStyle w:val="9"/>
        <w:spacing w:line="58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根据单位实际情况按时支付了人员工资、社保等基本支出，顺利完成满意度指标。</w:t>
      </w:r>
    </w:p>
    <w:p>
      <w:pPr>
        <w:pStyle w:val="9"/>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2.专项（项目）资金绩效目标完成情况</w:t>
      </w:r>
    </w:p>
    <w:p>
      <w:pPr>
        <w:pStyle w:val="9"/>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（1）产出指标完成情况分析。包括数量指标、质量指标、时效指标和成本指标。</w:t>
      </w:r>
    </w:p>
    <w:p>
      <w:pPr>
        <w:pStyle w:val="9"/>
        <w:spacing w:line="58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按照工作计划的顺利推进，</w:t>
      </w:r>
      <w:r>
        <w:rPr>
          <w:rFonts w:hint="eastAsia" w:ascii="Times New Roman" w:hAnsi="Times New Roman" w:eastAsia="仿宋_GB2312"/>
          <w:sz w:val="32"/>
          <w:szCs w:val="32"/>
          <w:lang w:eastAsia="zh-CN"/>
        </w:rPr>
        <w:t>开展科普宣传、科普培训</w:t>
      </w:r>
      <w:r>
        <w:rPr>
          <w:rFonts w:hint="eastAsia" w:ascii="Times New Roman" w:hAnsi="Times New Roman" w:eastAsia="仿宋_GB2312"/>
          <w:sz w:val="32"/>
          <w:szCs w:val="32"/>
        </w:rPr>
        <w:t>，提升了</w:t>
      </w:r>
      <w:r>
        <w:rPr>
          <w:rFonts w:hint="eastAsia" w:ascii="Times New Roman" w:hAnsi="Times New Roman" w:eastAsia="仿宋_GB2312"/>
          <w:sz w:val="32"/>
          <w:szCs w:val="32"/>
          <w:lang w:eastAsia="zh-CN"/>
        </w:rPr>
        <w:t>科协</w:t>
      </w:r>
      <w:r>
        <w:rPr>
          <w:rFonts w:hint="eastAsia" w:ascii="Times New Roman" w:hAnsi="Times New Roman" w:eastAsia="仿宋_GB2312"/>
          <w:sz w:val="32"/>
          <w:szCs w:val="32"/>
        </w:rPr>
        <w:t>业务效率。根据厉行节约要求，</w:t>
      </w:r>
      <w:r>
        <w:rPr>
          <w:rFonts w:hint="eastAsia" w:ascii="Times New Roman" w:hAnsi="Times New Roman" w:eastAsia="仿宋_GB2312"/>
          <w:sz w:val="32"/>
          <w:szCs w:val="32"/>
          <w:lang w:eastAsia="zh-CN"/>
        </w:rPr>
        <w:t>区科协</w:t>
      </w:r>
      <w:r>
        <w:rPr>
          <w:rFonts w:hint="eastAsia" w:ascii="Times New Roman" w:hAnsi="Times New Roman" w:eastAsia="仿宋_GB2312"/>
          <w:sz w:val="32"/>
          <w:szCs w:val="32"/>
        </w:rPr>
        <w:t>大力压缩项目经费，支付项目经费共计</w:t>
      </w:r>
      <w:r>
        <w:rPr>
          <w:rFonts w:hint="eastAsia" w:ascii="Times New Roman" w:hAnsi="Times New Roman" w:eastAsia="仿宋_GB2312"/>
          <w:sz w:val="32"/>
          <w:szCs w:val="32"/>
          <w:lang w:val="en-US" w:eastAsia="zh-CN"/>
        </w:rPr>
        <w:t>20.42</w:t>
      </w:r>
      <w:r>
        <w:rPr>
          <w:rFonts w:hint="eastAsia" w:ascii="Times New Roman" w:hAnsi="Times New Roman" w:eastAsia="仿宋_GB2312"/>
          <w:sz w:val="32"/>
          <w:szCs w:val="32"/>
        </w:rPr>
        <w:t>万元，完成进度100%。</w:t>
      </w:r>
    </w:p>
    <w:p>
      <w:pPr>
        <w:pStyle w:val="9"/>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（2）效益指标完成情况分析。包括经济效益、社会效益、生态效益和可持续影响。</w:t>
      </w:r>
    </w:p>
    <w:p>
      <w:pPr>
        <w:pStyle w:val="9"/>
        <w:spacing w:line="60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通过项目实施，保障全区</w:t>
      </w:r>
      <w:r>
        <w:rPr>
          <w:rFonts w:hint="eastAsia" w:ascii="Times New Roman" w:hAnsi="Times New Roman" w:eastAsia="仿宋_GB2312"/>
          <w:sz w:val="32"/>
          <w:szCs w:val="32"/>
          <w:lang w:eastAsia="zh-CN"/>
        </w:rPr>
        <w:t>科普工作</w:t>
      </w:r>
      <w:r>
        <w:rPr>
          <w:rFonts w:hint="eastAsia" w:ascii="Times New Roman" w:hAnsi="Times New Roman" w:eastAsia="仿宋_GB2312"/>
          <w:sz w:val="32"/>
          <w:szCs w:val="32"/>
        </w:rPr>
        <w:t>正常运行，确保</w:t>
      </w:r>
      <w:r>
        <w:rPr>
          <w:rFonts w:hint="eastAsia" w:ascii="Times New Roman" w:hAnsi="Times New Roman" w:eastAsia="仿宋_GB2312"/>
          <w:sz w:val="32"/>
          <w:szCs w:val="32"/>
          <w:lang w:eastAsia="zh-CN"/>
        </w:rPr>
        <w:t>科协业务</w:t>
      </w:r>
      <w:r>
        <w:rPr>
          <w:rFonts w:hint="eastAsia" w:ascii="Times New Roman" w:hAnsi="Times New Roman" w:eastAsia="仿宋_GB2312"/>
          <w:sz w:val="32"/>
          <w:szCs w:val="32"/>
        </w:rPr>
        <w:t>正常运行；构建“事前绩效目标审核、事中绩效评价督察、事后绩效评估结果运用”的全过程绩效预算管理机制。</w:t>
      </w:r>
    </w:p>
    <w:p>
      <w:pPr>
        <w:pStyle w:val="9"/>
        <w:numPr>
          <w:ilvl w:val="0"/>
          <w:numId w:val="5"/>
        </w:num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满意度指标完成情况分析。</w:t>
      </w:r>
    </w:p>
    <w:p>
      <w:pPr>
        <w:pStyle w:val="9"/>
        <w:spacing w:line="588"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项目的实施，保障了</w:t>
      </w:r>
      <w:r>
        <w:rPr>
          <w:rFonts w:hint="eastAsia" w:ascii="仿宋_GB2312" w:hAnsi="仿宋_GB2312" w:eastAsia="仿宋_GB2312" w:cs="仿宋_GB2312"/>
          <w:sz w:val="32"/>
          <w:szCs w:val="32"/>
          <w:lang w:eastAsia="zh-CN"/>
        </w:rPr>
        <w:t>科协</w:t>
      </w:r>
      <w:r>
        <w:rPr>
          <w:rFonts w:hint="eastAsia" w:ascii="仿宋_GB2312" w:hAnsi="仿宋_GB2312" w:eastAsia="仿宋_GB2312" w:cs="仿宋_GB2312"/>
          <w:sz w:val="32"/>
          <w:szCs w:val="32"/>
        </w:rPr>
        <w:t>工作正常运行，保证服务对象满意度指标达标。</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eastAsia="仿宋_GB2312"/>
          <w:sz w:val="32"/>
          <w:szCs w:val="32"/>
        </w:rPr>
        <w:t>本单位严格按照相关文件，在西区人民政府网站上公开了部门绩效评价等信息。</w:t>
      </w:r>
    </w:p>
    <w:p>
      <w:pPr>
        <w:widowControl/>
        <w:numPr>
          <w:ilvl w:val="0"/>
          <w:numId w:val="6"/>
        </w:numPr>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6" w:lineRule="exact"/>
        <w:ind w:firstLine="640" w:firstLineChars="200"/>
        <w:contextualSpacing/>
        <w:jc w:val="left"/>
        <w:rPr>
          <w:rFonts w:eastAsia="仿宋_GB2312"/>
          <w:sz w:val="32"/>
          <w:szCs w:val="32"/>
        </w:rPr>
      </w:pPr>
      <w:r>
        <w:rPr>
          <w:rFonts w:hint="eastAsia" w:eastAsia="仿宋_GB2312"/>
          <w:sz w:val="32"/>
          <w:szCs w:val="32"/>
        </w:rPr>
        <w:t>按照预算绩效管理要求，本单位对整体支出进行了自查自评，并对照绩效指标评价标准进行了评分，各项指标均达标完成。</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1.本单位整体支出绩效目标实现情况。</w:t>
      </w:r>
    </w:p>
    <w:p>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全年通过</w:t>
      </w:r>
      <w:r>
        <w:rPr>
          <w:rFonts w:ascii="仿宋_GB2312" w:hAnsi="仿宋" w:eastAsia="仿宋_GB2312"/>
          <w:sz w:val="32"/>
          <w:szCs w:val="32"/>
        </w:rPr>
        <w:t>加强预算收支管理，健全内部管理制度，严格内部管理流程，部门整体支出</w:t>
      </w:r>
      <w:r>
        <w:rPr>
          <w:rFonts w:hint="eastAsia" w:ascii="仿宋_GB2312" w:hAnsi="仿宋" w:eastAsia="仿宋_GB2312"/>
          <w:sz w:val="32"/>
          <w:szCs w:val="32"/>
        </w:rPr>
        <w:t>控制在预算范围内，财务收支平衡，有效保障了单位各项工作有序开展。</w:t>
      </w:r>
    </w:p>
    <w:p>
      <w:pPr>
        <w:snapToGrid w:val="0"/>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2.项目绩效目标完成情况。</w:t>
      </w:r>
    </w:p>
    <w:p>
      <w:pPr>
        <w:snapToGrid w:val="0"/>
        <w:spacing w:line="588" w:lineRule="exact"/>
        <w:ind w:firstLine="640" w:firstLineChars="200"/>
        <w:rPr>
          <w:lang w:val="zh-CN"/>
        </w:rPr>
      </w:pPr>
      <w:r>
        <w:rPr>
          <w:rFonts w:hint="eastAsia" w:ascii="仿宋_GB2312" w:hAnsi="仿宋" w:eastAsia="仿宋_GB2312"/>
          <w:sz w:val="32"/>
          <w:szCs w:val="32"/>
        </w:rPr>
        <w:t>全年各项目按照工作计划顺利推进，数量、质量、时效、社会效益和服务对象满意度指标均达标。随着功能科目细化，直接支付业务增加，继续加强完善支付流程，保障全区预算单位财政资金正常、规范、有序支付。</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pStyle w:val="6"/>
        <w:spacing w:before="93"/>
        <w:ind w:firstLine="640" w:firstLineChars="200"/>
        <w:rPr>
          <w:lang w:val="zh-CN"/>
        </w:rPr>
      </w:pPr>
      <w:r>
        <w:rPr>
          <w:rFonts w:hint="eastAsia" w:hAnsi="宋体" w:cs="宋体"/>
          <w:sz w:val="32"/>
          <w:szCs w:val="32"/>
          <w:shd w:val="clear" w:color="auto" w:fill="FFFFFF"/>
          <w:lang w:val="zh-CN"/>
        </w:rPr>
        <w:t>无</w:t>
      </w:r>
    </w:p>
    <w:p>
      <w:pPr>
        <w:widowControl/>
        <w:adjustRightInd w:val="0"/>
        <w:snapToGrid w:val="0"/>
        <w:spacing w:line="576"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pStyle w:val="6"/>
        <w:spacing w:before="93"/>
        <w:ind w:firstLine="640" w:firstLineChars="200"/>
        <w:rPr>
          <w:rFonts w:hint="eastAsia" w:hAnsi="仿宋"/>
          <w:sz w:val="32"/>
          <w:szCs w:val="32"/>
        </w:rPr>
      </w:pPr>
      <w:r>
        <w:rPr>
          <w:rFonts w:hint="eastAsia" w:hAnsi="仿宋"/>
          <w:sz w:val="32"/>
          <w:szCs w:val="32"/>
        </w:rPr>
        <w:t>本单位无偏离绩效目标的情况，不存在改进建议。</w:t>
      </w:r>
    </w:p>
    <w:p>
      <w:pPr>
        <w:widowControl/>
        <w:ind w:firstLine="643" w:firstLineChars="200"/>
        <w:jc w:val="left"/>
        <w:rPr>
          <w:rFonts w:ascii="仿宋_GB2312" w:eastAsia="仿宋_GB2312"/>
          <w:b/>
          <w:sz w:val="32"/>
          <w:szCs w:val="32"/>
        </w:rPr>
      </w:pPr>
      <w:r>
        <w:rPr>
          <w:rFonts w:ascii="仿宋_GB2312" w:eastAsia="仿宋_GB2312"/>
          <w:b/>
          <w:sz w:val="32"/>
          <w:szCs w:val="32"/>
        </w:rPr>
        <w:br w:type="page"/>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en-US" w:eastAsia="zh-CN"/>
        </w:rPr>
        <w:t>2022年</w:t>
      </w:r>
      <w:r>
        <w:rPr>
          <w:rFonts w:hint="eastAsia" w:ascii="方正小标宋简体" w:hAnsi="方正小标宋简体" w:eastAsia="方正小标宋简体" w:cs="方正小标宋简体"/>
          <w:sz w:val="40"/>
          <w:szCs w:val="40"/>
          <w:lang w:val="zh-CN"/>
        </w:rPr>
        <w:t>科普经费项目支出</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1．攀枝花市西区科学技术协会是该项目具体实施主体。</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2．项目立项、资金申报的依据：确保预算单位的科普宣传、科普培训等工作正常运行。</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3．资金管理办法制定情况，资金支持具体项目的条件、范围与支持方式概况：此项目资金用于完成预算单位的科普宣传工作。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4．资金分配的原则及考虑因素：资金分配用于科普宣传。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1．项目主要内容：开展科普宣传。</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2．项目应实现的具体绩效目标：开展科普宣传大于</w:t>
      </w:r>
      <w:r>
        <w:rPr>
          <w:rFonts w:hint="eastAsia" w:ascii="仿宋_GB2312" w:hAnsi="宋体" w:eastAsia="仿宋_GB2312"/>
          <w:sz w:val="32"/>
          <w:szCs w:val="32"/>
          <w:lang w:val="en-US" w:eastAsia="zh-CN"/>
        </w:rPr>
        <w:t>4次</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该项目在上年末进行预算工作时申报，年初经过人大批复，财政下达拨付经费。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该项目属于区级预算项目经费。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楷体_GB2312" w:hAnsi="宋体" w:eastAsia="楷体_GB2312"/>
          <w:sz w:val="32"/>
          <w:szCs w:val="32"/>
          <w:lang w:val="en-US" w:eastAsia="zh-CN"/>
        </w:rPr>
        <w:t>1</w:t>
      </w:r>
      <w:r>
        <w:rPr>
          <w:rFonts w:hint="eastAsia" w:ascii="仿宋_GB2312" w:hAnsi="宋体" w:eastAsia="仿宋_GB2312"/>
          <w:sz w:val="32"/>
          <w:szCs w:val="32"/>
          <w:lang w:val="zh-CN"/>
        </w:rPr>
        <w:t>万项目资金年初已经全部到位。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年内支付</w:t>
      </w:r>
      <w:r>
        <w:rPr>
          <w:rFonts w:hint="eastAsia" w:ascii="仿宋_GB2312" w:hAnsi="宋体" w:eastAsia="仿宋_GB2312"/>
          <w:sz w:val="32"/>
          <w:szCs w:val="32"/>
          <w:lang w:val="en-US" w:eastAsia="zh-CN"/>
        </w:rPr>
        <w:t>0.99</w:t>
      </w:r>
      <w:r>
        <w:rPr>
          <w:rFonts w:hint="eastAsia" w:ascii="仿宋_GB2312" w:hAnsi="宋体" w:eastAsia="仿宋_GB2312"/>
          <w:sz w:val="32"/>
          <w:szCs w:val="32"/>
          <w:lang w:val="zh-CN"/>
        </w:rPr>
        <w:t>万元，资金支付范围、标准、依据合法合规，与预算相符。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区科协根据单位实际情况建立健全了各项财务管理制度和约束机制，项目预算、资金拨付等严格执行财务管理制度，保证专款专用。财务人员按照相关规定进行了资金的审核、支付、核算，财务处理及时、规范。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6"/>
        <w:spacing w:before="93"/>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pPr>
        <w:pStyle w:val="6"/>
        <w:spacing w:before="93"/>
        <w:ind w:firstLine="640" w:firstLineChars="200"/>
        <w:rPr>
          <w:rFonts w:hAnsi="宋体"/>
          <w:kern w:val="2"/>
          <w:sz w:val="32"/>
          <w:szCs w:val="32"/>
          <w:lang w:val="zh-CN"/>
        </w:rPr>
      </w:pPr>
      <w:r>
        <w:rPr>
          <w:rFonts w:hint="eastAsia" w:hAnsi="宋体"/>
          <w:kern w:val="2"/>
          <w:sz w:val="32"/>
          <w:szCs w:val="32"/>
          <w:lang w:val="zh-CN"/>
        </w:rPr>
        <w:t>2.资金支付根据项目进度情况，报领导审批同意后呈报主要负责人审核并同意支付。</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项目是区科协纳入年度预算，区科协严格按照项目要求及财经法律法规等要求落实。</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1.数量指标：已按进度完成202</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年超过</w:t>
      </w:r>
      <w:r>
        <w:rPr>
          <w:rFonts w:hint="eastAsia" w:ascii="仿宋_GB2312" w:hAnsi="宋体" w:eastAsia="仿宋_GB2312"/>
          <w:sz w:val="32"/>
          <w:szCs w:val="32"/>
          <w:lang w:val="en-US" w:eastAsia="zh-CN"/>
        </w:rPr>
        <w:t>4次</w:t>
      </w:r>
      <w:r>
        <w:rPr>
          <w:rFonts w:hint="eastAsia" w:ascii="仿宋_GB2312" w:hAnsi="宋体" w:eastAsia="仿宋_GB2312"/>
          <w:sz w:val="32"/>
          <w:szCs w:val="32"/>
          <w:lang w:val="zh-CN"/>
        </w:rPr>
        <w:t>科普宣传活动。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2.质量指标：开展科普宣传，营造“爱科学</w:t>
      </w:r>
      <w:r>
        <w:rPr>
          <w:rFonts w:hint="eastAsia" w:ascii="仿宋_GB2312" w:hAnsi="宋体" w:eastAsia="仿宋_GB2312"/>
          <w:sz w:val="32"/>
          <w:szCs w:val="32"/>
          <w:lang w:val="en-US" w:eastAsia="zh-CN"/>
        </w:rPr>
        <w:t xml:space="preserve"> 讲科学</w:t>
      </w:r>
      <w:r>
        <w:rPr>
          <w:rFonts w:hint="eastAsia" w:ascii="仿宋_GB2312" w:hAnsi="宋体" w:eastAsia="仿宋_GB2312"/>
          <w:sz w:val="32"/>
          <w:szCs w:val="32"/>
          <w:lang w:val="zh-CN"/>
        </w:rPr>
        <w:t>”的社会氛围。</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3.时效指标：按时完成。</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4.成本指标：支付</w:t>
      </w:r>
      <w:r>
        <w:rPr>
          <w:rFonts w:hint="eastAsia" w:ascii="仿宋_GB2312" w:hAnsi="宋体" w:eastAsia="仿宋_GB2312"/>
          <w:sz w:val="32"/>
          <w:szCs w:val="32"/>
          <w:lang w:val="en-US" w:eastAsia="zh-CN"/>
        </w:rPr>
        <w:t>0.99</w:t>
      </w:r>
      <w:r>
        <w:rPr>
          <w:rFonts w:hint="eastAsia" w:ascii="仿宋_GB2312" w:hAnsi="宋体" w:eastAsia="仿宋_GB2312"/>
          <w:sz w:val="32"/>
          <w:szCs w:val="32"/>
          <w:lang w:val="zh-CN"/>
        </w:rPr>
        <w:t>万元，支付项目经费的</w:t>
      </w:r>
      <w:r>
        <w:rPr>
          <w:rFonts w:hint="eastAsia" w:ascii="仿宋_GB2312" w:hAnsi="宋体" w:eastAsia="仿宋_GB2312"/>
          <w:sz w:val="32"/>
          <w:szCs w:val="32"/>
          <w:lang w:val="en-US" w:eastAsia="zh-CN"/>
        </w:rPr>
        <w:t>99</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1.经济效益指标：通过软件的使用，提高了科协工作的工作效率，科学规划了指标的分配。</w:t>
      </w:r>
    </w:p>
    <w:p>
      <w:pPr>
        <w:pStyle w:val="6"/>
        <w:spacing w:before="93"/>
        <w:ind w:firstLine="640" w:firstLineChars="200"/>
        <w:rPr>
          <w:rFonts w:hAnsi="宋体"/>
          <w:kern w:val="2"/>
          <w:sz w:val="32"/>
          <w:szCs w:val="32"/>
          <w:lang w:val="zh-CN"/>
        </w:rPr>
      </w:pPr>
      <w:r>
        <w:rPr>
          <w:rFonts w:hint="eastAsia" w:hAnsi="宋体"/>
          <w:kern w:val="2"/>
          <w:sz w:val="32"/>
          <w:szCs w:val="32"/>
          <w:lang w:val="zh-CN"/>
        </w:rPr>
        <w:t>2.生态效益指标：为推进西区生态文明建设提供有力保障。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此项目全年开展科普宣传不低于</w:t>
      </w: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次，并得到了各服务对象的一致满意。</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严格控制各项支出，提高经费使用效率，保障业务目标的顺利完成，达到保稳定、保运转的工作目标。</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en-US" w:eastAsia="zh-CN"/>
        </w:rPr>
        <w:t>2023年</w:t>
      </w:r>
      <w:r>
        <w:rPr>
          <w:rFonts w:hint="eastAsia" w:ascii="方正小标宋简体" w:hAnsi="方正小标宋简体" w:eastAsia="方正小标宋简体" w:cs="方正小标宋简体"/>
          <w:sz w:val="40"/>
          <w:szCs w:val="40"/>
          <w:lang w:val="zh-CN"/>
        </w:rPr>
        <w:t>全民科学素质项目支出</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1．攀枝花市西区科学技术协会是该项目具体实施主体。</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2．项目立项、资金申报的依据：确保预算单位的科普宣传、科普培训等工作正常运行。</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3．资金管理办法制定情况，资金支持具体项目的条件、范围与支持方式概况：此项目资金用于完成预算单位的全民科学素质工作。</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4．资金分配的原则及考虑因素：资金分配用于全民科学素质工作。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1．项目主要内容：开展科普宣传。</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2．项目应实现的具体绩效目标：开展科普宣传大于</w:t>
      </w:r>
      <w:r>
        <w:rPr>
          <w:rFonts w:hint="eastAsia" w:ascii="仿宋_GB2312" w:hAnsi="宋体" w:eastAsia="仿宋_GB2312"/>
          <w:sz w:val="32"/>
          <w:szCs w:val="32"/>
          <w:lang w:val="en-US" w:eastAsia="zh-CN"/>
        </w:rPr>
        <w:t>4次</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该项目在上年末进行预算工作时申报，年初经过人大批复，财政下达拨付经费。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该项目属于区级预算项目经费。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楷体_GB2312" w:hAnsi="宋体" w:eastAsia="楷体_GB2312"/>
          <w:sz w:val="32"/>
          <w:szCs w:val="32"/>
          <w:lang w:val="en-US" w:eastAsia="zh-CN"/>
        </w:rPr>
        <w:t>0.5</w:t>
      </w:r>
      <w:r>
        <w:rPr>
          <w:rFonts w:hint="eastAsia" w:ascii="仿宋_GB2312" w:hAnsi="宋体" w:eastAsia="仿宋_GB2312"/>
          <w:sz w:val="32"/>
          <w:szCs w:val="32"/>
          <w:lang w:val="zh-CN"/>
        </w:rPr>
        <w:t>万项目资金年初已经全部到位。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年内支付</w:t>
      </w:r>
      <w:r>
        <w:rPr>
          <w:rFonts w:hint="eastAsia" w:ascii="仿宋_GB2312" w:hAnsi="宋体" w:eastAsia="仿宋_GB2312"/>
          <w:sz w:val="32"/>
          <w:szCs w:val="32"/>
          <w:lang w:val="en-US" w:eastAsia="zh-CN"/>
        </w:rPr>
        <w:t>0.5</w:t>
      </w:r>
      <w:r>
        <w:rPr>
          <w:rFonts w:hint="eastAsia" w:ascii="仿宋_GB2312" w:hAnsi="宋体" w:eastAsia="仿宋_GB2312"/>
          <w:sz w:val="32"/>
          <w:szCs w:val="32"/>
          <w:lang w:val="zh-CN"/>
        </w:rPr>
        <w:t>万元，资金支付范围、标准、依据合法合规，与预算相符。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区科协根据单位实际情况建立健全了各项财务管理制度和约束机制，项目预算、资金拨付等严格执行财务管理制度，保证专款专用。财务人员按照相关规定进行了资金的审核、支付、核算，财务处理及时、规范。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6"/>
        <w:spacing w:before="93"/>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pPr>
        <w:pStyle w:val="6"/>
        <w:spacing w:before="93"/>
        <w:ind w:firstLine="640" w:firstLineChars="200"/>
        <w:rPr>
          <w:rFonts w:hAnsi="宋体"/>
          <w:kern w:val="2"/>
          <w:sz w:val="32"/>
          <w:szCs w:val="32"/>
          <w:lang w:val="zh-CN"/>
        </w:rPr>
      </w:pPr>
      <w:r>
        <w:rPr>
          <w:rFonts w:hint="eastAsia" w:hAnsi="宋体"/>
          <w:kern w:val="2"/>
          <w:sz w:val="32"/>
          <w:szCs w:val="32"/>
          <w:lang w:val="zh-CN"/>
        </w:rPr>
        <w:t>2.资金支付根据项目进度情况，报领导审批同意后呈报主要负责人审核并同意支付。</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项目是区科协纳入年度预算，区科协严格按照项目要求及财经法律法规等要求落实。</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1.数量指标：已按进度完成202</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年超过</w:t>
      </w:r>
      <w:r>
        <w:rPr>
          <w:rFonts w:hint="eastAsia" w:ascii="仿宋_GB2312" w:hAnsi="宋体" w:eastAsia="仿宋_GB2312"/>
          <w:sz w:val="32"/>
          <w:szCs w:val="32"/>
          <w:lang w:val="en-US" w:eastAsia="zh-CN"/>
        </w:rPr>
        <w:t>4次</w:t>
      </w:r>
      <w:r>
        <w:rPr>
          <w:rFonts w:hint="eastAsia" w:ascii="仿宋_GB2312" w:hAnsi="宋体" w:eastAsia="仿宋_GB2312"/>
          <w:sz w:val="32"/>
          <w:szCs w:val="32"/>
          <w:lang w:val="zh-CN"/>
        </w:rPr>
        <w:t>科普宣传活动。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2.质量指标：开展科普宣传，提高辖区居民科学素质。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3.时效指标：按时完成。</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4.成本指标：支付</w:t>
      </w:r>
      <w:r>
        <w:rPr>
          <w:rFonts w:hint="eastAsia" w:ascii="仿宋_GB2312" w:hAnsi="宋体" w:eastAsia="仿宋_GB2312"/>
          <w:sz w:val="32"/>
          <w:szCs w:val="32"/>
          <w:lang w:val="en-US" w:eastAsia="zh-CN"/>
        </w:rPr>
        <w:t>0.5</w:t>
      </w:r>
      <w:r>
        <w:rPr>
          <w:rFonts w:hint="eastAsia" w:ascii="仿宋_GB2312" w:hAnsi="宋体" w:eastAsia="仿宋_GB2312"/>
          <w:sz w:val="32"/>
          <w:szCs w:val="32"/>
          <w:lang w:val="zh-CN"/>
        </w:rPr>
        <w:t>万元，支付项目经费的</w:t>
      </w:r>
      <w:r>
        <w:rPr>
          <w:rFonts w:hint="eastAsia" w:ascii="仿宋_GB2312" w:hAnsi="宋体" w:eastAsia="仿宋_GB2312"/>
          <w:sz w:val="32"/>
          <w:szCs w:val="32"/>
          <w:lang w:val="en-US" w:eastAsia="zh-CN"/>
        </w:rPr>
        <w:t>100</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1.经济效益指标：通过软件的使用，提高了科协工作的工作效率，科学规划了指标的分配。</w:t>
      </w:r>
    </w:p>
    <w:p>
      <w:pPr>
        <w:pStyle w:val="6"/>
        <w:spacing w:before="93"/>
        <w:ind w:firstLine="640" w:firstLineChars="200"/>
        <w:rPr>
          <w:rFonts w:hAnsi="宋体"/>
          <w:kern w:val="2"/>
          <w:sz w:val="32"/>
          <w:szCs w:val="32"/>
          <w:lang w:val="zh-CN"/>
        </w:rPr>
      </w:pPr>
      <w:r>
        <w:rPr>
          <w:rFonts w:hint="eastAsia" w:hAnsi="宋体"/>
          <w:kern w:val="2"/>
          <w:sz w:val="32"/>
          <w:szCs w:val="32"/>
          <w:lang w:val="zh-CN"/>
        </w:rPr>
        <w:t>2.生态效益指标：为推进西区生态文明建设提供有力保障。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此项目全年开展科普宣传不低于</w:t>
      </w: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次，并得到了各服务对象的一致满意。</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严格控制各项支出，提高经费使用效率，保障业务目标的顺利完成，达到保稳定、保运转的工作目标。</w:t>
      </w:r>
    </w:p>
    <w:p>
      <w:pPr>
        <w:pStyle w:val="6"/>
        <w:rPr>
          <w:rFonts w:hint="eastAsia" w:ascii="仿宋_GB2312" w:hAnsi="宋体" w:eastAsia="仿宋_GB2312"/>
          <w:sz w:val="32"/>
          <w:szCs w:val="32"/>
          <w:lang w:val="zh-CN"/>
        </w:rPr>
      </w:pP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天府科技云项目支出</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1．攀枝花市西区科学技术协会是该项目具体实施主体。</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2．项目立项、资金申报的依据：确保攀枝花市西区天府科技云服务中心工作正常运行。</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3．资金管理办法制定情况，资金支持具体项目的条件、范围与支持方式概况：此项目资金用于保障攀枝花市西区天府科技云服务中心工作正常运行。</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4．资金分配的原则及考虑因素：资金分配用于保障攀枝花市西区天府科技云服务中心工作运行。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1．项目主要内容：保障保障攀枝花市西区天府科技云服务中心正常运行。</w:t>
      </w:r>
    </w:p>
    <w:p>
      <w:pPr>
        <w:adjustRightInd w:val="0"/>
        <w:snapToGrid w:val="0"/>
        <w:spacing w:line="600" w:lineRule="exact"/>
        <w:ind w:firstLine="720"/>
        <w:rPr>
          <w:rFonts w:hint="default" w:ascii="仿宋_GB2312" w:hAnsi="宋体" w:eastAsia="仿宋_GB2312"/>
          <w:color w:val="auto"/>
          <w:sz w:val="32"/>
          <w:szCs w:val="32"/>
          <w:lang w:val="en-US"/>
        </w:rPr>
      </w:pPr>
      <w:r>
        <w:rPr>
          <w:rFonts w:hint="eastAsia" w:ascii="仿宋_GB2312" w:hAnsi="宋体" w:eastAsia="仿宋_GB2312"/>
          <w:sz w:val="32"/>
          <w:szCs w:val="32"/>
          <w:lang w:val="zh-CN"/>
        </w:rPr>
        <w:t>2．项目应实现的具体绩效目标：</w:t>
      </w:r>
      <w:r>
        <w:rPr>
          <w:rFonts w:hint="eastAsia" w:ascii="仿宋_GB2312" w:hAnsi="宋体" w:eastAsia="仿宋_GB2312"/>
          <w:color w:val="auto"/>
          <w:sz w:val="32"/>
          <w:szCs w:val="32"/>
          <w:lang w:val="zh-CN"/>
        </w:rPr>
        <w:t>开展科普宣传大于</w:t>
      </w:r>
      <w:r>
        <w:rPr>
          <w:rFonts w:hint="eastAsia" w:ascii="仿宋_GB2312" w:hAnsi="宋体" w:eastAsia="仿宋_GB2312"/>
          <w:color w:val="auto"/>
          <w:sz w:val="32"/>
          <w:szCs w:val="32"/>
          <w:lang w:val="en-US" w:eastAsia="zh-CN"/>
        </w:rPr>
        <w:t>4次，打造4个科普基地。</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按照项目支出绩效评价指标体系，针对申报内容、实施情况、资金兑现、财务管理、满意度等做出自我评价。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该项目在上年末进行预算工作时申报，年初经过人大批复，财政下达拨付经费。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该项目属于省级预算项目经费。</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楷体_GB2312" w:hAnsi="宋体" w:eastAsia="楷体_GB2312"/>
          <w:sz w:val="32"/>
          <w:szCs w:val="32"/>
          <w:lang w:val="en-US" w:eastAsia="zh-CN"/>
        </w:rPr>
        <w:t>28</w:t>
      </w:r>
      <w:r>
        <w:rPr>
          <w:rFonts w:hint="eastAsia" w:ascii="仿宋_GB2312" w:hAnsi="宋体" w:eastAsia="仿宋_GB2312"/>
          <w:sz w:val="32"/>
          <w:szCs w:val="32"/>
          <w:lang w:val="zh-CN"/>
        </w:rPr>
        <w:t>万项目资金年初已经全部到位。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该项目资金在202</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年内支付</w:t>
      </w:r>
      <w:r>
        <w:rPr>
          <w:rFonts w:hint="eastAsia" w:ascii="仿宋_GB2312" w:hAnsi="宋体" w:eastAsia="仿宋_GB2312"/>
          <w:sz w:val="32"/>
          <w:szCs w:val="32"/>
          <w:highlight w:val="none"/>
          <w:lang w:val="zh-CN"/>
        </w:rPr>
        <w:t>1</w:t>
      </w:r>
      <w:r>
        <w:rPr>
          <w:rFonts w:hint="eastAsia" w:ascii="仿宋_GB2312" w:hAnsi="宋体" w:eastAsia="仿宋_GB2312"/>
          <w:sz w:val="32"/>
          <w:szCs w:val="32"/>
          <w:highlight w:val="none"/>
          <w:lang w:val="en-US" w:eastAsia="zh-CN"/>
        </w:rPr>
        <w:t>6.63</w:t>
      </w:r>
      <w:r>
        <w:rPr>
          <w:rFonts w:hint="eastAsia" w:ascii="仿宋_GB2312" w:hAnsi="宋体" w:eastAsia="仿宋_GB2312"/>
          <w:sz w:val="32"/>
          <w:szCs w:val="32"/>
          <w:highlight w:val="none"/>
          <w:lang w:val="zh-CN"/>
        </w:rPr>
        <w:t>万元，</w:t>
      </w:r>
      <w:r>
        <w:rPr>
          <w:rFonts w:hint="eastAsia" w:ascii="仿宋_GB2312" w:hAnsi="宋体" w:eastAsia="仿宋_GB2312"/>
          <w:sz w:val="32"/>
          <w:szCs w:val="32"/>
          <w:lang w:val="zh-CN"/>
        </w:rPr>
        <w:t>资金支付范围、标准、依据合法合规，与预算相符。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区科协根据单位实际情况建立健全了各项财务管理制度和约束机制，项目预算、资金拨付等严格执行财务管理制度，保证专款专用。财务人员按照相关规定进行了资金的审核、支付、核算，财务处理及时、规范。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6"/>
        <w:spacing w:before="93"/>
        <w:ind w:firstLine="640" w:firstLineChars="200"/>
        <w:rPr>
          <w:rFonts w:hAnsi="宋体"/>
          <w:kern w:val="2"/>
          <w:sz w:val="32"/>
          <w:szCs w:val="32"/>
          <w:lang w:val="zh-CN"/>
        </w:rPr>
      </w:pPr>
      <w:r>
        <w:rPr>
          <w:rFonts w:hint="eastAsia" w:hAnsi="宋体"/>
          <w:kern w:val="2"/>
          <w:sz w:val="32"/>
          <w:szCs w:val="32"/>
          <w:lang w:val="zh-CN"/>
        </w:rPr>
        <w:t>1.根据区财政预算项目批复，下达项目经费指标，预算单位进行项目实施。</w:t>
      </w:r>
    </w:p>
    <w:p>
      <w:pPr>
        <w:pStyle w:val="6"/>
        <w:spacing w:before="93"/>
        <w:ind w:firstLine="640" w:firstLineChars="200"/>
        <w:rPr>
          <w:rFonts w:hAnsi="宋体"/>
          <w:kern w:val="2"/>
          <w:sz w:val="32"/>
          <w:szCs w:val="32"/>
          <w:lang w:val="zh-CN"/>
        </w:rPr>
      </w:pPr>
      <w:r>
        <w:rPr>
          <w:rFonts w:hint="eastAsia" w:hAnsi="宋体"/>
          <w:kern w:val="2"/>
          <w:sz w:val="32"/>
          <w:szCs w:val="32"/>
          <w:lang w:val="zh-CN"/>
        </w:rPr>
        <w:t>2.资金支付根据项目进度情况，报领导审批同意后呈报主要负责人审核并同意支付。</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项目是区科协纳入年度预算，区科协严格按照项目要求及财经法律法规等要求落实。</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项目完成情况每年要填绩效分析报告，并上报相关对口管理部门检查。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1.数量指标：已按进度完成202</w:t>
      </w:r>
      <w:r>
        <w:rPr>
          <w:rFonts w:hint="eastAsia" w:ascii="仿宋_GB2312" w:hAnsi="宋体" w:eastAsia="仿宋_GB2312"/>
          <w:sz w:val="32"/>
          <w:szCs w:val="32"/>
          <w:lang w:val="en-US" w:eastAsia="zh-CN"/>
        </w:rPr>
        <w:t>2</w:t>
      </w:r>
      <w:r>
        <w:rPr>
          <w:rFonts w:hint="eastAsia" w:ascii="仿宋_GB2312" w:hAnsi="宋体" w:eastAsia="仿宋_GB2312"/>
          <w:sz w:val="32"/>
          <w:szCs w:val="32"/>
          <w:lang w:val="zh-CN"/>
        </w:rPr>
        <w:t>年超过</w:t>
      </w:r>
      <w:r>
        <w:rPr>
          <w:rFonts w:hint="eastAsia" w:ascii="仿宋_GB2312" w:hAnsi="宋体" w:eastAsia="仿宋_GB2312"/>
          <w:sz w:val="32"/>
          <w:szCs w:val="32"/>
          <w:lang w:val="en-US" w:eastAsia="zh-CN"/>
        </w:rPr>
        <w:t>4次</w:t>
      </w:r>
      <w:r>
        <w:rPr>
          <w:rFonts w:hint="eastAsia" w:ascii="仿宋_GB2312" w:hAnsi="宋体" w:eastAsia="仿宋_GB2312"/>
          <w:sz w:val="32"/>
          <w:szCs w:val="32"/>
          <w:lang w:val="zh-CN"/>
        </w:rPr>
        <w:t>科普宣传活动，打造科普基地四个。</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2.质量指标：开展科普宣传，营造“爱科学</w:t>
      </w:r>
      <w:r>
        <w:rPr>
          <w:rFonts w:hint="eastAsia" w:ascii="仿宋_GB2312" w:hAnsi="宋体" w:eastAsia="仿宋_GB2312"/>
          <w:sz w:val="32"/>
          <w:szCs w:val="32"/>
          <w:lang w:val="en-US" w:eastAsia="zh-CN"/>
        </w:rPr>
        <w:t xml:space="preserve"> 讲科学</w:t>
      </w:r>
      <w:r>
        <w:rPr>
          <w:rFonts w:hint="eastAsia" w:ascii="仿宋_GB2312" w:hAnsi="宋体" w:eastAsia="仿宋_GB2312"/>
          <w:sz w:val="32"/>
          <w:szCs w:val="32"/>
          <w:lang w:val="zh-CN"/>
        </w:rPr>
        <w:t>”的社会氛围。</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3.时效指标：按时完成。</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4.成本指标：支付1</w:t>
      </w:r>
      <w:r>
        <w:rPr>
          <w:rFonts w:hint="eastAsia" w:ascii="仿宋_GB2312" w:hAnsi="宋体" w:eastAsia="仿宋_GB2312"/>
          <w:sz w:val="32"/>
          <w:szCs w:val="32"/>
          <w:lang w:val="en-US" w:eastAsia="zh-CN"/>
        </w:rPr>
        <w:t>6.63</w:t>
      </w:r>
      <w:r>
        <w:rPr>
          <w:rFonts w:hint="eastAsia" w:ascii="仿宋_GB2312" w:hAnsi="宋体" w:eastAsia="仿宋_GB2312"/>
          <w:sz w:val="32"/>
          <w:szCs w:val="32"/>
          <w:lang w:val="zh-CN"/>
        </w:rPr>
        <w:t>万元，支付项目经费的</w:t>
      </w:r>
      <w:r>
        <w:rPr>
          <w:rFonts w:hint="eastAsia" w:ascii="仿宋_GB2312" w:hAnsi="宋体" w:eastAsia="仿宋_GB2312"/>
          <w:sz w:val="32"/>
          <w:szCs w:val="32"/>
          <w:lang w:val="en-US" w:eastAsia="zh-CN"/>
        </w:rPr>
        <w:t>59.4</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1.经济效益指标：通过软件的使用，提高了科协工作的工作效率，科学规划了指标的分配。</w:t>
      </w:r>
    </w:p>
    <w:p>
      <w:pPr>
        <w:pStyle w:val="6"/>
        <w:spacing w:before="93"/>
        <w:ind w:firstLine="640" w:firstLineChars="200"/>
        <w:rPr>
          <w:rFonts w:hAnsi="宋体"/>
          <w:kern w:val="2"/>
          <w:sz w:val="32"/>
          <w:szCs w:val="32"/>
          <w:lang w:val="zh-CN"/>
        </w:rPr>
      </w:pPr>
      <w:r>
        <w:rPr>
          <w:rFonts w:hint="eastAsia" w:hAnsi="宋体"/>
          <w:kern w:val="2"/>
          <w:sz w:val="32"/>
          <w:szCs w:val="32"/>
          <w:lang w:val="zh-CN"/>
        </w:rPr>
        <w:t>2.生态效益指标：为推进西区生态文明建设提供有力保障。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此项目全年开展科普宣传不低于</w:t>
      </w: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次，并得到了各服务对象的一致满意。</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严格控制各项支出，提高经费使用效率，保障业务目标的顺利完成，达到保稳定、保运转的工作目标。</w:t>
      </w:r>
    </w:p>
    <w:p>
      <w:pPr>
        <w:pStyle w:val="6"/>
        <w:rPr>
          <w:rFonts w:hint="eastAsia" w:ascii="仿宋_GB2312" w:hAnsi="宋体" w:eastAsia="仿宋_GB2312"/>
          <w:sz w:val="32"/>
          <w:szCs w:val="32"/>
          <w:lang w:val="zh-CN"/>
        </w:rPr>
      </w:pPr>
    </w:p>
    <w:p>
      <w:pPr>
        <w:pStyle w:val="6"/>
        <w:rPr>
          <w:lang w:val="zh-CN"/>
        </w:rPr>
      </w:pPr>
    </w:p>
    <w:p>
      <w:pPr>
        <w:pStyle w:val="6"/>
        <w:rPr>
          <w:lang w:val="zh-CN"/>
        </w:rPr>
      </w:pPr>
    </w:p>
    <w:p>
      <w:pPr>
        <w:pStyle w:val="6"/>
        <w:rPr>
          <w:lang w:val="zh-CN"/>
        </w:rPr>
      </w:pPr>
    </w:p>
    <w:p>
      <w:pPr>
        <w:pStyle w:val="6"/>
        <w:rPr>
          <w:lang w:val="zh-CN"/>
        </w:rPr>
      </w:pPr>
    </w:p>
    <w:p>
      <w:pPr>
        <w:pStyle w:val="6"/>
        <w:rPr>
          <w:lang w:val="zh-CN"/>
        </w:rPr>
      </w:pPr>
    </w:p>
    <w:p>
      <w:pPr>
        <w:pStyle w:val="6"/>
        <w:rPr>
          <w:lang w:val="zh-CN"/>
        </w:rPr>
      </w:pPr>
    </w:p>
    <w:p>
      <w:pPr>
        <w:pStyle w:val="6"/>
        <w:rPr>
          <w:lang w:val="zh-CN"/>
        </w:rPr>
      </w:pPr>
    </w:p>
    <w:p>
      <w:pPr>
        <w:pStyle w:val="6"/>
        <w:rPr>
          <w:lang w:val="zh-CN"/>
        </w:rPr>
      </w:pPr>
    </w:p>
    <w:p>
      <w:pPr>
        <w:pStyle w:val="6"/>
        <w:rPr>
          <w:lang w:val="zh-CN"/>
        </w:rPr>
      </w:pPr>
    </w:p>
    <w:p>
      <w:pPr>
        <w:pStyle w:val="6"/>
        <w:rPr>
          <w:lang w:val="zh-CN"/>
        </w:rPr>
      </w:pPr>
    </w:p>
    <w:p>
      <w:pPr>
        <w:pStyle w:val="6"/>
        <w:rPr>
          <w:lang w:val="zh-CN"/>
        </w:rPr>
      </w:pPr>
    </w:p>
    <w:p>
      <w:pPr>
        <w:pStyle w:val="6"/>
        <w:rPr>
          <w:lang w:val="zh-CN"/>
        </w:rPr>
      </w:pPr>
    </w:p>
    <w:p>
      <w:pPr>
        <w:pStyle w:val="6"/>
        <w:rPr>
          <w:lang w:val="zh-CN"/>
        </w:rPr>
      </w:pPr>
    </w:p>
    <w:p>
      <w:pPr>
        <w:pStyle w:val="6"/>
        <w:rPr>
          <w:lang w:val="zh-CN"/>
        </w:rPr>
      </w:pPr>
    </w:p>
    <w:p>
      <w:pPr>
        <w:pStyle w:val="6"/>
        <w:rPr>
          <w:lang w:val="zh-CN"/>
        </w:rPr>
      </w:pPr>
    </w:p>
    <w:p>
      <w:pPr>
        <w:pStyle w:val="6"/>
        <w:rPr>
          <w:lang w:val="zh-CN"/>
        </w:rPr>
      </w:pPr>
    </w:p>
    <w:p>
      <w:pPr>
        <w:pStyle w:val="2"/>
      </w:pPr>
    </w:p>
    <w:p>
      <w:pPr>
        <w:pStyle w:val="2"/>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30"/>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31"/>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31"/>
          <w:rFonts w:hint="eastAsia" w:ascii="仿宋" w:hAnsi="仿宋" w:eastAsia="仿宋"/>
          <w:b w:val="0"/>
          <w:bCs w:val="0"/>
        </w:rPr>
        <w:t>入决算表</w:t>
      </w:r>
      <w:bookmarkEnd w:id="55"/>
    </w:p>
    <w:p>
      <w:pPr>
        <w:pStyle w:val="4"/>
        <w:rPr>
          <w:rFonts w:ascii="仿宋" w:hAnsi="仿宋" w:eastAsia="仿宋"/>
        </w:rPr>
      </w:pPr>
      <w:bookmarkStart w:id="56"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57"/>
    </w:p>
    <w:p>
      <w:pPr>
        <w:pStyle w:val="4"/>
        <w:rPr>
          <w:rStyle w:val="31"/>
          <w:rFonts w:ascii="仿宋" w:hAnsi="仿宋" w:eastAsia="仿宋"/>
          <w:b w:val="0"/>
          <w:bCs w:val="0"/>
        </w:rPr>
      </w:pPr>
      <w:bookmarkStart w:id="58" w:name="_Toc15396623"/>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31"/>
          <w:rFonts w:hint="eastAsia" w:ascii="仿宋" w:hAnsi="仿宋" w:eastAsia="仿宋"/>
          <w:b w:val="0"/>
          <w:bCs w:val="0"/>
        </w:rPr>
        <w:t>十、</w:t>
      </w:r>
      <w:bookmarkEnd w:id="63"/>
      <w:r>
        <w:rPr>
          <w:rFonts w:hint="eastAsia" w:ascii="仿宋" w:hAnsi="仿宋" w:eastAsia="仿宋"/>
          <w:b w:val="0"/>
        </w:rPr>
        <w:t>政</w:t>
      </w:r>
      <w:r>
        <w:rPr>
          <w:rStyle w:val="31"/>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31"/>
          <w:rFonts w:hint="eastAsia" w:ascii="仿宋" w:hAnsi="仿宋" w:eastAsia="仿宋"/>
          <w:b w:val="0"/>
          <w:bCs w:val="0"/>
        </w:rPr>
        <w:t>十一、</w:t>
      </w:r>
      <w:bookmarkEnd w:id="64"/>
      <w:r>
        <w:rPr>
          <w:rFonts w:hint="eastAsia" w:ascii="仿宋" w:hAnsi="仿宋" w:eastAsia="仿宋"/>
          <w:b w:val="0"/>
        </w:rPr>
        <w:t>国</w:t>
      </w:r>
      <w:r>
        <w:rPr>
          <w:rStyle w:val="31"/>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31"/>
          <w:rFonts w:hint="eastAsia" w:ascii="仿宋" w:hAnsi="仿宋" w:eastAsia="仿宋"/>
          <w:b w:val="0"/>
          <w:bCs w:val="0"/>
        </w:rPr>
        <w:t>十二、</w:t>
      </w:r>
      <w:bookmarkEnd w:id="65"/>
      <w:r>
        <w:rPr>
          <w:rStyle w:val="31"/>
          <w:rFonts w:hint="eastAsia" w:ascii="仿宋" w:hAnsi="仿宋" w:eastAsia="仿宋"/>
          <w:b w:val="0"/>
          <w:bCs w:val="0"/>
        </w:rPr>
        <w:t>国有资本经营预算财政拨款支出决算表</w:t>
      </w:r>
    </w:p>
    <w:p>
      <w:pPr>
        <w:pStyle w:val="4"/>
        <w:rPr>
          <w:rFonts w:eastAsia="仿宋"/>
        </w:rPr>
      </w:pPr>
      <w:bookmarkStart w:id="66" w:name="_Toc15396631"/>
      <w:r>
        <w:rPr>
          <w:rStyle w:val="31"/>
          <w:rFonts w:hint="eastAsia" w:ascii="仿宋" w:hAnsi="仿宋" w:eastAsia="仿宋"/>
          <w:b w:val="0"/>
          <w:bCs w:val="0"/>
        </w:rPr>
        <w:t>十三、</w:t>
      </w:r>
      <w:bookmarkEnd w:id="66"/>
      <w:r>
        <w:rPr>
          <w:rStyle w:val="31"/>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21</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E794925"/>
    <w:multiLevelType w:val="singleLevel"/>
    <w:tmpl w:val="3E794925"/>
    <w:lvl w:ilvl="0" w:tentative="0">
      <w:start w:val="3"/>
      <w:numFmt w:val="chineseCounting"/>
      <w:suff w:val="nothing"/>
      <w:lvlText w:val="（%1）"/>
      <w:lvlJc w:val="left"/>
      <w:rPr>
        <w:rFonts w:hint="eastAsia"/>
      </w:rPr>
    </w:lvl>
  </w:abstractNum>
  <w:abstractNum w:abstractNumId="5">
    <w:nsid w:val="45F56212"/>
    <w:multiLevelType w:val="singleLevel"/>
    <w:tmpl w:val="45F56212"/>
    <w:lvl w:ilvl="0" w:tentative="0">
      <w:start w:val="2"/>
      <w:numFmt w:val="decimal"/>
      <w:suff w:val="nothing"/>
      <w:lvlText w:val="（%1）"/>
      <w:lvlJc w:val="left"/>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iYmQwZWRkM2Y5NDNiNDY1ZTFiYWQxMWYzNjkyYTcifQ=="/>
  </w:docVars>
  <w:rsids>
    <w:rsidRoot w:val="00F1361C"/>
    <w:rsid w:val="000222C6"/>
    <w:rsid w:val="0002549F"/>
    <w:rsid w:val="000468DB"/>
    <w:rsid w:val="0006487A"/>
    <w:rsid w:val="00065F8F"/>
    <w:rsid w:val="00070A43"/>
    <w:rsid w:val="000768F2"/>
    <w:rsid w:val="0008613E"/>
    <w:rsid w:val="0009184B"/>
    <w:rsid w:val="00094236"/>
    <w:rsid w:val="0009593C"/>
    <w:rsid w:val="00097322"/>
    <w:rsid w:val="000A52B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5AC2"/>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214B"/>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5CDB"/>
    <w:rsid w:val="0066343B"/>
    <w:rsid w:val="00664777"/>
    <w:rsid w:val="0067280B"/>
    <w:rsid w:val="006748A4"/>
    <w:rsid w:val="00681A31"/>
    <w:rsid w:val="00683E73"/>
    <w:rsid w:val="006A3141"/>
    <w:rsid w:val="006A5E34"/>
    <w:rsid w:val="006B2422"/>
    <w:rsid w:val="006B2B9A"/>
    <w:rsid w:val="006B582F"/>
    <w:rsid w:val="006C1937"/>
    <w:rsid w:val="006F020C"/>
    <w:rsid w:val="007127B7"/>
    <w:rsid w:val="0071798E"/>
    <w:rsid w:val="007416B6"/>
    <w:rsid w:val="00745250"/>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846"/>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03A09"/>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2156"/>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2F1F"/>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E4907"/>
    <w:rsid w:val="00FF1E02"/>
    <w:rsid w:val="00FF30B4"/>
    <w:rsid w:val="015975B8"/>
    <w:rsid w:val="02143E91"/>
    <w:rsid w:val="030007FC"/>
    <w:rsid w:val="066E0107"/>
    <w:rsid w:val="07996F6E"/>
    <w:rsid w:val="0A2032A3"/>
    <w:rsid w:val="0F98263C"/>
    <w:rsid w:val="101860EC"/>
    <w:rsid w:val="10C055FF"/>
    <w:rsid w:val="118107EC"/>
    <w:rsid w:val="13D50BC4"/>
    <w:rsid w:val="16BB723D"/>
    <w:rsid w:val="1BE8440E"/>
    <w:rsid w:val="1CE3115E"/>
    <w:rsid w:val="1D155CEE"/>
    <w:rsid w:val="1EC7098C"/>
    <w:rsid w:val="1FF35744"/>
    <w:rsid w:val="23860B96"/>
    <w:rsid w:val="240371BF"/>
    <w:rsid w:val="24D622F0"/>
    <w:rsid w:val="29FD04D3"/>
    <w:rsid w:val="2C8A61B5"/>
    <w:rsid w:val="2DF04E50"/>
    <w:rsid w:val="2E01389D"/>
    <w:rsid w:val="2F040D46"/>
    <w:rsid w:val="319F7F4E"/>
    <w:rsid w:val="3304709D"/>
    <w:rsid w:val="35140D53"/>
    <w:rsid w:val="36AA5135"/>
    <w:rsid w:val="376D39B2"/>
    <w:rsid w:val="37E16F03"/>
    <w:rsid w:val="38D469F0"/>
    <w:rsid w:val="3D98207C"/>
    <w:rsid w:val="3E78745D"/>
    <w:rsid w:val="44E268DA"/>
    <w:rsid w:val="48094B69"/>
    <w:rsid w:val="4A627F82"/>
    <w:rsid w:val="4B0E749A"/>
    <w:rsid w:val="4B4F25DA"/>
    <w:rsid w:val="4BE068DB"/>
    <w:rsid w:val="4D264F1F"/>
    <w:rsid w:val="4D577224"/>
    <w:rsid w:val="4EAB630A"/>
    <w:rsid w:val="4ECE2238"/>
    <w:rsid w:val="537E6D0A"/>
    <w:rsid w:val="5AF92295"/>
    <w:rsid w:val="5B8D78C2"/>
    <w:rsid w:val="5CD71FC4"/>
    <w:rsid w:val="60441AFF"/>
    <w:rsid w:val="6BBD6326"/>
    <w:rsid w:val="6C4A05C8"/>
    <w:rsid w:val="6D8276B5"/>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0"/>
    <w:pPr>
      <w:ind w:firstLine="420"/>
    </w:p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r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字符"/>
    <w:link w:val="12"/>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字符"/>
    <w:link w:val="11"/>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字符"/>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字符"/>
    <w:basedOn w:val="17"/>
    <w:link w:val="3"/>
    <w:qFormat/>
    <w:uiPriority w:val="9"/>
    <w:rPr>
      <w:rFonts w:ascii="Times New Roman" w:hAnsi="Times New Roman"/>
      <w:b/>
      <w:bCs/>
      <w:kern w:val="44"/>
      <w:sz w:val="44"/>
      <w:szCs w:val="44"/>
    </w:rPr>
  </w:style>
  <w:style w:type="character" w:customStyle="1" w:styleId="31">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字符"/>
    <w:basedOn w:val="17"/>
    <w:link w:val="10"/>
    <w:semiHidden/>
    <w:qFormat/>
    <w:uiPriority w:val="99"/>
    <w:rPr>
      <w:rFonts w:ascii="Times New Roman" w:hAnsi="Times New Roman"/>
      <w:kern w:val="2"/>
      <w:sz w:val="18"/>
      <w:szCs w:val="18"/>
    </w:rPr>
  </w:style>
  <w:style w:type="character" w:customStyle="1" w:styleId="34">
    <w:name w:val="标题 3 字符"/>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0E16-BB2C-4E9F-A1C3-11C09513CB4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1172</Words>
  <Characters>6682</Characters>
  <Lines>55</Lines>
  <Paragraphs>15</Paragraphs>
  <TotalTime>23</TotalTime>
  <ScaleCrop>false</ScaleCrop>
  <LinksUpToDate>false</LinksUpToDate>
  <CharactersWithSpaces>7839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2023-10-16T08:05:00Z</dcterms:created>
  <dc:creator>曹颖</dc:creator>
  <cp:lastModifiedBy>admin</cp:lastModifiedBy>
  <cp:lastPrinted>2023-07-31T02:35:00Z</cp:lastPrinted>
  <dcterms:modified xsi:type="dcterms:W3CDTF">2023-10-30T11:20:58Z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423AE45F2EA74D15BDF760A36EB3D5FE_12</vt:lpwstr>
  </property>
</Properties>
</file>