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eastAsia="方正小标宋_GBK"/>
          <w:b/>
          <w:sz w:val="38"/>
          <w:szCs w:val="38"/>
        </w:rPr>
      </w:pPr>
      <w:r>
        <w:rPr>
          <w:rFonts w:hint="eastAsia" w:ascii="方正小标宋_GBK" w:eastAsia="方正小标宋_GBK"/>
          <w:b/>
          <w:sz w:val="38"/>
          <w:szCs w:val="38"/>
        </w:rPr>
        <w:t>中共攀枝花市西区区委统战部</w:t>
      </w:r>
    </w:p>
    <w:p>
      <w:pPr>
        <w:widowControl/>
        <w:spacing w:line="0" w:lineRule="atLeast"/>
        <w:contextualSpacing/>
        <w:jc w:val="center"/>
        <w:rPr>
          <w:rFonts w:ascii="方正小标宋_GBK" w:eastAsia="方正小标宋_GBK"/>
          <w:b/>
          <w:sz w:val="38"/>
          <w:szCs w:val="38"/>
          <w:shd w:val="clear" w:color="auto" w:fill="FFFFFF"/>
        </w:rPr>
      </w:pPr>
      <w:r>
        <w:rPr>
          <w:rFonts w:hint="eastAsia" w:ascii="方正小标宋_GBK" w:eastAsia="方正小标宋_GBK"/>
          <w:b/>
          <w:sz w:val="38"/>
          <w:szCs w:val="38"/>
          <w:shd w:val="clear" w:color="auto" w:fill="FFFFFF"/>
        </w:rPr>
        <w:t>202</w:t>
      </w:r>
      <w:r>
        <w:rPr>
          <w:rFonts w:hint="eastAsia" w:ascii="方正小标宋_GBK" w:eastAsia="方正小标宋_GBK"/>
          <w:b/>
          <w:sz w:val="38"/>
          <w:szCs w:val="38"/>
          <w:shd w:val="clear" w:color="auto" w:fill="FFFFFF"/>
          <w:lang w:val="en-US" w:eastAsia="zh-CN"/>
        </w:rPr>
        <w:t>2</w:t>
      </w:r>
      <w:r>
        <w:rPr>
          <w:rFonts w:hint="eastAsia" w:ascii="方正小标宋_GBK" w:eastAsia="方正小标宋_GBK"/>
          <w:b/>
          <w:sz w:val="38"/>
          <w:szCs w:val="38"/>
          <w:shd w:val="clear" w:color="auto" w:fill="FFFFFF"/>
        </w:rPr>
        <w:t>年部门整体支出绩效评价报告</w:t>
      </w:r>
    </w:p>
    <w:p>
      <w:pPr>
        <w:widowControl/>
        <w:adjustRightInd w:val="0"/>
        <w:snapToGrid w:val="0"/>
        <w:spacing w:line="560" w:lineRule="exact"/>
        <w:ind w:firstLine="660" w:firstLineChars="200"/>
        <w:contextualSpacing/>
        <w:jc w:val="left"/>
        <w:rPr>
          <w:rFonts w:ascii="方正黑体_GBK" w:eastAsia="方正黑体_GBK"/>
          <w:color w:val="000000"/>
          <w:kern w:val="0"/>
          <w:sz w:val="33"/>
          <w:szCs w:val="33"/>
          <w:shd w:val="clear" w:color="auto" w:fill="FFFFFF"/>
        </w:rPr>
      </w:pPr>
    </w:p>
    <w:p>
      <w:pPr>
        <w:widowControl/>
        <w:adjustRightInd w:val="0"/>
        <w:snapToGrid w:val="0"/>
        <w:spacing w:line="540" w:lineRule="exact"/>
        <w:ind w:firstLine="660" w:firstLineChars="200"/>
        <w:contextualSpacing/>
        <w:rPr>
          <w:rFonts w:ascii="方正黑体_GBK" w:eastAsia="方正黑体_GBK"/>
          <w:color w:val="000000"/>
          <w:kern w:val="0"/>
          <w:sz w:val="33"/>
          <w:szCs w:val="33"/>
          <w:shd w:val="clear" w:color="auto" w:fill="FFFFFF"/>
          <w:lang w:val="zh-CN"/>
        </w:rPr>
      </w:pPr>
      <w:r>
        <w:rPr>
          <w:rFonts w:hint="eastAsia" w:ascii="方正黑体_GBK" w:eastAsia="方正黑体_GBK"/>
          <w:color w:val="000000"/>
          <w:kern w:val="0"/>
          <w:sz w:val="33"/>
          <w:szCs w:val="33"/>
          <w:shd w:val="clear" w:color="auto" w:fill="FFFFFF"/>
        </w:rPr>
        <w:t>一、</w:t>
      </w:r>
      <w:r>
        <w:rPr>
          <w:rFonts w:hint="eastAsia" w:ascii="方正黑体_GBK" w:eastAsia="方正黑体_GBK"/>
          <w:color w:val="000000"/>
          <w:kern w:val="0"/>
          <w:sz w:val="33"/>
          <w:szCs w:val="33"/>
          <w:shd w:val="clear" w:color="auto" w:fill="FFFFFF"/>
          <w:lang w:val="zh-CN"/>
        </w:rPr>
        <w:t>部门概况</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hint="eastAsia" w:ascii="方正楷体_GBK" w:eastAsia="方正楷体_GBK"/>
          <w:b/>
          <w:color w:val="000000"/>
          <w:kern w:val="0"/>
          <w:sz w:val="33"/>
          <w:szCs w:val="33"/>
          <w:shd w:val="clear" w:color="auto" w:fill="FFFFFF"/>
          <w:lang w:val="zh-CN"/>
        </w:rPr>
        <w:t>（一）机构组成</w:t>
      </w:r>
    </w:p>
    <w:p>
      <w:pPr>
        <w:spacing w:line="540" w:lineRule="exact"/>
        <w:ind w:firstLine="660" w:firstLineChars="200"/>
        <w:rPr>
          <w:rFonts w:eastAsia="方正仿宋_GBK"/>
          <w:sz w:val="33"/>
          <w:szCs w:val="33"/>
          <w:lang w:val="zh-CN"/>
        </w:rPr>
      </w:pPr>
      <w:r>
        <w:rPr>
          <w:rFonts w:eastAsia="方正仿宋_GBK"/>
          <w:sz w:val="33"/>
          <w:szCs w:val="33"/>
        </w:rPr>
        <w:t>区委统战部下设三股室一中心，即综合股(侨台办)、民族宗教股、党外人士股，统战与民族工作服务中心(统战部直属事业单位)。</w:t>
      </w:r>
    </w:p>
    <w:p>
      <w:pPr>
        <w:widowControl/>
        <w:numPr>
          <w:ilvl w:val="0"/>
          <w:numId w:val="1"/>
        </w:numPr>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机构职能</w:t>
      </w:r>
    </w:p>
    <w:p>
      <w:pPr>
        <w:pStyle w:val="2"/>
        <w:numPr>
          <w:numId w:val="0"/>
        </w:numPr>
        <w:rPr>
          <w:rFonts w:hint="eastAsia" w:eastAsia="方正仿宋简体"/>
          <w:lang w:val="en-US" w:eastAsia="zh-CN"/>
        </w:rPr>
      </w:pPr>
      <w:r>
        <w:rPr>
          <w:rFonts w:hint="eastAsia"/>
          <w:lang w:val="en-US" w:eastAsia="zh-CN"/>
        </w:rPr>
        <w:t xml:space="preserve">    略</w:t>
      </w:r>
      <w:bookmarkStart w:id="0" w:name="_GoBack"/>
      <w:bookmarkEnd w:id="0"/>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（三）人员概况</w:t>
      </w:r>
    </w:p>
    <w:p>
      <w:pPr>
        <w:spacing w:line="540" w:lineRule="exact"/>
        <w:ind w:firstLine="660" w:firstLineChars="200"/>
        <w:rPr>
          <w:rFonts w:eastAsia="方正仿宋_GBK"/>
          <w:sz w:val="33"/>
          <w:szCs w:val="33"/>
        </w:rPr>
      </w:pPr>
      <w:r>
        <w:rPr>
          <w:rFonts w:eastAsia="方正仿宋_GBK"/>
          <w:sz w:val="33"/>
          <w:szCs w:val="33"/>
        </w:rPr>
        <w:t>截止12月末，区委统战部实有在职人员11人，其中行政编制6人，事业编制4人，临聘人员1人；退休职工2人，共计13人。</w:t>
      </w:r>
    </w:p>
    <w:p>
      <w:pPr>
        <w:widowControl/>
        <w:adjustRightInd w:val="0"/>
        <w:snapToGrid w:val="0"/>
        <w:spacing w:line="540" w:lineRule="exact"/>
        <w:ind w:firstLine="660" w:firstLineChars="200"/>
        <w:contextualSpacing/>
        <w:rPr>
          <w:rFonts w:ascii="方正黑体_GBK" w:eastAsia="方正黑体_GBK"/>
          <w:color w:val="000000"/>
          <w:kern w:val="0"/>
          <w:sz w:val="33"/>
          <w:szCs w:val="33"/>
          <w:shd w:val="clear" w:color="auto" w:fill="FFFFFF"/>
          <w:lang w:val="zh-CN"/>
        </w:rPr>
      </w:pPr>
      <w:r>
        <w:rPr>
          <w:rFonts w:ascii="方正黑体_GBK" w:eastAsia="方正黑体_GBK"/>
          <w:color w:val="000000"/>
          <w:kern w:val="0"/>
          <w:sz w:val="33"/>
          <w:szCs w:val="33"/>
          <w:shd w:val="clear" w:color="auto" w:fill="FFFFFF"/>
          <w:lang w:val="zh-CN"/>
        </w:rPr>
        <w:t>二、部门财政资金收支情况</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（一）部门财政资金收入情况</w:t>
      </w:r>
    </w:p>
    <w:p>
      <w:pPr>
        <w:spacing w:line="540" w:lineRule="exact"/>
        <w:ind w:firstLine="660" w:firstLineChars="200"/>
        <w:rPr>
          <w:rFonts w:eastAsia="方正仿宋_GBK"/>
          <w:sz w:val="33"/>
          <w:szCs w:val="33"/>
        </w:rPr>
      </w:pPr>
      <w:r>
        <w:rPr>
          <w:rFonts w:eastAsia="方正仿宋_GBK"/>
          <w:sz w:val="33"/>
          <w:szCs w:val="33"/>
        </w:rPr>
        <w:t>2022年财政资金收入369.33万元。其中：年初预算安排260.01万元，追加人员经费25.42万元，追加项目经费60万元，结转结余项目资金23.9万元。</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（二）部门财政资金支出情况</w:t>
      </w:r>
    </w:p>
    <w:p>
      <w:pPr>
        <w:spacing w:line="540" w:lineRule="exact"/>
        <w:ind w:firstLine="660" w:firstLineChars="200"/>
        <w:rPr>
          <w:rFonts w:eastAsia="方正仿宋_GBK"/>
          <w:sz w:val="33"/>
          <w:szCs w:val="33"/>
        </w:rPr>
      </w:pPr>
      <w:r>
        <w:rPr>
          <w:rFonts w:eastAsia="方正仿宋_GBK"/>
          <w:sz w:val="33"/>
          <w:szCs w:val="33"/>
        </w:rPr>
        <w:t>2022年财政资金支出280.94万元，其中：基本支出183.95元，占总支出的65.48%；项目支出96.99万元，占总支出的34.52%。</w:t>
      </w:r>
    </w:p>
    <w:p>
      <w:pPr>
        <w:widowControl/>
        <w:adjustRightInd w:val="0"/>
        <w:snapToGrid w:val="0"/>
        <w:spacing w:line="540" w:lineRule="exact"/>
        <w:ind w:firstLine="660" w:firstLineChars="200"/>
        <w:contextualSpacing/>
        <w:rPr>
          <w:rFonts w:ascii="方正黑体_GBK" w:eastAsia="方正黑体_GBK"/>
          <w:color w:val="000000"/>
          <w:kern w:val="0"/>
          <w:sz w:val="33"/>
          <w:szCs w:val="33"/>
          <w:shd w:val="clear" w:color="auto" w:fill="FFFFFF"/>
          <w:lang w:val="zh-CN"/>
        </w:rPr>
      </w:pPr>
      <w:r>
        <w:rPr>
          <w:rFonts w:ascii="方正黑体_GBK" w:eastAsia="方正黑体_GBK"/>
          <w:color w:val="000000"/>
          <w:kern w:val="0"/>
          <w:sz w:val="33"/>
          <w:szCs w:val="33"/>
          <w:shd w:val="clear" w:color="auto" w:fill="FFFFFF"/>
          <w:lang w:val="zh-CN"/>
        </w:rPr>
        <w:t>三、部门整体预算绩效管理情况</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hint="eastAsia" w:ascii="方正楷体_GBK" w:eastAsia="方正楷体_GBK"/>
          <w:b/>
          <w:color w:val="000000"/>
          <w:kern w:val="0"/>
          <w:sz w:val="33"/>
          <w:szCs w:val="33"/>
          <w:shd w:val="clear" w:color="auto" w:fill="FFFFFF"/>
          <w:lang w:val="zh-CN"/>
        </w:rPr>
        <w:t>（</w:t>
      </w:r>
      <w:r>
        <w:rPr>
          <w:rFonts w:ascii="方正楷体_GBK" w:eastAsia="方正楷体_GBK"/>
          <w:b/>
          <w:color w:val="000000"/>
          <w:kern w:val="0"/>
          <w:sz w:val="33"/>
          <w:szCs w:val="33"/>
          <w:shd w:val="clear" w:color="auto" w:fill="FFFFFF"/>
          <w:lang w:val="zh-CN"/>
        </w:rPr>
        <w:t>一</w:t>
      </w:r>
      <w:r>
        <w:rPr>
          <w:rFonts w:hint="eastAsia" w:ascii="方正楷体_GBK" w:eastAsia="方正楷体_GBK"/>
          <w:b/>
          <w:color w:val="000000"/>
          <w:kern w:val="0"/>
          <w:sz w:val="33"/>
          <w:szCs w:val="33"/>
          <w:shd w:val="clear" w:color="auto" w:fill="FFFFFF"/>
          <w:lang w:val="zh-CN"/>
        </w:rPr>
        <w:t>）</w:t>
      </w:r>
      <w:r>
        <w:rPr>
          <w:rFonts w:ascii="方正楷体_GBK" w:eastAsia="方正楷体_GBK"/>
          <w:b/>
          <w:color w:val="000000"/>
          <w:kern w:val="0"/>
          <w:sz w:val="33"/>
          <w:szCs w:val="33"/>
          <w:shd w:val="clear" w:color="auto" w:fill="FFFFFF"/>
          <w:lang w:val="zh-CN"/>
        </w:rPr>
        <w:t>部门预算项目绩效管理</w:t>
      </w:r>
    </w:p>
    <w:p>
      <w:pPr>
        <w:pStyle w:val="4"/>
        <w:adjustRightInd w:val="0"/>
        <w:snapToGrid w:val="0"/>
        <w:spacing w:beforeLines="0" w:line="540" w:lineRule="exact"/>
        <w:ind w:firstLine="696" w:firstLineChars="210"/>
        <w:rPr>
          <w:rFonts w:ascii="Times New Roman" w:eastAsia="方正仿宋_GBK"/>
          <w:bCs/>
          <w:color w:val="000000"/>
          <w:sz w:val="33"/>
          <w:szCs w:val="33"/>
        </w:rPr>
      </w:pPr>
      <w:r>
        <w:rPr>
          <w:rFonts w:ascii="Times New Roman" w:eastAsia="方正仿宋_GBK"/>
          <w:b/>
          <w:bCs/>
          <w:color w:val="000000"/>
          <w:sz w:val="33"/>
          <w:szCs w:val="33"/>
        </w:rPr>
        <w:t>1.绩效目标制定。</w:t>
      </w:r>
      <w:r>
        <w:rPr>
          <w:rFonts w:ascii="Times New Roman" w:eastAsia="方正仿宋_GBK"/>
          <w:sz w:val="33"/>
          <w:szCs w:val="33"/>
        </w:rPr>
        <w:t>根据《中华人民共和国预算法》、《攀枝花市西区财政局关于编制2023年区本级部门预算的通知》要求，认真审核本单位的人员性质、工资状况、资</w:t>
      </w:r>
      <w:r>
        <w:rPr>
          <w:rFonts w:ascii="Times New Roman" w:eastAsia="方正仿宋_GBK"/>
          <w:bCs/>
          <w:color w:val="000000"/>
          <w:sz w:val="33"/>
          <w:szCs w:val="33"/>
        </w:rPr>
        <w:t>产情况等基础信息，完善单位基础信息库，基本支出预算按照“零基预算”及定员定额的方法编制；按照三级指标体系，认真编制部门整体支出绩效目标，从完成指标、效益指标、满意度指标三个维度进行细化量化具体化，并经分管领导、主要领导审核通过。</w:t>
      </w:r>
    </w:p>
    <w:p>
      <w:pPr>
        <w:pStyle w:val="4"/>
        <w:adjustRightInd w:val="0"/>
        <w:snapToGrid w:val="0"/>
        <w:spacing w:beforeLines="0" w:line="540" w:lineRule="exact"/>
        <w:ind w:firstLine="696" w:firstLineChars="210"/>
        <w:rPr>
          <w:rFonts w:ascii="Times New Roman" w:eastAsia="方正仿宋_GBK"/>
          <w:bCs/>
          <w:color w:val="000000"/>
          <w:sz w:val="33"/>
          <w:szCs w:val="33"/>
        </w:rPr>
      </w:pPr>
      <w:r>
        <w:rPr>
          <w:rFonts w:ascii="Times New Roman" w:eastAsia="方正仿宋_GBK"/>
          <w:b/>
          <w:bCs/>
          <w:color w:val="000000"/>
          <w:sz w:val="33"/>
          <w:szCs w:val="33"/>
        </w:rPr>
        <w:t>2.目标实现情况。</w:t>
      </w:r>
      <w:r>
        <w:rPr>
          <w:rFonts w:ascii="Times New Roman" w:eastAsia="方正仿宋_GBK"/>
          <w:bCs/>
          <w:color w:val="000000"/>
          <w:sz w:val="33"/>
          <w:szCs w:val="33"/>
        </w:rPr>
        <w:t>从2022年度部门预算绩效自评情况看，我部整体支出绩效目标均达到预期值，全面完成各项目标绩效，分类阐述如下：</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人员类项目：严格执行相关政策，保障了我部13人的工资及时、足额发放，人员养老保险、医疗保险、住房公积金等按时、足额缴纳</w:t>
      </w:r>
      <w:r>
        <w:rPr>
          <w:rFonts w:hint="eastAsia" w:ascii="Times New Roman" w:eastAsia="方正仿宋_GBK"/>
          <w:bCs/>
          <w:color w:val="000000"/>
          <w:sz w:val="33"/>
          <w:szCs w:val="33"/>
        </w:rPr>
        <w:t>，</w:t>
      </w:r>
      <w:r>
        <w:rPr>
          <w:rFonts w:ascii="Times New Roman" w:eastAsia="方正仿宋_GBK"/>
          <w:bCs/>
          <w:color w:val="000000"/>
          <w:sz w:val="33"/>
          <w:szCs w:val="33"/>
        </w:rPr>
        <w:t>按时发放率、足额保障率均达到100%。</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运转类项目：严格落实过紧日子要求，厉行节约，严格控制一般性支出，机关运行经费与上年度相比减少7.08万元，下降34.02%。科学编制经费预算，保障了机关正常运转，运转保障率达100%。</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2022年，我部无50万元（含）以上特定目标类部门预算项目，无相应绩效目标完成情况自评。</w:t>
      </w:r>
    </w:p>
    <w:p>
      <w:pPr>
        <w:pStyle w:val="21"/>
        <w:spacing w:line="540" w:lineRule="exact"/>
        <w:ind w:firstLine="660" w:firstLineChars="200"/>
        <w:rPr>
          <w:rFonts w:hint="eastAsia" w:ascii="Times New Roman" w:eastAsia="方正仿宋_GBK"/>
          <w:bCs/>
          <w:sz w:val="33"/>
          <w:szCs w:val="33"/>
        </w:rPr>
      </w:pPr>
      <w:r>
        <w:rPr>
          <w:rFonts w:ascii="Times New Roman" w:eastAsia="方正仿宋_GBK"/>
          <w:bCs/>
          <w:sz w:val="33"/>
          <w:szCs w:val="33"/>
        </w:rPr>
        <w:t>2022年，我部</w:t>
      </w:r>
      <w:r>
        <w:rPr>
          <w:rFonts w:hint="eastAsia" w:ascii="Times New Roman" w:eastAsia="方正仿宋_GBK"/>
          <w:bCs/>
          <w:sz w:val="33"/>
          <w:szCs w:val="33"/>
        </w:rPr>
        <w:t>无</w:t>
      </w:r>
      <w:r>
        <w:rPr>
          <w:rFonts w:ascii="Times New Roman" w:eastAsia="方正仿宋_GBK"/>
          <w:bCs/>
          <w:sz w:val="33"/>
          <w:szCs w:val="33"/>
        </w:rPr>
        <w:t>专项预算项目，</w:t>
      </w:r>
      <w:r>
        <w:rPr>
          <w:rFonts w:hint="eastAsia" w:ascii="Times New Roman" w:eastAsia="方正仿宋_GBK"/>
          <w:bCs/>
          <w:sz w:val="33"/>
          <w:szCs w:val="33"/>
        </w:rPr>
        <w:t>无</w:t>
      </w:r>
      <w:r>
        <w:rPr>
          <w:rFonts w:ascii="Times New Roman" w:eastAsia="方正仿宋_GBK"/>
          <w:bCs/>
          <w:sz w:val="33"/>
          <w:szCs w:val="33"/>
        </w:rPr>
        <w:t>相应绩效目标完成情</w:t>
      </w:r>
      <w:r>
        <w:rPr>
          <w:rFonts w:ascii="Times New Roman" w:hAnsi="Times New Roman" w:eastAsia="方正仿宋_GBK" w:cs="Times New Roman"/>
          <w:bCs/>
          <w:kern w:val="2"/>
          <w:sz w:val="33"/>
          <w:szCs w:val="33"/>
        </w:rPr>
        <w:t>况自评</w:t>
      </w:r>
      <w:r>
        <w:rPr>
          <w:rFonts w:ascii="Times New Roman" w:eastAsia="方正仿宋_GBK"/>
          <w:bCs/>
          <w:sz w:val="33"/>
          <w:szCs w:val="33"/>
        </w:rPr>
        <w:t>。</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2022年</w:t>
      </w:r>
      <w:r>
        <w:rPr>
          <w:rFonts w:hint="eastAsia" w:ascii="Times New Roman" w:eastAsia="方正仿宋_GBK"/>
          <w:bCs/>
          <w:color w:val="000000"/>
          <w:sz w:val="33"/>
          <w:szCs w:val="33"/>
        </w:rPr>
        <w:t>，</w:t>
      </w:r>
      <w:r>
        <w:rPr>
          <w:rFonts w:ascii="Times New Roman" w:eastAsia="方正仿宋_GBK"/>
          <w:bCs/>
          <w:color w:val="000000"/>
          <w:sz w:val="33"/>
          <w:szCs w:val="33"/>
        </w:rPr>
        <w:t>我部无直达资金项目，无相应绩效目标完成情况自评。</w:t>
      </w:r>
    </w:p>
    <w:p>
      <w:pPr>
        <w:pStyle w:val="4"/>
        <w:adjustRightInd w:val="0"/>
        <w:snapToGrid w:val="0"/>
        <w:spacing w:beforeLines="0" w:line="540" w:lineRule="exact"/>
        <w:ind w:firstLine="693" w:firstLineChars="210"/>
        <w:rPr>
          <w:rFonts w:ascii="Times New Roman" w:eastAsia="方正仿宋_GBK"/>
          <w:bCs/>
          <w:sz w:val="33"/>
          <w:szCs w:val="33"/>
        </w:rPr>
      </w:pPr>
      <w:r>
        <w:rPr>
          <w:rFonts w:ascii="Times New Roman" w:eastAsia="方正仿宋_GBK"/>
          <w:bCs/>
          <w:color w:val="000000"/>
          <w:sz w:val="33"/>
          <w:szCs w:val="33"/>
        </w:rPr>
        <w:t>3.</w:t>
      </w:r>
      <w:r>
        <w:rPr>
          <w:rFonts w:ascii="Times New Roman" w:eastAsia="方正仿宋_GBK"/>
          <w:b/>
          <w:bCs/>
          <w:color w:val="000000"/>
          <w:sz w:val="33"/>
          <w:szCs w:val="33"/>
        </w:rPr>
        <w:t>支出控制方面。2</w:t>
      </w:r>
      <w:r>
        <w:rPr>
          <w:rFonts w:ascii="Times New Roman" w:eastAsia="方正仿宋_GBK"/>
          <w:bCs/>
          <w:color w:val="000000"/>
          <w:sz w:val="33"/>
          <w:szCs w:val="33"/>
        </w:rPr>
        <w:t>022年，我部日常公用经费、项目支出中“办公费、印刷费、水费、电费、物业管理费”等科目预算调整数与决算数偏差程度为0%。</w:t>
      </w:r>
      <w:r>
        <w:rPr>
          <w:rFonts w:ascii="Times New Roman" w:eastAsia="方正仿宋_GBK"/>
          <w:bCs/>
          <w:sz w:val="33"/>
          <w:szCs w:val="33"/>
        </w:rPr>
        <w:t>基本支出预算数202.81万元，决算数183.95万元，预决算偏离度9.3%。项目支出预算调整数为141.1元，结算数为</w:t>
      </w:r>
      <w:r>
        <w:rPr>
          <w:rFonts w:hint="eastAsia" w:ascii="Times New Roman" w:eastAsia="方正仿宋_GBK"/>
          <w:bCs/>
          <w:sz w:val="33"/>
          <w:szCs w:val="33"/>
          <w:lang w:val="en-US" w:eastAsia="zh-CN"/>
        </w:rPr>
        <w:t>96.99</w:t>
      </w:r>
      <w:r>
        <w:rPr>
          <w:rFonts w:ascii="Times New Roman" w:eastAsia="方正仿宋_GBK"/>
          <w:bCs/>
          <w:sz w:val="33"/>
          <w:szCs w:val="33"/>
        </w:rPr>
        <w:t>万元，预决算偏离度</w:t>
      </w:r>
      <w:r>
        <w:rPr>
          <w:rFonts w:hint="eastAsia" w:ascii="Times New Roman" w:eastAsia="方正仿宋_GBK"/>
          <w:bCs/>
          <w:sz w:val="33"/>
          <w:szCs w:val="33"/>
          <w:lang w:val="en-US" w:eastAsia="zh-CN"/>
        </w:rPr>
        <w:t>31.26</w:t>
      </w:r>
      <w:r>
        <w:rPr>
          <w:rFonts w:ascii="Times New Roman" w:eastAsia="方正仿宋_GBK"/>
          <w:bCs/>
          <w:sz w:val="33"/>
          <w:szCs w:val="33"/>
        </w:rPr>
        <w:t>%。</w:t>
      </w:r>
    </w:p>
    <w:p>
      <w:pPr>
        <w:pStyle w:val="4"/>
        <w:adjustRightInd w:val="0"/>
        <w:snapToGrid w:val="0"/>
        <w:spacing w:beforeLines="0" w:line="540" w:lineRule="exact"/>
        <w:ind w:firstLine="693" w:firstLineChars="210"/>
        <w:rPr>
          <w:rFonts w:ascii="Times New Roman" w:eastAsia="方正仿宋_GBK"/>
          <w:b/>
          <w:bCs/>
          <w:color w:val="000000"/>
          <w:sz w:val="33"/>
          <w:szCs w:val="33"/>
        </w:rPr>
      </w:pPr>
      <w:r>
        <w:rPr>
          <w:rFonts w:ascii="Times New Roman" w:eastAsia="方正仿宋_GBK"/>
          <w:bCs/>
          <w:color w:val="000000"/>
          <w:sz w:val="33"/>
          <w:szCs w:val="33"/>
        </w:rPr>
        <w:t>4.</w:t>
      </w:r>
      <w:r>
        <w:rPr>
          <w:rFonts w:ascii="Times New Roman" w:eastAsia="方正仿宋_GBK"/>
          <w:b/>
          <w:bCs/>
          <w:color w:val="000000"/>
          <w:sz w:val="33"/>
          <w:szCs w:val="33"/>
        </w:rPr>
        <w:t>及时处置方面。</w:t>
      </w:r>
      <w:r>
        <w:rPr>
          <w:rFonts w:ascii="Times New Roman" w:eastAsia="方正仿宋_GBK"/>
          <w:bCs/>
          <w:color w:val="000000"/>
          <w:sz w:val="33"/>
          <w:szCs w:val="33"/>
        </w:rPr>
        <w:t>2022年，在9月开展了绩效运行监控，及时掌握绩效目标完成情况，及时调整支出结构。2022年，我部绩效监控调整取消额为零。</w:t>
      </w:r>
    </w:p>
    <w:p>
      <w:pPr>
        <w:pStyle w:val="4"/>
        <w:adjustRightInd w:val="0"/>
        <w:snapToGrid w:val="0"/>
        <w:spacing w:beforeLines="0" w:line="540" w:lineRule="exact"/>
        <w:ind w:firstLine="693" w:firstLineChars="210"/>
        <w:rPr>
          <w:rFonts w:ascii="Times New Roman" w:eastAsia="方正仿宋_GBK"/>
          <w:b/>
          <w:bCs/>
          <w:color w:val="000000"/>
          <w:sz w:val="33"/>
          <w:szCs w:val="33"/>
        </w:rPr>
      </w:pPr>
      <w:r>
        <w:rPr>
          <w:rFonts w:ascii="Times New Roman" w:eastAsia="方正仿宋_GBK"/>
          <w:bCs/>
          <w:color w:val="000000"/>
          <w:sz w:val="33"/>
          <w:szCs w:val="33"/>
        </w:rPr>
        <w:t>5.</w:t>
      </w:r>
      <w:r>
        <w:rPr>
          <w:rFonts w:ascii="Times New Roman" w:eastAsia="方正仿宋_GBK"/>
          <w:b/>
          <w:bCs/>
          <w:color w:val="000000"/>
          <w:sz w:val="33"/>
          <w:szCs w:val="33"/>
        </w:rPr>
        <w:t>执行进度方面。</w:t>
      </w:r>
      <w:r>
        <w:rPr>
          <w:rFonts w:ascii="Times New Roman" w:eastAsia="方正仿宋_GBK"/>
          <w:bCs/>
          <w:color w:val="000000"/>
          <w:sz w:val="33"/>
          <w:szCs w:val="33"/>
        </w:rPr>
        <w:t>2022年，我部预算执行进度按年初预算、工作计划，以确保重、难点、刚性工作为前提，执行进度有序推进。预算执行进度在6、9、11月的实际执行进</w:t>
      </w:r>
      <w:r>
        <w:rPr>
          <w:rFonts w:ascii="Times New Roman" w:eastAsia="方正仿宋_GBK"/>
          <w:bCs/>
          <w:color w:val="000000" w:themeColor="text1"/>
          <w:sz w:val="33"/>
          <w:szCs w:val="33"/>
        </w:rPr>
        <w:t>度分别为33.31%、63.4%、70.32%，</w:t>
      </w:r>
      <w:r>
        <w:rPr>
          <w:rFonts w:ascii="Times New Roman" w:eastAsia="方正仿宋_GBK"/>
          <w:bCs/>
          <w:color w:val="000000" w:themeColor="text1"/>
          <w:sz w:val="33"/>
          <w:szCs w:val="33"/>
          <w:lang w:val="zh-CN"/>
        </w:rPr>
        <w:t>预算执行进度达较慢。</w:t>
      </w:r>
    </w:p>
    <w:p>
      <w:pPr>
        <w:pStyle w:val="4"/>
        <w:adjustRightInd w:val="0"/>
        <w:snapToGrid w:val="0"/>
        <w:spacing w:beforeLines="0" w:line="540" w:lineRule="exact"/>
        <w:ind w:firstLine="693" w:firstLineChars="210"/>
        <w:rPr>
          <w:rFonts w:ascii="Times New Roman" w:eastAsia="方正仿宋_GBK"/>
          <w:b/>
          <w:bCs/>
          <w:color w:val="000000"/>
          <w:sz w:val="33"/>
          <w:szCs w:val="33"/>
        </w:rPr>
      </w:pPr>
      <w:r>
        <w:rPr>
          <w:rFonts w:ascii="Times New Roman" w:eastAsia="方正仿宋_GBK"/>
          <w:bCs/>
          <w:color w:val="000000" w:themeColor="text1"/>
          <w:sz w:val="33"/>
          <w:szCs w:val="33"/>
        </w:rPr>
        <w:t>6</w:t>
      </w:r>
      <w:r>
        <w:rPr>
          <w:rFonts w:ascii="Times New Roman" w:eastAsia="方正仿宋_GBK"/>
          <w:b/>
          <w:bCs/>
          <w:color w:val="000000"/>
          <w:sz w:val="33"/>
          <w:szCs w:val="33"/>
        </w:rPr>
        <w:t>.完成结果方面。</w:t>
      </w:r>
      <w:r>
        <w:rPr>
          <w:rFonts w:ascii="Times New Roman" w:eastAsia="方正仿宋_GBK"/>
          <w:bCs/>
          <w:color w:val="000000" w:themeColor="text1"/>
          <w:sz w:val="33"/>
          <w:szCs w:val="33"/>
        </w:rPr>
        <w:t>预算完成情况。2022年，我部部门预算项目12月执行数280.94万元，占年度下达预算指标369.33万元的76.07%。</w:t>
      </w:r>
    </w:p>
    <w:p>
      <w:pPr>
        <w:pStyle w:val="4"/>
        <w:adjustRightInd w:val="0"/>
        <w:snapToGrid w:val="0"/>
        <w:spacing w:beforeLines="0" w:line="540" w:lineRule="exact"/>
        <w:ind w:firstLine="696" w:firstLineChars="210"/>
        <w:rPr>
          <w:rFonts w:ascii="Times New Roman" w:eastAsia="方正仿宋_GBK"/>
          <w:bCs/>
          <w:color w:val="000000"/>
          <w:sz w:val="33"/>
          <w:szCs w:val="33"/>
        </w:rPr>
      </w:pPr>
      <w:r>
        <w:rPr>
          <w:rFonts w:hint="eastAsia" w:ascii="Times New Roman" w:eastAsia="方正仿宋_GBK"/>
          <w:b/>
          <w:bCs/>
          <w:color w:val="000000"/>
          <w:sz w:val="33"/>
          <w:szCs w:val="33"/>
        </w:rPr>
        <w:t>7.</w:t>
      </w:r>
      <w:r>
        <w:rPr>
          <w:rFonts w:ascii="Times New Roman" w:eastAsia="方正仿宋_GBK"/>
          <w:b/>
          <w:bCs/>
          <w:color w:val="000000"/>
          <w:sz w:val="33"/>
          <w:szCs w:val="33"/>
        </w:rPr>
        <w:t>违规记录方面。</w:t>
      </w:r>
      <w:r>
        <w:rPr>
          <w:rFonts w:ascii="Times New Roman" w:eastAsia="方正仿宋_GBK"/>
          <w:bCs/>
          <w:color w:val="000000"/>
          <w:sz w:val="33"/>
          <w:szCs w:val="33"/>
        </w:rPr>
        <w:t>2022年，我部无审计监督、财政检查发现预算管理方面违规违纪问题。</w:t>
      </w:r>
    </w:p>
    <w:p>
      <w:pPr>
        <w:widowControl/>
        <w:adjustRightInd w:val="0"/>
        <w:snapToGrid w:val="0"/>
        <w:spacing w:line="540" w:lineRule="exact"/>
        <w:ind w:firstLine="663" w:firstLineChars="200"/>
        <w:contextualSpacing/>
        <w:rPr>
          <w:rFonts w:eastAsia="方正仿宋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（二）绩效结果应用</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严格落实预算绩效管理和预算安排挂钩机制，突出动态监控，注重问题整改，将绩效管理贯穿预算执行全过程。自觉接受内外监督，将预算绩效管理纳入内部审计重要内容，主动公开绩效管理相关信息。积极发挥绩效结果应用反馈作用，不断提升预算绩效的引领作用。</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1.</w:t>
      </w:r>
      <w:r>
        <w:rPr>
          <w:rFonts w:ascii="Times New Roman" w:eastAsia="方正仿宋_GBK"/>
          <w:b/>
          <w:bCs/>
          <w:color w:val="000000"/>
          <w:sz w:val="33"/>
          <w:szCs w:val="33"/>
        </w:rPr>
        <w:t>内部应用方面</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我部按照财政局下发《攀枝花市项目支出绩效管理实施细则》，将各项目绩效目标制定和自评情况纳入部门绩效目标考核体系，考核结果作为项目资金安排的重要依据。</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2.</w:t>
      </w:r>
      <w:r>
        <w:rPr>
          <w:rFonts w:ascii="Times New Roman" w:eastAsia="方正仿宋_GBK"/>
          <w:b/>
          <w:bCs/>
          <w:color w:val="000000"/>
          <w:sz w:val="33"/>
          <w:szCs w:val="33"/>
        </w:rPr>
        <w:t>信息公开方面</w:t>
      </w:r>
    </w:p>
    <w:p>
      <w:pPr>
        <w:pStyle w:val="4"/>
        <w:adjustRightInd w:val="0"/>
        <w:snapToGrid w:val="0"/>
        <w:spacing w:beforeLines="0" w:line="540" w:lineRule="exact"/>
        <w:ind w:firstLine="693" w:firstLineChars="210"/>
        <w:rPr>
          <w:rFonts w:ascii="Times New Roman" w:eastAsia="方正仿宋_GBK"/>
          <w:bCs/>
          <w:color w:val="000000"/>
          <w:sz w:val="33"/>
          <w:szCs w:val="33"/>
          <w:lang w:val="zh-CN"/>
        </w:rPr>
      </w:pPr>
      <w:r>
        <w:rPr>
          <w:rFonts w:ascii="Times New Roman" w:eastAsia="方正仿宋_GBK"/>
          <w:bCs/>
          <w:color w:val="000000"/>
          <w:sz w:val="33"/>
          <w:szCs w:val="33"/>
        </w:rPr>
        <w:t>我部按要求将部门整体支出绩效自评情况在单位外网网站上公开。</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hint="eastAsia" w:ascii="方正楷体_GBK" w:eastAsia="方正楷体_GBK"/>
          <w:b/>
          <w:color w:val="000000"/>
          <w:kern w:val="0"/>
          <w:sz w:val="33"/>
          <w:szCs w:val="33"/>
          <w:shd w:val="clear" w:color="auto" w:fill="FFFFFF"/>
          <w:lang w:val="zh-CN"/>
        </w:rPr>
        <w:t>（三）结果应用情况</w:t>
      </w:r>
    </w:p>
    <w:p>
      <w:pPr>
        <w:pStyle w:val="4"/>
        <w:adjustRightInd w:val="0"/>
        <w:snapToGrid w:val="0"/>
        <w:spacing w:beforeLines="0" w:line="540" w:lineRule="exact"/>
        <w:ind w:firstLine="693" w:firstLineChars="210"/>
        <w:rPr>
          <w:rFonts w:ascii="Times New Roman" w:eastAsia="方正仿宋_GBK"/>
          <w:bCs/>
          <w:color w:val="000000"/>
          <w:sz w:val="33"/>
          <w:szCs w:val="33"/>
          <w:lang w:val="zh-CN"/>
        </w:rPr>
      </w:pPr>
      <w:r>
        <w:rPr>
          <w:rFonts w:ascii="Times New Roman" w:eastAsia="方正仿宋_GBK"/>
          <w:bCs/>
          <w:color w:val="000000"/>
          <w:sz w:val="33"/>
          <w:szCs w:val="33"/>
        </w:rPr>
        <w:t>根据《攀枝花市西区财政局关于印发2022年度单位财政资金绩效管理工作考评细则的通知》（攀西财〔2023〕17号）文件要求，对我部的整体支出认真开展了绩效自评工作。</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1.年初，我部根据2022年度预算情况基本职能职责，设置了预算整体支出绩效目标表和各项目绩效目标表，并随同部门预算一并申报并在门户网站公示。在预算执行过程中，严格按预算绩效目标执行，将自评结果融入到业务工作中，其预决算数据与财政数据保持总额一致。</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2.绩效管理开展情况，根据财政部门的要求开展了整体支出绩效自评工作，认真撰写整体支出绩效自评报告填写区级部门整体支出绩效评价指标体系表，真实呈现财政预算资金管理、使用绩效，形成完整自评资料。</w:t>
      </w:r>
    </w:p>
    <w:p>
      <w:pPr>
        <w:pStyle w:val="4"/>
        <w:adjustRightInd w:val="0"/>
        <w:snapToGrid w:val="0"/>
        <w:spacing w:beforeLines="0" w:line="540" w:lineRule="exact"/>
        <w:ind w:firstLine="693" w:firstLineChars="210"/>
        <w:rPr>
          <w:rFonts w:ascii="Times New Roman" w:eastAsia="方正仿宋_GBK"/>
          <w:bCs/>
          <w:color w:val="000000"/>
          <w:sz w:val="33"/>
          <w:szCs w:val="33"/>
          <w:lang w:val="zh-CN"/>
        </w:rPr>
      </w:pPr>
      <w:r>
        <w:rPr>
          <w:rFonts w:ascii="Times New Roman" w:eastAsia="方正仿宋_GBK"/>
          <w:bCs/>
          <w:color w:val="000000"/>
          <w:sz w:val="33"/>
          <w:szCs w:val="33"/>
        </w:rPr>
        <w:t>3.按照财政预算绩效管理要求，高质量完成自评工作并及时反馈预算执行中的问题和建议和整改情况，按要求适时在门户网站公开自评情况。</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w:t>
      </w:r>
      <w:r>
        <w:rPr>
          <w:rFonts w:hint="eastAsia" w:ascii="方正楷体_GBK" w:eastAsia="方正楷体_GBK"/>
          <w:b/>
          <w:color w:val="000000"/>
          <w:kern w:val="0"/>
          <w:sz w:val="33"/>
          <w:szCs w:val="33"/>
          <w:shd w:val="clear" w:color="auto" w:fill="FFFFFF"/>
          <w:lang w:val="zh-CN"/>
        </w:rPr>
        <w:t>四</w:t>
      </w:r>
      <w:r>
        <w:rPr>
          <w:rFonts w:ascii="方正楷体_GBK" w:eastAsia="方正楷体_GBK"/>
          <w:b/>
          <w:color w:val="000000"/>
          <w:kern w:val="0"/>
          <w:sz w:val="33"/>
          <w:szCs w:val="33"/>
          <w:shd w:val="clear" w:color="auto" w:fill="FFFFFF"/>
          <w:lang w:val="zh-CN"/>
        </w:rPr>
        <w:t>）自评质量</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通过自评，财政部门能够清晰完整地了解我部在预决算执行过程的问题，自评结果准确反映了我部在执行预算支出绩效总体较好，对财政资金的使用能够严格执行行政单位会计制度及财政相关规定。按照年初制定的工作计划和年度绩效目标开展部门整体工作，绩效目标基本得到实现，履职情况较好。2022年度部门整体支出绩效自评得分9</w:t>
      </w:r>
      <w:r>
        <w:rPr>
          <w:rFonts w:hint="eastAsia" w:ascii="Times New Roman" w:eastAsia="方正仿宋_GBK"/>
          <w:bCs/>
          <w:color w:val="000000"/>
          <w:sz w:val="33"/>
          <w:szCs w:val="33"/>
        </w:rPr>
        <w:t>8</w:t>
      </w:r>
      <w:r>
        <w:rPr>
          <w:rFonts w:ascii="Times New Roman" w:eastAsia="方正仿宋_GBK"/>
          <w:bCs/>
          <w:color w:val="000000"/>
          <w:sz w:val="33"/>
          <w:szCs w:val="33"/>
        </w:rPr>
        <w:t>分。</w:t>
      </w:r>
    </w:p>
    <w:p>
      <w:pPr>
        <w:widowControl/>
        <w:adjustRightInd w:val="0"/>
        <w:snapToGrid w:val="0"/>
        <w:spacing w:line="540" w:lineRule="exact"/>
        <w:ind w:firstLine="660" w:firstLineChars="200"/>
        <w:contextualSpacing/>
        <w:jc w:val="left"/>
        <w:rPr>
          <w:rFonts w:ascii="方正黑体_GBK" w:eastAsia="方正黑体_GBK"/>
          <w:color w:val="000000"/>
          <w:kern w:val="0"/>
          <w:sz w:val="33"/>
          <w:szCs w:val="33"/>
          <w:shd w:val="clear" w:color="auto" w:fill="FFFFFF"/>
          <w:lang w:val="zh-CN"/>
        </w:rPr>
      </w:pPr>
      <w:r>
        <w:rPr>
          <w:rFonts w:hint="eastAsia" w:ascii="方正黑体_GBK" w:eastAsia="方正黑体_GBK"/>
          <w:color w:val="000000"/>
          <w:kern w:val="0"/>
          <w:sz w:val="33"/>
          <w:szCs w:val="33"/>
          <w:shd w:val="clear" w:color="auto" w:fill="FFFFFF"/>
          <w:lang w:val="zh-CN"/>
        </w:rPr>
        <w:t>四、评价结论及建议</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（一）评价结论</w:t>
      </w:r>
    </w:p>
    <w:p>
      <w:pPr>
        <w:pStyle w:val="4"/>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通过绩效评价，分析资金使用规律，提高资金使用效益，强化资金管理责任，促进项目稳步推进。加大了对项目基本情况、项目资金管理情况、项目完成情况、项目效益情况及存在问题和整改情况的适时监控，有效提高使用人员注重资金使用绩效，强化绩效管理主体意识，将绩效评价结果作为预算安排的重要依据，更好的把握财政政策的经济性、效率性、效益性、公平性和可持续性。</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（二）存在问题</w:t>
      </w:r>
    </w:p>
    <w:p>
      <w:pPr>
        <w:pStyle w:val="4"/>
        <w:adjustRightInd w:val="0"/>
        <w:snapToGrid w:val="0"/>
        <w:spacing w:beforeLines="0" w:line="540" w:lineRule="exact"/>
        <w:ind w:firstLine="693" w:firstLineChars="210"/>
        <w:rPr>
          <w:rFonts w:ascii="Times New Roman" w:eastAsia="方正仿宋_GBK"/>
          <w:bCs/>
          <w:color w:val="000000"/>
          <w:sz w:val="33"/>
          <w:szCs w:val="33"/>
          <w:lang w:val="zh-CN"/>
        </w:rPr>
      </w:pPr>
      <w:r>
        <w:rPr>
          <w:rFonts w:ascii="Times New Roman" w:eastAsia="方正仿宋_GBK"/>
          <w:bCs/>
          <w:color w:val="000000"/>
          <w:sz w:val="33"/>
          <w:szCs w:val="33"/>
          <w:lang w:val="zh-CN"/>
        </w:rPr>
        <w:t>资金使用效率有待进一步提高。</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（三）改进建议</w:t>
      </w:r>
    </w:p>
    <w:p>
      <w:pPr>
        <w:pStyle w:val="4"/>
        <w:adjustRightInd w:val="0"/>
        <w:snapToGrid w:val="0"/>
        <w:spacing w:beforeLines="0" w:line="540" w:lineRule="exact"/>
        <w:ind w:firstLine="693" w:firstLineChars="210"/>
        <w:rPr>
          <w:rFonts w:ascii="Times New Roman" w:eastAsia="方正仿宋_GBK"/>
          <w:bCs/>
          <w:color w:val="000000"/>
          <w:sz w:val="33"/>
          <w:szCs w:val="33"/>
          <w:lang w:val="zh-CN"/>
        </w:rPr>
      </w:pPr>
      <w:r>
        <w:rPr>
          <w:rFonts w:ascii="Times New Roman" w:eastAsia="方正仿宋_GBK"/>
          <w:bCs/>
          <w:color w:val="000000"/>
          <w:sz w:val="33"/>
          <w:szCs w:val="33"/>
          <w:lang w:val="zh-CN"/>
        </w:rPr>
        <w:t>提高业务水平，注重评价质量，资金分析常态化；在资金使用合理规范的同时，注重绩效的重要性，做预算时明确绩效目标，绩效管理贯穿整个工作的开展。</w:t>
      </w:r>
    </w:p>
    <w:p>
      <w:pPr>
        <w:pStyle w:val="4"/>
        <w:adjustRightInd w:val="0"/>
        <w:snapToGrid w:val="0"/>
        <w:spacing w:beforeLines="0" w:line="540" w:lineRule="exact"/>
        <w:ind w:firstLine="693" w:firstLineChars="210"/>
        <w:rPr>
          <w:rFonts w:ascii="Times New Roman" w:eastAsia="方正仿宋_GBK"/>
          <w:bCs/>
          <w:color w:val="000000"/>
          <w:sz w:val="33"/>
          <w:szCs w:val="33"/>
          <w:lang w:val="zh-CN"/>
        </w:rPr>
      </w:pPr>
    </w:p>
    <w:p>
      <w:pPr>
        <w:pStyle w:val="4"/>
        <w:adjustRightInd w:val="0"/>
        <w:snapToGrid w:val="0"/>
        <w:spacing w:beforeLines="0" w:line="540" w:lineRule="exact"/>
        <w:ind w:firstLine="693" w:firstLineChars="210"/>
        <w:rPr>
          <w:rFonts w:ascii="Times New Roman" w:eastAsia="方正仿宋_GBK"/>
          <w:bCs/>
          <w:color w:val="000000"/>
          <w:sz w:val="33"/>
          <w:szCs w:val="33"/>
          <w:lang w:val="zh-CN"/>
        </w:rPr>
      </w:pPr>
    </w:p>
    <w:p>
      <w:pPr>
        <w:pStyle w:val="4"/>
        <w:tabs>
          <w:tab w:val="left" w:pos="8080"/>
        </w:tabs>
        <w:adjustRightInd w:val="0"/>
        <w:snapToGrid w:val="0"/>
        <w:spacing w:beforeLines="0" w:line="540" w:lineRule="exact"/>
        <w:ind w:firstLine="3960" w:firstLineChars="1200"/>
        <w:rPr>
          <w:rFonts w:ascii="Times New Roman" w:eastAsia="方正仿宋_GBK"/>
          <w:bCs/>
          <w:color w:val="000000"/>
          <w:sz w:val="33"/>
          <w:szCs w:val="33"/>
          <w:lang w:val="zh-CN"/>
        </w:rPr>
      </w:pPr>
      <w:r>
        <w:rPr>
          <w:rFonts w:ascii="Times New Roman" w:eastAsia="方正仿宋_GBK"/>
          <w:bCs/>
          <w:color w:val="000000"/>
          <w:sz w:val="33"/>
          <w:szCs w:val="33"/>
          <w:lang w:val="zh-CN"/>
        </w:rPr>
        <w:t>中共攀枝花市西区区委统战部</w:t>
      </w:r>
    </w:p>
    <w:p>
      <w:pPr>
        <w:pStyle w:val="4"/>
        <w:adjustRightInd w:val="0"/>
        <w:snapToGrid w:val="0"/>
        <w:spacing w:beforeLines="0" w:line="540" w:lineRule="exact"/>
        <w:ind w:firstLine="5148" w:firstLineChars="1560"/>
        <w:rPr>
          <w:rFonts w:ascii="Times New Roman" w:eastAsia="方正仿宋_GBK"/>
          <w:bCs/>
          <w:color w:val="000000"/>
          <w:sz w:val="33"/>
          <w:szCs w:val="33"/>
          <w:lang w:val="zh-CN"/>
        </w:rPr>
      </w:pPr>
      <w:r>
        <w:rPr>
          <w:rFonts w:ascii="Times New Roman" w:eastAsia="方正仿宋_GBK"/>
          <w:bCs/>
          <w:color w:val="000000"/>
          <w:sz w:val="33"/>
          <w:szCs w:val="33"/>
          <w:lang w:val="zh-CN"/>
        </w:rPr>
        <w:t>202</w:t>
      </w:r>
      <w:r>
        <w:rPr>
          <w:rFonts w:ascii="Times New Roman" w:eastAsia="方正仿宋_GBK"/>
          <w:bCs/>
          <w:color w:val="000000"/>
          <w:sz w:val="33"/>
          <w:szCs w:val="33"/>
        </w:rPr>
        <w:t>3</w:t>
      </w:r>
      <w:r>
        <w:rPr>
          <w:rFonts w:ascii="Times New Roman" w:eastAsia="方正仿宋_GBK"/>
          <w:bCs/>
          <w:color w:val="000000"/>
          <w:sz w:val="33"/>
          <w:szCs w:val="33"/>
          <w:lang w:val="zh-CN"/>
        </w:rPr>
        <w:t>年</w:t>
      </w:r>
      <w:r>
        <w:rPr>
          <w:rFonts w:ascii="Times New Roman" w:eastAsia="方正仿宋_GBK"/>
          <w:bCs/>
          <w:color w:val="000000"/>
          <w:sz w:val="33"/>
          <w:szCs w:val="33"/>
        </w:rPr>
        <w:t>5</w:t>
      </w:r>
      <w:r>
        <w:rPr>
          <w:rFonts w:ascii="Times New Roman" w:eastAsia="方正仿宋_GBK"/>
          <w:bCs/>
          <w:color w:val="000000"/>
          <w:sz w:val="33"/>
          <w:szCs w:val="33"/>
          <w:lang w:val="zh-CN"/>
        </w:rPr>
        <w:t>月</w:t>
      </w:r>
      <w:r>
        <w:rPr>
          <w:rFonts w:ascii="Times New Roman" w:eastAsia="方正仿宋_GBK"/>
          <w:bCs/>
          <w:color w:val="000000"/>
          <w:sz w:val="33"/>
          <w:szCs w:val="33"/>
        </w:rPr>
        <w:t>1</w:t>
      </w:r>
      <w:r>
        <w:rPr>
          <w:rFonts w:hint="eastAsia" w:ascii="Times New Roman" w:eastAsia="方正仿宋_GBK"/>
          <w:bCs/>
          <w:color w:val="000000"/>
          <w:sz w:val="33"/>
          <w:szCs w:val="33"/>
        </w:rPr>
        <w:t>6</w:t>
      </w:r>
      <w:r>
        <w:rPr>
          <w:rFonts w:ascii="Times New Roman" w:eastAsia="方正仿宋_GBK"/>
          <w:bCs/>
          <w:color w:val="000000"/>
          <w:sz w:val="33"/>
          <w:szCs w:val="33"/>
          <w:lang w:val="zh-CN"/>
        </w:rPr>
        <w:t>日</w:t>
      </w:r>
    </w:p>
    <w:p>
      <w:pPr>
        <w:spacing w:line="560" w:lineRule="exact"/>
        <w:ind w:firstLine="200"/>
        <w:rPr>
          <w:rFonts w:ascii="方正仿宋_GBK" w:eastAsia="方正仿宋_GBK"/>
          <w:spacing w:val="-4"/>
          <w:sz w:val="28"/>
          <w:szCs w:val="28"/>
        </w:rPr>
      </w:pPr>
    </w:p>
    <w:p>
      <w:pPr>
        <w:pStyle w:val="20"/>
        <w:ind w:firstLine="640"/>
      </w:pPr>
    </w:p>
    <w:p>
      <w:pPr>
        <w:spacing w:line="560" w:lineRule="exact"/>
        <w:rPr>
          <w:rFonts w:ascii="方正仿宋_GBK" w:eastAsia="方正仿宋_GBK"/>
          <w:spacing w:val="-4"/>
          <w:sz w:val="28"/>
          <w:szCs w:val="28"/>
        </w:rPr>
      </w:pPr>
    </w:p>
    <w:p>
      <w:pPr>
        <w:pStyle w:val="2"/>
      </w:pPr>
    </w:p>
    <w:p/>
    <w:p>
      <w:pPr>
        <w:pStyle w:val="2"/>
      </w:pPr>
    </w:p>
    <w:p/>
    <w:p>
      <w:pPr>
        <w:pStyle w:val="2"/>
      </w:pPr>
    </w:p>
    <w:p/>
    <w:p>
      <w:pPr>
        <w:pStyle w:val="2"/>
      </w:pPr>
    </w:p>
    <w:p/>
    <w:p>
      <w:pPr>
        <w:pStyle w:val="2"/>
        <w:ind w:left="0" w:leftChars="0" w:firstLine="0" w:firstLineChars="0"/>
      </w:pPr>
    </w:p>
    <w:sectPr>
      <w:headerReference r:id="rId3" w:type="default"/>
      <w:footerReference r:id="rId4" w:type="default"/>
      <w:footerReference r:id="rId5" w:type="even"/>
      <w:pgSz w:w="11906" w:h="16838"/>
      <w:pgMar w:top="2098" w:right="1474" w:bottom="1985" w:left="1588" w:header="907" w:footer="1644"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TimesNewRoman">
    <w:altName w:val="宋体"/>
    <w:panose1 w:val="00000000000000000000"/>
    <w:charset w:val="86"/>
    <w:family w:val="roma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asciiTheme="minorEastAsia" w:hAnsiTheme="minorEastAsia" w:eastAsiaTheme="minorEastAsia"/>
        <w:sz w:val="24"/>
        <w:szCs w:val="24"/>
      </w:rPr>
      <w:t>—</w:t>
    </w:r>
    <w:r>
      <w:rPr>
        <w:rFonts w:eastAsiaTheme="minorEastAsia"/>
        <w:sz w:val="24"/>
        <w:szCs w:val="24"/>
      </w:rPr>
      <w:t xml:space="preserve"> </w:t>
    </w:r>
    <w:sdt>
      <w:sdtPr>
        <w:rPr>
          <w:rFonts w:eastAsiaTheme="minorEastAsia"/>
          <w:sz w:val="24"/>
          <w:szCs w:val="24"/>
        </w:rPr>
        <w:id w:val="12599741"/>
        <w:docPartObj>
          <w:docPartGallery w:val="autotext"/>
        </w:docPartObj>
      </w:sdtPr>
      <w:sdtEndPr>
        <w:rPr>
          <w:rFonts w:eastAsia="宋体"/>
          <w:sz w:val="18"/>
          <w:szCs w:val="18"/>
        </w:rPr>
      </w:sdtEndPr>
      <w:sdtContent>
        <w:r>
          <w:rPr>
            <w:rFonts w:eastAsiaTheme="minorEastAsia"/>
            <w:sz w:val="24"/>
            <w:szCs w:val="24"/>
          </w:rPr>
          <w:fldChar w:fldCharType="begin"/>
        </w:r>
        <w:r>
          <w:rPr>
            <w:rFonts w:eastAsiaTheme="minorEastAsia"/>
            <w:sz w:val="24"/>
            <w:szCs w:val="24"/>
          </w:rPr>
          <w:instrText xml:space="preserve"> PAGE   \* MERGEFORMAT </w:instrText>
        </w:r>
        <w:r>
          <w:rPr>
            <w:rFonts w:eastAsiaTheme="minorEastAsia"/>
            <w:sz w:val="24"/>
            <w:szCs w:val="24"/>
          </w:rPr>
          <w:fldChar w:fldCharType="separate"/>
        </w:r>
        <w:r>
          <w:rPr>
            <w:rFonts w:eastAsiaTheme="minorEastAsia"/>
            <w:sz w:val="24"/>
            <w:szCs w:val="24"/>
            <w:lang w:val="zh-CN"/>
          </w:rPr>
          <w:t>1</w:t>
        </w:r>
        <w:r>
          <w:rPr>
            <w:rFonts w:eastAsiaTheme="minorEastAsia"/>
            <w:sz w:val="24"/>
            <w:szCs w:val="24"/>
          </w:rPr>
          <w:fldChar w:fldCharType="end"/>
        </w:r>
        <w:r>
          <w:rPr>
            <w:rFonts w:eastAsiaTheme="minorEastAsia"/>
            <w:sz w:val="24"/>
            <w:szCs w:val="24"/>
          </w:rPr>
          <w:t xml:space="preserve"> </w:t>
        </w:r>
        <w:r>
          <w:rPr>
            <w:rFonts w:hint="eastAsia" w:asciiTheme="minorEastAsia" w:hAnsiTheme="minorEastAsia" w:eastAsiaTheme="minorEastAsia"/>
            <w:sz w:val="24"/>
            <w:szCs w:val="24"/>
          </w:rPr>
          <w:t>—</w:t>
        </w:r>
      </w:sdtContent>
    </w:sdt>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9755"/>
      <w:docPartObj>
        <w:docPartGallery w:val="autotext"/>
      </w:docPartObj>
    </w:sdtPr>
    <w:sdtContent>
      <w:p>
        <w:pPr>
          <w:pStyle w:val="8"/>
        </w:pPr>
        <w:r>
          <w:rPr>
            <w:rFonts w:hint="eastAsia" w:asciiTheme="minorEastAsia" w:hAnsiTheme="minorEastAsia" w:eastAsiaTheme="minorEastAsia"/>
            <w:sz w:val="24"/>
            <w:szCs w:val="24"/>
          </w:rPr>
          <w:t xml:space="preserve">— </w:t>
        </w:r>
        <w:r>
          <w:rPr>
            <w:rFonts w:eastAsiaTheme="minorEastAsia"/>
            <w:sz w:val="24"/>
            <w:szCs w:val="24"/>
          </w:rPr>
          <w:fldChar w:fldCharType="begin"/>
        </w:r>
        <w:r>
          <w:rPr>
            <w:rFonts w:eastAsiaTheme="minorEastAsia"/>
            <w:sz w:val="24"/>
            <w:szCs w:val="24"/>
          </w:rPr>
          <w:instrText xml:space="preserve"> PAGE   \* MERGEFORMAT </w:instrText>
        </w:r>
        <w:r>
          <w:rPr>
            <w:rFonts w:eastAsiaTheme="minorEastAsia"/>
            <w:sz w:val="24"/>
            <w:szCs w:val="24"/>
          </w:rPr>
          <w:fldChar w:fldCharType="separate"/>
        </w:r>
        <w:r>
          <w:rPr>
            <w:rFonts w:eastAsiaTheme="minorEastAsia"/>
            <w:sz w:val="24"/>
            <w:szCs w:val="24"/>
            <w:lang w:val="zh-CN"/>
          </w:rPr>
          <w:t>8</w:t>
        </w:r>
        <w:r>
          <w:rPr>
            <w:rFonts w:eastAsiaTheme="minorEastAsia"/>
            <w:sz w:val="24"/>
            <w:szCs w:val="24"/>
          </w:rPr>
          <w:fldChar w:fldCharType="end"/>
        </w:r>
        <w:r>
          <w:rPr>
            <w:rFonts w:hint="eastAsia" w:asciiTheme="minorEastAsia" w:hAnsiTheme="minorEastAsia" w:eastAsiaTheme="minorEastAsia"/>
            <w:sz w:val="24"/>
            <w:szCs w:val="24"/>
          </w:rPr>
          <w:t xml:space="preserve"> —</w:t>
        </w:r>
      </w:p>
    </w:sdtContent>
  </w:sdt>
  <w:p>
    <w:pPr>
      <w:pStyle w:val="8"/>
      <w:wordWrap w:val="0"/>
      <w:jc w:val="both"/>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8EA5E3"/>
    <w:multiLevelType w:val="singleLevel"/>
    <w:tmpl w:val="E48EA5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0174"/>
    <w:rsid w:val="0000197B"/>
    <w:rsid w:val="00006E4D"/>
    <w:rsid w:val="00021652"/>
    <w:rsid w:val="00030311"/>
    <w:rsid w:val="00030782"/>
    <w:rsid w:val="00030B66"/>
    <w:rsid w:val="00032BE7"/>
    <w:rsid w:val="0006102A"/>
    <w:rsid w:val="00065B0F"/>
    <w:rsid w:val="00065E7E"/>
    <w:rsid w:val="000820BB"/>
    <w:rsid w:val="0008241B"/>
    <w:rsid w:val="000866FC"/>
    <w:rsid w:val="00092280"/>
    <w:rsid w:val="0009664B"/>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1425A"/>
    <w:rsid w:val="001221D6"/>
    <w:rsid w:val="0012510A"/>
    <w:rsid w:val="00125F67"/>
    <w:rsid w:val="001261AE"/>
    <w:rsid w:val="001348A4"/>
    <w:rsid w:val="0014117C"/>
    <w:rsid w:val="00146FE8"/>
    <w:rsid w:val="0014767B"/>
    <w:rsid w:val="00147AED"/>
    <w:rsid w:val="001765CB"/>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1393A"/>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65837"/>
    <w:rsid w:val="00270DD7"/>
    <w:rsid w:val="00272890"/>
    <w:rsid w:val="00276F4A"/>
    <w:rsid w:val="00280BFB"/>
    <w:rsid w:val="00280C88"/>
    <w:rsid w:val="002973A4"/>
    <w:rsid w:val="002A0195"/>
    <w:rsid w:val="002A4781"/>
    <w:rsid w:val="002B5B34"/>
    <w:rsid w:val="002B6906"/>
    <w:rsid w:val="002B7215"/>
    <w:rsid w:val="002C0AFD"/>
    <w:rsid w:val="002C59D0"/>
    <w:rsid w:val="002D1A18"/>
    <w:rsid w:val="002D5034"/>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6716"/>
    <w:rsid w:val="00387818"/>
    <w:rsid w:val="00391A13"/>
    <w:rsid w:val="00391FD0"/>
    <w:rsid w:val="003A1D70"/>
    <w:rsid w:val="003A44FC"/>
    <w:rsid w:val="003B3299"/>
    <w:rsid w:val="003B44A8"/>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87194"/>
    <w:rsid w:val="00492CF6"/>
    <w:rsid w:val="004A4C9D"/>
    <w:rsid w:val="004C2078"/>
    <w:rsid w:val="004C228F"/>
    <w:rsid w:val="004E752F"/>
    <w:rsid w:val="004F1E37"/>
    <w:rsid w:val="00515198"/>
    <w:rsid w:val="00516C29"/>
    <w:rsid w:val="00521C44"/>
    <w:rsid w:val="005274E1"/>
    <w:rsid w:val="00531DDF"/>
    <w:rsid w:val="00535FA6"/>
    <w:rsid w:val="00542AB7"/>
    <w:rsid w:val="00545496"/>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4E6"/>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8F6ACB"/>
    <w:rsid w:val="00901E19"/>
    <w:rsid w:val="009214F7"/>
    <w:rsid w:val="00921CD7"/>
    <w:rsid w:val="00940EB6"/>
    <w:rsid w:val="00944771"/>
    <w:rsid w:val="009545BC"/>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86533"/>
    <w:rsid w:val="00A9670E"/>
    <w:rsid w:val="00AA1423"/>
    <w:rsid w:val="00AB6E38"/>
    <w:rsid w:val="00AB7996"/>
    <w:rsid w:val="00AC43C3"/>
    <w:rsid w:val="00AE2EAD"/>
    <w:rsid w:val="00AE6A71"/>
    <w:rsid w:val="00AF77BE"/>
    <w:rsid w:val="00B02138"/>
    <w:rsid w:val="00B025CA"/>
    <w:rsid w:val="00B11CEE"/>
    <w:rsid w:val="00B23428"/>
    <w:rsid w:val="00B24137"/>
    <w:rsid w:val="00B264BF"/>
    <w:rsid w:val="00B3387B"/>
    <w:rsid w:val="00B42E74"/>
    <w:rsid w:val="00B46874"/>
    <w:rsid w:val="00B50E8F"/>
    <w:rsid w:val="00B51151"/>
    <w:rsid w:val="00B523E4"/>
    <w:rsid w:val="00B52B4F"/>
    <w:rsid w:val="00B60CF9"/>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3A9F"/>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950F7"/>
    <w:rsid w:val="00CA08A0"/>
    <w:rsid w:val="00CA32D2"/>
    <w:rsid w:val="00CA4E07"/>
    <w:rsid w:val="00CA737D"/>
    <w:rsid w:val="00CB1EF5"/>
    <w:rsid w:val="00CC05D4"/>
    <w:rsid w:val="00CC7166"/>
    <w:rsid w:val="00CD6824"/>
    <w:rsid w:val="00CF5275"/>
    <w:rsid w:val="00CF6136"/>
    <w:rsid w:val="00D0023D"/>
    <w:rsid w:val="00D006C6"/>
    <w:rsid w:val="00D14A65"/>
    <w:rsid w:val="00D162B9"/>
    <w:rsid w:val="00D251E2"/>
    <w:rsid w:val="00D254F4"/>
    <w:rsid w:val="00D263A7"/>
    <w:rsid w:val="00D26B5D"/>
    <w:rsid w:val="00D33159"/>
    <w:rsid w:val="00D33433"/>
    <w:rsid w:val="00D33A19"/>
    <w:rsid w:val="00D34D45"/>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65B"/>
    <w:rsid w:val="00DC2865"/>
    <w:rsid w:val="00DD0894"/>
    <w:rsid w:val="00DE1888"/>
    <w:rsid w:val="00DF1250"/>
    <w:rsid w:val="00DF6EF7"/>
    <w:rsid w:val="00E05454"/>
    <w:rsid w:val="00E074C3"/>
    <w:rsid w:val="00E23329"/>
    <w:rsid w:val="00E24D6D"/>
    <w:rsid w:val="00E341B2"/>
    <w:rsid w:val="00E42633"/>
    <w:rsid w:val="00E47080"/>
    <w:rsid w:val="00E5699E"/>
    <w:rsid w:val="00E570E1"/>
    <w:rsid w:val="00E7047C"/>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2A7AC2"/>
    <w:rsid w:val="034722CE"/>
    <w:rsid w:val="05C645F3"/>
    <w:rsid w:val="0B283426"/>
    <w:rsid w:val="0CF638F0"/>
    <w:rsid w:val="0D9C1D21"/>
    <w:rsid w:val="0DC31556"/>
    <w:rsid w:val="0E85347B"/>
    <w:rsid w:val="14F92F63"/>
    <w:rsid w:val="15C02D99"/>
    <w:rsid w:val="1A3D6143"/>
    <w:rsid w:val="1AC80597"/>
    <w:rsid w:val="1C013801"/>
    <w:rsid w:val="1DA9593B"/>
    <w:rsid w:val="1F181429"/>
    <w:rsid w:val="249E3DFC"/>
    <w:rsid w:val="250E4E3E"/>
    <w:rsid w:val="28503823"/>
    <w:rsid w:val="2B3E4B39"/>
    <w:rsid w:val="2B6B48E7"/>
    <w:rsid w:val="2C026E62"/>
    <w:rsid w:val="2D527252"/>
    <w:rsid w:val="2E280209"/>
    <w:rsid w:val="2EAE55F2"/>
    <w:rsid w:val="2EDF4302"/>
    <w:rsid w:val="3137095A"/>
    <w:rsid w:val="36C15C27"/>
    <w:rsid w:val="3A644429"/>
    <w:rsid w:val="411B0A41"/>
    <w:rsid w:val="47550EBA"/>
    <w:rsid w:val="484A3F2F"/>
    <w:rsid w:val="4AF74F1A"/>
    <w:rsid w:val="4BC23690"/>
    <w:rsid w:val="4F0A1A69"/>
    <w:rsid w:val="50224ABB"/>
    <w:rsid w:val="511E755A"/>
    <w:rsid w:val="52BC160E"/>
    <w:rsid w:val="52D10851"/>
    <w:rsid w:val="548D5B84"/>
    <w:rsid w:val="54A163ED"/>
    <w:rsid w:val="54E76EAE"/>
    <w:rsid w:val="557F3E0D"/>
    <w:rsid w:val="58663577"/>
    <w:rsid w:val="5889148E"/>
    <w:rsid w:val="59A36434"/>
    <w:rsid w:val="5CFA5F58"/>
    <w:rsid w:val="5E26481D"/>
    <w:rsid w:val="5EC526C4"/>
    <w:rsid w:val="5F414ED9"/>
    <w:rsid w:val="611259F1"/>
    <w:rsid w:val="618C18A0"/>
    <w:rsid w:val="635B49CB"/>
    <w:rsid w:val="63615C9C"/>
    <w:rsid w:val="652D5BFB"/>
    <w:rsid w:val="6636451A"/>
    <w:rsid w:val="66595631"/>
    <w:rsid w:val="66854A82"/>
    <w:rsid w:val="6898395E"/>
    <w:rsid w:val="6AEA665F"/>
    <w:rsid w:val="6E377BBD"/>
    <w:rsid w:val="6EF65E9C"/>
    <w:rsid w:val="6F457A00"/>
    <w:rsid w:val="707D0195"/>
    <w:rsid w:val="71397E03"/>
    <w:rsid w:val="736B6FED"/>
    <w:rsid w:val="75347DAE"/>
    <w:rsid w:val="75B36BDA"/>
    <w:rsid w:val="77FFA8F9"/>
    <w:rsid w:val="788A0FF5"/>
    <w:rsid w:val="7A9314AC"/>
    <w:rsid w:val="7B1206AE"/>
    <w:rsid w:val="7C631402"/>
    <w:rsid w:val="7E140770"/>
    <w:rsid w:val="7E380EC7"/>
    <w:rsid w:val="7E9C1E28"/>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640" w:firstLineChars="200"/>
    </w:pPr>
    <w:rPr>
      <w:rFonts w:eastAsia="方正仿宋简体"/>
    </w:rPr>
  </w:style>
  <w:style w:type="paragraph" w:styleId="3">
    <w:name w:val="Document Map"/>
    <w:basedOn w:val="1"/>
    <w:link w:val="23"/>
    <w:qFormat/>
    <w:uiPriority w:val="0"/>
    <w:rPr>
      <w:rFonts w:ascii="宋体" w:eastAsia="宋体"/>
      <w:sz w:val="18"/>
      <w:szCs w:val="18"/>
    </w:rPr>
  </w:style>
  <w:style w:type="paragraph" w:styleId="4">
    <w:name w:val="Body Text"/>
    <w:basedOn w:val="1"/>
    <w:qFormat/>
    <w:uiPriority w:val="0"/>
    <w:pPr>
      <w:spacing w:beforeLines="30"/>
    </w:pPr>
    <w:rPr>
      <w:rFonts w:ascii="仿宋_GB2312"/>
      <w:sz w:val="30"/>
    </w:rPr>
  </w:style>
  <w:style w:type="paragraph" w:styleId="5">
    <w:name w:val="Body Text Indent"/>
    <w:basedOn w:val="1"/>
    <w:link w:val="3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Balloon Text"/>
    <w:basedOn w:val="1"/>
    <w:semiHidden/>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rFonts w:eastAsia="宋体"/>
      <w:sz w:val="18"/>
      <w:szCs w:val="18"/>
    </w:rPr>
  </w:style>
  <w:style w:type="paragraph" w:styleId="9">
    <w:name w:val="Body Text First Indent 2"/>
    <w:basedOn w:val="5"/>
    <w:link w:val="32"/>
    <w:qFormat/>
    <w:uiPriority w:val="0"/>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333333"/>
      <w:u w:val="none"/>
    </w:rPr>
  </w:style>
  <w:style w:type="character" w:styleId="16">
    <w:name w:val="Emphasis"/>
    <w:basedOn w:val="12"/>
    <w:qFormat/>
    <w:uiPriority w:val="0"/>
  </w:style>
  <w:style w:type="character" w:styleId="17">
    <w:name w:val="Hyperlink"/>
    <w:basedOn w:val="12"/>
    <w:qFormat/>
    <w:uiPriority w:val="0"/>
    <w:rPr>
      <w:color w:val="333333"/>
      <w:u w:val="non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NormalIndent"/>
    <w:basedOn w:val="1"/>
    <w:qFormat/>
    <w:uiPriority w:val="0"/>
    <w:pPr>
      <w:ind w:firstLine="420" w:firstLineChars="200"/>
    </w:pPr>
  </w:style>
  <w:style w:type="paragraph" w:customStyle="1" w:styleId="21">
    <w:name w:val="四号正文"/>
    <w:basedOn w:val="1"/>
    <w:link w:val="22"/>
    <w:qFormat/>
    <w:uiPriority w:val="0"/>
    <w:pPr>
      <w:spacing w:line="360" w:lineRule="auto"/>
    </w:pPr>
    <w:rPr>
      <w:rFonts w:ascii="??" w:hAnsi="??" w:eastAsia="宋体" w:cs="宋体"/>
      <w:color w:val="000000"/>
      <w:kern w:val="0"/>
      <w:sz w:val="28"/>
      <w:szCs w:val="21"/>
    </w:rPr>
  </w:style>
  <w:style w:type="character" w:customStyle="1" w:styleId="22">
    <w:name w:val="四号正文 Char"/>
    <w:basedOn w:val="12"/>
    <w:link w:val="21"/>
    <w:qFormat/>
    <w:uiPriority w:val="0"/>
    <w:rPr>
      <w:rFonts w:ascii="??" w:hAnsi="??" w:eastAsia="宋体" w:cs="宋体"/>
      <w:color w:val="000000"/>
      <w:sz w:val="28"/>
      <w:szCs w:val="21"/>
      <w:lang w:val="en-US" w:eastAsia="zh-CN" w:bidi="ar-SA"/>
    </w:rPr>
  </w:style>
  <w:style w:type="character" w:customStyle="1" w:styleId="23">
    <w:name w:val="文档结构图 Char"/>
    <w:basedOn w:val="12"/>
    <w:link w:val="3"/>
    <w:qFormat/>
    <w:uiPriority w:val="0"/>
    <w:rPr>
      <w:rFonts w:ascii="宋体"/>
      <w:kern w:val="2"/>
      <w:sz w:val="18"/>
      <w:szCs w:val="18"/>
    </w:rPr>
  </w:style>
  <w:style w:type="paragraph" w:customStyle="1" w:styleId="2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5">
    <w:name w:val="页脚 Char"/>
    <w:basedOn w:val="12"/>
    <w:link w:val="8"/>
    <w:qFormat/>
    <w:uiPriority w:val="99"/>
    <w:rPr>
      <w:kern w:val="2"/>
      <w:sz w:val="18"/>
      <w:szCs w:val="18"/>
    </w:rPr>
  </w:style>
  <w:style w:type="character" w:customStyle="1" w:styleId="26">
    <w:name w:val="font31"/>
    <w:basedOn w:val="12"/>
    <w:qFormat/>
    <w:uiPriority w:val="0"/>
    <w:rPr>
      <w:rFonts w:hint="eastAsia" w:ascii="宋体" w:hAnsi="宋体" w:eastAsia="宋体" w:cs="宋体"/>
      <w:color w:val="000000"/>
      <w:sz w:val="24"/>
      <w:szCs w:val="24"/>
      <w:u w:val="none"/>
    </w:rPr>
  </w:style>
  <w:style w:type="character" w:customStyle="1" w:styleId="27">
    <w:name w:val="fontstyle01"/>
    <w:qFormat/>
    <w:uiPriority w:val="0"/>
    <w:rPr>
      <w:rFonts w:hint="eastAsia" w:ascii="方正小标宋_GBK" w:eastAsia="方正小标宋_GBK"/>
      <w:color w:val="000000"/>
      <w:sz w:val="44"/>
      <w:szCs w:val="44"/>
    </w:rPr>
  </w:style>
  <w:style w:type="character" w:customStyle="1" w:styleId="28">
    <w:name w:val="fontstyle41"/>
    <w:qFormat/>
    <w:uiPriority w:val="0"/>
    <w:rPr>
      <w:rFonts w:hint="eastAsia" w:ascii="仿宋_GB2312" w:eastAsia="仿宋_GB2312"/>
      <w:color w:val="000000"/>
      <w:sz w:val="32"/>
      <w:szCs w:val="32"/>
    </w:rPr>
  </w:style>
  <w:style w:type="character" w:customStyle="1" w:styleId="29">
    <w:name w:val="fontstyle71"/>
    <w:qFormat/>
    <w:uiPriority w:val="0"/>
    <w:rPr>
      <w:rFonts w:hint="default" w:ascii="TimesNewRoman" w:hAnsi="TimesNewRoman"/>
      <w:b/>
      <w:bCs/>
      <w:color w:val="000000"/>
      <w:sz w:val="32"/>
      <w:szCs w:val="32"/>
    </w:rPr>
  </w:style>
  <w:style w:type="character" w:customStyle="1" w:styleId="30">
    <w:name w:val="last"/>
    <w:basedOn w:val="12"/>
    <w:qFormat/>
    <w:uiPriority w:val="0"/>
  </w:style>
  <w:style w:type="character" w:customStyle="1" w:styleId="31">
    <w:name w:val="正文文本缩进 Char"/>
    <w:basedOn w:val="12"/>
    <w:link w:val="5"/>
    <w:qFormat/>
    <w:uiPriority w:val="0"/>
    <w:rPr>
      <w:rFonts w:ascii="Times New Roman" w:hAnsi="Times New Roman" w:eastAsia="仿宋_GB2312" w:cs="Times New Roman"/>
      <w:kern w:val="2"/>
      <w:sz w:val="32"/>
      <w:szCs w:val="24"/>
    </w:rPr>
  </w:style>
  <w:style w:type="character" w:customStyle="1" w:styleId="32">
    <w:name w:val="正文首行缩进 2 Char"/>
    <w:basedOn w:val="31"/>
    <w:link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2FF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9</Pages>
  <Words>3007</Words>
  <Characters>327</Characters>
  <Lines>2</Lines>
  <Paragraphs>6</Paragraphs>
  <TotalTime>7</TotalTime>
  <ScaleCrop>false</ScaleCrop>
  <LinksUpToDate>false</LinksUpToDate>
  <CharactersWithSpaces>3328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2022-09-23T00:48:00Z</dcterms:created>
  <dc:creator>陈萍</dc:creator>
  <cp:lastModifiedBy>Administrator</cp:lastModifiedBy>
  <cp:lastPrinted>2023-06-01T02:16:00Z</cp:lastPrinted>
  <dcterms:modified xsi:type="dcterms:W3CDTF">2023-10-30T00:38:56Z</dcterms:modified>
  <dc:title>区域性就业培训基地建设项目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