
<file path=[Content_Types].xml><?xml version="1.0" encoding="utf-8"?>
<Types xmlns="http://schemas.openxmlformats.org/package/2006/content-types">
  <Default Extension="xlsx" ContentType="application/vnd.openxmlformats-officedocument.spreadsheetml.sheet"/>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78441"/>
      <w:bookmarkStart w:id="3" w:name="_Toc15377425"/>
      <w:bookmarkStart w:id="4" w:name="_Toc15396475"/>
      <w:bookmarkStart w:id="5" w:name="_Toc15377193"/>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476"/>
      <w:bookmarkStart w:id="7" w:name="_Toc15377194"/>
      <w:bookmarkStart w:id="8" w:name="_Toc15377426"/>
      <w:bookmarkStart w:id="9" w:name="_Toc15378442"/>
      <w:bookmarkStart w:id="10" w:name="_Toc15396598"/>
      <w:r>
        <w:rPr>
          <w:rFonts w:hint="eastAsia" w:ascii="方正小标宋简体" w:hAnsi="方正小标宋简体" w:eastAsia="方正小标宋简体" w:cs="方正小标宋简体"/>
          <w:sz w:val="72"/>
          <w:szCs w:val="72"/>
        </w:rPr>
        <w:t>攀枝花市</w:t>
      </w:r>
      <w:r>
        <w:rPr>
          <w:rFonts w:hint="eastAsia" w:ascii="方正小标宋简体" w:hAnsi="方正小标宋简体" w:eastAsia="方正小标宋简体" w:cs="方正小标宋简体"/>
          <w:sz w:val="72"/>
          <w:szCs w:val="72"/>
          <w:lang w:val="en-US" w:eastAsia="zh-CN"/>
        </w:rPr>
        <w:t>西区</w:t>
      </w:r>
      <w:bookmarkEnd w:id="0"/>
      <w:bookmarkStart w:id="11" w:name="_Toc15306268"/>
      <w:r>
        <w:rPr>
          <w:rFonts w:hint="eastAsia" w:ascii="方正小标宋简体" w:hAnsi="方正小标宋简体" w:eastAsia="方正小标宋简体" w:cs="方正小标宋简体"/>
          <w:sz w:val="72"/>
          <w:szCs w:val="72"/>
        </w:rPr>
        <w:t>卫生和计划生育监督执法大队单位决算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公开时间：2023年</w:t>
      </w:r>
      <w:r>
        <w:rPr>
          <w:rFonts w:hint="eastAsia"/>
          <w:lang w:val="en-US" w:eastAsia="zh-CN"/>
        </w:rPr>
        <w:t>10</w:t>
      </w:r>
      <w:r>
        <w:rPr>
          <w:rFonts w:hint="eastAsia"/>
        </w:rPr>
        <w:t>月</w:t>
      </w:r>
      <w:r>
        <w:rPr>
          <w:rFonts w:hint="eastAsia"/>
          <w:lang w:val="en-US" w:eastAsia="zh-CN"/>
        </w:rPr>
        <w:t>27</w:t>
      </w:r>
      <w:r>
        <w:rPr>
          <w:rFonts w:hint="eastAsia"/>
        </w:rPr>
        <w:t>日</w:t>
      </w:r>
    </w:p>
    <w:p/>
    <w:p>
      <w:pPr>
        <w:pStyle w:val="10"/>
        <w:adjustRightInd w:val="0"/>
        <w:snapToGrid w:val="0"/>
        <w:spacing w:before="0" w:line="440" w:lineRule="exact"/>
        <w:jc w:val="left"/>
        <w:rPr>
          <w:rFonts w:hint="eastAsia"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cstheme="minorBidi"/>
          <w:sz w:val="24"/>
        </w:rPr>
        <w:tab/>
      </w:r>
      <w:r>
        <w:rPr>
          <w:rFonts w:hint="eastAsia" w:ascii="Times New Roman" w:hAnsi="Times New Roman" w:eastAsia="宋体" w:cstheme="minorBidi"/>
          <w:kern w:val="2"/>
          <w:sz w:val="24"/>
          <w:szCs w:val="24"/>
          <w:lang w:val="en-US" w:eastAsia="zh-CN" w:bidi="ar-SA"/>
        </w:rPr>
        <w:t>4</w:t>
      </w:r>
    </w:p>
    <w:p>
      <w:pPr>
        <w:pStyle w:val="11"/>
        <w:adjustRightInd w:val="0"/>
        <w:snapToGrid w:val="0"/>
        <w:spacing w:line="440" w:lineRule="exact"/>
        <w:jc w:val="left"/>
        <w:rPr>
          <w:rFonts w:hint="eastAsia" w:eastAsia="宋体"/>
          <w:sz w:val="24"/>
          <w:lang w:val="en-US" w:eastAsia="zh-CN"/>
        </w:rPr>
      </w:pPr>
      <w:r>
        <w:rPr>
          <w:rFonts w:hint="eastAsia"/>
          <w:sz w:val="24"/>
        </w:rPr>
        <w:t>一、主要职责</w:t>
      </w:r>
      <w:r>
        <w:rPr>
          <w:rFonts w:cstheme="minorBidi"/>
          <w:sz w:val="24"/>
        </w:rPr>
        <w:tab/>
      </w:r>
      <w:r>
        <w:rPr>
          <w:rFonts w:hint="eastAsia" w:cstheme="minorBidi"/>
          <w:sz w:val="24"/>
          <w:lang w:val="en-US" w:eastAsia="zh-CN"/>
        </w:rPr>
        <w:t>4</w:t>
      </w:r>
    </w:p>
    <w:p>
      <w:pPr>
        <w:pStyle w:val="11"/>
        <w:adjustRightInd w:val="0"/>
        <w:snapToGrid w:val="0"/>
        <w:spacing w:line="440" w:lineRule="exact"/>
        <w:jc w:val="left"/>
        <w:rPr>
          <w:rFonts w:hint="eastAsia" w:eastAsia="宋体"/>
          <w:lang w:val="en-US" w:eastAsia="zh-CN"/>
        </w:rPr>
      </w:pPr>
      <w:r>
        <w:rPr>
          <w:rFonts w:hint="eastAsia"/>
          <w:sz w:val="24"/>
        </w:rPr>
        <w:t>二、机构设置</w:t>
      </w:r>
      <w:r>
        <w:rPr>
          <w:rFonts w:cstheme="minorBidi"/>
          <w:sz w:val="24"/>
        </w:rPr>
        <w:tab/>
      </w:r>
      <w:r>
        <w:rPr>
          <w:rFonts w:hint="eastAsia" w:cstheme="minorBidi"/>
          <w:sz w:val="24"/>
          <w:lang w:val="en-US" w:eastAsia="zh-CN"/>
        </w:rPr>
        <w:t>4</w:t>
      </w:r>
    </w:p>
    <w:p>
      <w:pPr>
        <w:pStyle w:val="10"/>
        <w:adjustRightInd w:val="0"/>
        <w:snapToGrid w:val="0"/>
        <w:spacing w:before="0" w:line="440" w:lineRule="exact"/>
        <w:jc w:val="left"/>
        <w:rPr>
          <w:rFonts w:hint="eastAsia" w:eastAsia="仿宋"/>
          <w:sz w:val="24"/>
          <w:szCs w:val="24"/>
          <w:lang w:val="en-US" w:eastAsia="zh-CN"/>
        </w:rPr>
      </w:pPr>
      <w:r>
        <w:rPr>
          <w:rFonts w:hint="eastAsia"/>
          <w:sz w:val="24"/>
        </w:rPr>
        <w:t>第二部分 2022年度单位决算情况说明</w:t>
      </w:r>
      <w:r>
        <w:rPr>
          <w:rFonts w:cstheme="minorBidi"/>
          <w:sz w:val="24"/>
        </w:rPr>
        <w:tab/>
      </w:r>
      <w:r>
        <w:rPr>
          <w:rFonts w:hint="eastAsia" w:cstheme="minorBidi"/>
          <w:sz w:val="24"/>
          <w:lang w:val="en-US" w:eastAsia="zh-CN"/>
        </w:rPr>
        <w:t>5</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一、收入支出决算总体情况说明</w:t>
      </w:r>
      <w:r>
        <w:rPr>
          <w:rFonts w:cstheme="minorBidi"/>
          <w:sz w:val="24"/>
        </w:rPr>
        <w:tab/>
      </w:r>
      <w:r>
        <w:rPr>
          <w:rFonts w:hint="eastAsia" w:cstheme="minorBidi"/>
          <w:sz w:val="24"/>
          <w:lang w:val="en-US" w:eastAsia="zh-CN"/>
        </w:rPr>
        <w:t>5</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二、收入决算情况说明</w:t>
      </w:r>
      <w:r>
        <w:rPr>
          <w:rFonts w:cstheme="minorBidi"/>
          <w:sz w:val="24"/>
        </w:rPr>
        <w:tab/>
      </w:r>
      <w:r>
        <w:rPr>
          <w:rFonts w:hint="eastAsia" w:cstheme="minorBidi"/>
          <w:sz w:val="24"/>
          <w:lang w:val="en-US" w:eastAsia="zh-CN"/>
        </w:rPr>
        <w:t>5</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三、支出决算情况说明</w:t>
      </w:r>
      <w:r>
        <w:rPr>
          <w:rFonts w:cstheme="minorBidi"/>
          <w:sz w:val="24"/>
        </w:rPr>
        <w:tab/>
      </w:r>
      <w:r>
        <w:rPr>
          <w:rFonts w:hint="eastAsia" w:cstheme="minorBidi"/>
          <w:sz w:val="24"/>
          <w:lang w:val="en-US" w:eastAsia="zh-CN"/>
        </w:rPr>
        <w:t>6</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四、财政拨款收入支出决算总体情况说明</w:t>
      </w:r>
      <w:r>
        <w:rPr>
          <w:rFonts w:cstheme="minorBidi"/>
          <w:sz w:val="24"/>
        </w:rPr>
        <w:tab/>
      </w:r>
      <w:r>
        <w:rPr>
          <w:rFonts w:hint="eastAsia" w:cstheme="minorBidi"/>
          <w:sz w:val="24"/>
          <w:lang w:val="en-US" w:eastAsia="zh-CN"/>
        </w:rPr>
        <w:t>6</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五、一般公共预算财政拨款支出决算情况说明</w:t>
      </w:r>
      <w:r>
        <w:rPr>
          <w:rFonts w:cstheme="minorBidi"/>
          <w:sz w:val="24"/>
        </w:rPr>
        <w:tab/>
      </w:r>
      <w:r>
        <w:rPr>
          <w:rFonts w:hint="eastAsia" w:cstheme="minorBidi"/>
          <w:sz w:val="24"/>
          <w:lang w:val="en-US" w:eastAsia="zh-CN"/>
        </w:rPr>
        <w:t>7</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六、一般公共预算财政拨款基本支出决算情况说明</w:t>
      </w:r>
      <w:r>
        <w:rPr>
          <w:rFonts w:cstheme="minorBidi"/>
          <w:sz w:val="24"/>
        </w:rPr>
        <w:tab/>
      </w:r>
      <w:r>
        <w:rPr>
          <w:rFonts w:hint="eastAsia" w:cstheme="minorBidi"/>
          <w:sz w:val="24"/>
          <w:lang w:val="en-US" w:eastAsia="zh-CN"/>
        </w:rPr>
        <w:t>9</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cstheme="minorBidi"/>
          <w:sz w:val="24"/>
        </w:rPr>
        <w:tab/>
      </w:r>
      <w:r>
        <w:rPr>
          <w:rFonts w:hint="eastAsia" w:cstheme="minorBidi"/>
          <w:sz w:val="24"/>
          <w:lang w:val="en-US" w:eastAsia="zh-CN"/>
        </w:rPr>
        <w:t>10</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cstheme="minorBidi"/>
          <w:sz w:val="24"/>
        </w:rPr>
        <w:tab/>
      </w:r>
      <w:r>
        <w:rPr>
          <w:rFonts w:hint="eastAsia" w:cstheme="minorBidi"/>
          <w:sz w:val="24"/>
          <w:lang w:val="en-US" w:eastAsia="zh-CN"/>
        </w:rPr>
        <w:t>12</w:t>
      </w:r>
    </w:p>
    <w:p>
      <w:pPr>
        <w:pStyle w:val="11"/>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rPr>
          <w:rFonts w:cstheme="minorBidi"/>
          <w:sz w:val="24"/>
        </w:rPr>
        <w:tab/>
      </w:r>
      <w:r>
        <w:rPr>
          <w:rFonts w:hint="eastAsia" w:cstheme="minorBidi"/>
          <w:sz w:val="24"/>
          <w:lang w:val="en-US" w:eastAsia="zh-CN"/>
        </w:rPr>
        <w:t>12</w:t>
      </w:r>
    </w:p>
    <w:p>
      <w:pPr>
        <w:pStyle w:val="11"/>
        <w:adjustRightInd w:val="0"/>
        <w:snapToGrid w:val="0"/>
        <w:spacing w:line="440" w:lineRule="exact"/>
        <w:jc w:val="left"/>
        <w:rPr>
          <w:rFonts w:hint="default" w:eastAsia="宋体"/>
          <w:sz w:val="24"/>
          <w:lang w:val="en-US" w:eastAsia="zh-CN"/>
        </w:rPr>
      </w:pPr>
      <w:r>
        <w:rPr>
          <w:rFonts w:hint="eastAsia"/>
          <w:sz w:val="24"/>
        </w:rPr>
        <w:t>十、其他重要事项的情况说明</w:t>
      </w:r>
      <w:r>
        <w:rPr>
          <w:rFonts w:cstheme="minorBidi"/>
          <w:sz w:val="24"/>
        </w:rPr>
        <w:tab/>
      </w:r>
      <w:r>
        <w:rPr>
          <w:rFonts w:hint="eastAsia" w:cstheme="minorBidi"/>
          <w:sz w:val="24"/>
          <w:lang w:val="en-US" w:eastAsia="zh-CN"/>
        </w:rPr>
        <w:t>12</w:t>
      </w:r>
    </w:p>
    <w:p>
      <w:pPr>
        <w:pStyle w:val="10"/>
        <w:adjustRightInd w:val="0"/>
        <w:snapToGrid w:val="0"/>
        <w:spacing w:before="0" w:line="440" w:lineRule="exact"/>
        <w:jc w:val="left"/>
        <w:rPr>
          <w:rFonts w:hint="default" w:ascii="Times New Roman" w:hAnsi="Times New Roman" w:eastAsia="宋体" w:cstheme="minorBidi"/>
          <w:kern w:val="2"/>
          <w:sz w:val="24"/>
          <w:szCs w:val="24"/>
          <w:lang w:val="en-US" w:eastAsia="zh-CN" w:bidi="ar-SA"/>
        </w:rPr>
      </w:pPr>
      <w:r>
        <w:rPr>
          <w:rFonts w:hint="eastAsia"/>
          <w:sz w:val="24"/>
        </w:rPr>
        <w:t>第三部分</w:t>
      </w:r>
      <w:r>
        <w:rPr>
          <w:sz w:val="24"/>
        </w:rPr>
        <w:t xml:space="preserve"> </w:t>
      </w:r>
      <w:r>
        <w:rPr>
          <w:rFonts w:hint="eastAsia"/>
          <w:sz w:val="24"/>
        </w:rPr>
        <w:t>名词解释</w:t>
      </w:r>
      <w:r>
        <w:rPr>
          <w:rFonts w:cstheme="minorBidi"/>
          <w:sz w:val="24"/>
        </w:rPr>
        <w:tab/>
      </w:r>
      <w:r>
        <w:rPr>
          <w:rFonts w:hint="eastAsia" w:ascii="Times New Roman" w:hAnsi="Times New Roman" w:eastAsia="宋体" w:cstheme="minorBidi"/>
          <w:kern w:val="2"/>
          <w:sz w:val="24"/>
          <w:szCs w:val="24"/>
          <w:lang w:val="en-US" w:eastAsia="zh-CN" w:bidi="ar-SA"/>
        </w:rPr>
        <w:t>14</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cstheme="minorBidi"/>
          <w:sz w:val="24"/>
        </w:rPr>
        <w:tab/>
      </w:r>
      <w:r>
        <w:rPr>
          <w:rFonts w:hint="eastAsia" w:cstheme="minorBidi"/>
          <w:sz w:val="24"/>
          <w:lang w:val="en-US" w:eastAsia="zh-CN"/>
        </w:rPr>
        <w:t>17</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rPr>
        <w:t>一、收入支出决算总表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rPr>
        <w:t>二、收入决算表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rPr>
        <w:t>三、支出决算表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rPr>
        <w:t>四、财政拨款收入支出决算总表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rPr>
        <w:t>五、财政拨款支出决算明细表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rPr>
        <w:t>六、一般公共预算财政拨款支出决算表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rPr>
        <w:t>七、一般公共预算财政拨款支出决算明细表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rPr>
        <w:t>八、一般公共预算财政拨款基本支出决算明细表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rPr>
        <w:t>九、一般公共预算财政拨款项目支出决算表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rPr>
        <w:t>十、政府性基金预算财政拨款收入支出决算表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rPr>
        <w:t>十一、国有资本经营预算财政拨款收入支出决算表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rPr>
        <w:t>十二、国有资本经营预算财政拨款支出决算表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rPr>
        <w:t>十三、财政拨款“三公”经费支出决算表</w:t>
      </w:r>
      <w:r>
        <w:rPr>
          <w:rFonts w:cstheme="minorBidi"/>
          <w:sz w:val="24"/>
        </w:rPr>
        <w:tab/>
      </w:r>
      <w:r>
        <w:rPr>
          <w:rFonts w:hint="eastAsia" w:cstheme="minorBidi"/>
          <w:sz w:val="24"/>
          <w:lang w:val="en-US" w:eastAsia="zh-CN"/>
        </w:rPr>
        <w:t>18</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Style w:val="24"/>
          <w:rFonts w:hint="eastAsia" w:ascii="黑体" w:hAnsi="黑体" w:eastAsia="黑体"/>
          <w:b w:val="0"/>
          <w:bCs w:val="0"/>
        </w:rPr>
      </w:pPr>
      <w:bookmarkStart w:id="12" w:name="_Toc15377196"/>
      <w:bookmarkStart w:id="13" w:name="_Toc15396599"/>
      <w:r>
        <w:rPr>
          <w:rFonts w:ascii="仿宋" w:hAnsi="仿宋" w:eastAsia="仿宋"/>
          <w:b/>
          <w:sz w:val="24"/>
        </w:rPr>
        <w:br w:type="page"/>
      </w:r>
      <w:r>
        <w:rPr>
          <w:rStyle w:val="24"/>
          <w:rFonts w:hint="eastAsia" w:ascii="黑体" w:hAnsi="黑体" w:eastAsia="黑体" w:cstheme="minorBidi"/>
          <w:b w:val="0"/>
          <w:bCs w:val="0"/>
          <w:sz w:val="44"/>
          <w:szCs w:val="44"/>
          <w:lang w:val="en-US" w:eastAsia="zh-CN"/>
        </w:rPr>
        <w:t>第一部分</w:t>
      </w:r>
      <w:r>
        <w:rPr>
          <w:rStyle w:val="24"/>
          <w:rFonts w:hint="eastAsia" w:ascii="黑体" w:hAnsi="黑体" w:eastAsia="黑体" w:cstheme="minorBidi"/>
          <w:b w:val="0"/>
          <w:bCs w:val="0"/>
          <w:sz w:val="44"/>
          <w:szCs w:val="44"/>
        </w:rPr>
        <w:t>单位概况</w:t>
      </w:r>
      <w:bookmarkEnd w:id="12"/>
      <w:bookmarkEnd w:id="13"/>
      <w:bookmarkStart w:id="14" w:name="_Toc15396600"/>
      <w:bookmarkStart w:id="15" w:name="_Toc15377197"/>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left"/>
        <w:textAlignment w:val="auto"/>
        <w:rPr>
          <w:rFonts w:hint="eastAsia" w:ascii="黑体" w:hAnsi="黑体" w:eastAsia="黑体" w:cstheme="majorBidi"/>
          <w:b w:val="0"/>
          <w:bCs w:val="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Style w:val="24"/>
          <w:rFonts w:hint="eastAsia" w:ascii="黑体" w:hAnsi="黑体" w:eastAsia="黑体" w:cstheme="minorBidi"/>
          <w:b w:val="0"/>
          <w:bCs w:val="0"/>
          <w:sz w:val="32"/>
          <w:szCs w:val="32"/>
          <w:lang w:val="en-US" w:eastAsia="zh-CN"/>
        </w:rPr>
      </w:pPr>
      <w:r>
        <w:rPr>
          <w:rStyle w:val="24"/>
          <w:rFonts w:hint="eastAsia" w:ascii="黑体" w:hAnsi="黑体" w:eastAsia="黑体" w:cstheme="minorBidi"/>
          <w:b w:val="0"/>
          <w:bCs w:val="0"/>
          <w:sz w:val="32"/>
          <w:szCs w:val="32"/>
          <w:lang w:val="en-US" w:eastAsia="zh-CN"/>
        </w:rPr>
        <w:t>一、主要职责</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bCs/>
          <w:sz w:val="32"/>
          <w:szCs w:val="32"/>
          <w:lang w:eastAsia="zh-CN"/>
        </w:rPr>
      </w:pPr>
      <w:r>
        <w:rPr>
          <w:rFonts w:hint="eastAsia" w:ascii="仿宋" w:hAnsi="仿宋" w:eastAsia="仿宋"/>
          <w:bCs/>
          <w:sz w:val="32"/>
          <w:szCs w:val="32"/>
        </w:rPr>
        <w:t>办理公共场所、集中式供水以及二次供水、放射诊疗等卫生行政许可</w:t>
      </w:r>
      <w:r>
        <w:rPr>
          <w:rFonts w:hint="eastAsia" w:ascii="仿宋" w:hAnsi="仿宋" w:eastAsia="仿宋"/>
          <w:bCs/>
          <w:sz w:val="32"/>
          <w:szCs w:val="32"/>
          <w:lang w:val="en-US" w:eastAsia="zh-CN"/>
        </w:rPr>
        <w:t>现场审查</w:t>
      </w:r>
      <w:r>
        <w:rPr>
          <w:rFonts w:hint="eastAsia" w:ascii="仿宋" w:hAnsi="仿宋" w:eastAsia="仿宋"/>
          <w:bCs/>
          <w:sz w:val="32"/>
          <w:szCs w:val="32"/>
        </w:rPr>
        <w:t>相关事宜；依法开展公共场所、学校卫生、生活饮用水、传染病防治、医疗卫生、职业卫生、消毒产品和放射诊疗等卫生执法监督工作；依法承担辖区卫生法律法规宣传培训、卫生现场监督、重大活动卫生安全保障、各类突发公共卫生事件的应急处置等工作</w:t>
      </w:r>
      <w:r>
        <w:rPr>
          <w:rFonts w:hint="eastAsia" w:ascii="仿宋" w:hAnsi="仿宋" w:eastAsia="仿宋"/>
          <w:bCs/>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Style w:val="24"/>
          <w:rFonts w:hint="eastAsia" w:ascii="黑体" w:hAnsi="黑体" w:eastAsia="黑体" w:cstheme="minorBidi"/>
          <w:b w:val="0"/>
          <w:bCs w:val="0"/>
          <w:sz w:val="32"/>
          <w:szCs w:val="32"/>
          <w:lang w:val="en-US" w:eastAsia="zh-CN"/>
        </w:rPr>
      </w:pPr>
      <w:r>
        <w:rPr>
          <w:rStyle w:val="24"/>
          <w:rFonts w:hint="eastAsia" w:ascii="黑体" w:hAnsi="黑体" w:eastAsia="黑体" w:cstheme="minorBidi"/>
          <w:b w:val="0"/>
          <w:bCs w:val="0"/>
          <w:sz w:val="32"/>
          <w:szCs w:val="32"/>
          <w:lang w:val="en-US" w:eastAsia="zh-CN"/>
        </w:rPr>
        <w:t>二、机构设置</w:t>
      </w:r>
      <w:bookmarkEnd w:id="14"/>
      <w:bookmarkEnd w:id="15"/>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kern w:val="0"/>
          <w:sz w:val="32"/>
          <w:szCs w:val="32"/>
        </w:rPr>
      </w:pPr>
      <w:r>
        <w:rPr>
          <w:rFonts w:hint="eastAsia" w:ascii="仿宋" w:hAnsi="仿宋" w:eastAsia="仿宋"/>
          <w:bCs/>
          <w:sz w:val="32"/>
          <w:szCs w:val="32"/>
        </w:rPr>
        <w:t>西区卫生和计划生育监督执法大队为区卫生健康局所属参照公务员法管理的事业单位；内设办公室、监督一股、监督二股、监督三股4个股室。</w:t>
      </w:r>
      <w:r>
        <w:rPr>
          <w:rFonts w:ascii="仿宋" w:hAnsi="仿宋" w:eastAsia="仿宋"/>
          <w:sz w:val="32"/>
          <w:szCs w:val="32"/>
        </w:rPr>
        <w:br w:type="page"/>
      </w:r>
    </w:p>
    <w:p>
      <w:pPr>
        <w:pStyle w:val="3"/>
        <w:ind w:right="440"/>
        <w:jc w:val="center"/>
        <w:rPr>
          <w:rStyle w:val="24"/>
          <w:rFonts w:ascii="黑体" w:hAnsi="黑体" w:eastAsia="黑体"/>
          <w:b w:val="0"/>
          <w:bCs/>
        </w:rPr>
      </w:pPr>
      <w:bookmarkStart w:id="16" w:name="_Toc15396602"/>
      <w:bookmarkStart w:id="17" w:name="_Toc15377204"/>
      <w:r>
        <w:rPr>
          <w:rFonts w:hint="eastAsia" w:ascii="黑体" w:hAnsi="黑体" w:eastAsia="黑体"/>
          <w:b w:val="0"/>
        </w:rPr>
        <w:t>第二部分 2022年度</w:t>
      </w:r>
      <w:r>
        <w:rPr>
          <w:rStyle w:val="24"/>
          <w:rFonts w:hint="eastAsia" w:ascii="黑体" w:hAnsi="黑体" w:eastAsia="黑体"/>
          <w:b w:val="0"/>
          <w:bCs/>
        </w:rPr>
        <w:t>单位决算情况说明</w:t>
      </w:r>
      <w:bookmarkEnd w:id="16"/>
      <w:bookmarkEnd w:id="17"/>
    </w:p>
    <w:p/>
    <w:p>
      <w:pPr>
        <w:pStyle w:val="23"/>
        <w:numPr>
          <w:ilvl w:val="0"/>
          <w:numId w:val="1"/>
        </w:numPr>
        <w:spacing w:line="600" w:lineRule="exact"/>
        <w:ind w:firstLineChars="0"/>
        <w:outlineLvl w:val="1"/>
        <w:rPr>
          <w:rStyle w:val="25"/>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5"/>
          <w:rFonts w:hint="eastAsia" w:ascii="黑体" w:hAnsi="黑体" w:eastAsia="黑体"/>
          <w:b w:val="0"/>
        </w:rPr>
        <w:t>入支出决算总体情况说明</w:t>
      </w:r>
      <w:bookmarkEnd w:id="18"/>
      <w:bookmarkEnd w:id="19"/>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2022年度收入总计</w:t>
      </w:r>
      <w:r>
        <w:rPr>
          <w:rFonts w:hint="eastAsia" w:ascii="仿宋" w:hAnsi="仿宋" w:eastAsia="仿宋"/>
          <w:sz w:val="32"/>
          <w:szCs w:val="32"/>
          <w:lang w:val="en-US" w:eastAsia="zh-CN"/>
        </w:rPr>
        <w:t>271.16</w:t>
      </w:r>
      <w:r>
        <w:rPr>
          <w:rFonts w:hint="eastAsia" w:ascii="仿宋" w:hAnsi="仿宋" w:eastAsia="仿宋"/>
          <w:sz w:val="32"/>
          <w:szCs w:val="32"/>
        </w:rPr>
        <w:t>万元、支出总计</w:t>
      </w:r>
      <w:r>
        <w:rPr>
          <w:rFonts w:hint="eastAsia" w:ascii="仿宋" w:hAnsi="仿宋" w:eastAsia="仿宋"/>
          <w:sz w:val="32"/>
          <w:szCs w:val="32"/>
          <w:lang w:val="en-US" w:eastAsia="zh-CN"/>
        </w:rPr>
        <w:t>271.16</w:t>
      </w:r>
      <w:r>
        <w:rPr>
          <w:rFonts w:hint="eastAsia" w:ascii="仿宋" w:hAnsi="仿宋" w:eastAsia="仿宋"/>
          <w:sz w:val="32"/>
          <w:szCs w:val="32"/>
        </w:rPr>
        <w:t>万元。与2021年相比，收入总计</w:t>
      </w:r>
      <w:r>
        <w:rPr>
          <w:rFonts w:hint="eastAsia" w:ascii="仿宋" w:hAnsi="仿宋" w:eastAsia="仿宋"/>
          <w:sz w:val="32"/>
          <w:szCs w:val="32"/>
          <w:lang w:eastAsia="zh-CN"/>
        </w:rPr>
        <w:t>减少</w:t>
      </w:r>
      <w:r>
        <w:rPr>
          <w:rFonts w:hint="eastAsia" w:ascii="仿宋" w:hAnsi="仿宋" w:eastAsia="仿宋"/>
          <w:sz w:val="32"/>
          <w:szCs w:val="32"/>
          <w:lang w:val="en-US" w:eastAsia="zh-CN"/>
        </w:rPr>
        <w:t>21.66</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7.4</w:t>
      </w:r>
      <w:r>
        <w:rPr>
          <w:rFonts w:ascii="仿宋" w:hAnsi="仿宋" w:eastAsia="仿宋"/>
          <w:sz w:val="32"/>
          <w:szCs w:val="32"/>
        </w:rPr>
        <w:t>%</w:t>
      </w:r>
      <w:r>
        <w:rPr>
          <w:rFonts w:hint="eastAsia" w:ascii="仿宋" w:hAnsi="仿宋" w:eastAsia="仿宋"/>
          <w:sz w:val="32"/>
          <w:szCs w:val="32"/>
        </w:rPr>
        <w:t>；支出总计</w:t>
      </w:r>
      <w:r>
        <w:rPr>
          <w:rFonts w:hint="eastAsia" w:ascii="仿宋" w:hAnsi="仿宋" w:eastAsia="仿宋"/>
          <w:sz w:val="32"/>
          <w:szCs w:val="32"/>
          <w:lang w:eastAsia="zh-CN"/>
        </w:rPr>
        <w:t>减少</w:t>
      </w:r>
      <w:r>
        <w:rPr>
          <w:rFonts w:hint="eastAsia" w:ascii="仿宋" w:hAnsi="仿宋" w:eastAsia="仿宋"/>
          <w:sz w:val="32"/>
          <w:szCs w:val="32"/>
          <w:lang w:val="en-US" w:eastAsia="zh-CN"/>
        </w:rPr>
        <w:t>21.66</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7.4</w:t>
      </w:r>
      <w:r>
        <w:rPr>
          <w:rFonts w:ascii="仿宋" w:hAnsi="仿宋" w:eastAsia="仿宋"/>
          <w:sz w:val="32"/>
          <w:szCs w:val="32"/>
        </w:rPr>
        <w:t>%</w:t>
      </w:r>
      <w:r>
        <w:rPr>
          <w:rFonts w:hint="eastAsia" w:ascii="仿宋" w:hAnsi="仿宋" w:eastAsia="仿宋"/>
          <w:sz w:val="32"/>
          <w:szCs w:val="32"/>
        </w:rPr>
        <w:t>。主要变动原因是</w:t>
      </w:r>
      <w:r>
        <w:rPr>
          <w:rFonts w:hint="eastAsia" w:eastAsia="仿宋_GB2312"/>
          <w:sz w:val="32"/>
          <w:szCs w:val="32"/>
        </w:rPr>
        <w:t>人员经费及基本公共卫生等经费</w:t>
      </w:r>
      <w:r>
        <w:rPr>
          <w:rFonts w:hint="eastAsia" w:eastAsia="仿宋_GB2312"/>
          <w:sz w:val="32"/>
          <w:szCs w:val="32"/>
          <w:lang w:eastAsia="zh-CN"/>
        </w:rPr>
        <w:t>减少</w:t>
      </w:r>
      <w:r>
        <w:rPr>
          <w:rFonts w:hint="eastAsia" w:ascii="仿宋" w:hAnsi="仿宋" w:eastAsia="仿宋"/>
          <w:sz w:val="32"/>
          <w:szCs w:val="32"/>
        </w:rPr>
        <w:t>。</w:t>
      </w:r>
    </w:p>
    <w:p>
      <w:pPr>
        <w:pStyle w:val="2"/>
        <w:jc w:val="cente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3"/>
        <w:numPr>
          <w:ilvl w:val="0"/>
          <w:numId w:val="1"/>
        </w:numPr>
        <w:spacing w:line="600" w:lineRule="exact"/>
        <w:ind w:firstLineChars="0"/>
        <w:outlineLvl w:val="1"/>
        <w:rPr>
          <w:rStyle w:val="25"/>
          <w:rFonts w:ascii="黑体" w:hAnsi="黑体" w:eastAsia="黑体"/>
          <w:b w:val="0"/>
        </w:rPr>
      </w:pPr>
      <w:r>
        <w:drawing>
          <wp:anchor distT="0" distB="0" distL="0" distR="0" simplePos="0" relativeHeight="251659264" behindDoc="0" locked="0" layoutInCell="1" allowOverlap="1">
            <wp:simplePos x="0" y="0"/>
            <wp:positionH relativeFrom="column">
              <wp:posOffset>675005</wp:posOffset>
            </wp:positionH>
            <wp:positionV relativeFrom="paragraph">
              <wp:posOffset>16510</wp:posOffset>
            </wp:positionV>
            <wp:extent cx="3989070" cy="2470785"/>
            <wp:effectExtent l="4445" t="5080" r="6985" b="1968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Start w:id="20" w:name="_Toc15396604"/>
      <w:bookmarkStart w:id="21" w:name="_Toc15377206"/>
      <w:r>
        <w:rPr>
          <w:rFonts w:hint="eastAsia" w:ascii="黑体" w:hAnsi="黑体" w:eastAsia="黑体"/>
          <w:sz w:val="32"/>
          <w:szCs w:val="32"/>
        </w:rPr>
        <w:t>收</w:t>
      </w:r>
      <w:r>
        <w:rPr>
          <w:rStyle w:val="25"/>
          <w:rFonts w:hint="eastAsia" w:ascii="黑体" w:hAnsi="黑体" w:eastAsia="黑体"/>
          <w:b w:val="0"/>
        </w:rPr>
        <w:t>入决算情况说明</w:t>
      </w:r>
      <w:bookmarkEnd w:id="20"/>
      <w:bookmarkEnd w:id="21"/>
    </w:p>
    <w:p>
      <w:pPr>
        <w:spacing w:line="600" w:lineRule="exact"/>
        <w:ind w:firstLine="640" w:firstLineChars="20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w:t>
      </w:r>
      <w:r>
        <w:rPr>
          <w:rFonts w:hint="eastAsia" w:ascii="仿宋" w:hAnsi="仿宋" w:eastAsia="仿宋"/>
          <w:sz w:val="32"/>
          <w:szCs w:val="32"/>
          <w:lang w:val="en-US" w:eastAsia="zh-CN"/>
        </w:rPr>
        <w:t>177.5</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177.5</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pStyle w:val="2"/>
        <w:rPr>
          <w:rFonts w:hint="eastAsia"/>
        </w:rPr>
      </w:pPr>
    </w:p>
    <w:p>
      <w:pPr>
        <w:pStyle w:val="2"/>
        <w:jc w:val="center"/>
        <w:rPr>
          <w:rFonts w:hint="eastAsia"/>
        </w:rPr>
      </w:pPr>
      <w:r>
        <w:rPr>
          <w:rFonts w:hint="eastAsia" w:ascii="仿宋" w:hAnsi="仿宋" w:eastAsia="仿宋"/>
          <w:sz w:val="32"/>
          <w:szCs w:val="32"/>
        </w:rPr>
        <w:t>（图2：收入决算结构图）</w:t>
      </w:r>
    </w:p>
    <w:p>
      <w:pPr>
        <w:pStyle w:val="23"/>
        <w:numPr>
          <w:ilvl w:val="0"/>
          <w:numId w:val="1"/>
        </w:numPr>
        <w:spacing w:line="600" w:lineRule="exact"/>
        <w:ind w:firstLineChars="0"/>
        <w:outlineLvl w:val="1"/>
        <w:rPr>
          <w:rStyle w:val="25"/>
          <w:rFonts w:ascii="黑体" w:hAnsi="黑体" w:eastAsia="黑体"/>
          <w:b w:val="0"/>
        </w:rPr>
      </w:pPr>
      <w:r>
        <w:drawing>
          <wp:anchor distT="0" distB="0" distL="0" distR="0" simplePos="0" relativeHeight="251660288" behindDoc="0" locked="0" layoutInCell="1" allowOverlap="1">
            <wp:simplePos x="0" y="0"/>
            <wp:positionH relativeFrom="column">
              <wp:posOffset>699770</wp:posOffset>
            </wp:positionH>
            <wp:positionV relativeFrom="paragraph">
              <wp:posOffset>19685</wp:posOffset>
            </wp:positionV>
            <wp:extent cx="3703955" cy="1877695"/>
            <wp:effectExtent l="4445" t="5080" r="6350" b="22225"/>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bookmarkStart w:id="22" w:name="_Toc15396605"/>
      <w:bookmarkStart w:id="23" w:name="_Toc15377207"/>
      <w:r>
        <w:rPr>
          <w:rFonts w:hint="eastAsia" w:ascii="黑体" w:hAnsi="黑体" w:eastAsia="黑体"/>
          <w:sz w:val="32"/>
          <w:szCs w:val="32"/>
        </w:rPr>
        <w:t>支</w:t>
      </w:r>
      <w:r>
        <w:rPr>
          <w:rStyle w:val="25"/>
          <w:rFonts w:hint="eastAsia" w:ascii="黑体" w:hAnsi="黑体" w:eastAsia="黑体"/>
          <w:b w:val="0"/>
        </w:rPr>
        <w:t>出决算情况说明</w:t>
      </w:r>
      <w:bookmarkEnd w:id="22"/>
      <w:bookmarkEnd w:id="23"/>
    </w:p>
    <w:p>
      <w:pPr>
        <w:pStyle w:val="2"/>
        <w:ind w:firstLine="640" w:firstLineChars="20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w:t>
      </w:r>
      <w:r>
        <w:rPr>
          <w:rFonts w:hint="eastAsia" w:ascii="仿宋" w:hAnsi="仿宋" w:eastAsia="仿宋"/>
          <w:sz w:val="32"/>
          <w:szCs w:val="32"/>
          <w:lang w:val="en-US" w:eastAsia="zh-CN"/>
        </w:rPr>
        <w:t>177.5</w:t>
      </w:r>
      <w:r>
        <w:rPr>
          <w:rFonts w:hint="eastAsia" w:ascii="仿宋" w:hAnsi="仿宋" w:eastAsia="仿宋"/>
          <w:sz w:val="32"/>
          <w:szCs w:val="32"/>
        </w:rPr>
        <w:t>万元，其中：基本支出</w:t>
      </w:r>
      <w:r>
        <w:rPr>
          <w:rFonts w:hint="eastAsia" w:ascii="仿宋" w:hAnsi="仿宋" w:eastAsia="仿宋"/>
          <w:sz w:val="32"/>
          <w:szCs w:val="32"/>
          <w:lang w:val="en-US" w:eastAsia="zh-CN"/>
        </w:rPr>
        <w:t>166.81</w:t>
      </w:r>
      <w:r>
        <w:rPr>
          <w:rFonts w:hint="eastAsia" w:ascii="仿宋" w:hAnsi="仿宋" w:eastAsia="仿宋"/>
          <w:sz w:val="32"/>
          <w:szCs w:val="32"/>
        </w:rPr>
        <w:t>万元，占</w:t>
      </w:r>
      <w:r>
        <w:rPr>
          <w:rFonts w:hint="eastAsia" w:ascii="仿宋" w:hAnsi="仿宋" w:eastAsia="仿宋"/>
          <w:sz w:val="32"/>
          <w:szCs w:val="32"/>
          <w:lang w:val="en-US" w:eastAsia="zh-CN"/>
        </w:rPr>
        <w:t>93.98</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10.69</w:t>
      </w:r>
      <w:r>
        <w:rPr>
          <w:rFonts w:hint="eastAsia" w:ascii="仿宋" w:hAnsi="仿宋" w:eastAsia="仿宋"/>
          <w:sz w:val="32"/>
          <w:szCs w:val="32"/>
        </w:rPr>
        <w:t>万元，占</w:t>
      </w:r>
      <w:r>
        <w:rPr>
          <w:rFonts w:hint="eastAsia" w:ascii="仿宋" w:hAnsi="仿宋" w:eastAsia="仿宋"/>
          <w:sz w:val="32"/>
          <w:szCs w:val="32"/>
          <w:lang w:val="en-US" w:eastAsia="zh-CN"/>
        </w:rPr>
        <w:t>6.02</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pStyle w:val="2"/>
        <w:jc w:val="center"/>
        <w:rPr>
          <w:color w:val="000000" w:themeColor="text1"/>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w:t>
      </w:r>
    </w:p>
    <w:p>
      <w:pPr>
        <w:spacing w:line="600" w:lineRule="exact"/>
        <w:rPr>
          <w:rFonts w:ascii="仿宋_GB2312" w:eastAsia="仿宋_GB2312"/>
          <w:sz w:val="32"/>
          <w:szCs w:val="32"/>
        </w:rPr>
      </w:pPr>
      <w:r>
        <w:rPr>
          <w:rFonts w:hint="eastAsia" w:eastAsia="仿宋_GB2312"/>
          <w:lang w:eastAsia="zh-CN"/>
        </w:rPr>
        <w:drawing>
          <wp:anchor distT="0" distB="0" distL="114300" distR="114300" simplePos="0" relativeHeight="251661312" behindDoc="0" locked="0" layoutInCell="1" allowOverlap="1">
            <wp:simplePos x="0" y="0"/>
            <wp:positionH relativeFrom="column">
              <wp:posOffset>828675</wp:posOffset>
            </wp:positionH>
            <wp:positionV relativeFrom="paragraph">
              <wp:posOffset>115570</wp:posOffset>
            </wp:positionV>
            <wp:extent cx="3898900" cy="2477135"/>
            <wp:effectExtent l="4445" t="4445" r="20955" b="1397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numPr>
          <w:ilvl w:val="0"/>
          <w:numId w:val="1"/>
        </w:numPr>
        <w:spacing w:line="600" w:lineRule="exact"/>
        <w:ind w:left="1360" w:leftChars="0" w:hanging="720" w:firstLineChars="0"/>
        <w:outlineLvl w:val="1"/>
        <w:rPr>
          <w:rStyle w:val="25"/>
          <w:rFonts w:hint="eastAsia" w:ascii="黑体" w:hAnsi="黑体" w:eastAsia="黑体"/>
          <w:b w:val="0"/>
        </w:rPr>
      </w:pPr>
      <w:bookmarkStart w:id="24" w:name="_Toc15377208"/>
      <w:bookmarkStart w:id="25" w:name="_Toc15396606"/>
      <w:r>
        <w:rPr>
          <w:rFonts w:hint="eastAsia" w:ascii="黑体" w:hAnsi="黑体" w:eastAsia="黑体"/>
          <w:sz w:val="32"/>
          <w:szCs w:val="32"/>
        </w:rPr>
        <w:t>财</w:t>
      </w:r>
      <w:r>
        <w:rPr>
          <w:rStyle w:val="25"/>
          <w:rFonts w:hint="eastAsia" w:ascii="黑体" w:hAnsi="黑体" w:eastAsia="黑体"/>
          <w:b w:val="0"/>
        </w:rPr>
        <w:t>政拨款收入支出决算总体情况说明</w:t>
      </w:r>
      <w:bookmarkEnd w:id="24"/>
      <w:bookmarkEnd w:id="25"/>
    </w:p>
    <w:p>
      <w:pPr>
        <w:pStyle w:val="2"/>
        <w:numPr>
          <w:ilvl w:val="0"/>
          <w:numId w:val="0"/>
        </w:numPr>
      </w:pPr>
    </w:p>
    <w:p>
      <w:pPr>
        <w:spacing w:line="600" w:lineRule="exact"/>
        <w:ind w:firstLine="640" w:firstLineChars="200"/>
      </w:pPr>
      <w:r>
        <w:rPr>
          <w:rFonts w:hint="eastAsia" w:eastAsia="仿宋_GB2312"/>
          <w:sz w:val="32"/>
          <w:szCs w:val="32"/>
        </w:rPr>
        <w:drawing>
          <wp:anchor distT="0" distB="0" distL="0" distR="0" simplePos="0" relativeHeight="251662336" behindDoc="0" locked="0" layoutInCell="1" allowOverlap="1">
            <wp:simplePos x="0" y="0"/>
            <wp:positionH relativeFrom="column">
              <wp:posOffset>589280</wp:posOffset>
            </wp:positionH>
            <wp:positionV relativeFrom="paragraph">
              <wp:posOffset>2162175</wp:posOffset>
            </wp:positionV>
            <wp:extent cx="3980180" cy="2133600"/>
            <wp:effectExtent l="4445" t="4445" r="15875" b="14605"/>
            <wp:wrapTopAndBottom/>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仿宋" w:hAnsi="仿宋" w:eastAsia="仿宋"/>
          <w:sz w:val="32"/>
          <w:szCs w:val="32"/>
        </w:rPr>
        <w:t>20</w:t>
      </w:r>
      <w:r>
        <w:rPr>
          <w:rFonts w:hint="eastAsia" w:ascii="仿宋" w:hAnsi="仿宋" w:eastAsia="仿宋"/>
          <w:sz w:val="32"/>
          <w:szCs w:val="32"/>
        </w:rPr>
        <w:t>22年财政拨款收入总计</w:t>
      </w:r>
      <w:r>
        <w:rPr>
          <w:rFonts w:hint="eastAsia" w:ascii="仿宋" w:hAnsi="仿宋" w:eastAsia="仿宋"/>
          <w:sz w:val="32"/>
          <w:szCs w:val="32"/>
          <w:lang w:val="en-US" w:eastAsia="zh-CN"/>
        </w:rPr>
        <w:t>277.16</w:t>
      </w:r>
      <w:r>
        <w:rPr>
          <w:rFonts w:hint="eastAsia" w:ascii="仿宋" w:hAnsi="仿宋" w:eastAsia="仿宋"/>
          <w:sz w:val="32"/>
          <w:szCs w:val="32"/>
        </w:rPr>
        <w:t>万元、支出总计</w:t>
      </w:r>
      <w:r>
        <w:rPr>
          <w:rFonts w:hint="eastAsia" w:ascii="仿宋" w:hAnsi="仿宋" w:eastAsia="仿宋"/>
          <w:sz w:val="32"/>
          <w:szCs w:val="32"/>
          <w:lang w:val="en-US" w:eastAsia="zh-CN"/>
        </w:rPr>
        <w:t>277.16</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21年相比，财政拨款收入总计</w:t>
      </w:r>
      <w:r>
        <w:rPr>
          <w:rFonts w:hint="eastAsia" w:ascii="仿宋" w:hAnsi="仿宋" w:eastAsia="仿宋"/>
          <w:sz w:val="32"/>
          <w:szCs w:val="32"/>
          <w:lang w:eastAsia="zh-CN"/>
        </w:rPr>
        <w:t>减少</w:t>
      </w:r>
      <w:r>
        <w:rPr>
          <w:rFonts w:hint="eastAsia" w:ascii="仿宋" w:hAnsi="仿宋" w:eastAsia="仿宋"/>
          <w:sz w:val="32"/>
          <w:szCs w:val="32"/>
          <w:lang w:val="en-US" w:eastAsia="zh-CN"/>
        </w:rPr>
        <w:t>21.66</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7.4</w:t>
      </w:r>
      <w:r>
        <w:rPr>
          <w:rFonts w:ascii="仿宋" w:hAnsi="仿宋" w:eastAsia="仿宋"/>
          <w:sz w:val="32"/>
          <w:szCs w:val="32"/>
        </w:rPr>
        <w:t>%</w:t>
      </w:r>
      <w:r>
        <w:rPr>
          <w:rFonts w:hint="eastAsia" w:ascii="仿宋" w:hAnsi="仿宋" w:eastAsia="仿宋"/>
          <w:sz w:val="32"/>
          <w:szCs w:val="32"/>
        </w:rPr>
        <w:t>；支出总计</w:t>
      </w:r>
      <w:r>
        <w:rPr>
          <w:rFonts w:hint="eastAsia" w:ascii="仿宋" w:hAnsi="仿宋" w:eastAsia="仿宋"/>
          <w:sz w:val="32"/>
          <w:szCs w:val="32"/>
          <w:lang w:eastAsia="zh-CN"/>
        </w:rPr>
        <w:t>减少</w:t>
      </w:r>
      <w:r>
        <w:rPr>
          <w:rFonts w:hint="eastAsia" w:ascii="仿宋" w:hAnsi="仿宋" w:eastAsia="仿宋"/>
          <w:sz w:val="32"/>
          <w:szCs w:val="32"/>
          <w:lang w:val="en-US" w:eastAsia="zh-CN"/>
        </w:rPr>
        <w:t>21.66</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7.4</w:t>
      </w:r>
      <w:r>
        <w:rPr>
          <w:rFonts w:ascii="仿宋" w:hAnsi="仿宋" w:eastAsia="仿宋"/>
          <w:sz w:val="32"/>
          <w:szCs w:val="32"/>
        </w:rPr>
        <w:t>%</w:t>
      </w:r>
      <w:r>
        <w:rPr>
          <w:rFonts w:hint="eastAsia" w:ascii="仿宋" w:hAnsi="仿宋" w:eastAsia="仿宋"/>
          <w:sz w:val="32"/>
          <w:szCs w:val="32"/>
        </w:rPr>
        <w:t>。主要变动原因是</w:t>
      </w:r>
      <w:r>
        <w:rPr>
          <w:rFonts w:hint="eastAsia" w:eastAsia="仿宋_GB2312"/>
          <w:sz w:val="32"/>
          <w:szCs w:val="32"/>
        </w:rPr>
        <w:t>人员经费及基本公共卫生等经费</w:t>
      </w:r>
      <w:r>
        <w:rPr>
          <w:rFonts w:hint="eastAsia" w:eastAsia="仿宋_GB2312"/>
          <w:sz w:val="32"/>
          <w:szCs w:val="32"/>
          <w:lang w:eastAsia="zh-CN"/>
        </w:rPr>
        <w:t>减少</w:t>
      </w:r>
      <w:r>
        <w:rPr>
          <w:rFonts w:hint="eastAsia" w:ascii="仿宋" w:hAnsi="仿宋" w:eastAsia="仿宋"/>
          <w:sz w:val="32"/>
          <w:szCs w:val="32"/>
        </w:rPr>
        <w:t>。</w:t>
      </w:r>
    </w:p>
    <w:p>
      <w:pPr>
        <w:spacing w:line="600" w:lineRule="exact"/>
        <w:ind w:firstLine="640" w:firstLineChars="200"/>
        <w:jc w:val="center"/>
        <w:rPr>
          <w:rFonts w:ascii="仿宋" w:hAnsi="仿宋" w:eastAsia="仿宋"/>
          <w:b/>
          <w:sz w:val="32"/>
          <w:szCs w:val="32"/>
        </w:rPr>
      </w:pPr>
      <w:r>
        <w:rPr>
          <w:rFonts w:hint="eastAsia" w:ascii="仿宋" w:hAnsi="仿宋" w:eastAsia="仿宋"/>
          <w:sz w:val="32"/>
          <w:szCs w:val="32"/>
        </w:rPr>
        <w:t>（图4：财政拨款收、支决算总计变动情况）</w:t>
      </w:r>
    </w:p>
    <w:p>
      <w:pPr>
        <w:spacing w:line="600" w:lineRule="exact"/>
        <w:ind w:firstLine="640" w:firstLineChars="200"/>
        <w:outlineLvl w:val="1"/>
        <w:rPr>
          <w:rStyle w:val="25"/>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hint="eastAsia" w:eastAsia="仿宋_GB2312"/>
          <w:sz w:val="32"/>
          <w:szCs w:val="32"/>
          <w:lang w:eastAsia="zh-CN"/>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177.5</w:t>
      </w:r>
      <w:r>
        <w:rPr>
          <w:rFonts w:hint="eastAsia" w:ascii="仿宋" w:hAnsi="仿宋" w:eastAsia="仿宋"/>
          <w:sz w:val="32"/>
          <w:szCs w:val="32"/>
        </w:rPr>
        <w:t>万元，占本年支出合计的</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21年相比，一般公共预算财政拨款支出减少</w:t>
      </w:r>
      <w:r>
        <w:rPr>
          <w:rFonts w:hint="eastAsia" w:ascii="仿宋" w:hAnsi="仿宋" w:eastAsia="仿宋"/>
          <w:sz w:val="32"/>
          <w:szCs w:val="32"/>
          <w:lang w:val="en-US" w:eastAsia="zh-CN"/>
        </w:rPr>
        <w:t>21.66</w:t>
      </w:r>
      <w:r>
        <w:rPr>
          <w:rFonts w:hint="eastAsia" w:ascii="仿宋" w:hAnsi="仿宋" w:eastAsia="仿宋"/>
          <w:sz w:val="32"/>
          <w:szCs w:val="32"/>
        </w:rPr>
        <w:t>万元，下降</w:t>
      </w:r>
      <w:r>
        <w:rPr>
          <w:rFonts w:hint="eastAsia" w:ascii="仿宋" w:hAnsi="仿宋" w:eastAsia="仿宋"/>
          <w:sz w:val="32"/>
          <w:szCs w:val="32"/>
          <w:lang w:val="en-US" w:eastAsia="zh-CN"/>
        </w:rPr>
        <w:t>10.88</w:t>
      </w:r>
      <w:r>
        <w:rPr>
          <w:rFonts w:ascii="仿宋" w:hAnsi="仿宋" w:eastAsia="仿宋"/>
          <w:sz w:val="32"/>
          <w:szCs w:val="32"/>
        </w:rPr>
        <w:t>%</w:t>
      </w:r>
      <w:r>
        <w:rPr>
          <w:rFonts w:hint="eastAsia" w:ascii="仿宋" w:hAnsi="仿宋" w:eastAsia="仿宋"/>
          <w:sz w:val="32"/>
          <w:szCs w:val="32"/>
        </w:rPr>
        <w:t>。主要变动原因是</w:t>
      </w:r>
      <w:r>
        <w:rPr>
          <w:rFonts w:hint="eastAsia" w:eastAsia="仿宋_GB2312"/>
          <w:sz w:val="32"/>
          <w:szCs w:val="32"/>
        </w:rPr>
        <w:t>人员经费及基本公共卫生项目等经费</w:t>
      </w:r>
      <w:r>
        <w:rPr>
          <w:rFonts w:hint="eastAsia" w:eastAsia="仿宋_GB2312"/>
          <w:sz w:val="32"/>
          <w:szCs w:val="32"/>
          <w:lang w:eastAsia="zh-CN"/>
        </w:rPr>
        <w:t>减少。</w:t>
      </w:r>
    </w:p>
    <w:p>
      <w:pPr>
        <w:pStyle w:val="2"/>
        <w:jc w:val="center"/>
        <w:rPr>
          <w:rFonts w:hint="eastAsia"/>
          <w:lang w:eastAsia="zh-CN"/>
        </w:rPr>
      </w:pPr>
      <w:r>
        <w:rPr>
          <w:rFonts w:hint="eastAsia" w:ascii="仿宋" w:hAnsi="仿宋" w:eastAsia="仿宋"/>
          <w:sz w:val="32"/>
          <w:szCs w:val="32"/>
        </w:rPr>
        <w:t>（图5：一般公共预算财政拨款支出决算变动情况）</w:t>
      </w:r>
    </w:p>
    <w:p>
      <w:pPr>
        <w:spacing w:line="600" w:lineRule="exact"/>
        <w:ind w:firstLine="420" w:firstLineChars="200"/>
        <w:outlineLvl w:val="2"/>
        <w:rPr>
          <w:rFonts w:ascii="仿宋" w:hAnsi="仿宋" w:eastAsia="仿宋"/>
          <w:b/>
          <w:sz w:val="32"/>
          <w:szCs w:val="32"/>
        </w:rPr>
      </w:pPr>
      <w:r>
        <w:drawing>
          <wp:anchor distT="0" distB="0" distL="0" distR="0" simplePos="0" relativeHeight="251663360" behindDoc="0" locked="0" layoutInCell="1" allowOverlap="1">
            <wp:simplePos x="0" y="0"/>
            <wp:positionH relativeFrom="column">
              <wp:posOffset>675640</wp:posOffset>
            </wp:positionH>
            <wp:positionV relativeFrom="paragraph">
              <wp:posOffset>154305</wp:posOffset>
            </wp:positionV>
            <wp:extent cx="3725545" cy="2174240"/>
            <wp:effectExtent l="4445" t="4445" r="22860" b="1206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firstLineChars="20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177.5</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5.95</w:t>
      </w:r>
      <w:r>
        <w:rPr>
          <w:rFonts w:hint="eastAsia" w:ascii="仿宋" w:hAnsi="仿宋" w:eastAsia="仿宋"/>
          <w:sz w:val="32"/>
          <w:szCs w:val="32"/>
        </w:rPr>
        <w:t>万元，占</w:t>
      </w:r>
      <w:r>
        <w:rPr>
          <w:rFonts w:hint="eastAsia" w:ascii="仿宋" w:hAnsi="仿宋" w:eastAsia="仿宋"/>
          <w:sz w:val="32"/>
          <w:szCs w:val="32"/>
          <w:lang w:val="en-US" w:eastAsia="zh-CN"/>
        </w:rPr>
        <w:t>3.35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164.35</w:t>
      </w:r>
      <w:r>
        <w:rPr>
          <w:rFonts w:hint="eastAsia" w:ascii="仿宋" w:hAnsi="仿宋" w:eastAsia="仿宋"/>
          <w:sz w:val="32"/>
          <w:szCs w:val="32"/>
        </w:rPr>
        <w:t>万元，占</w:t>
      </w:r>
      <w:r>
        <w:rPr>
          <w:rFonts w:hint="eastAsia" w:ascii="仿宋" w:hAnsi="仿宋" w:eastAsia="仿宋"/>
          <w:sz w:val="32"/>
          <w:szCs w:val="32"/>
          <w:lang w:val="en-US" w:eastAsia="zh-CN"/>
        </w:rPr>
        <w:t>92.59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7.2</w:t>
      </w:r>
      <w:r>
        <w:rPr>
          <w:rFonts w:hint="eastAsia" w:ascii="仿宋" w:hAnsi="仿宋" w:eastAsia="仿宋"/>
          <w:sz w:val="32"/>
          <w:szCs w:val="32"/>
        </w:rPr>
        <w:t>万元，占</w:t>
      </w:r>
      <w:r>
        <w:rPr>
          <w:rFonts w:hint="eastAsia" w:ascii="仿宋" w:hAnsi="仿宋" w:eastAsia="仿宋"/>
          <w:sz w:val="32"/>
          <w:szCs w:val="32"/>
          <w:lang w:val="en-US" w:eastAsia="zh-CN"/>
        </w:rPr>
        <w:t>4.06</w:t>
      </w:r>
      <w:r>
        <w:rPr>
          <w:rFonts w:ascii="仿宋" w:hAnsi="仿宋" w:eastAsia="仿宋"/>
          <w:sz w:val="32"/>
          <w:szCs w:val="32"/>
        </w:rPr>
        <w:t>%</w:t>
      </w:r>
      <w:r>
        <w:rPr>
          <w:rFonts w:hint="eastAsia" w:ascii="仿宋" w:hAnsi="仿宋" w:eastAsia="仿宋"/>
          <w:sz w:val="32"/>
          <w:szCs w:val="32"/>
        </w:rPr>
        <w:t>。</w:t>
      </w:r>
    </w:p>
    <w:p>
      <w:pPr>
        <w:pStyle w:val="2"/>
        <w:jc w:val="center"/>
      </w:pPr>
      <w:r>
        <w:rPr>
          <w:rFonts w:hint="eastAsia" w:ascii="仿宋" w:hAnsi="仿宋" w:eastAsia="仿宋"/>
          <w:sz w:val="32"/>
          <w:szCs w:val="32"/>
        </w:rPr>
        <w:t>（图6：一般公共预算财政拨款支出决算结构）</w:t>
      </w:r>
    </w:p>
    <w:p>
      <w:pPr>
        <w:spacing w:line="600" w:lineRule="exact"/>
        <w:ind w:firstLine="420" w:firstLineChars="200"/>
        <w:outlineLvl w:val="2"/>
        <w:rPr>
          <w:rFonts w:ascii="仿宋" w:hAnsi="仿宋" w:eastAsia="仿宋"/>
          <w:b/>
          <w:color w:val="000000" w:themeColor="text1"/>
          <w:sz w:val="32"/>
          <w:szCs w:val="32"/>
          <w14:textFill>
            <w14:solidFill>
              <w14:schemeClr w14:val="tx1"/>
            </w14:solidFill>
          </w14:textFill>
        </w:rPr>
      </w:pPr>
      <w:r>
        <w:rPr>
          <w:rFonts w:hint="eastAsia"/>
          <w:color w:val="000000" w:themeColor="text1"/>
          <w14:textFill>
            <w14:solidFill>
              <w14:schemeClr w14:val="tx1"/>
            </w14:solidFill>
          </w14:textFill>
        </w:rPr>
        <w:drawing>
          <wp:anchor distT="0" distB="0" distL="0" distR="0" simplePos="0" relativeHeight="251664384" behindDoc="0" locked="0" layoutInCell="1" allowOverlap="1">
            <wp:simplePos x="0" y="0"/>
            <wp:positionH relativeFrom="column">
              <wp:posOffset>581025</wp:posOffset>
            </wp:positionH>
            <wp:positionV relativeFrom="paragraph">
              <wp:posOffset>196850</wp:posOffset>
            </wp:positionV>
            <wp:extent cx="3992245" cy="2273300"/>
            <wp:effectExtent l="4445" t="4445" r="22860" b="825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bookmarkStart w:id="30" w:name="_Toc15377212"/>
      <w:bookmarkStart w:id="31" w:name="_Toc15378460"/>
      <w:bookmarkStart w:id="32" w:name="_Toc15377213"/>
      <w:bookmarkStart w:id="33" w:name="_Toc15377444"/>
      <w:r>
        <w:rPr>
          <w:rFonts w:hint="eastAsia" w:ascii="仿宋" w:hAnsi="仿宋" w:eastAsia="仿宋"/>
          <w:b/>
          <w:color w:val="000000" w:themeColor="text1"/>
          <w:sz w:val="32"/>
          <w:szCs w:val="32"/>
          <w14:textFill>
            <w14:solidFill>
              <w14:schemeClr w14:val="tx1"/>
            </w14:solidFill>
          </w14:textFill>
        </w:rPr>
        <w:t>（三）一般公共预算财政拨款支出决算具体情况</w:t>
      </w:r>
      <w:bookmarkEnd w:id="30"/>
    </w:p>
    <w:p>
      <w:pPr>
        <w:spacing w:line="600" w:lineRule="exact"/>
        <w:ind w:firstLine="643" w:firstLineChars="200"/>
        <w:rPr>
          <w:rStyle w:val="14"/>
          <w:rFonts w:hint="eastAsia" w:ascii="仿宋" w:hAnsi="仿宋" w:eastAsia="仿宋"/>
          <w:bCs/>
          <w:sz w:val="32"/>
          <w:szCs w:val="32"/>
          <w:lang w:val="en-US" w:eastAsia="zh-CN"/>
        </w:rPr>
      </w:pPr>
      <w:r>
        <w:rPr>
          <w:rFonts w:hint="eastAsia" w:ascii="仿宋" w:hAnsi="仿宋" w:eastAsia="仿宋"/>
          <w:b/>
          <w:sz w:val="32"/>
          <w:szCs w:val="32"/>
        </w:rPr>
        <w:t>2022年一般公共预算支出决算数为</w:t>
      </w:r>
      <w:r>
        <w:rPr>
          <w:rFonts w:hint="eastAsia" w:ascii="仿宋" w:hAnsi="仿宋" w:eastAsia="仿宋"/>
          <w:b/>
          <w:sz w:val="32"/>
          <w:szCs w:val="32"/>
          <w:lang w:val="en-US" w:eastAsia="zh-CN"/>
        </w:rPr>
        <w:t>177.5</w:t>
      </w:r>
      <w:r>
        <w:rPr>
          <w:rFonts w:hint="eastAsia" w:ascii="仿宋" w:hAnsi="仿宋" w:eastAsia="仿宋"/>
          <w:sz w:val="32"/>
          <w:szCs w:val="32"/>
        </w:rPr>
        <w:t>，</w:t>
      </w:r>
      <w:r>
        <w:rPr>
          <w:rStyle w:val="14"/>
          <w:rFonts w:hint="eastAsia" w:ascii="仿宋" w:hAnsi="仿宋" w:eastAsia="仿宋"/>
          <w:bCs/>
          <w:sz w:val="32"/>
          <w:szCs w:val="32"/>
        </w:rPr>
        <w:t>完成预算</w:t>
      </w:r>
      <w:r>
        <w:rPr>
          <w:rStyle w:val="14"/>
          <w:rFonts w:hint="eastAsia" w:ascii="仿宋" w:hAnsi="仿宋" w:eastAsia="仿宋"/>
          <w:bCs/>
          <w:sz w:val="32"/>
          <w:szCs w:val="32"/>
          <w:lang w:val="en-US" w:eastAsia="zh-CN"/>
        </w:rPr>
        <w:t>100</w:t>
      </w:r>
      <w:r>
        <w:rPr>
          <w:rStyle w:val="14"/>
          <w:rFonts w:ascii="仿宋" w:hAnsi="仿宋" w:eastAsia="仿宋"/>
          <w:bCs/>
          <w:sz w:val="32"/>
          <w:szCs w:val="32"/>
        </w:rPr>
        <w:t>%</w:t>
      </w:r>
      <w:r>
        <w:rPr>
          <w:rStyle w:val="14"/>
          <w:rFonts w:hint="eastAsia" w:ascii="仿宋" w:hAnsi="仿宋" w:eastAsia="仿宋"/>
          <w:bCs/>
          <w:sz w:val="32"/>
          <w:szCs w:val="32"/>
        </w:rPr>
        <w:t>。其中：</w:t>
      </w:r>
      <w:bookmarkEnd w:id="31"/>
      <w:bookmarkEnd w:id="32"/>
      <w:bookmarkEnd w:id="33"/>
      <w:r>
        <w:rPr>
          <w:rStyle w:val="14"/>
          <w:rFonts w:hint="eastAsia" w:ascii="仿宋" w:hAnsi="仿宋" w:eastAsia="仿宋"/>
          <w:bCs/>
          <w:sz w:val="32"/>
          <w:szCs w:val="32"/>
          <w:lang w:val="en-US" w:eastAsia="zh-CN"/>
        </w:rPr>
        <w:t xml:space="preserve"> </w:t>
      </w:r>
    </w:p>
    <w:p>
      <w:pPr>
        <w:numPr>
          <w:ilvl w:val="-1"/>
          <w:numId w:val="0"/>
        </w:numPr>
        <w:spacing w:line="600" w:lineRule="exact"/>
        <w:ind w:firstLine="643" w:firstLineChars="200"/>
        <w:rPr>
          <w:rFonts w:hint="eastAsia" w:ascii="仿宋" w:hAnsi="仿宋" w:eastAsia="仿宋"/>
          <w:sz w:val="32"/>
          <w:szCs w:val="32"/>
          <w:lang w:eastAsia="zh-CN"/>
        </w:rPr>
      </w:pPr>
      <w:r>
        <w:rPr>
          <w:rStyle w:val="14"/>
          <w:rFonts w:hint="eastAsia" w:ascii="仿宋_GB2312" w:hAnsi="仿宋" w:eastAsia="仿宋_GB2312"/>
          <w:bCs/>
          <w:color w:val="000000"/>
          <w:sz w:val="32"/>
          <w:szCs w:val="32"/>
        </w:rPr>
        <w:t>社会保障和就业</w:t>
      </w:r>
      <w:r>
        <w:rPr>
          <w:rStyle w:val="14"/>
          <w:rFonts w:hint="eastAsia" w:ascii="仿宋_GB2312" w:hAnsi="仿宋" w:eastAsia="仿宋_GB2312"/>
          <w:bCs/>
          <w:color w:val="000000"/>
          <w:sz w:val="32"/>
          <w:szCs w:val="32"/>
          <w:lang w:eastAsia="zh-CN"/>
        </w:rPr>
        <w:t>支出</w:t>
      </w:r>
      <w:r>
        <w:rPr>
          <w:rStyle w:val="14"/>
          <w:rFonts w:hint="eastAsia" w:ascii="仿宋_GB2312" w:hAnsi="仿宋" w:eastAsia="仿宋_GB2312"/>
          <w:bCs/>
          <w:color w:val="000000"/>
          <w:sz w:val="32"/>
          <w:szCs w:val="32"/>
        </w:rPr>
        <w:t>（类）民政管理事务（款） 行政运行（项）:</w:t>
      </w:r>
      <w:r>
        <w:rPr>
          <w:rStyle w:val="14"/>
          <w:rFonts w:hint="eastAsia" w:ascii="仿宋_GB2312" w:hAnsi="仿宋" w:eastAsia="仿宋_GB2312"/>
          <w:b w:val="0"/>
          <w:bCs/>
          <w:color w:val="000000"/>
          <w:sz w:val="32"/>
          <w:szCs w:val="32"/>
        </w:rPr>
        <w:t xml:space="preserve"> </w:t>
      </w:r>
      <w:r>
        <w:rPr>
          <w:rFonts w:hint="eastAsia" w:ascii="仿宋" w:hAnsi="仿宋" w:eastAsia="仿宋"/>
          <w:sz w:val="32"/>
          <w:szCs w:val="32"/>
        </w:rPr>
        <w:t>支出决算为</w:t>
      </w:r>
      <w:r>
        <w:rPr>
          <w:rFonts w:hint="eastAsia" w:ascii="仿宋" w:hAnsi="仿宋" w:eastAsia="仿宋"/>
          <w:sz w:val="32"/>
          <w:szCs w:val="32"/>
          <w:lang w:val="en-US" w:eastAsia="zh-CN"/>
        </w:rPr>
        <w:t>0.11</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eastAsia="仿宋"/>
          <w:sz w:val="32"/>
          <w:szCs w:val="32"/>
        </w:rPr>
        <w:t>完成预算100%</w:t>
      </w:r>
      <w:r>
        <w:rPr>
          <w:rStyle w:val="14"/>
          <w:rFonts w:hint="eastAsia" w:ascii="仿宋" w:hAnsi="仿宋" w:eastAsia="仿宋"/>
          <w:b w:val="0"/>
          <w:bCs/>
          <w:color w:val="000000"/>
          <w:sz w:val="32"/>
          <w:szCs w:val="32"/>
        </w:rPr>
        <w:t>，决算数等于预算数</w:t>
      </w:r>
      <w:r>
        <w:rPr>
          <w:rStyle w:val="14"/>
          <w:rFonts w:hint="eastAsia" w:ascii="仿宋" w:hAnsi="仿宋" w:eastAsia="仿宋"/>
          <w:b w:val="0"/>
          <w:bCs/>
          <w:color w:val="000000"/>
          <w:sz w:val="32"/>
          <w:szCs w:val="32"/>
          <w:lang w:eastAsia="zh-CN"/>
        </w:rPr>
        <w:t>。</w:t>
      </w:r>
      <w:bookmarkStart w:id="67" w:name="_GoBack"/>
      <w:bookmarkEnd w:id="67"/>
    </w:p>
    <w:p>
      <w:pPr>
        <w:numPr>
          <w:ilvl w:val="-1"/>
          <w:numId w:val="0"/>
        </w:numPr>
        <w:spacing w:line="600" w:lineRule="exact"/>
        <w:ind w:firstLine="643" w:firstLineChars="200"/>
        <w:rPr>
          <w:rStyle w:val="14"/>
          <w:rFonts w:hint="eastAsia" w:ascii="仿宋" w:hAnsi="仿宋" w:eastAsia="仿宋_GB2312"/>
          <w:bCs/>
          <w:sz w:val="32"/>
          <w:szCs w:val="32"/>
          <w:lang w:eastAsia="zh-CN"/>
        </w:rPr>
      </w:pPr>
      <w:r>
        <w:rPr>
          <w:rStyle w:val="14"/>
          <w:rFonts w:hint="eastAsia" w:ascii="仿宋_GB2312" w:hAnsi="仿宋" w:eastAsia="仿宋_GB2312"/>
          <w:bCs/>
          <w:color w:val="000000"/>
          <w:sz w:val="32"/>
          <w:szCs w:val="32"/>
        </w:rPr>
        <w:t>社会保障和就业</w:t>
      </w:r>
      <w:r>
        <w:rPr>
          <w:rStyle w:val="14"/>
          <w:rFonts w:hint="eastAsia" w:ascii="仿宋_GB2312" w:hAnsi="仿宋" w:eastAsia="仿宋_GB2312"/>
          <w:bCs/>
          <w:color w:val="000000"/>
          <w:sz w:val="32"/>
          <w:szCs w:val="32"/>
          <w:lang w:eastAsia="zh-CN"/>
        </w:rPr>
        <w:t>支出</w:t>
      </w:r>
      <w:r>
        <w:rPr>
          <w:rStyle w:val="14"/>
          <w:rFonts w:hint="eastAsia" w:ascii="仿宋_GB2312" w:hAnsi="仿宋" w:eastAsia="仿宋_GB2312"/>
          <w:bCs/>
          <w:color w:val="000000"/>
          <w:sz w:val="32"/>
          <w:szCs w:val="32"/>
        </w:rPr>
        <w:t>（类）</w:t>
      </w:r>
      <w:r>
        <w:rPr>
          <w:rStyle w:val="14"/>
          <w:rFonts w:hint="eastAsia" w:ascii="仿宋_GB2312" w:hAnsi="仿宋" w:eastAsia="仿宋_GB2312" w:cstheme="minorBidi"/>
          <w:bCs/>
          <w:color w:val="000000"/>
          <w:sz w:val="32"/>
          <w:szCs w:val="32"/>
          <w:lang w:eastAsia="zh-CN"/>
        </w:rPr>
        <w:t>行政事业单位养老支出</w:t>
      </w:r>
      <w:r>
        <w:rPr>
          <w:rStyle w:val="14"/>
          <w:rFonts w:hint="eastAsia" w:ascii="仿宋_GB2312" w:hAnsi="仿宋" w:eastAsia="仿宋_GB2312"/>
          <w:bCs/>
          <w:color w:val="000000"/>
          <w:sz w:val="32"/>
          <w:szCs w:val="32"/>
        </w:rPr>
        <w:t>（款）机关事业单位基本养老保险缴费支出（项）</w:t>
      </w:r>
      <w:r>
        <w:rPr>
          <w:rStyle w:val="14"/>
          <w:rFonts w:hint="eastAsia" w:ascii="仿宋_GB2312" w:hAnsi="仿宋" w:eastAsia="仿宋_GB2312"/>
          <w:bCs/>
          <w:color w:val="000000"/>
          <w:sz w:val="32"/>
          <w:szCs w:val="32"/>
          <w:lang w:eastAsia="zh-CN"/>
        </w:rPr>
        <w:t>：</w:t>
      </w:r>
      <w:r>
        <w:rPr>
          <w:rFonts w:hint="eastAsia" w:ascii="仿宋" w:hAnsi="仿宋" w:eastAsia="仿宋"/>
          <w:sz w:val="32"/>
          <w:szCs w:val="32"/>
        </w:rPr>
        <w:t>支出决算为</w:t>
      </w:r>
      <w:r>
        <w:rPr>
          <w:rFonts w:hint="eastAsia" w:ascii="仿宋" w:hAnsi="仿宋" w:eastAsia="仿宋"/>
          <w:sz w:val="32"/>
          <w:szCs w:val="32"/>
          <w:lang w:val="en-US" w:eastAsia="zh-CN"/>
        </w:rPr>
        <w:t>5.85</w:t>
      </w:r>
      <w:r>
        <w:rPr>
          <w:rFonts w:hint="eastAsia" w:ascii="仿宋" w:hAnsi="仿宋" w:eastAsia="仿宋"/>
          <w:sz w:val="32"/>
          <w:szCs w:val="32"/>
        </w:rPr>
        <w:t>万元，完成预算</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rPr>
        <w:t>，</w:t>
      </w:r>
      <w:r>
        <w:rPr>
          <w:rStyle w:val="14"/>
          <w:rFonts w:hint="eastAsia" w:ascii="仿宋" w:hAnsi="仿宋" w:eastAsia="仿宋"/>
          <w:b w:val="0"/>
          <w:bCs/>
          <w:color w:val="000000"/>
          <w:sz w:val="32"/>
          <w:szCs w:val="32"/>
        </w:rPr>
        <w:t>决算数等于预算数</w:t>
      </w:r>
      <w:r>
        <w:rPr>
          <w:rStyle w:val="14"/>
          <w:rFonts w:hint="eastAsia" w:ascii="仿宋" w:hAnsi="仿宋" w:eastAsia="仿宋"/>
          <w:b w:val="0"/>
          <w:bCs/>
          <w:color w:val="000000"/>
          <w:sz w:val="32"/>
          <w:szCs w:val="32"/>
          <w:lang w:eastAsia="zh-CN"/>
        </w:rPr>
        <w:t>。</w:t>
      </w:r>
    </w:p>
    <w:p>
      <w:pPr>
        <w:spacing w:line="600" w:lineRule="exact"/>
        <w:ind w:firstLine="803" w:firstLineChars="250"/>
        <w:rPr>
          <w:rStyle w:val="14"/>
          <w:rFonts w:ascii="仿宋" w:hAnsi="仿宋" w:eastAsia="仿宋"/>
          <w:b w:val="0"/>
          <w:bCs/>
          <w:color w:val="auto"/>
          <w:sz w:val="32"/>
          <w:szCs w:val="32"/>
        </w:rPr>
      </w:pPr>
      <w:r>
        <w:rPr>
          <w:rStyle w:val="14"/>
          <w:rFonts w:hint="eastAsia" w:ascii="仿宋" w:hAnsi="仿宋" w:eastAsia="仿宋" w:cstheme="minorBidi"/>
          <w:bCs/>
          <w:sz w:val="32"/>
          <w:szCs w:val="32"/>
          <w:lang w:val="en-US" w:eastAsia="zh-CN"/>
        </w:rPr>
        <w:t>2</w:t>
      </w:r>
      <w:r>
        <w:rPr>
          <w:rStyle w:val="14"/>
          <w:rFonts w:hint="eastAsia" w:ascii="仿宋" w:hAnsi="仿宋" w:eastAsia="仿宋" w:cstheme="minorBidi"/>
          <w:bCs/>
          <w:sz w:val="32"/>
          <w:szCs w:val="32"/>
        </w:rPr>
        <w:t>.卫生健康</w:t>
      </w:r>
      <w:r>
        <w:rPr>
          <w:rStyle w:val="14"/>
          <w:rFonts w:hint="eastAsia" w:ascii="仿宋" w:hAnsi="仿宋" w:eastAsia="仿宋" w:cstheme="minorBidi"/>
          <w:bCs/>
          <w:sz w:val="32"/>
          <w:szCs w:val="32"/>
          <w:lang w:eastAsia="zh-CN"/>
        </w:rPr>
        <w:t>支出</w:t>
      </w:r>
      <w:r>
        <w:rPr>
          <w:rStyle w:val="14"/>
          <w:rFonts w:hint="eastAsia" w:ascii="仿宋" w:hAnsi="仿宋" w:eastAsia="仿宋" w:cstheme="minorBidi"/>
          <w:bCs/>
          <w:sz w:val="32"/>
          <w:szCs w:val="32"/>
        </w:rPr>
        <w:t>（类）卫生健康管理事务（款） 行政运行（项）</w:t>
      </w:r>
      <w:r>
        <w:rPr>
          <w:rStyle w:val="14"/>
          <w:rFonts w:ascii="仿宋" w:hAnsi="仿宋" w:eastAsia="仿宋" w:cstheme="minorBidi"/>
          <w:bCs/>
          <w:sz w:val="32"/>
          <w:szCs w:val="32"/>
        </w:rPr>
        <w:t>:</w:t>
      </w:r>
      <w:r>
        <w:rPr>
          <w:rFonts w:hint="eastAsia" w:ascii="仿宋" w:hAnsi="仿宋" w:eastAsia="仿宋"/>
          <w:sz w:val="32"/>
          <w:szCs w:val="32"/>
        </w:rPr>
        <w:t>支出决算为</w:t>
      </w:r>
      <w:r>
        <w:rPr>
          <w:rFonts w:hint="eastAsia" w:ascii="仿宋" w:hAnsi="仿宋" w:eastAsia="仿宋"/>
          <w:sz w:val="32"/>
          <w:szCs w:val="32"/>
          <w:lang w:val="en-US" w:eastAsia="zh-CN"/>
        </w:rPr>
        <w:t>148.29</w:t>
      </w:r>
      <w:r>
        <w:rPr>
          <w:rFonts w:hint="eastAsia" w:ascii="仿宋" w:hAnsi="仿宋" w:eastAsia="仿宋"/>
          <w:sz w:val="32"/>
          <w:szCs w:val="32"/>
        </w:rPr>
        <w:t>万元，完成预算</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rPr>
        <w:t>，</w:t>
      </w:r>
      <w:r>
        <w:rPr>
          <w:rStyle w:val="14"/>
          <w:rFonts w:hint="eastAsia" w:ascii="仿宋" w:hAnsi="仿宋" w:eastAsia="仿宋"/>
          <w:b w:val="0"/>
          <w:bCs/>
          <w:color w:val="000000"/>
          <w:sz w:val="32"/>
          <w:szCs w:val="32"/>
        </w:rPr>
        <w:t>决算数等于预算数</w:t>
      </w:r>
      <w:r>
        <w:rPr>
          <w:rStyle w:val="14"/>
          <w:rFonts w:hint="eastAsia" w:ascii="仿宋" w:hAnsi="仿宋" w:eastAsia="仿宋"/>
          <w:b w:val="0"/>
          <w:bCs/>
          <w:color w:val="auto"/>
          <w:sz w:val="32"/>
          <w:szCs w:val="32"/>
        </w:rPr>
        <w:t>。</w:t>
      </w:r>
    </w:p>
    <w:p>
      <w:pPr>
        <w:spacing w:line="600" w:lineRule="exact"/>
        <w:ind w:firstLine="803" w:firstLineChars="250"/>
        <w:rPr>
          <w:rFonts w:hint="eastAsia" w:ascii="仿宋" w:hAnsi="仿宋" w:eastAsia="仿宋"/>
          <w:sz w:val="32"/>
          <w:szCs w:val="32"/>
          <w:lang w:eastAsia="zh-CN"/>
        </w:rPr>
      </w:pPr>
      <w:r>
        <w:rPr>
          <w:rStyle w:val="14"/>
          <w:rFonts w:hint="eastAsia" w:ascii="仿宋" w:hAnsi="仿宋" w:eastAsia="仿宋" w:cstheme="minorBidi"/>
          <w:bCs/>
          <w:sz w:val="32"/>
          <w:szCs w:val="32"/>
          <w:lang w:val="en-US" w:eastAsia="zh-CN"/>
        </w:rPr>
        <w:t>3</w:t>
      </w:r>
      <w:r>
        <w:rPr>
          <w:rStyle w:val="14"/>
          <w:rFonts w:hint="eastAsia" w:ascii="仿宋" w:hAnsi="仿宋" w:eastAsia="仿宋" w:cstheme="minorBidi"/>
          <w:bCs/>
          <w:sz w:val="32"/>
          <w:szCs w:val="32"/>
        </w:rPr>
        <w:t>.卫生健康</w:t>
      </w:r>
      <w:r>
        <w:rPr>
          <w:rStyle w:val="14"/>
          <w:rFonts w:hint="eastAsia" w:ascii="仿宋" w:hAnsi="仿宋" w:eastAsia="仿宋" w:cstheme="minorBidi"/>
          <w:bCs/>
          <w:sz w:val="32"/>
          <w:szCs w:val="32"/>
          <w:lang w:eastAsia="zh-CN"/>
        </w:rPr>
        <w:t>支出</w:t>
      </w:r>
      <w:r>
        <w:rPr>
          <w:rStyle w:val="14"/>
          <w:rFonts w:hint="eastAsia" w:ascii="仿宋" w:hAnsi="仿宋" w:eastAsia="仿宋" w:cstheme="minorBidi"/>
          <w:bCs/>
          <w:sz w:val="32"/>
          <w:szCs w:val="32"/>
        </w:rPr>
        <w:t>（类）公共卫生（款）卫生监督机构（项）:</w:t>
      </w:r>
      <w:r>
        <w:rPr>
          <w:rFonts w:hint="eastAsia" w:ascii="仿宋" w:hAnsi="仿宋" w:eastAsia="仿宋"/>
          <w:color w:val="auto"/>
          <w:sz w:val="32"/>
          <w:szCs w:val="32"/>
        </w:rPr>
        <w:t>支出决算为</w:t>
      </w:r>
      <w:r>
        <w:rPr>
          <w:rFonts w:hint="eastAsia" w:ascii="仿宋" w:hAnsi="仿宋" w:eastAsia="仿宋"/>
          <w:color w:val="auto"/>
          <w:sz w:val="32"/>
          <w:szCs w:val="32"/>
          <w:lang w:val="en-US" w:eastAsia="zh-CN"/>
        </w:rPr>
        <w:t>4.88</w:t>
      </w:r>
      <w:r>
        <w:rPr>
          <w:rFonts w:hint="eastAsia" w:ascii="仿宋" w:hAnsi="仿宋" w:eastAsia="仿宋"/>
          <w:color w:val="auto"/>
          <w:sz w:val="32"/>
          <w:szCs w:val="32"/>
        </w:rPr>
        <w:t>万元，</w:t>
      </w:r>
      <w:r>
        <w:rPr>
          <w:rFonts w:hint="eastAsia" w:ascii="仿宋" w:hAnsi="仿宋" w:eastAsia="仿宋"/>
          <w:sz w:val="32"/>
          <w:szCs w:val="32"/>
        </w:rPr>
        <w:t>完成预算</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rPr>
        <w:t>，</w:t>
      </w:r>
      <w:r>
        <w:rPr>
          <w:rStyle w:val="14"/>
          <w:rFonts w:hint="eastAsia" w:ascii="仿宋" w:hAnsi="仿宋" w:eastAsia="仿宋"/>
          <w:b w:val="0"/>
          <w:bCs/>
          <w:color w:val="000000"/>
          <w:sz w:val="32"/>
          <w:szCs w:val="32"/>
        </w:rPr>
        <w:t>决算数等于预算</w:t>
      </w:r>
      <w:r>
        <w:rPr>
          <w:rStyle w:val="14"/>
          <w:rFonts w:hint="eastAsia" w:ascii="仿宋" w:hAnsi="仿宋" w:eastAsia="仿宋"/>
          <w:b w:val="0"/>
          <w:bCs/>
          <w:color w:val="000000"/>
          <w:sz w:val="32"/>
          <w:szCs w:val="32"/>
          <w:lang w:eastAsia="zh-CN"/>
        </w:rPr>
        <w:t>数；</w:t>
      </w:r>
      <w:r>
        <w:rPr>
          <w:rStyle w:val="14"/>
          <w:rFonts w:hint="eastAsia" w:ascii="仿宋" w:hAnsi="仿宋" w:eastAsia="仿宋" w:cstheme="minorBidi"/>
          <w:bCs/>
          <w:sz w:val="32"/>
          <w:szCs w:val="32"/>
          <w:lang w:eastAsia="zh-CN"/>
        </w:rPr>
        <w:t>基本公共卫生服务（项）：</w:t>
      </w:r>
      <w:r>
        <w:rPr>
          <w:rFonts w:hint="eastAsia" w:ascii="仿宋" w:hAnsi="仿宋" w:eastAsia="仿宋"/>
          <w:sz w:val="32"/>
          <w:szCs w:val="32"/>
        </w:rPr>
        <w:t>支出决算为</w:t>
      </w:r>
      <w:r>
        <w:rPr>
          <w:rFonts w:hint="eastAsia" w:ascii="仿宋" w:hAnsi="仿宋" w:eastAsia="仿宋"/>
          <w:sz w:val="32"/>
          <w:szCs w:val="32"/>
          <w:lang w:val="en-US" w:eastAsia="zh-CN"/>
        </w:rPr>
        <w:t>5.81</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完成预算</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rPr>
        <w:t>，</w:t>
      </w:r>
      <w:r>
        <w:rPr>
          <w:rStyle w:val="14"/>
          <w:rFonts w:hint="eastAsia" w:ascii="仿宋" w:hAnsi="仿宋" w:eastAsia="仿宋"/>
          <w:b w:val="0"/>
          <w:bCs/>
          <w:color w:val="000000"/>
          <w:sz w:val="32"/>
          <w:szCs w:val="32"/>
        </w:rPr>
        <w:t>决算数等于预算数</w:t>
      </w:r>
      <w:r>
        <w:rPr>
          <w:rStyle w:val="14"/>
          <w:rFonts w:hint="eastAsia" w:ascii="仿宋" w:hAnsi="仿宋" w:eastAsia="仿宋"/>
          <w:b w:val="0"/>
          <w:bCs/>
          <w:color w:val="auto"/>
          <w:sz w:val="32"/>
          <w:szCs w:val="32"/>
        </w:rPr>
        <w:t>。</w:t>
      </w:r>
    </w:p>
    <w:p>
      <w:pPr>
        <w:spacing w:line="600" w:lineRule="exact"/>
        <w:ind w:firstLine="803" w:firstLineChars="250"/>
        <w:rPr>
          <w:rFonts w:ascii="仿宋" w:hAnsi="仿宋" w:eastAsia="仿宋"/>
          <w:b/>
          <w:color w:val="auto"/>
          <w:sz w:val="32"/>
          <w:szCs w:val="32"/>
        </w:rPr>
      </w:pPr>
      <w:r>
        <w:rPr>
          <w:rStyle w:val="14"/>
          <w:rFonts w:hint="eastAsia" w:ascii="仿宋" w:hAnsi="仿宋" w:eastAsia="仿宋" w:cstheme="minorBidi"/>
          <w:bCs/>
          <w:sz w:val="32"/>
          <w:szCs w:val="32"/>
          <w:lang w:val="en-US" w:eastAsia="zh-CN"/>
        </w:rPr>
        <w:t>4</w:t>
      </w:r>
      <w:r>
        <w:rPr>
          <w:rStyle w:val="14"/>
          <w:rFonts w:hint="eastAsia" w:ascii="仿宋" w:hAnsi="仿宋" w:eastAsia="仿宋" w:cstheme="minorBidi"/>
          <w:bCs/>
          <w:sz w:val="32"/>
          <w:szCs w:val="32"/>
        </w:rPr>
        <w:t>.卫生健康</w:t>
      </w:r>
      <w:r>
        <w:rPr>
          <w:rStyle w:val="14"/>
          <w:rFonts w:hint="eastAsia" w:ascii="仿宋" w:hAnsi="仿宋" w:eastAsia="仿宋" w:cstheme="minorBidi"/>
          <w:bCs/>
          <w:sz w:val="32"/>
          <w:szCs w:val="32"/>
          <w:lang w:eastAsia="zh-CN"/>
        </w:rPr>
        <w:t>支出</w:t>
      </w:r>
      <w:r>
        <w:rPr>
          <w:rStyle w:val="14"/>
          <w:rFonts w:hint="eastAsia" w:ascii="仿宋" w:hAnsi="仿宋" w:eastAsia="仿宋" w:cstheme="minorBidi"/>
          <w:bCs/>
          <w:sz w:val="32"/>
          <w:szCs w:val="32"/>
        </w:rPr>
        <w:t>（类）行政事业单位医疗（款）  行政单位医疗（项）:</w:t>
      </w:r>
      <w:r>
        <w:rPr>
          <w:rFonts w:hint="eastAsia" w:ascii="仿宋" w:hAnsi="仿宋" w:eastAsia="仿宋"/>
          <w:color w:val="auto"/>
          <w:sz w:val="32"/>
          <w:szCs w:val="32"/>
        </w:rPr>
        <w:t>支出决算为</w:t>
      </w:r>
      <w:r>
        <w:rPr>
          <w:rFonts w:hint="eastAsia" w:ascii="仿宋" w:hAnsi="仿宋" w:eastAsia="仿宋"/>
          <w:color w:val="auto"/>
          <w:sz w:val="32"/>
          <w:szCs w:val="32"/>
          <w:lang w:val="en-US" w:eastAsia="zh-CN"/>
        </w:rPr>
        <w:t>4.92</w:t>
      </w:r>
      <w:r>
        <w:rPr>
          <w:rFonts w:hint="eastAsia" w:ascii="仿宋" w:hAnsi="仿宋" w:eastAsia="仿宋"/>
          <w:color w:val="auto"/>
          <w:sz w:val="32"/>
          <w:szCs w:val="32"/>
        </w:rPr>
        <w:t>万元，</w:t>
      </w:r>
      <w:r>
        <w:rPr>
          <w:rFonts w:hint="eastAsia" w:ascii="仿宋" w:hAnsi="仿宋" w:eastAsia="仿宋"/>
          <w:sz w:val="32"/>
          <w:szCs w:val="32"/>
        </w:rPr>
        <w:t>完成预算</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rPr>
        <w:t>，</w:t>
      </w:r>
      <w:r>
        <w:rPr>
          <w:rStyle w:val="14"/>
          <w:rFonts w:hint="eastAsia" w:ascii="仿宋" w:hAnsi="仿宋" w:eastAsia="仿宋"/>
          <w:b w:val="0"/>
          <w:bCs/>
          <w:color w:val="000000"/>
          <w:sz w:val="32"/>
          <w:szCs w:val="32"/>
        </w:rPr>
        <w:t>决算数等于预算数</w:t>
      </w:r>
      <w:r>
        <w:rPr>
          <w:rStyle w:val="14"/>
          <w:rFonts w:hint="eastAsia" w:ascii="仿宋" w:hAnsi="仿宋" w:eastAsia="仿宋"/>
          <w:b w:val="0"/>
          <w:bCs/>
          <w:color w:val="auto"/>
          <w:sz w:val="32"/>
          <w:szCs w:val="32"/>
          <w:lang w:eastAsia="zh-CN"/>
        </w:rPr>
        <w:t>；</w:t>
      </w:r>
      <w:r>
        <w:rPr>
          <w:rStyle w:val="14"/>
          <w:rFonts w:hint="eastAsia" w:ascii="仿宋" w:hAnsi="仿宋" w:eastAsia="仿宋" w:cstheme="minorBidi"/>
          <w:bCs/>
          <w:sz w:val="32"/>
          <w:szCs w:val="32"/>
        </w:rPr>
        <w:t>公务员医疗补助（项）：</w:t>
      </w:r>
      <w:r>
        <w:rPr>
          <w:rFonts w:hint="eastAsia" w:ascii="仿宋" w:hAnsi="仿宋" w:eastAsia="仿宋"/>
          <w:color w:val="auto"/>
          <w:sz w:val="32"/>
          <w:szCs w:val="32"/>
        </w:rPr>
        <w:t>支出决算为</w:t>
      </w:r>
      <w:r>
        <w:rPr>
          <w:rFonts w:ascii="仿宋" w:hAnsi="仿宋" w:eastAsia="仿宋"/>
          <w:color w:val="auto"/>
          <w:sz w:val="32"/>
          <w:szCs w:val="32"/>
        </w:rPr>
        <w:t>0.</w:t>
      </w:r>
      <w:r>
        <w:rPr>
          <w:rFonts w:hint="eastAsia" w:ascii="仿宋" w:hAnsi="仿宋" w:eastAsia="仿宋"/>
          <w:color w:val="auto"/>
          <w:sz w:val="32"/>
          <w:szCs w:val="32"/>
          <w:lang w:val="en-US" w:eastAsia="zh-CN"/>
        </w:rPr>
        <w:t>45</w:t>
      </w:r>
      <w:r>
        <w:rPr>
          <w:rFonts w:hint="eastAsia" w:ascii="仿宋" w:hAnsi="仿宋" w:eastAsia="仿宋"/>
          <w:color w:val="auto"/>
          <w:sz w:val="32"/>
          <w:szCs w:val="32"/>
        </w:rPr>
        <w:t>万元，</w:t>
      </w:r>
      <w:r>
        <w:rPr>
          <w:rFonts w:hint="eastAsia" w:ascii="仿宋" w:hAnsi="仿宋" w:eastAsia="仿宋"/>
          <w:sz w:val="32"/>
          <w:szCs w:val="32"/>
        </w:rPr>
        <w:t>完成预算</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rPr>
        <w:t>，</w:t>
      </w:r>
      <w:r>
        <w:rPr>
          <w:rStyle w:val="14"/>
          <w:rFonts w:hint="eastAsia" w:ascii="仿宋" w:hAnsi="仿宋" w:eastAsia="仿宋"/>
          <w:b w:val="0"/>
          <w:bCs/>
          <w:color w:val="000000"/>
          <w:sz w:val="32"/>
          <w:szCs w:val="32"/>
        </w:rPr>
        <w:t>决算数等于预算数</w:t>
      </w:r>
      <w:r>
        <w:rPr>
          <w:rStyle w:val="14"/>
          <w:rFonts w:hint="eastAsia" w:ascii="仿宋" w:hAnsi="仿宋" w:eastAsia="仿宋"/>
          <w:b w:val="0"/>
          <w:bCs/>
          <w:color w:val="auto"/>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cstheme="minorBidi"/>
          <w:bCs/>
          <w:sz w:val="32"/>
          <w:szCs w:val="32"/>
          <w:lang w:val="en-US" w:eastAsia="zh-CN"/>
        </w:rPr>
        <w:t>5</w:t>
      </w:r>
      <w:r>
        <w:rPr>
          <w:rStyle w:val="14"/>
          <w:rFonts w:hint="eastAsia" w:ascii="仿宋" w:hAnsi="仿宋" w:eastAsia="仿宋" w:cstheme="minorBidi"/>
          <w:bCs/>
          <w:sz w:val="32"/>
          <w:szCs w:val="32"/>
        </w:rPr>
        <w:t>.</w:t>
      </w:r>
      <w:r>
        <w:rPr>
          <w:rStyle w:val="14"/>
          <w:rFonts w:hint="eastAsia" w:ascii="仿宋_GB2312" w:hAnsi="仿宋" w:eastAsia="仿宋_GB2312"/>
          <w:bCs/>
          <w:color w:val="000000"/>
          <w:sz w:val="32"/>
          <w:szCs w:val="32"/>
        </w:rPr>
        <w:t>住房保障支出（类）住房改革支出（款）住房公积金（项）:</w:t>
      </w:r>
      <w:r>
        <w:rPr>
          <w:rFonts w:hint="eastAsia" w:ascii="仿宋" w:hAnsi="仿宋" w:eastAsia="仿宋"/>
          <w:color w:val="auto"/>
          <w:sz w:val="32"/>
          <w:szCs w:val="32"/>
        </w:rPr>
        <w:t>支出决算为</w:t>
      </w:r>
      <w:r>
        <w:rPr>
          <w:rFonts w:hint="eastAsia" w:ascii="仿宋" w:hAnsi="仿宋" w:eastAsia="仿宋"/>
          <w:color w:val="auto"/>
          <w:sz w:val="32"/>
          <w:szCs w:val="32"/>
          <w:lang w:val="en-US" w:eastAsia="zh-CN"/>
        </w:rPr>
        <w:t>7.2</w:t>
      </w:r>
      <w:r>
        <w:rPr>
          <w:rFonts w:hint="eastAsia" w:ascii="仿宋" w:hAnsi="仿宋" w:eastAsia="仿宋"/>
          <w:color w:val="auto"/>
          <w:sz w:val="32"/>
          <w:szCs w:val="32"/>
        </w:rPr>
        <w:t>万元，</w:t>
      </w:r>
      <w:r>
        <w:rPr>
          <w:rFonts w:hint="eastAsia" w:ascii="仿宋" w:hAnsi="仿宋" w:eastAsia="仿宋"/>
          <w:sz w:val="32"/>
          <w:szCs w:val="32"/>
        </w:rPr>
        <w:t>完成预算</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rPr>
        <w:t>，</w:t>
      </w:r>
      <w:r>
        <w:rPr>
          <w:rStyle w:val="14"/>
          <w:rFonts w:hint="eastAsia" w:ascii="仿宋" w:hAnsi="仿宋" w:eastAsia="仿宋"/>
          <w:b w:val="0"/>
          <w:bCs/>
          <w:color w:val="000000"/>
          <w:sz w:val="32"/>
          <w:szCs w:val="32"/>
        </w:rPr>
        <w:t>决算数等于预算数</w:t>
      </w:r>
      <w:r>
        <w:rPr>
          <w:rStyle w:val="14"/>
          <w:rFonts w:hint="eastAsia" w:ascii="仿宋" w:hAnsi="仿宋" w:eastAsia="仿宋"/>
          <w:b w:val="0"/>
          <w:bCs/>
          <w:color w:val="auto"/>
          <w:sz w:val="32"/>
          <w:szCs w:val="32"/>
        </w:rPr>
        <w:t>。</w:t>
      </w:r>
    </w:p>
    <w:p>
      <w:pPr>
        <w:tabs>
          <w:tab w:val="right" w:pos="8306"/>
        </w:tabs>
        <w:spacing w:line="600" w:lineRule="exact"/>
        <w:ind w:firstLine="640"/>
        <w:outlineLvl w:val="1"/>
        <w:rPr>
          <w:rStyle w:val="25"/>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4"/>
      <w:bookmarkEnd w:id="35"/>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w:t>
      </w:r>
      <w:r>
        <w:rPr>
          <w:rFonts w:hint="eastAsia" w:ascii="仿宋" w:hAnsi="仿宋" w:eastAsia="仿宋"/>
          <w:color w:val="000000" w:themeColor="text1"/>
          <w:sz w:val="32"/>
          <w:szCs w:val="32"/>
          <w14:textFill>
            <w14:solidFill>
              <w14:schemeClr w14:val="tx1"/>
            </w14:solidFill>
          </w14:textFill>
        </w:rPr>
        <w:t>基本支出</w:t>
      </w:r>
      <w:r>
        <w:rPr>
          <w:rFonts w:hint="eastAsia" w:ascii="仿宋" w:hAnsi="仿宋" w:eastAsia="仿宋"/>
          <w:color w:val="000000" w:themeColor="text1"/>
          <w:sz w:val="32"/>
          <w:szCs w:val="32"/>
          <w:lang w:val="en-US" w:eastAsia="zh-CN"/>
          <w14:textFill>
            <w14:solidFill>
              <w14:schemeClr w14:val="tx1"/>
            </w14:solidFill>
          </w14:textFill>
        </w:rPr>
        <w:t>166.81</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sz w:val="32"/>
          <w:szCs w:val="32"/>
        </w:rPr>
        <w:t>，其中：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155.5</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11.31</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36" w:name="_Toc15396609"/>
      <w:bookmarkStart w:id="37" w:name="_Toc15377215"/>
      <w:r>
        <w:rPr>
          <w:rFonts w:hint="eastAsia" w:ascii="黑体" w:eastAsia="黑体"/>
          <w:sz w:val="32"/>
          <w:szCs w:val="32"/>
        </w:rPr>
        <w:t>七、</w:t>
      </w:r>
      <w:r>
        <w:rPr>
          <w:rStyle w:val="25"/>
          <w:rFonts w:hint="eastAsia" w:ascii="黑体" w:hAnsi="黑体" w:eastAsia="黑体"/>
          <w:b w:val="0"/>
        </w:rPr>
        <w:t>财政拨款</w:t>
      </w:r>
      <w:r>
        <w:rPr>
          <w:rStyle w:val="25"/>
          <w:rFonts w:hint="eastAsia" w:ascii="黑体" w:hAnsi="黑体" w:eastAsia="黑体"/>
        </w:rPr>
        <w:t>“</w:t>
      </w:r>
      <w:r>
        <w:rPr>
          <w:rStyle w:val="25"/>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w:t>
      </w:r>
      <w:r>
        <w:rPr>
          <w:rFonts w:hint="eastAsia" w:ascii="仿宋" w:hAnsi="仿宋" w:eastAsia="仿宋"/>
          <w:sz w:val="32"/>
          <w:szCs w:val="32"/>
          <w:lang w:val="en-US" w:eastAsia="zh-CN"/>
        </w:rPr>
        <w:t>3.65</w:t>
      </w:r>
      <w:r>
        <w:rPr>
          <w:rFonts w:hint="eastAsia" w:ascii="仿宋" w:hAnsi="仿宋" w:eastAsia="仿宋"/>
          <w:sz w:val="32"/>
          <w:szCs w:val="32"/>
        </w:rPr>
        <w:t>万元，完成预算</w:t>
      </w:r>
      <w:r>
        <w:rPr>
          <w:rFonts w:hint="eastAsia" w:ascii="仿宋" w:hAnsi="仿宋" w:eastAsia="仿宋"/>
          <w:sz w:val="32"/>
          <w:szCs w:val="32"/>
          <w:lang w:val="en-US" w:eastAsia="zh-CN"/>
        </w:rPr>
        <w:t>73</w:t>
      </w:r>
      <w:r>
        <w:rPr>
          <w:rFonts w:ascii="仿宋" w:hAnsi="仿宋" w:eastAsia="仿宋"/>
          <w:sz w:val="32"/>
          <w:szCs w:val="32"/>
        </w:rPr>
        <w:t>%</w:t>
      </w:r>
      <w:r>
        <w:rPr>
          <w:rFonts w:hint="eastAsia" w:ascii="仿宋" w:hAnsi="仿宋" w:eastAsia="仿宋"/>
          <w:sz w:val="32"/>
          <w:szCs w:val="32"/>
        </w:rPr>
        <w:t>，较上年减少</w:t>
      </w:r>
      <w:r>
        <w:rPr>
          <w:rFonts w:hint="eastAsia" w:ascii="仿宋" w:hAnsi="仿宋" w:eastAsia="仿宋"/>
          <w:sz w:val="32"/>
          <w:szCs w:val="32"/>
          <w:lang w:val="en-US" w:eastAsia="zh-CN"/>
        </w:rPr>
        <w:t>1.19</w:t>
      </w:r>
      <w:r>
        <w:rPr>
          <w:rFonts w:hint="eastAsia" w:ascii="仿宋" w:hAnsi="仿宋" w:eastAsia="仿宋"/>
          <w:sz w:val="32"/>
          <w:szCs w:val="32"/>
        </w:rPr>
        <w:t>万元，下降</w:t>
      </w:r>
      <w:r>
        <w:rPr>
          <w:rFonts w:hint="eastAsia" w:ascii="仿宋" w:hAnsi="仿宋" w:eastAsia="仿宋"/>
          <w:sz w:val="32"/>
          <w:szCs w:val="32"/>
          <w:lang w:val="en-US" w:eastAsia="zh-CN"/>
        </w:rPr>
        <w:t>24.59</w:t>
      </w:r>
      <w:r>
        <w:rPr>
          <w:rFonts w:hint="eastAsia" w:ascii="仿宋" w:hAnsi="仿宋" w:eastAsia="仿宋"/>
          <w:sz w:val="32"/>
          <w:szCs w:val="32"/>
        </w:rPr>
        <w:t>%。决算数小于预算数的主要原因是公务用车运行维修费减少。</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3.65</w:t>
      </w:r>
      <w:r>
        <w:rPr>
          <w:rFonts w:hint="eastAsia" w:ascii="仿宋" w:hAnsi="仿宋" w:eastAsia="仿宋"/>
          <w:sz w:val="32"/>
          <w:szCs w:val="32"/>
        </w:rPr>
        <w:t>万元，占</w:t>
      </w:r>
      <w:r>
        <w:rPr>
          <w:rFonts w:hint="eastAsia" w:ascii="仿宋" w:hAnsi="仿宋" w:eastAsia="仿宋"/>
          <w:sz w:val="32"/>
          <w:szCs w:val="32"/>
          <w:lang w:val="en-US" w:eastAsia="zh-CN"/>
        </w:rPr>
        <w:t>73</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rPr>
      </w:pPr>
      <w:r>
        <w:drawing>
          <wp:anchor distT="0" distB="0" distL="114300" distR="114300" simplePos="0" relativeHeight="251665408" behindDoc="0" locked="0" layoutInCell="1" allowOverlap="1">
            <wp:simplePos x="0" y="0"/>
            <wp:positionH relativeFrom="column">
              <wp:posOffset>398780</wp:posOffset>
            </wp:positionH>
            <wp:positionV relativeFrom="paragraph">
              <wp:posOffset>43815</wp:posOffset>
            </wp:positionV>
            <wp:extent cx="4241800" cy="2658745"/>
            <wp:effectExtent l="4445" t="4445" r="20955" b="2286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_GB2312" w:eastAsia="仿宋"/>
          <w:sz w:val="32"/>
          <w:szCs w:val="32"/>
          <w:lang w:eastAsia="zh-CN"/>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w:t>
      </w:r>
      <w:r>
        <w:rPr>
          <w:rFonts w:hint="eastAsia" w:ascii="仿宋_GB2312" w:eastAsia="仿宋_GB2312"/>
          <w:sz w:val="32"/>
          <w:szCs w:val="32"/>
          <w:lang w:eastAsia="zh-CN"/>
        </w:rPr>
        <w:t>与</w:t>
      </w:r>
      <w:r>
        <w:rPr>
          <w:rFonts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年持平</w:t>
      </w:r>
      <w:r>
        <w:rPr>
          <w:rFonts w:hint="eastAsia" w:ascii="仿宋" w:hAnsi="仿宋" w:eastAsia="仿宋"/>
          <w:sz w:val="32"/>
          <w:szCs w:val="32"/>
          <w:lang w:eastAsia="zh-CN"/>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3.65</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73</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21年减少</w:t>
      </w:r>
      <w:r>
        <w:rPr>
          <w:rFonts w:hint="eastAsia" w:ascii="仿宋_GB2312" w:eastAsia="仿宋_GB2312"/>
          <w:sz w:val="32"/>
          <w:szCs w:val="32"/>
          <w:lang w:val="en-US" w:eastAsia="zh-CN"/>
        </w:rPr>
        <w:t>1.19</w:t>
      </w:r>
      <w:r>
        <w:rPr>
          <w:rFonts w:hint="eastAsia" w:ascii="仿宋_GB2312" w:eastAsia="仿宋_GB2312"/>
          <w:sz w:val="32"/>
          <w:szCs w:val="32"/>
        </w:rPr>
        <w:t>万元，下降</w:t>
      </w:r>
      <w:r>
        <w:rPr>
          <w:rFonts w:hint="eastAsia" w:ascii="仿宋_GB2312" w:eastAsia="仿宋_GB2312"/>
          <w:sz w:val="32"/>
          <w:szCs w:val="32"/>
          <w:lang w:val="en-US" w:eastAsia="zh-CN"/>
        </w:rPr>
        <w:t>24.59</w:t>
      </w:r>
      <w:r>
        <w:rPr>
          <w:rFonts w:ascii="仿宋_GB2312" w:eastAsia="仿宋_GB2312"/>
          <w:sz w:val="32"/>
          <w:szCs w:val="32"/>
        </w:rPr>
        <w:t>%</w:t>
      </w:r>
      <w:r>
        <w:rPr>
          <w:rFonts w:hint="eastAsia" w:ascii="仿宋_GB2312" w:eastAsia="仿宋_GB2312"/>
          <w:sz w:val="32"/>
          <w:szCs w:val="32"/>
        </w:rPr>
        <w:t>。主要原因是</w:t>
      </w:r>
      <w:r>
        <w:rPr>
          <w:rFonts w:hint="eastAsia" w:ascii="仿宋" w:hAnsi="仿宋" w:eastAsia="仿宋"/>
          <w:sz w:val="32"/>
          <w:szCs w:val="32"/>
        </w:rPr>
        <w:t>公务用车运行维修费减少</w:t>
      </w:r>
      <w:r>
        <w:rPr>
          <w:rFonts w:hint="eastAsia" w:ascii="仿宋_GB2312" w:eastAsia="仿宋_GB2312"/>
          <w:sz w:val="32"/>
          <w:szCs w:val="32"/>
        </w:rPr>
        <w:t>。</w:t>
      </w:r>
    </w:p>
    <w:p>
      <w:pPr>
        <w:spacing w:line="600" w:lineRule="exact"/>
        <w:ind w:firstLine="640" w:firstLineChars="200"/>
        <w:rPr>
          <w:rFonts w:hint="eastAsia" w:ascii="仿宋_GB2312" w:eastAsia="仿宋_GB2312"/>
          <w:b/>
          <w:sz w:val="32"/>
          <w:szCs w:val="32"/>
          <w:lang w:eastAsia="zh-CN"/>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3</w:t>
      </w:r>
      <w:r>
        <w:rPr>
          <w:rFonts w:hint="eastAsia" w:ascii="仿宋_GB2312" w:eastAsia="仿宋_GB2312"/>
          <w:sz w:val="32"/>
          <w:szCs w:val="32"/>
        </w:rPr>
        <w:t>辆</w:t>
      </w:r>
      <w:r>
        <w:rPr>
          <w:rFonts w:hint="eastAsia" w:eastAsia="仿宋_GB2312"/>
          <w:sz w:val="32"/>
          <w:szCs w:val="32"/>
        </w:rPr>
        <w:t>（其中一辆已报废，正在办理报废程序）</w:t>
      </w:r>
      <w:r>
        <w:rPr>
          <w:rFonts w:hint="eastAsia" w:ascii="仿宋_GB2312" w:eastAsia="仿宋_GB2312"/>
          <w:sz w:val="32"/>
          <w:szCs w:val="32"/>
        </w:rPr>
        <w:t>，其中：</w:t>
      </w:r>
      <w:r>
        <w:rPr>
          <w:rFonts w:hint="eastAsia" w:eastAsia="仿宋_GB2312"/>
          <w:sz w:val="32"/>
          <w:szCs w:val="32"/>
        </w:rPr>
        <w:t>越野车2</w:t>
      </w:r>
      <w:r>
        <w:rPr>
          <w:rFonts w:eastAsia="仿宋_GB2312"/>
          <w:sz w:val="32"/>
          <w:szCs w:val="32"/>
        </w:rPr>
        <w:t>辆、皮卡车1辆</w:t>
      </w:r>
      <w:r>
        <w:rPr>
          <w:rFonts w:hint="eastAsia" w:eastAsia="仿宋_GB2312"/>
          <w:sz w:val="32"/>
          <w:szCs w:val="32"/>
          <w:lang w:eastAsia="zh-CN"/>
        </w:rPr>
        <w:t>。</w:t>
      </w:r>
    </w:p>
    <w:p>
      <w:pPr>
        <w:ind w:firstLine="643" w:firstLineChars="200"/>
        <w:rPr>
          <w:rFonts w:ascii="仿宋" w:hAnsi="仿宋" w:eastAsia="仿宋"/>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3.65</w:t>
      </w:r>
      <w:r>
        <w:rPr>
          <w:rFonts w:hint="eastAsia" w:ascii="仿宋_GB2312" w:eastAsia="仿宋_GB2312"/>
          <w:sz w:val="32"/>
          <w:szCs w:val="32"/>
        </w:rPr>
        <w:t>万元。主要用于</w:t>
      </w:r>
      <w:r>
        <w:rPr>
          <w:rFonts w:hint="eastAsia" w:ascii="仿宋" w:hAnsi="仿宋" w:eastAsia="仿宋"/>
          <w:sz w:val="32"/>
          <w:szCs w:val="32"/>
        </w:rPr>
        <w:t>主要用于卫生监督巡查工作等所需的公务用车燃料费、维修费、过路过桥费、保险费等支出。</w:t>
      </w:r>
    </w:p>
    <w:p>
      <w:pPr>
        <w:spacing w:line="600" w:lineRule="exact"/>
        <w:ind w:firstLine="640"/>
        <w:rPr>
          <w:rFonts w:hint="eastAsia" w:ascii="仿宋_GB2312" w:eastAsia="仿宋_GB2312"/>
          <w:sz w:val="32"/>
          <w:szCs w:val="32"/>
          <w:lang w:eastAsia="zh-CN"/>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w:t>
      </w:r>
      <w:r>
        <w:rPr>
          <w:rFonts w:hint="eastAsia" w:ascii="仿宋_GB2312" w:eastAsia="仿宋_GB2312"/>
          <w:sz w:val="32"/>
          <w:szCs w:val="32"/>
          <w:lang w:eastAsia="zh-CN"/>
        </w:rPr>
        <w:t>与</w:t>
      </w: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持平。</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Fonts w:ascii="黑体" w:eastAsia="黑体"/>
          <w:sz w:val="32"/>
          <w:szCs w:val="32"/>
        </w:rPr>
      </w:pPr>
      <w:bookmarkStart w:id="40" w:name="_Toc15377218"/>
      <w:bookmarkStart w:id="41" w:name="_Toc15396610"/>
    </w:p>
    <w:p>
      <w:pPr>
        <w:spacing w:line="600" w:lineRule="exact"/>
        <w:ind w:firstLine="640"/>
        <w:outlineLvl w:val="1"/>
        <w:rPr>
          <w:rStyle w:val="25"/>
          <w:rFonts w:ascii="黑体" w:hAnsi="黑体" w:eastAsia="黑体"/>
        </w:rPr>
      </w:pPr>
      <w:r>
        <w:rPr>
          <w:rFonts w:hint="eastAsia" w:ascii="黑体" w:eastAsia="黑体"/>
          <w:sz w:val="32"/>
          <w:szCs w:val="32"/>
        </w:rPr>
        <w:t>八、</w:t>
      </w:r>
      <w:r>
        <w:rPr>
          <w:rStyle w:val="25"/>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2"/>
        </w:numPr>
        <w:spacing w:line="600" w:lineRule="exact"/>
        <w:ind w:firstLine="640"/>
        <w:outlineLvl w:val="1"/>
        <w:rPr>
          <w:rStyle w:val="25"/>
          <w:rFonts w:ascii="黑体" w:hAnsi="黑体" w:eastAsia="黑体"/>
          <w:b w:val="0"/>
        </w:rPr>
      </w:pPr>
      <w:bookmarkStart w:id="42" w:name="_Toc15377219"/>
      <w:bookmarkStart w:id="43" w:name="_Toc15396611"/>
      <w:r>
        <w:rPr>
          <w:rStyle w:val="25"/>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2"/>
        </w:numPr>
        <w:spacing w:line="600" w:lineRule="exact"/>
        <w:ind w:firstLine="640"/>
        <w:outlineLvl w:val="1"/>
        <w:rPr>
          <w:rStyle w:val="25"/>
          <w:rFonts w:ascii="黑体" w:hAnsi="黑体" w:eastAsia="黑体"/>
          <w:b w:val="0"/>
        </w:rPr>
      </w:pPr>
      <w:bookmarkStart w:id="44" w:name="_Toc15377221"/>
      <w:bookmarkStart w:id="45" w:name="_Toc15396612"/>
      <w:r>
        <w:rPr>
          <w:rStyle w:val="25"/>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hint="eastAsia" w:ascii="仿宋_GB2312" w:eastAsia="仿宋_GB2312"/>
          <w:sz w:val="32"/>
          <w:szCs w:val="32"/>
          <w:lang w:eastAsia="zh-CN"/>
        </w:rPr>
      </w:pPr>
      <w:r>
        <w:rPr>
          <w:rFonts w:ascii="仿宋_GB2312" w:eastAsia="仿宋_GB2312"/>
          <w:sz w:val="32"/>
          <w:szCs w:val="32"/>
        </w:rPr>
        <w:t>20</w:t>
      </w:r>
      <w:r>
        <w:rPr>
          <w:rFonts w:hint="eastAsia" w:ascii="仿宋_GB2312" w:eastAsia="仿宋_GB2312"/>
          <w:sz w:val="32"/>
          <w:szCs w:val="32"/>
        </w:rPr>
        <w:t>22年，西区卫生和计划生育监督执法大队机关运行经费支出</w:t>
      </w:r>
      <w:r>
        <w:rPr>
          <w:rFonts w:hint="eastAsia" w:ascii="仿宋_GB2312" w:eastAsia="仿宋_GB2312"/>
          <w:sz w:val="32"/>
          <w:szCs w:val="32"/>
          <w:lang w:val="en-US" w:eastAsia="zh-CN"/>
        </w:rPr>
        <w:t>177.5</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21年减少</w:t>
      </w:r>
      <w:r>
        <w:rPr>
          <w:rFonts w:hint="eastAsia" w:ascii="仿宋_GB2312" w:eastAsia="仿宋_GB2312"/>
          <w:sz w:val="32"/>
          <w:szCs w:val="32"/>
          <w:lang w:val="en-US" w:eastAsia="zh-CN"/>
        </w:rPr>
        <w:t>21.66</w:t>
      </w:r>
      <w:r>
        <w:rPr>
          <w:rFonts w:hint="eastAsia" w:ascii="仿宋_GB2312" w:eastAsia="仿宋_GB2312"/>
          <w:sz w:val="32"/>
          <w:szCs w:val="32"/>
        </w:rPr>
        <w:t>万元，下降</w:t>
      </w:r>
      <w:r>
        <w:rPr>
          <w:rFonts w:hint="eastAsia" w:ascii="仿宋_GB2312" w:eastAsia="仿宋_GB2312"/>
          <w:sz w:val="32"/>
          <w:szCs w:val="32"/>
          <w:lang w:val="en-US" w:eastAsia="zh-CN"/>
        </w:rPr>
        <w:t>10.88</w:t>
      </w:r>
      <w:r>
        <w:rPr>
          <w:rFonts w:ascii="仿宋_GB2312" w:eastAsia="仿宋_GB2312"/>
          <w:sz w:val="32"/>
          <w:szCs w:val="32"/>
        </w:rPr>
        <w:t>%</w:t>
      </w:r>
      <w:r>
        <w:rPr>
          <w:rFonts w:hint="eastAsia" w:ascii="仿宋_GB2312" w:eastAsia="仿宋_GB2312"/>
          <w:sz w:val="32"/>
          <w:szCs w:val="32"/>
        </w:rPr>
        <w:t>。主要原因是</w:t>
      </w:r>
      <w:r>
        <w:rPr>
          <w:rFonts w:hint="eastAsia" w:eastAsia="仿宋_GB2312"/>
          <w:sz w:val="32"/>
          <w:szCs w:val="32"/>
        </w:rPr>
        <w:t>人员经费及基本公共卫生项目等经费</w:t>
      </w:r>
      <w:r>
        <w:rPr>
          <w:rFonts w:hint="eastAsia" w:eastAsia="仿宋_GB2312"/>
          <w:sz w:val="32"/>
          <w:szCs w:val="32"/>
          <w:lang w:eastAsia="zh-CN"/>
        </w:rPr>
        <w:t>减少。</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 w:hAnsi="仿宋" w:eastAsia="仿宋"/>
          <w:sz w:val="32"/>
          <w:szCs w:val="32"/>
        </w:rPr>
        <w:t>西区卫生和计划生育监督执法大队</w:t>
      </w:r>
      <w:r>
        <w:rPr>
          <w:rFonts w:hint="eastAsia" w:ascii="仿宋_GB2312" w:eastAsia="仿宋_GB2312"/>
          <w:sz w:val="32"/>
          <w:szCs w:val="32"/>
        </w:rPr>
        <w:t>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 w:hAnsi="仿宋" w:eastAsia="仿宋"/>
          <w:sz w:val="32"/>
          <w:szCs w:val="32"/>
        </w:rPr>
        <w:t>西区卫生和计划生育监督执法大队</w:t>
      </w:r>
      <w:r>
        <w:rPr>
          <w:rFonts w:hint="eastAsia" w:ascii="仿宋_GB2312" w:eastAsia="仿宋_GB2312"/>
          <w:sz w:val="32"/>
          <w:szCs w:val="32"/>
        </w:rPr>
        <w:t>共有车辆</w:t>
      </w:r>
      <w:r>
        <w:rPr>
          <w:rFonts w:hint="eastAsia" w:ascii="仿宋_GB2312" w:eastAsia="仿宋_GB2312"/>
          <w:sz w:val="32"/>
          <w:szCs w:val="32"/>
          <w:lang w:val="en-US" w:eastAsia="zh-CN"/>
        </w:rPr>
        <w:t>3</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eastAsia="仿宋_GB2312"/>
          <w:sz w:val="32"/>
          <w:szCs w:val="32"/>
        </w:rPr>
        <w:t>其中一辆已报废，正在办理报废程序</w:t>
      </w:r>
      <w:r>
        <w:rPr>
          <w:rFonts w:hint="eastAsia" w:eastAsia="仿宋_GB2312"/>
          <w:sz w:val="32"/>
          <w:szCs w:val="32"/>
          <w:lang w:eastAsia="zh-CN"/>
        </w:rPr>
        <w:t>）</w:t>
      </w:r>
      <w:r>
        <w:rPr>
          <w:rFonts w:hint="eastAsia" w:ascii="仿宋_GB2312" w:eastAsia="仿宋_GB2312"/>
          <w:sz w:val="32"/>
          <w:szCs w:val="32"/>
        </w:rPr>
        <w:t>，其中：主要领导干部用车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 w:hAnsi="仿宋" w:eastAsia="仿宋"/>
          <w:sz w:val="32"/>
          <w:szCs w:val="32"/>
        </w:rPr>
        <w:t>执法执勤用车</w:t>
      </w:r>
      <w:r>
        <w:rPr>
          <w:rFonts w:hint="eastAsia" w:ascii="仿宋" w:hAnsi="仿宋" w:eastAsia="仿宋"/>
          <w:sz w:val="32"/>
          <w:szCs w:val="32"/>
          <w:lang w:val="en-US" w:eastAsia="zh-CN"/>
        </w:rPr>
        <w:t>3</w:t>
      </w:r>
      <w:r>
        <w:rPr>
          <w:rFonts w:hint="eastAsia" w:ascii="仿宋" w:hAnsi="仿宋" w:eastAsia="仿宋"/>
          <w:sz w:val="32"/>
          <w:szCs w:val="32"/>
        </w:rPr>
        <w:t>辆</w:t>
      </w:r>
      <w:r>
        <w:rPr>
          <w:rFonts w:hint="eastAsia" w:ascii="仿宋" w:hAnsi="仿宋" w:eastAsia="仿宋"/>
          <w:sz w:val="32"/>
          <w:szCs w:val="32"/>
          <w:lang w:eastAsia="zh-CN"/>
        </w:rPr>
        <w:t>（</w:t>
      </w:r>
      <w:r>
        <w:rPr>
          <w:rFonts w:eastAsia="仿宋_GB2312"/>
          <w:sz w:val="32"/>
          <w:szCs w:val="32"/>
        </w:rPr>
        <w:t>其中：</w:t>
      </w:r>
      <w:r>
        <w:rPr>
          <w:rFonts w:hint="eastAsia" w:eastAsia="仿宋_GB2312"/>
          <w:sz w:val="32"/>
          <w:szCs w:val="32"/>
        </w:rPr>
        <w:t>越野车2</w:t>
      </w:r>
      <w:r>
        <w:rPr>
          <w:rFonts w:eastAsia="仿宋_GB2312"/>
          <w:sz w:val="32"/>
          <w:szCs w:val="32"/>
        </w:rPr>
        <w:t>辆、皮卡车1辆</w:t>
      </w:r>
      <w:r>
        <w:rPr>
          <w:rFonts w:hint="eastAsia" w:eastAsia="仿宋_GB2312"/>
          <w:sz w:val="32"/>
          <w:szCs w:val="32"/>
          <w:lang w:eastAsia="zh-CN"/>
        </w:rPr>
        <w:t>（正在办理报废程序）</w:t>
      </w:r>
      <w:r>
        <w:rPr>
          <w:rFonts w:hint="eastAsia" w:ascii="仿宋" w:hAnsi="仿宋" w:eastAsia="仿宋"/>
          <w:sz w:val="32"/>
          <w:szCs w:val="32"/>
          <w:lang w:eastAsia="zh-CN"/>
        </w:rPr>
        <w:t>。</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pStyle w:val="2"/>
        <w:spacing w:before="93"/>
        <w:ind w:firstLine="640" w:firstLineChars="200"/>
        <w:rPr>
          <w:highlight w:val="yellow"/>
        </w:rPr>
      </w:pPr>
      <w:r>
        <w:rPr>
          <w:rFonts w:hint="eastAsia" w:hAnsi="仿宋_GB2312" w:cs="仿宋_GB2312"/>
          <w:sz w:val="32"/>
          <w:szCs w:val="32"/>
        </w:rPr>
        <w:t>根据预算绩效管理要求，本单位在2022年度预算编制阶段，组织对</w:t>
      </w:r>
      <w:r>
        <w:rPr>
          <w:rFonts w:hint="eastAsia" w:hAnsi="仿宋_GB2312" w:cs="仿宋_GB2312"/>
          <w:sz w:val="32"/>
          <w:szCs w:val="32"/>
          <w:lang w:val="en-US" w:eastAsia="zh-CN"/>
        </w:rPr>
        <w:t>聘用人员费用、</w:t>
      </w:r>
      <w:r>
        <w:rPr>
          <w:rFonts w:hint="eastAsia" w:hAnsi="仿宋_GB2312" w:cs="仿宋_GB2312"/>
          <w:sz w:val="32"/>
          <w:szCs w:val="32"/>
        </w:rPr>
        <w:t>卫生监督专项经费</w:t>
      </w:r>
      <w:r>
        <w:rPr>
          <w:rFonts w:hint="eastAsia" w:hAnsi="仿宋_GB2312" w:cs="仿宋_GB2312"/>
          <w:sz w:val="32"/>
          <w:szCs w:val="32"/>
          <w:lang w:eastAsia="zh-CN"/>
        </w:rPr>
        <w:t>项目</w:t>
      </w:r>
      <w:r>
        <w:rPr>
          <w:rFonts w:hint="eastAsia" w:hAnsi="仿宋_GB2312" w:cs="仿宋_GB2312"/>
          <w:sz w:val="32"/>
          <w:szCs w:val="32"/>
        </w:rPr>
        <w:t>等</w:t>
      </w:r>
      <w:r>
        <w:rPr>
          <w:rFonts w:hint="eastAsia" w:hAnsi="仿宋_GB2312" w:cs="仿宋_GB2312"/>
          <w:sz w:val="32"/>
          <w:szCs w:val="32"/>
          <w:lang w:val="en-US" w:eastAsia="zh-CN"/>
        </w:rPr>
        <w:t>17</w:t>
      </w:r>
      <w:r>
        <w:rPr>
          <w:rFonts w:hint="eastAsia" w:hAnsi="仿宋_GB2312" w:cs="仿宋_GB2312"/>
          <w:sz w:val="32"/>
          <w:szCs w:val="32"/>
        </w:rPr>
        <w:t>个项目开展了预算事前绩效评估，对</w:t>
      </w:r>
      <w:r>
        <w:rPr>
          <w:rFonts w:hint="eastAsia" w:hAnsi="仿宋_GB2312" w:cs="仿宋_GB2312"/>
          <w:sz w:val="32"/>
          <w:szCs w:val="32"/>
          <w:lang w:val="en-US" w:eastAsia="zh-CN"/>
        </w:rPr>
        <w:t>17</w:t>
      </w:r>
      <w:r>
        <w:rPr>
          <w:rFonts w:hint="eastAsia" w:hAnsi="仿宋_GB2312" w:cs="仿宋_GB2312"/>
          <w:sz w:val="32"/>
          <w:szCs w:val="32"/>
        </w:rPr>
        <w:t>个项目编制了绩效目标，预算执行过程中，选取</w:t>
      </w:r>
      <w:r>
        <w:rPr>
          <w:rFonts w:hint="eastAsia" w:hAnsi="仿宋_GB2312" w:cs="仿宋_GB2312"/>
          <w:sz w:val="32"/>
          <w:szCs w:val="32"/>
          <w:lang w:val="en-US" w:eastAsia="zh-CN"/>
        </w:rPr>
        <w:t>4</w:t>
      </w:r>
      <w:r>
        <w:rPr>
          <w:rFonts w:hint="eastAsia" w:hAnsi="仿宋_GB2312" w:cs="仿宋_GB2312"/>
          <w:sz w:val="32"/>
          <w:szCs w:val="32"/>
        </w:rPr>
        <w:t>个项目开展绩效监控，组织对</w:t>
      </w:r>
      <w:r>
        <w:rPr>
          <w:rFonts w:hint="eastAsia" w:hAnsi="仿宋_GB2312" w:cs="仿宋_GB2312"/>
          <w:sz w:val="32"/>
          <w:szCs w:val="32"/>
          <w:lang w:val="en-US" w:eastAsia="zh-CN"/>
        </w:rPr>
        <w:t>17</w:t>
      </w:r>
      <w:r>
        <w:rPr>
          <w:rFonts w:hint="eastAsia" w:hAnsi="仿宋_GB2312" w:cs="仿宋_GB2312"/>
          <w:sz w:val="32"/>
          <w:szCs w:val="32"/>
        </w:rPr>
        <w:t>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4"/>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4"/>
          <w:rFonts w:hint="eastAsia" w:ascii="黑体" w:hAnsi="黑体" w:eastAsia="黑体"/>
          <w:b w:val="0"/>
        </w:rPr>
        <w:t>词解释</w:t>
      </w:r>
      <w:bookmarkEnd w:id="49"/>
      <w:bookmarkEnd w:id="50"/>
    </w:p>
    <w:p>
      <w:pPr>
        <w:spacing w:line="600" w:lineRule="exact"/>
        <w:jc w:val="left"/>
        <w:rPr>
          <w:rFonts w:ascii="宋体"/>
          <w:b/>
          <w:sz w:val="44"/>
          <w:szCs w:val="44"/>
        </w:rPr>
      </w:pPr>
    </w:p>
    <w:p>
      <w:pPr>
        <w:pStyle w:val="22"/>
        <w:numPr>
          <w:ilvl w:val="0"/>
          <w:numId w:val="0"/>
        </w:num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财政拨款收入：指单位从同级财政部门取得的财政预算资金。</w:t>
      </w:r>
    </w:p>
    <w:p>
      <w:pPr>
        <w:pStyle w:val="22"/>
        <w:spacing w:line="300" w:lineRule="auto"/>
        <w:ind w:firstLine="640" w:firstLineChars="200"/>
        <w:jc w:val="both"/>
        <w:rPr>
          <w:rFonts w:hint="eastAsia" w:ascii="仿宋_GB2312" w:eastAsia="仿宋_GB2312"/>
          <w:color w:val="auto"/>
          <w:sz w:val="32"/>
          <w:szCs w:val="32"/>
        </w:rPr>
      </w:pPr>
      <w:r>
        <w:rPr>
          <w:rFonts w:ascii="Times New Roman" w:hAnsi="Times New Roman" w:eastAsia="仿宋_GB2312" w:cs="仿宋_GB2312"/>
          <w:color w:val="auto"/>
          <w:sz w:val="32"/>
          <w:szCs w:val="32"/>
        </w:rPr>
        <w:t>2.</w:t>
      </w:r>
      <w:r>
        <w:rPr>
          <w:rFonts w:hint="eastAsia" w:ascii="Times New Roman" w:hAnsi="Times New Roman" w:eastAsia="仿宋_GB2312" w:cs="仿宋_GB2312"/>
          <w:color w:val="auto"/>
          <w:sz w:val="32"/>
          <w:szCs w:val="32"/>
        </w:rPr>
        <w:t>其他收入：指单位取得的除上述收入以外的各项收入。主要是利息收入。</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2"/>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社会保障和就业支出（类）民政管理事务（款） 行政运行（项）：</w:t>
      </w:r>
      <w:r>
        <w:rPr>
          <w:rFonts w:hint="eastAsia" w:ascii="仿宋_GB2312" w:eastAsia="仿宋_GB2312"/>
          <w:color w:val="000000"/>
          <w:sz w:val="32"/>
          <w:szCs w:val="32"/>
        </w:rPr>
        <w:t>反映机关事业单位</w:t>
      </w:r>
      <w:r>
        <w:rPr>
          <w:rFonts w:hint="eastAsia" w:ascii="仿宋_GB2312" w:eastAsia="仿宋_GB2312"/>
          <w:color w:val="000000"/>
          <w:sz w:val="32"/>
          <w:szCs w:val="32"/>
          <w:lang w:eastAsia="zh-CN"/>
        </w:rPr>
        <w:t>实施失业保险制度由单位</w:t>
      </w:r>
      <w:r>
        <w:rPr>
          <w:rFonts w:hint="eastAsia" w:ascii="仿宋_GB2312" w:eastAsia="仿宋_GB2312"/>
          <w:color w:val="000000"/>
          <w:sz w:val="32"/>
          <w:szCs w:val="32"/>
        </w:rPr>
        <w:t>缴纳的</w:t>
      </w:r>
      <w:r>
        <w:rPr>
          <w:rFonts w:hint="eastAsia" w:ascii="仿宋_GB2312" w:eastAsia="仿宋_GB2312"/>
          <w:color w:val="000000"/>
          <w:sz w:val="32"/>
          <w:szCs w:val="32"/>
          <w:lang w:eastAsia="zh-CN"/>
        </w:rPr>
        <w:t>失业</w:t>
      </w:r>
      <w:r>
        <w:rPr>
          <w:rFonts w:hint="eastAsia" w:ascii="仿宋_GB2312" w:eastAsia="仿宋_GB2312"/>
          <w:color w:val="000000"/>
          <w:sz w:val="32"/>
          <w:szCs w:val="32"/>
        </w:rPr>
        <w:t>保险费</w:t>
      </w:r>
      <w:r>
        <w:rPr>
          <w:rFonts w:hint="eastAsia" w:ascii="仿宋_GB2312" w:eastAsia="仿宋_GB2312"/>
          <w:color w:val="000000"/>
          <w:sz w:val="32"/>
          <w:szCs w:val="32"/>
          <w:lang w:eastAsia="zh-CN"/>
        </w:rPr>
        <w:t>支出；</w:t>
      </w:r>
      <w:r>
        <w:rPr>
          <w:rFonts w:hint="eastAsia" w:ascii="仿宋_GB2312" w:eastAsia="仿宋_GB2312"/>
          <w:sz w:val="32"/>
          <w:szCs w:val="32"/>
        </w:rPr>
        <w:t>社会保障和就业支出（类）行政事业单位养老支出（款）机关事业单位基本养老保险缴费支出（项）：</w:t>
      </w:r>
      <w:r>
        <w:rPr>
          <w:rFonts w:hint="eastAsia" w:ascii="仿宋_GB2312" w:eastAsia="仿宋_GB2312"/>
          <w:color w:val="000000"/>
          <w:sz w:val="32"/>
          <w:szCs w:val="32"/>
        </w:rPr>
        <w:t>反映机关事业单位</w:t>
      </w:r>
      <w:r>
        <w:rPr>
          <w:rFonts w:hint="eastAsia" w:ascii="仿宋_GB2312" w:eastAsia="仿宋_GB2312"/>
          <w:color w:val="000000"/>
          <w:sz w:val="32"/>
          <w:szCs w:val="32"/>
          <w:lang w:eastAsia="zh-CN"/>
        </w:rPr>
        <w:t>实施养老保险制度由单位</w:t>
      </w:r>
      <w:r>
        <w:rPr>
          <w:rFonts w:hint="eastAsia" w:ascii="仿宋_GB2312" w:eastAsia="仿宋_GB2312"/>
          <w:color w:val="000000"/>
          <w:sz w:val="32"/>
          <w:szCs w:val="32"/>
        </w:rPr>
        <w:t>缴纳的基本养老保险费</w:t>
      </w:r>
      <w:r>
        <w:rPr>
          <w:rFonts w:hint="eastAsia" w:ascii="仿宋_GB2312" w:eastAsia="仿宋_GB2312"/>
          <w:color w:val="000000"/>
          <w:sz w:val="32"/>
          <w:szCs w:val="32"/>
          <w:lang w:eastAsia="zh-CN"/>
        </w:rPr>
        <w:t>支出</w:t>
      </w:r>
      <w:r>
        <w:rPr>
          <w:rFonts w:hint="eastAsia" w:ascii="仿宋_GB2312" w:eastAsia="仿宋_GB2312"/>
          <w:sz w:val="32"/>
          <w:szCs w:val="32"/>
        </w:rPr>
        <w:t>。</w:t>
      </w:r>
    </w:p>
    <w:p>
      <w:pPr>
        <w:ind w:firstLine="640" w:firstLineChars="200"/>
        <w:rPr>
          <w:rFonts w:ascii="仿宋_GB2312" w:eastAsia="仿宋_GB2312"/>
          <w:color w:val="auto"/>
          <w:sz w:val="32"/>
          <w:szCs w:val="32"/>
          <w:highlight w:val="none"/>
        </w:rPr>
      </w:pP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卫生健康支出（类）卫生健康管理事务（款） 行政运行（项）：反映</w:t>
      </w:r>
      <w:r>
        <w:rPr>
          <w:rFonts w:hint="eastAsia" w:ascii="仿宋_GB2312" w:eastAsia="仿宋_GB2312"/>
          <w:sz w:val="32"/>
          <w:szCs w:val="32"/>
          <w:lang w:eastAsia="zh-CN"/>
        </w:rPr>
        <w:t>机关事业单位</w:t>
      </w:r>
      <w:r>
        <w:rPr>
          <w:rFonts w:hint="eastAsia" w:ascii="仿宋_GB2312" w:eastAsia="仿宋_GB2312"/>
          <w:sz w:val="32"/>
          <w:szCs w:val="32"/>
        </w:rPr>
        <w:t>的基本支出</w:t>
      </w:r>
      <w:r>
        <w:rPr>
          <w:rFonts w:hint="eastAsia" w:ascii="仿宋_GB2312" w:eastAsia="仿宋_GB2312"/>
          <w:sz w:val="32"/>
          <w:szCs w:val="32"/>
          <w:lang w:eastAsia="zh-CN"/>
        </w:rPr>
        <w:t>；</w:t>
      </w:r>
      <w:r>
        <w:rPr>
          <w:rStyle w:val="14"/>
          <w:rFonts w:hint="eastAsia" w:ascii="仿宋" w:hAnsi="仿宋" w:eastAsia="仿宋" w:cstheme="minorBidi"/>
          <w:b w:val="0"/>
          <w:bCs w:val="0"/>
          <w:sz w:val="32"/>
          <w:szCs w:val="32"/>
        </w:rPr>
        <w:t>卫生健康</w:t>
      </w:r>
      <w:r>
        <w:rPr>
          <w:rStyle w:val="14"/>
          <w:rFonts w:hint="eastAsia" w:ascii="仿宋" w:hAnsi="仿宋" w:eastAsia="仿宋" w:cstheme="minorBidi"/>
          <w:b w:val="0"/>
          <w:bCs w:val="0"/>
          <w:sz w:val="32"/>
          <w:szCs w:val="32"/>
          <w:lang w:eastAsia="zh-CN"/>
        </w:rPr>
        <w:t>支出</w:t>
      </w:r>
      <w:r>
        <w:rPr>
          <w:rStyle w:val="14"/>
          <w:rFonts w:hint="eastAsia" w:ascii="仿宋" w:hAnsi="仿宋" w:eastAsia="仿宋" w:cstheme="minorBidi"/>
          <w:b w:val="0"/>
          <w:bCs w:val="0"/>
          <w:sz w:val="32"/>
          <w:szCs w:val="32"/>
        </w:rPr>
        <w:t>（类）公共卫生（款）卫生监督机构（项）</w:t>
      </w:r>
      <w:r>
        <w:rPr>
          <w:rStyle w:val="14"/>
          <w:rFonts w:hint="eastAsia" w:ascii="仿宋" w:hAnsi="仿宋" w:eastAsia="仿宋" w:cstheme="minorBidi"/>
          <w:b w:val="0"/>
          <w:bCs w:val="0"/>
          <w:sz w:val="32"/>
          <w:szCs w:val="32"/>
          <w:lang w:eastAsia="zh-CN"/>
        </w:rPr>
        <w:t>；</w:t>
      </w:r>
      <w:r>
        <w:rPr>
          <w:rFonts w:hint="eastAsia" w:ascii="仿宋_GB2312" w:eastAsia="仿宋_GB2312"/>
          <w:b w:val="0"/>
          <w:bCs w:val="0"/>
          <w:sz w:val="32"/>
          <w:szCs w:val="32"/>
        </w:rPr>
        <w:t>反映卫生监督机构的支出</w:t>
      </w:r>
      <w:r>
        <w:rPr>
          <w:rFonts w:hint="eastAsia" w:ascii="仿宋_GB2312" w:eastAsia="仿宋_GB2312"/>
          <w:b w:val="0"/>
          <w:bCs w:val="0"/>
          <w:sz w:val="32"/>
          <w:szCs w:val="32"/>
          <w:lang w:eastAsia="zh-CN"/>
        </w:rPr>
        <w:t>；</w:t>
      </w:r>
      <w:r>
        <w:rPr>
          <w:rStyle w:val="14"/>
          <w:rFonts w:hint="eastAsia" w:ascii="仿宋" w:hAnsi="仿宋" w:eastAsia="仿宋" w:cstheme="minorBidi"/>
          <w:b w:val="0"/>
          <w:bCs w:val="0"/>
          <w:sz w:val="32"/>
          <w:szCs w:val="32"/>
        </w:rPr>
        <w:t>卫生健康</w:t>
      </w:r>
      <w:r>
        <w:rPr>
          <w:rStyle w:val="14"/>
          <w:rFonts w:hint="eastAsia" w:ascii="仿宋" w:hAnsi="仿宋" w:eastAsia="仿宋" w:cstheme="minorBidi"/>
          <w:b w:val="0"/>
          <w:bCs w:val="0"/>
          <w:sz w:val="32"/>
          <w:szCs w:val="32"/>
          <w:lang w:eastAsia="zh-CN"/>
        </w:rPr>
        <w:t>支出</w:t>
      </w:r>
      <w:r>
        <w:rPr>
          <w:rStyle w:val="14"/>
          <w:rFonts w:hint="eastAsia" w:ascii="仿宋" w:hAnsi="仿宋" w:eastAsia="仿宋" w:cstheme="minorBidi"/>
          <w:b w:val="0"/>
          <w:bCs w:val="0"/>
          <w:sz w:val="32"/>
          <w:szCs w:val="32"/>
        </w:rPr>
        <w:t>（类）公共卫生（款）基本公共卫生服务（项）</w:t>
      </w:r>
      <w:r>
        <w:rPr>
          <w:rStyle w:val="14"/>
          <w:rFonts w:hint="eastAsia" w:ascii="仿宋" w:hAnsi="仿宋" w:eastAsia="仿宋" w:cstheme="minorBidi"/>
          <w:b w:val="0"/>
          <w:bCs w:val="0"/>
          <w:sz w:val="32"/>
          <w:szCs w:val="32"/>
          <w:lang w:eastAsia="zh-CN"/>
        </w:rPr>
        <w:t>：</w:t>
      </w:r>
      <w:r>
        <w:rPr>
          <w:rFonts w:hint="eastAsia" w:eastAsia="仿宋_GB2312"/>
          <w:sz w:val="32"/>
          <w:szCs w:val="32"/>
        </w:rPr>
        <w:t>反映重大疾病预防控制等</w:t>
      </w:r>
      <w:r>
        <w:rPr>
          <w:rFonts w:hint="eastAsia" w:eastAsia="仿宋_GB2312"/>
          <w:sz w:val="32"/>
          <w:szCs w:val="32"/>
          <w:lang w:eastAsia="zh-CN"/>
        </w:rPr>
        <w:t>基本</w:t>
      </w:r>
      <w:r>
        <w:rPr>
          <w:rFonts w:hint="eastAsia" w:eastAsia="仿宋_GB2312"/>
          <w:sz w:val="32"/>
          <w:szCs w:val="32"/>
        </w:rPr>
        <w:t>公共卫生服务项目支出。</w:t>
      </w:r>
    </w:p>
    <w:p>
      <w:pPr>
        <w:ind w:firstLine="640" w:firstLineChars="200"/>
        <w:rPr>
          <w:rFonts w:hint="eastAsia" w:ascii="仿宋_GB2312" w:eastAsia="仿宋"/>
          <w:b w:val="0"/>
          <w:bCs w:val="0"/>
          <w:sz w:val="32"/>
          <w:szCs w:val="32"/>
          <w:lang w:eastAsia="zh-CN"/>
        </w:rPr>
      </w:pPr>
    </w:p>
    <w:p>
      <w:pPr>
        <w:spacing w:line="300"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7</w:t>
      </w:r>
      <w:r>
        <w:rPr>
          <w:rFonts w:ascii="仿宋_GB2312" w:eastAsia="仿宋_GB2312"/>
          <w:sz w:val="32"/>
          <w:szCs w:val="32"/>
        </w:rPr>
        <w:t>.</w:t>
      </w:r>
      <w:r>
        <w:rPr>
          <w:rFonts w:hint="eastAsia" w:ascii="仿宋_GB2312" w:eastAsia="仿宋_GB2312"/>
          <w:sz w:val="32"/>
          <w:szCs w:val="32"/>
        </w:rPr>
        <w:t>卫生健康支出（类）行政事业单位医疗（款）行政单位医疗（项）：</w:t>
      </w:r>
      <w:r>
        <w:rPr>
          <w:rFonts w:hint="eastAsia" w:ascii="仿宋_GB2312" w:eastAsia="仿宋_GB2312"/>
          <w:color w:val="000000"/>
          <w:sz w:val="32"/>
          <w:szCs w:val="32"/>
        </w:rPr>
        <w:t>反映财政部门集中安排的行政单位基本医疗保险缴费经费</w:t>
      </w:r>
      <w:r>
        <w:rPr>
          <w:rFonts w:hint="eastAsia" w:ascii="仿宋_GB2312" w:eastAsia="仿宋_GB2312"/>
          <w:sz w:val="32"/>
          <w:szCs w:val="32"/>
          <w:lang w:eastAsia="zh-CN"/>
        </w:rPr>
        <w:t>；</w:t>
      </w:r>
      <w:r>
        <w:rPr>
          <w:rFonts w:hint="eastAsia" w:ascii="仿宋_GB2312" w:eastAsia="仿宋_GB2312"/>
          <w:sz w:val="32"/>
          <w:szCs w:val="32"/>
        </w:rPr>
        <w:t>公务员医疗补助（项）</w:t>
      </w:r>
      <w:r>
        <w:rPr>
          <w:rFonts w:hint="eastAsia" w:ascii="仿宋_GB2312" w:eastAsia="仿宋_GB2312"/>
          <w:sz w:val="32"/>
          <w:szCs w:val="32"/>
          <w:lang w:eastAsia="zh-CN"/>
        </w:rPr>
        <w:t>：</w:t>
      </w:r>
      <w:r>
        <w:rPr>
          <w:rFonts w:hint="eastAsia" w:eastAsia="仿宋_GB2312" w:cs="仿宋_GB2312"/>
          <w:sz w:val="32"/>
          <w:szCs w:val="32"/>
        </w:rPr>
        <w:t>反映财政部门集中安排的公务员医疗补助经费。</w:t>
      </w:r>
    </w:p>
    <w:p>
      <w:pPr>
        <w:pStyle w:val="22"/>
        <w:spacing w:line="300" w:lineRule="auto"/>
        <w:ind w:firstLine="640" w:firstLineChars="200"/>
        <w:jc w:val="both"/>
        <w:rPr>
          <w:rFonts w:ascii="仿宋_GB2312" w:eastAsia="仿宋_GB2312"/>
          <w:sz w:val="32"/>
          <w:szCs w:val="32"/>
        </w:rPr>
      </w:pP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sz w:val="32"/>
          <w:szCs w:val="32"/>
        </w:rPr>
        <w:t>住房保障支出（类）住房改革支出（款）住房公积金（项）：</w:t>
      </w:r>
      <w:r>
        <w:rPr>
          <w:rFonts w:hint="eastAsia" w:ascii="Times New Roman" w:hAnsi="Times New Roman" w:eastAsia="仿宋_GB2312" w:cs="仿宋_GB2312"/>
          <w:color w:val="auto"/>
          <w:sz w:val="32"/>
          <w:szCs w:val="32"/>
        </w:rPr>
        <w:t>反映行政事业单位按人力资源和社会保障部、财政部规定的基本工资和津贴补贴以及规定比例为职工缴纳的住房公积金。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11</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12</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hint="eastAsia" w:ascii="仿宋_GB2312" w:eastAsia="仿宋_GB2312"/>
          <w:color w:val="auto"/>
          <w:sz w:val="32"/>
          <w:szCs w:val="32"/>
        </w:rPr>
      </w:pPr>
    </w:p>
    <w:p>
      <w:pPr>
        <w:pStyle w:val="22"/>
        <w:spacing w:line="560" w:lineRule="exact"/>
        <w:ind w:firstLine="640" w:firstLineChars="200"/>
        <w:rPr>
          <w:rFonts w:hint="eastAsia" w:ascii="仿宋_GB2312" w:eastAsia="仿宋_GB2312"/>
          <w:color w:val="auto"/>
          <w:sz w:val="32"/>
          <w:szCs w:val="32"/>
        </w:rPr>
      </w:pPr>
    </w:p>
    <w:p>
      <w:pPr>
        <w:pStyle w:val="22"/>
        <w:spacing w:line="560" w:lineRule="exact"/>
        <w:ind w:firstLine="640" w:firstLineChars="200"/>
        <w:rPr>
          <w:rFonts w:hint="eastAsia" w:ascii="仿宋_GB2312" w:eastAsia="仿宋_GB2312"/>
          <w:color w:val="auto"/>
          <w:sz w:val="32"/>
          <w:szCs w:val="32"/>
        </w:rPr>
      </w:pPr>
    </w:p>
    <w:p>
      <w:pPr>
        <w:pStyle w:val="22"/>
        <w:spacing w:line="560" w:lineRule="exact"/>
        <w:ind w:firstLine="640" w:firstLineChars="200"/>
        <w:rPr>
          <w:rFonts w:hint="eastAsia" w:ascii="仿宋_GB2312" w:eastAsia="仿宋_GB2312"/>
          <w:color w:val="auto"/>
          <w:sz w:val="32"/>
          <w:szCs w:val="32"/>
        </w:rPr>
      </w:pPr>
    </w:p>
    <w:p>
      <w:pPr>
        <w:pStyle w:val="22"/>
        <w:spacing w:line="560" w:lineRule="exact"/>
        <w:ind w:firstLine="640" w:firstLineChars="200"/>
        <w:rPr>
          <w:rFonts w:hint="eastAsia" w:ascii="仿宋_GB2312" w:eastAsia="仿宋_GB2312"/>
          <w:color w:val="auto"/>
          <w:sz w:val="32"/>
          <w:szCs w:val="32"/>
        </w:rPr>
      </w:pPr>
    </w:p>
    <w:p>
      <w:pPr>
        <w:pStyle w:val="22"/>
        <w:spacing w:line="560" w:lineRule="exact"/>
        <w:ind w:firstLine="640" w:firstLineChars="200"/>
        <w:rPr>
          <w:rFonts w:hint="eastAsia" w:ascii="仿宋_GB2312" w:eastAsia="仿宋_GB2312"/>
          <w:color w:val="auto"/>
          <w:sz w:val="32"/>
          <w:szCs w:val="32"/>
        </w:rPr>
      </w:pPr>
    </w:p>
    <w:p>
      <w:pPr>
        <w:pStyle w:val="22"/>
        <w:spacing w:line="560" w:lineRule="exact"/>
        <w:ind w:firstLine="640" w:firstLineChars="200"/>
        <w:rPr>
          <w:rFonts w:hint="eastAsia" w:ascii="仿宋_GB2312" w:eastAsia="仿宋_GB2312"/>
          <w:color w:val="auto"/>
          <w:sz w:val="32"/>
          <w:szCs w:val="32"/>
        </w:rPr>
      </w:pPr>
    </w:p>
    <w:p>
      <w:pPr>
        <w:pStyle w:val="22"/>
        <w:spacing w:line="560" w:lineRule="exact"/>
        <w:ind w:firstLine="640" w:firstLineChars="200"/>
        <w:rPr>
          <w:rFonts w:hint="eastAsia" w:ascii="仿宋_GB2312" w:eastAsia="仿宋_GB2312"/>
          <w:color w:val="auto"/>
          <w:sz w:val="32"/>
          <w:szCs w:val="32"/>
        </w:rPr>
      </w:pPr>
    </w:p>
    <w:p>
      <w:pPr>
        <w:pStyle w:val="22"/>
        <w:spacing w:line="560" w:lineRule="exact"/>
        <w:ind w:firstLine="640" w:firstLineChars="200"/>
        <w:rPr>
          <w:rFonts w:hint="eastAsia" w:ascii="仿宋_GB2312" w:eastAsia="仿宋_GB2312"/>
          <w:color w:val="auto"/>
          <w:sz w:val="32"/>
          <w:szCs w:val="32"/>
        </w:rPr>
      </w:pPr>
    </w:p>
    <w:p>
      <w:pPr>
        <w:pStyle w:val="22"/>
        <w:spacing w:line="560" w:lineRule="exact"/>
        <w:ind w:firstLine="640" w:firstLineChars="200"/>
        <w:rPr>
          <w:rFonts w:hint="eastAsia" w:ascii="仿宋_GB2312" w:eastAsia="仿宋_GB2312"/>
          <w:color w:val="auto"/>
          <w:sz w:val="32"/>
          <w:szCs w:val="32"/>
        </w:rPr>
      </w:pPr>
    </w:p>
    <w:p>
      <w:pPr>
        <w:pStyle w:val="22"/>
        <w:spacing w:line="560" w:lineRule="exact"/>
        <w:ind w:firstLine="640" w:firstLineChars="200"/>
        <w:rPr>
          <w:rFonts w:hint="eastAsia" w:ascii="仿宋_GB2312" w:eastAsia="仿宋_GB2312"/>
          <w:color w:val="auto"/>
          <w:sz w:val="32"/>
          <w:szCs w:val="32"/>
        </w:rPr>
      </w:pPr>
    </w:p>
    <w:p>
      <w:pPr>
        <w:pStyle w:val="22"/>
        <w:spacing w:line="560" w:lineRule="exact"/>
        <w:ind w:firstLine="640" w:firstLineChars="200"/>
        <w:rPr>
          <w:rFonts w:hint="eastAsia" w:ascii="仿宋_GB2312" w:eastAsia="仿宋_GB2312"/>
          <w:color w:val="auto"/>
          <w:sz w:val="32"/>
          <w:szCs w:val="32"/>
        </w:rPr>
      </w:pPr>
    </w:p>
    <w:p>
      <w:pPr>
        <w:pStyle w:val="22"/>
        <w:spacing w:line="560" w:lineRule="exact"/>
        <w:ind w:firstLine="640" w:firstLineChars="200"/>
        <w:rPr>
          <w:rFonts w:hint="eastAsia" w:ascii="仿宋_GB2312" w:eastAsia="仿宋_GB2312"/>
          <w:color w:val="auto"/>
          <w:sz w:val="32"/>
          <w:szCs w:val="32"/>
        </w:rPr>
      </w:pPr>
    </w:p>
    <w:p>
      <w:pPr>
        <w:pStyle w:val="22"/>
        <w:spacing w:line="560" w:lineRule="exact"/>
        <w:ind w:firstLine="640" w:firstLineChars="200"/>
        <w:rPr>
          <w:rFonts w:hint="eastAsia" w:ascii="仿宋_GB2312" w:eastAsia="仿宋_GB2312"/>
          <w:color w:val="auto"/>
          <w:sz w:val="32"/>
          <w:szCs w:val="32"/>
        </w:rPr>
      </w:pPr>
    </w:p>
    <w:p>
      <w:pPr>
        <w:pStyle w:val="22"/>
        <w:spacing w:line="560" w:lineRule="exact"/>
        <w:ind w:firstLine="640" w:firstLineChars="200"/>
        <w:rPr>
          <w:rFonts w:hint="eastAsia" w:ascii="仿宋_GB2312" w:eastAsia="仿宋_GB2312"/>
          <w:color w:val="auto"/>
          <w:sz w:val="32"/>
          <w:szCs w:val="32"/>
        </w:rPr>
      </w:pPr>
    </w:p>
    <w:p>
      <w:pPr>
        <w:pStyle w:val="22"/>
        <w:spacing w:line="560" w:lineRule="exact"/>
        <w:ind w:firstLine="640" w:firstLineChars="200"/>
        <w:rPr>
          <w:rFonts w:hint="eastAsia" w:ascii="仿宋_GB2312" w:eastAsia="仿宋_GB2312"/>
          <w:color w:val="auto"/>
          <w:sz w:val="32"/>
          <w:szCs w:val="32"/>
        </w:rPr>
      </w:pPr>
    </w:p>
    <w:p>
      <w:pPr>
        <w:pStyle w:val="22"/>
        <w:spacing w:line="560" w:lineRule="exact"/>
        <w:ind w:firstLine="640" w:firstLineChars="200"/>
        <w:rPr>
          <w:rFonts w:hint="eastAsia" w:ascii="仿宋_GB2312" w:eastAsia="仿宋_GB2312"/>
          <w:color w:val="auto"/>
          <w:sz w:val="32"/>
          <w:szCs w:val="32"/>
        </w:rPr>
      </w:pPr>
    </w:p>
    <w:p>
      <w:pPr>
        <w:pStyle w:val="22"/>
        <w:spacing w:line="560" w:lineRule="exact"/>
        <w:ind w:firstLine="640" w:firstLineChars="200"/>
        <w:rPr>
          <w:rFonts w:hint="eastAsia" w:ascii="仿宋_GB2312" w:eastAsia="仿宋_GB2312"/>
          <w:color w:val="auto"/>
          <w:sz w:val="32"/>
          <w:szCs w:val="32"/>
        </w:rPr>
      </w:pPr>
    </w:p>
    <w:p>
      <w:pPr>
        <w:pStyle w:val="22"/>
        <w:spacing w:line="560" w:lineRule="exact"/>
        <w:ind w:firstLine="640" w:firstLineChars="200"/>
        <w:rPr>
          <w:rFonts w:hint="eastAsia" w:ascii="仿宋_GB2312" w:eastAsia="仿宋_GB2312"/>
          <w:color w:val="auto"/>
          <w:sz w:val="32"/>
          <w:szCs w:val="32"/>
        </w:rPr>
      </w:pPr>
    </w:p>
    <w:p>
      <w:pPr>
        <w:pStyle w:val="22"/>
        <w:spacing w:line="560" w:lineRule="exact"/>
        <w:ind w:firstLine="640" w:firstLineChars="200"/>
        <w:rPr>
          <w:rFonts w:hint="eastAsia" w:ascii="仿宋_GB2312" w:eastAsia="仿宋_GB2312"/>
          <w:color w:val="auto"/>
          <w:sz w:val="32"/>
          <w:szCs w:val="32"/>
        </w:rPr>
      </w:pPr>
    </w:p>
    <w:p>
      <w:pPr>
        <w:pStyle w:val="22"/>
        <w:spacing w:line="560" w:lineRule="exact"/>
        <w:rPr>
          <w:rFonts w:hint="eastAsia" w:ascii="仿宋_GB2312" w:eastAsia="仿宋_GB2312"/>
          <w:color w:val="auto"/>
          <w:sz w:val="32"/>
          <w:szCs w:val="32"/>
        </w:rPr>
      </w:pPr>
    </w:p>
    <w:p>
      <w:pPr>
        <w:spacing w:line="600" w:lineRule="exact"/>
        <w:jc w:val="center"/>
        <w:outlineLvl w:val="0"/>
        <w:rPr>
          <w:rStyle w:val="24"/>
          <w:rFonts w:ascii="黑体" w:hAnsi="黑体" w:eastAsia="黑体"/>
          <w:b w:val="0"/>
        </w:rPr>
      </w:pPr>
      <w:bookmarkStart w:id="51" w:name="_Toc15396614"/>
      <w:bookmarkStart w:id="52" w:name="_Toc15377226"/>
      <w:r>
        <w:rPr>
          <w:rFonts w:hint="eastAsia" w:ascii="黑体" w:hAnsi="黑体" w:eastAsia="黑体"/>
          <w:sz w:val="44"/>
          <w:szCs w:val="44"/>
        </w:rPr>
        <w:t>第</w:t>
      </w:r>
      <w:r>
        <w:rPr>
          <w:rStyle w:val="24"/>
          <w:rFonts w:hint="eastAsia" w:ascii="黑体" w:hAnsi="黑体" w:eastAsia="黑体"/>
          <w:b w:val="0"/>
        </w:rPr>
        <w:t>四部分 附件</w:t>
      </w:r>
      <w:bookmarkEnd w:id="51"/>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hint="eastAsia" w:ascii="宋体" w:hAnsi="宋体" w:eastAsia="宋体" w:cs="宋体"/>
          <w:kern w:val="0"/>
          <w:sz w:val="32"/>
          <w:szCs w:val="32"/>
          <w:lang w:val="en-US" w:eastAsia="zh-CN"/>
        </w:rPr>
      </w:pPr>
      <w:bookmarkStart w:id="53" w:name="_Toc15396618"/>
      <w:r>
        <w:rPr>
          <w:rFonts w:hint="eastAsia" w:ascii="宋体" w:hAnsi="宋体" w:cs="宋体"/>
          <w:kern w:val="0"/>
          <w:sz w:val="32"/>
          <w:szCs w:val="32"/>
        </w:rPr>
        <w:t>部门预算项目支出绩效自评表（2022年度）见附件</w:t>
      </w:r>
      <w:r>
        <w:rPr>
          <w:rFonts w:hint="eastAsia" w:ascii="宋体" w:hAnsi="宋体" w:cs="宋体"/>
          <w:kern w:val="0"/>
          <w:sz w:val="32"/>
          <w:szCs w:val="32"/>
          <w:lang w:val="en-US" w:eastAsia="zh-CN"/>
        </w:rPr>
        <w:t>3</w:t>
      </w: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52"/>
      <w:bookmarkEnd w:id="53"/>
      <w:bookmarkStart w:id="54" w:name="_Toc15396619"/>
    </w:p>
    <w:p>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5"/>
          <w:rFonts w:hint="eastAsia" w:ascii="仿宋" w:hAnsi="仿宋" w:eastAsia="仿宋"/>
          <w:b w:val="0"/>
          <w:bCs w:val="0"/>
        </w:rPr>
        <w:t>入决算表</w:t>
      </w:r>
      <w:bookmarkEnd w:id="55"/>
    </w:p>
    <w:p>
      <w:pPr>
        <w:pStyle w:val="4"/>
        <w:rPr>
          <w:rFonts w:ascii="仿宋" w:hAnsi="仿宋" w:eastAsia="仿宋"/>
        </w:rPr>
      </w:pPr>
      <w:bookmarkStart w:id="56"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57"/>
    </w:p>
    <w:p>
      <w:pPr>
        <w:pStyle w:val="4"/>
        <w:rPr>
          <w:rStyle w:val="25"/>
          <w:rFonts w:ascii="仿宋" w:hAnsi="仿宋" w:eastAsia="仿宋"/>
          <w:b w:val="0"/>
          <w:bCs w:val="0"/>
        </w:rPr>
      </w:pPr>
      <w:bookmarkStart w:id="58"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5"/>
          <w:rFonts w:hint="eastAsia" w:ascii="仿宋" w:hAnsi="仿宋" w:eastAsia="仿宋"/>
          <w:b w:val="0"/>
          <w:bCs w:val="0"/>
        </w:rPr>
        <w:t>十、</w:t>
      </w:r>
      <w:bookmarkEnd w:id="63"/>
      <w:r>
        <w:rPr>
          <w:rFonts w:hint="eastAsia" w:ascii="仿宋" w:hAnsi="仿宋" w:eastAsia="仿宋"/>
          <w:b w:val="0"/>
        </w:rPr>
        <w:t>政</w:t>
      </w:r>
      <w:r>
        <w:rPr>
          <w:rStyle w:val="25"/>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25"/>
          <w:rFonts w:hint="eastAsia" w:ascii="仿宋" w:hAnsi="仿宋" w:eastAsia="仿宋"/>
          <w:b w:val="0"/>
          <w:bCs w:val="0"/>
        </w:rPr>
        <w:t>十一、</w:t>
      </w:r>
      <w:bookmarkEnd w:id="64"/>
      <w:r>
        <w:rPr>
          <w:rFonts w:hint="eastAsia" w:ascii="仿宋" w:hAnsi="仿宋" w:eastAsia="仿宋"/>
          <w:b w:val="0"/>
        </w:rPr>
        <w:t>国</w:t>
      </w:r>
      <w:r>
        <w:rPr>
          <w:rStyle w:val="25"/>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25"/>
          <w:rFonts w:hint="eastAsia" w:ascii="仿宋" w:hAnsi="仿宋" w:eastAsia="仿宋"/>
          <w:b w:val="0"/>
          <w:bCs w:val="0"/>
        </w:rPr>
        <w:t>十二、</w:t>
      </w:r>
      <w:bookmarkEnd w:id="65"/>
      <w:r>
        <w:rPr>
          <w:rStyle w:val="25"/>
          <w:rFonts w:hint="eastAsia" w:ascii="仿宋" w:hAnsi="仿宋" w:eastAsia="仿宋"/>
          <w:b w:val="0"/>
          <w:bCs w:val="0"/>
        </w:rPr>
        <w:t>国有资本经营预算财政拨款支出决算表</w:t>
      </w:r>
    </w:p>
    <w:p>
      <w:pPr>
        <w:pStyle w:val="4"/>
        <w:rPr>
          <w:rFonts w:eastAsia="仿宋"/>
        </w:rPr>
      </w:pPr>
      <w:bookmarkStart w:id="66" w:name="_Toc15396631"/>
      <w:r>
        <w:rPr>
          <w:rStyle w:val="25"/>
          <w:rFonts w:hint="eastAsia" w:ascii="仿宋" w:hAnsi="仿宋" w:eastAsia="仿宋"/>
          <w:b w:val="0"/>
          <w:bCs w:val="0"/>
        </w:rPr>
        <w:t>十三、</w:t>
      </w:r>
      <w:bookmarkEnd w:id="66"/>
      <w:r>
        <w:rPr>
          <w:rStyle w:val="25"/>
          <w:rFonts w:hint="eastAsia" w:ascii="仿宋" w:hAnsi="仿宋" w:eastAsia="仿宋"/>
          <w:b w:val="0"/>
          <w:bCs w:val="0"/>
        </w:rPr>
        <w:t>财政拨款“三公”经费支出决算表</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15</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MzcxMWFiODE2NWE1NjU4MGJiZGRhY2Q2OTY3OD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654D1"/>
    <w:rsid w:val="00166E95"/>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4B39"/>
    <w:rsid w:val="00471401"/>
    <w:rsid w:val="00473F31"/>
    <w:rsid w:val="0048263A"/>
    <w:rsid w:val="00485945"/>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049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524A"/>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331ABF"/>
    <w:rsid w:val="03EC65DD"/>
    <w:rsid w:val="053A62B5"/>
    <w:rsid w:val="05D112B4"/>
    <w:rsid w:val="05E40193"/>
    <w:rsid w:val="0A2032A3"/>
    <w:rsid w:val="0B8A37D8"/>
    <w:rsid w:val="10C055FF"/>
    <w:rsid w:val="118107EC"/>
    <w:rsid w:val="11B8786C"/>
    <w:rsid w:val="11DD6519"/>
    <w:rsid w:val="13A413F3"/>
    <w:rsid w:val="16BB723D"/>
    <w:rsid w:val="18015F3F"/>
    <w:rsid w:val="1BE8440E"/>
    <w:rsid w:val="1D155CEE"/>
    <w:rsid w:val="20F57F95"/>
    <w:rsid w:val="240371BF"/>
    <w:rsid w:val="25711CC6"/>
    <w:rsid w:val="25C741E6"/>
    <w:rsid w:val="26A17674"/>
    <w:rsid w:val="27842671"/>
    <w:rsid w:val="29FD04D3"/>
    <w:rsid w:val="2ABE7A3E"/>
    <w:rsid w:val="2CA234A8"/>
    <w:rsid w:val="2EFA178C"/>
    <w:rsid w:val="30B46D73"/>
    <w:rsid w:val="319F7F4E"/>
    <w:rsid w:val="3325638E"/>
    <w:rsid w:val="36D3294D"/>
    <w:rsid w:val="383D272C"/>
    <w:rsid w:val="39AE70AB"/>
    <w:rsid w:val="3C0C0783"/>
    <w:rsid w:val="3F9F3A96"/>
    <w:rsid w:val="46817968"/>
    <w:rsid w:val="48BF60AB"/>
    <w:rsid w:val="493C27E9"/>
    <w:rsid w:val="496F39ED"/>
    <w:rsid w:val="49FF41D3"/>
    <w:rsid w:val="4BE068DB"/>
    <w:rsid w:val="4BF6002B"/>
    <w:rsid w:val="4ECE2238"/>
    <w:rsid w:val="517E156E"/>
    <w:rsid w:val="51DB4B86"/>
    <w:rsid w:val="55333C3E"/>
    <w:rsid w:val="58FA735F"/>
    <w:rsid w:val="64CA39A1"/>
    <w:rsid w:val="66616505"/>
    <w:rsid w:val="69630ADE"/>
    <w:rsid w:val="6C4A05C8"/>
    <w:rsid w:val="6D3B1A89"/>
    <w:rsid w:val="6F653030"/>
    <w:rsid w:val="71BF4EC2"/>
    <w:rsid w:val="72734D90"/>
    <w:rsid w:val="7412278C"/>
    <w:rsid w:val="79E7B28D"/>
    <w:rsid w:val="79F35CC6"/>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字符"/>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字符"/>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字符"/>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字符"/>
    <w:basedOn w:val="13"/>
    <w:link w:val="3"/>
    <w:qFormat/>
    <w:uiPriority w:val="9"/>
    <w:rPr>
      <w:rFonts w:ascii="Times New Roman" w:hAnsi="Times New Roman"/>
      <w:b/>
      <w:bCs/>
      <w:kern w:val="44"/>
      <w:sz w:val="44"/>
      <w:szCs w:val="44"/>
    </w:rPr>
  </w:style>
  <w:style w:type="character" w:customStyle="1" w:styleId="25">
    <w:name w:val="标题 2 字符"/>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字符"/>
    <w:basedOn w:val="13"/>
    <w:link w:val="7"/>
    <w:semiHidden/>
    <w:qFormat/>
    <w:uiPriority w:val="99"/>
    <w:rPr>
      <w:rFonts w:ascii="Times New Roman" w:hAnsi="Times New Roman"/>
      <w:kern w:val="2"/>
      <w:sz w:val="18"/>
      <w:szCs w:val="18"/>
    </w:rPr>
  </w:style>
  <w:style w:type="character" w:customStyle="1" w:styleId="28">
    <w:name w:val="标题 3 字符"/>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列1</c:v>
                </c:pt>
              </c:strCache>
            </c:strRef>
          </c:tx>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dLbl>
              <c:idx val="2"/>
              <c:layout/>
              <c:dLblPos val="outEnd"/>
              <c:showLegendKey val="0"/>
              <c:showVal val="1"/>
              <c:showCatName val="0"/>
              <c:showSerName val="0"/>
              <c:showPercent val="0"/>
              <c:showBubbleSize val="0"/>
              <c:extLst>
                <c:ext xmlns:c15="http://schemas.microsoft.com/office/drawing/2012/chart" uri="{CE6537A1-D6FC-4f65-9D91-7224C49458BB}"/>
              </c:extLst>
            </c:dLbl>
            <c:dLbl>
              <c:idx val="3"/>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2021年度收入总计</c:v>
                </c:pt>
                <c:pt idx="1">
                  <c:v>2021年度支出总计</c:v>
                </c:pt>
                <c:pt idx="2">
                  <c:v>2022年度收入总计</c:v>
                </c:pt>
                <c:pt idx="3">
                  <c:v>2022年度支出总计</c:v>
                </c:pt>
              </c:strCache>
            </c:strRef>
          </c:cat>
          <c:val>
            <c:numRef>
              <c:f>Sheet1!$B$2:$B$5</c:f>
              <c:numCache>
                <c:formatCode>General</c:formatCode>
                <c:ptCount val="4"/>
                <c:pt idx="0">
                  <c:v>292.82</c:v>
                </c:pt>
                <c:pt idx="1">
                  <c:v>292.82</c:v>
                </c:pt>
                <c:pt idx="2">
                  <c:v>271.16</c:v>
                </c:pt>
                <c:pt idx="3">
                  <c:v>271.16</c:v>
                </c:pt>
              </c:numCache>
            </c:numRef>
          </c:val>
        </c:ser>
        <c:dLbls>
          <c:showLegendKey val="0"/>
          <c:showVal val="0"/>
          <c:showCatName val="0"/>
          <c:showSerName val="0"/>
          <c:showPercent val="0"/>
          <c:showBubbleSize val="0"/>
        </c:dLbls>
        <c:gapWidth val="150"/>
        <c:axId val="132020096"/>
        <c:axId val="132021632"/>
      </c:barChart>
      <c:catAx>
        <c:axId val="13202009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2021632"/>
        <c:crosses val="autoZero"/>
        <c:auto val="1"/>
        <c:lblAlgn val="ctr"/>
        <c:lblOffset val="100"/>
        <c:noMultiLvlLbl val="0"/>
      </c:catAx>
      <c:valAx>
        <c:axId val="1320216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2020096"/>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收入决算结构</c:v>
                </c:pt>
              </c:strCache>
            </c:strRef>
          </c:tx>
          <c:explosion val="0"/>
          <c:dPt>
            <c:idx val="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c:f>
              <c:strCache>
                <c:ptCount val="1"/>
                <c:pt idx="0">
                  <c:v>一般公共预算收入</c:v>
                </c:pt>
              </c:strCache>
            </c:strRef>
          </c:cat>
          <c:val>
            <c:numRef>
              <c:f>Sheet1!$B$2</c:f>
              <c:numCache>
                <c:formatCode>General</c:formatCode>
                <c:ptCount val="1"/>
                <c:pt idx="0">
                  <c:v>177.5</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166.81</c:v>
                </c:pt>
                <c:pt idx="1">
                  <c:v>10.69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36349873843566"/>
          <c:y val="0.794755859363936"/>
          <c:w val="0.331202691337258"/>
          <c:h val="0.1452952029520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列1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2021年度收入总计</c:v>
                </c:pt>
                <c:pt idx="1">
                  <c:v>2021年度支出总计</c:v>
                </c:pt>
                <c:pt idx="2">
                  <c:v>2022年度收入总计</c:v>
                </c:pt>
                <c:pt idx="3">
                  <c:v>2022年度支出总计</c:v>
                </c:pt>
              </c:strCache>
            </c:strRef>
          </c:cat>
          <c:val>
            <c:numRef>
              <c:f>Sheet1!$B$2:$B$5</c:f>
              <c:numCache>
                <c:formatCode>General</c:formatCode>
                <c:ptCount val="4"/>
                <c:pt idx="0">
                  <c:v>292.82</c:v>
                </c:pt>
                <c:pt idx="1">
                  <c:v>292.82</c:v>
                </c:pt>
                <c:pt idx="2">
                  <c:v>271.16</c:v>
                </c:pt>
                <c:pt idx="3">
                  <c:v>271.16</c:v>
                </c:pt>
              </c:numCache>
            </c:numRef>
          </c:val>
        </c:ser>
        <c:dLbls>
          <c:showLegendKey val="0"/>
          <c:showVal val="1"/>
          <c:showCatName val="0"/>
          <c:showSerName val="0"/>
          <c:showPercent val="0"/>
          <c:showBubbleSize val="0"/>
        </c:dLbls>
        <c:gapWidth val="150"/>
        <c:axId val="133495040"/>
        <c:axId val="138555392"/>
      </c:barChart>
      <c:catAx>
        <c:axId val="13349504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8555392"/>
        <c:crosses val="autoZero"/>
        <c:auto val="1"/>
        <c:lblAlgn val="ctr"/>
        <c:lblOffset val="100"/>
        <c:noMultiLvlLbl val="0"/>
      </c:catAx>
      <c:valAx>
        <c:axId val="1385553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3495040"/>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2021年一般公共预算财政拨款支出</c:v>
                </c:pt>
                <c:pt idx="1">
                  <c:v>2022年一般公共预算财政拨款支出</c:v>
                </c:pt>
              </c:strCache>
            </c:strRef>
          </c:cat>
          <c:val>
            <c:numRef>
              <c:f>Sheet1!$B$2:$B$3</c:f>
              <c:numCache>
                <c:formatCode>General</c:formatCode>
                <c:ptCount val="2"/>
                <c:pt idx="0">
                  <c:v>199.16</c:v>
                </c:pt>
                <c:pt idx="1">
                  <c:v>177.5</c:v>
                </c:pt>
              </c:numCache>
            </c:numRef>
          </c:val>
        </c:ser>
        <c:dLbls>
          <c:showLegendKey val="0"/>
          <c:showVal val="1"/>
          <c:showCatName val="0"/>
          <c:showSerName val="0"/>
          <c:showPercent val="0"/>
          <c:showBubbleSize val="0"/>
        </c:dLbls>
        <c:gapWidth val="150"/>
        <c:axId val="132844544"/>
        <c:axId val="132858624"/>
      </c:barChart>
      <c:catAx>
        <c:axId val="13284454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2858624"/>
        <c:crosses val="autoZero"/>
        <c:auto val="1"/>
        <c:lblAlgn val="ctr"/>
        <c:lblOffset val="100"/>
        <c:noMultiLvlLbl val="0"/>
      </c:catAx>
      <c:valAx>
        <c:axId val="1328586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284454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卫生健康支出</c:v>
                </c:pt>
                <c:pt idx="1">
                  <c:v>社会保障和就业支出</c:v>
                </c:pt>
                <c:pt idx="2">
                  <c:v>住房保障支出</c:v>
                </c:pt>
              </c:strCache>
            </c:strRef>
          </c:cat>
          <c:val>
            <c:numRef>
              <c:f>Sheet1!$B$2:$B$4</c:f>
              <c:numCache>
                <c:formatCode>General</c:formatCode>
                <c:ptCount val="3"/>
                <c:pt idx="0">
                  <c:v>164.35</c:v>
                </c:pt>
                <c:pt idx="1">
                  <c:v>5.95</c:v>
                </c:pt>
                <c:pt idx="2">
                  <c:v>7.2</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公务车运行维护费支出</c:v>
                </c:pt>
                <c:pt idx="1">
                  <c:v>公务接待费支出</c:v>
                </c:pt>
                <c:pt idx="2">
                  <c:v>因公出国（境）费支出</c:v>
                </c:pt>
                <c:pt idx="3">
                  <c:v>公务用车购置</c:v>
                </c:pt>
              </c:strCache>
            </c:strRef>
          </c:cat>
          <c:val>
            <c:numRef>
              <c:f>Sheet1!$B$2:$B$5</c:f>
              <c:numCache>
                <c:formatCode>General</c:formatCode>
                <c:ptCount val="4"/>
                <c:pt idx="0">
                  <c:v>3.65</c:v>
                </c:pt>
                <c:pt idx="1">
                  <c:v>0</c:v>
                </c:pt>
                <c:pt idx="2">
                  <c:v>0</c:v>
                </c:pt>
                <c:pt idx="3">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882</Words>
  <Characters>5030</Characters>
  <Lines>41</Lines>
  <Paragraphs>11</Paragraphs>
  <TotalTime>1</TotalTime>
  <ScaleCrop>false</ScaleCrop>
  <LinksUpToDate>false</LinksUpToDate>
  <CharactersWithSpaces>5901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。二萌 </cp:lastModifiedBy>
  <cp:lastPrinted>2023-07-31T02:35:00Z</cp:lastPrinted>
  <dcterms:modified xsi:type="dcterms:W3CDTF">2023-10-26T09:50:06Z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46250A3C7F81477E9398D00FE0508E05_12</vt:lpwstr>
  </property>
</Properties>
</file>