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77425"/>
      <w:bookmarkStart w:id="3" w:name="_Toc15378441"/>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8442"/>
      <w:bookmarkStart w:id="8" w:name="_Toc15396598"/>
      <w:bookmarkStart w:id="9" w:name="_Toc15396476"/>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攀枝花市西区卫生和计划生育监督执法大队部门决算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rPr>
        <w:t>编制说明</w:t>
      </w:r>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w:t>
      </w:r>
      <w:r>
        <w:rPr>
          <w:rFonts w:hint="eastAsia"/>
          <w:lang w:val="en-US" w:eastAsia="zh-CN"/>
        </w:rPr>
        <w:t>10</w:t>
      </w:r>
      <w:r>
        <w:rPr>
          <w:rFonts w:hint="eastAsia"/>
        </w:rPr>
        <w:t>月</w:t>
      </w:r>
      <w:r>
        <w:rPr>
          <w:rFonts w:hint="eastAsia"/>
          <w:lang w:val="en-US" w:eastAsia="zh-CN"/>
        </w:rPr>
        <w:t>8</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hint="eastAsia" w:ascii="仿宋" w:hAnsi="仿宋" w:eastAsiaTheme="minorEastAsia"/>
          <w:sz w:val="24"/>
          <w:lang w:val="en-US" w:eastAsia="zh-CN"/>
        </w:rPr>
      </w:pPr>
      <w:r>
        <w:rPr>
          <w:rFonts w:hint="eastAsia"/>
          <w:sz w:val="24"/>
        </w:rPr>
        <w:t>一、基本职能及主要工作</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4</w:t>
      </w:r>
    </w:p>
    <w:p>
      <w:pPr>
        <w:pStyle w:val="12"/>
        <w:adjustRightInd w:val="0"/>
        <w:snapToGrid w:val="0"/>
        <w:spacing w:line="440" w:lineRule="exact"/>
        <w:jc w:val="left"/>
        <w:rPr>
          <w:rFonts w:hint="eastAsia" w:ascii="仿宋" w:hAnsi="仿宋" w:eastAsiaTheme="minorEastAsia" w:cstheme="minorBidi"/>
          <w:sz w:val="24"/>
          <w:lang w:val="en-US" w:eastAsia="zh-CN"/>
        </w:rPr>
      </w:pPr>
      <w:r>
        <w:rPr>
          <w:rFonts w:hint="eastAsia"/>
          <w:sz w:val="24"/>
        </w:rPr>
        <w:t>二、机构设置</w:t>
      </w:r>
      <w:r>
        <w:rPr>
          <w:rFonts w:hint="eastAsia"/>
          <w:sz w:val="24"/>
          <w:lang w:eastAsia="zh-CN"/>
        </w:rPr>
        <w:t>情况</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8</w:t>
      </w:r>
    </w:p>
    <w:p>
      <w:pPr>
        <w:pStyle w:val="11"/>
        <w:adjustRightInd w:val="0"/>
        <w:snapToGrid w:val="0"/>
        <w:spacing w:before="0" w:line="440" w:lineRule="exact"/>
        <w:jc w:val="left"/>
        <w:rPr>
          <w:sz w:val="24"/>
          <w:szCs w:val="24"/>
        </w:rPr>
      </w:pPr>
      <w:r>
        <w:rPr>
          <w:rFonts w:hint="eastAsia"/>
          <w:sz w:val="24"/>
        </w:rPr>
        <w:t>第二部分 2021年度部门决算情况说明</w:t>
      </w:r>
    </w:p>
    <w:p>
      <w:pPr>
        <w:pStyle w:val="12"/>
        <w:adjustRightInd w:val="0"/>
        <w:snapToGrid w:val="0"/>
        <w:spacing w:line="440" w:lineRule="exact"/>
        <w:jc w:val="left"/>
        <w:rPr>
          <w:rFonts w:hint="eastAsia" w:ascii="仿宋" w:hAnsi="仿宋" w:eastAsiaTheme="minorEastAsia" w:cstheme="minorBidi"/>
          <w:sz w:val="24"/>
          <w:lang w:val="en-US" w:eastAsia="zh-CN"/>
        </w:rPr>
      </w:pPr>
      <w:r>
        <w:rPr>
          <w:rFonts w:hint="eastAsia"/>
          <w:sz w:val="24"/>
        </w:rPr>
        <w:t>一、收入支出决算总体情况说明</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w:t>
      </w:r>
    </w:p>
    <w:p>
      <w:pPr>
        <w:pStyle w:val="12"/>
        <w:adjustRightInd w:val="0"/>
        <w:snapToGrid w:val="0"/>
        <w:spacing w:line="440" w:lineRule="exact"/>
        <w:jc w:val="left"/>
        <w:rPr>
          <w:rFonts w:hint="default" w:ascii="仿宋" w:hAnsi="仿宋" w:eastAsiaTheme="minorEastAsia" w:cstheme="minorBidi"/>
          <w:sz w:val="24"/>
          <w:lang w:val="en-US" w:eastAsia="zh-CN"/>
        </w:rPr>
      </w:pPr>
      <w:r>
        <w:rPr>
          <w:rFonts w:hint="eastAsia"/>
          <w:sz w:val="24"/>
        </w:rPr>
        <w:t>二、</w:t>
      </w:r>
      <w:r>
        <w:rPr>
          <w:rFonts w:hint="eastAsia"/>
          <w:sz w:val="24"/>
          <w:lang w:val="en-US" w:eastAsia="zh-CN"/>
        </w:rPr>
        <w:t xml:space="preserve"> </w:t>
      </w:r>
      <w:r>
        <w:rPr>
          <w:rFonts w:hint="eastAsia"/>
          <w:sz w:val="24"/>
        </w:rPr>
        <w:t>收入决算情况说明</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w:t>
      </w:r>
      <w:r>
        <w:rPr>
          <w:rFonts w:hint="eastAsia"/>
          <w:sz w:val="24"/>
        </w:rPr>
        <w:t>三、支出决算情况说明</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10</w:t>
      </w:r>
    </w:p>
    <w:p>
      <w:pPr>
        <w:pStyle w:val="12"/>
        <w:adjustRightInd w:val="0"/>
        <w:snapToGrid w:val="0"/>
        <w:spacing w:line="440" w:lineRule="exact"/>
        <w:jc w:val="left"/>
        <w:rPr>
          <w:rFonts w:hint="default" w:ascii="仿宋" w:hAnsi="仿宋" w:eastAsiaTheme="minorEastAsia" w:cstheme="minorBidi"/>
          <w:sz w:val="24"/>
          <w:lang w:val="en-US" w:eastAsia="zh-CN"/>
        </w:rPr>
      </w:pPr>
      <w:r>
        <w:rPr>
          <w:rFonts w:hint="eastAsia"/>
          <w:sz w:val="24"/>
        </w:rPr>
        <w:t>四、财政拨款收入支出决算总体情况说明</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10</w:t>
      </w:r>
    </w:p>
    <w:p>
      <w:pPr>
        <w:pStyle w:val="12"/>
        <w:adjustRightInd w:val="0"/>
        <w:snapToGrid w:val="0"/>
        <w:spacing w:line="440" w:lineRule="exact"/>
        <w:jc w:val="left"/>
        <w:rPr>
          <w:rFonts w:hint="default" w:ascii="仿宋" w:hAnsi="仿宋" w:eastAsiaTheme="minorEastAsia" w:cstheme="minorBidi"/>
          <w:sz w:val="24"/>
          <w:lang w:val="en-US" w:eastAsia="zh-CN"/>
        </w:rPr>
      </w:pPr>
      <w:r>
        <w:rPr>
          <w:rFonts w:hint="eastAsia"/>
          <w:sz w:val="24"/>
        </w:rPr>
        <w:t>五、一般公共预算财政拨款支出决算情况说明</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11</w:t>
      </w:r>
    </w:p>
    <w:p>
      <w:pPr>
        <w:pStyle w:val="12"/>
        <w:adjustRightInd w:val="0"/>
        <w:snapToGrid w:val="0"/>
        <w:spacing w:line="440" w:lineRule="exact"/>
        <w:jc w:val="left"/>
        <w:rPr>
          <w:rFonts w:hint="default" w:ascii="仿宋" w:hAnsi="仿宋" w:eastAsiaTheme="minorEastAsia" w:cstheme="minorBidi"/>
          <w:sz w:val="24"/>
          <w:lang w:val="en-US" w:eastAsia="zh-CN"/>
        </w:rPr>
      </w:pPr>
      <w:r>
        <w:rPr>
          <w:rFonts w:hint="eastAsia"/>
          <w:sz w:val="24"/>
        </w:rPr>
        <w:t>六、一般公共预算财政拨款基本支出决算情况说明</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13</w:t>
      </w:r>
    </w:p>
    <w:p>
      <w:pPr>
        <w:pStyle w:val="12"/>
        <w:adjustRightInd w:val="0"/>
        <w:snapToGrid w:val="0"/>
        <w:spacing w:line="440" w:lineRule="exact"/>
        <w:jc w:val="left"/>
        <w:rPr>
          <w:rFonts w:hint="default" w:ascii="仿宋" w:hAnsi="仿宋" w:eastAsiaTheme="minorEastAsia" w:cstheme="minorBidi"/>
          <w:sz w:val="24"/>
          <w:lang w:val="en-US" w:eastAsia="zh-CN"/>
        </w:rPr>
      </w:pPr>
      <w:r>
        <w:rPr>
          <w:rFonts w:hint="eastAsia"/>
          <w:sz w:val="24"/>
        </w:rPr>
        <w:t>七、“三公”经费财政拨款支出决算情况说明</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14</w:t>
      </w:r>
    </w:p>
    <w:p>
      <w:pPr>
        <w:pStyle w:val="12"/>
        <w:adjustRightInd w:val="0"/>
        <w:snapToGrid w:val="0"/>
        <w:spacing w:line="440" w:lineRule="exact"/>
        <w:jc w:val="left"/>
        <w:rPr>
          <w:rFonts w:hint="default" w:ascii="仿宋" w:hAnsi="仿宋" w:eastAsiaTheme="minorEastAsia" w:cstheme="minorBidi"/>
          <w:sz w:val="24"/>
          <w:lang w:val="en-US" w:eastAsia="zh-CN"/>
        </w:rPr>
      </w:pPr>
      <w:r>
        <w:rPr>
          <w:rFonts w:hint="eastAsia"/>
          <w:sz w:val="24"/>
        </w:rPr>
        <w:t>八、政府性基金预算支出决算情况说明</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15</w:t>
      </w:r>
    </w:p>
    <w:p>
      <w:pPr>
        <w:pStyle w:val="12"/>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15</w:t>
      </w:r>
    </w:p>
    <w:p>
      <w:pPr>
        <w:adjustRightInd w:val="0"/>
        <w:snapToGrid w:val="0"/>
        <w:spacing w:line="440" w:lineRule="exact"/>
        <w:ind w:firstLine="420" w:firstLineChars="175"/>
        <w:jc w:val="left"/>
        <w:rPr>
          <w:rFonts w:hint="default" w:asciiTheme="minorEastAsia" w:hAnsiTheme="minorEastAsia" w:eastAsiaTheme="minorEastAsia" w:cstheme="minorEastAsia"/>
          <w:sz w:val="24"/>
          <w:lang w:val="en-US" w:eastAsia="zh-CN"/>
        </w:rPr>
      </w:pPr>
      <w:r>
        <w:rPr>
          <w:rStyle w:val="15"/>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asciiTheme="minorEastAsia" w:hAnsiTheme="minorEastAsia" w:eastAsiaTheme="minorEastAsia"/>
          <w:sz w:val="21"/>
          <w:szCs w:val="21"/>
        </w:rPr>
        <w:t>……………………………</w:t>
      </w:r>
      <w:r>
        <w:rPr>
          <w:rFonts w:hint="eastAsia" w:asciiTheme="minorEastAsia" w:hAnsiTheme="minorEastAsia" w:eastAsiaTheme="minorEastAsia" w:cstheme="minorEastAsia"/>
          <w:sz w:val="24"/>
        </w:rPr>
        <w:tab/>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15</w:t>
      </w:r>
    </w:p>
    <w:p>
      <w:pPr>
        <w:pStyle w:val="11"/>
        <w:adjustRightInd w:val="0"/>
        <w:snapToGrid w:val="0"/>
        <w:spacing w:before="0" w:line="440" w:lineRule="exact"/>
        <w:jc w:val="left"/>
        <w:rPr>
          <w:rFonts w:hint="default" w:eastAsiaTheme="minorEastAsia" w:cstheme="minorBidi"/>
          <w:sz w:val="24"/>
          <w:szCs w:val="24"/>
          <w:lang w:val="en-US" w:eastAsia="zh-CN"/>
        </w:rPr>
      </w:pPr>
      <w:r>
        <w:rPr>
          <w:rFonts w:hint="eastAsia"/>
          <w:sz w:val="24"/>
        </w:rPr>
        <w:t>第三部分</w:t>
      </w:r>
      <w:r>
        <w:rPr>
          <w:rFonts w:hint="eastAsia"/>
          <w:sz w:val="24"/>
          <w:lang w:val="en-US" w:eastAsia="zh-CN"/>
        </w:rPr>
        <w:t xml:space="preserve"> </w:t>
      </w:r>
      <w:r>
        <w:rPr>
          <w:rFonts w:hint="eastAsia"/>
          <w:sz w:val="24"/>
        </w:rPr>
        <w:t>名词解释</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17</w:t>
      </w:r>
      <w:r>
        <w:rPr>
          <w:rFonts w:hint="eastAsia"/>
          <w:sz w:val="24"/>
        </w:rPr>
        <w:t>第四部分</w:t>
      </w:r>
      <w:r>
        <w:rPr>
          <w:sz w:val="24"/>
        </w:rPr>
        <w:t xml:space="preserve"> </w:t>
      </w:r>
      <w:r>
        <w:rPr>
          <w:rFonts w:hint="eastAsia"/>
          <w:sz w:val="24"/>
        </w:rPr>
        <w:t>附件</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19</w:t>
      </w:r>
      <w:r>
        <w:rPr>
          <w:rFonts w:hint="eastAsia"/>
          <w:sz w:val="24"/>
        </w:rPr>
        <w:t>第五部分</w:t>
      </w:r>
      <w:r>
        <w:rPr>
          <w:sz w:val="24"/>
        </w:rPr>
        <w:t xml:space="preserve"> </w:t>
      </w:r>
      <w:r>
        <w:rPr>
          <w:rFonts w:hint="eastAsia"/>
          <w:sz w:val="24"/>
        </w:rPr>
        <w:t>附表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仿宋" w:hAnsi="仿宋" w:eastAsiaTheme="minorEastAsia" w:cstheme="minorBidi"/>
          <w:sz w:val="24"/>
          <w:lang w:val="en-US" w:eastAsia="zh-CN"/>
        </w:rPr>
      </w:pPr>
      <w:r>
        <w:rPr>
          <w:rFonts w:hint="eastAsia" w:ascii="仿宋" w:hAnsi="仿宋" w:eastAsia="仿宋"/>
          <w:sz w:val="24"/>
        </w:rPr>
        <w:t>一、</w:t>
      </w:r>
      <w:r>
        <w:rPr>
          <w:rFonts w:hint="eastAsia"/>
          <w:sz w:val="24"/>
        </w:rPr>
        <w:t>收入支出决算总表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二、收入决算表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三、支出决算表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四、财政拨款收入支出决算总表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r>
        <w:rPr>
          <w:rFonts w:hint="eastAsia" w:asciiTheme="minorEastAsia" w:hAnsiTheme="minorEastAsia" w:eastAsiaTheme="minorEastAsia" w:cstheme="minorEastAsia"/>
          <w:sz w:val="24"/>
        </w:rPr>
        <w:t>五、财政拨款支出决算明细表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六、一般公共预算财政拨款支出决算表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七、一般公共预算财政拨款支出决算明细表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八、一般公共预算财政拨款基本支出决算表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九、一般公共预算财政拨款项目支出决算表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十、一般公共预算财政拨款“三公”经费支出决算表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十一、政府性基金预算财政拨款收入支出决算表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十二、政府性基金预算财政拨款“三公”经费支出决算表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十三、国有资本经营预算财政拨款收入支出决算表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十四、国有资本经营预算财政拨款支出决算表</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4"/>
        <w:rPr>
          <w:rStyle w:val="26"/>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5" w:firstLineChars="210"/>
        <w:outlineLvl w:val="2"/>
        <w:rPr>
          <w:rFonts w:ascii="仿宋" w:hAnsi="仿宋" w:eastAsia="仿宋"/>
          <w:b/>
          <w:bCs/>
          <w:sz w:val="32"/>
          <w:szCs w:val="32"/>
        </w:rPr>
      </w:pPr>
      <w:bookmarkStart w:id="16" w:name="_Toc15377198"/>
      <w:bookmarkStart w:id="17" w:name="_Toc15378445"/>
      <w:r>
        <w:rPr>
          <w:rFonts w:hint="eastAsia" w:ascii="仿宋" w:hAnsi="仿宋" w:eastAsia="仿宋"/>
          <w:b/>
          <w:bCs/>
          <w:sz w:val="32"/>
          <w:szCs w:val="32"/>
        </w:rPr>
        <w:t>（一）主要职能。</w:t>
      </w:r>
      <w:bookmarkEnd w:id="16"/>
      <w:bookmarkEnd w:id="17"/>
      <w:bookmarkStart w:id="18" w:name="_Toc15377199"/>
      <w:bookmarkStart w:id="19" w:name="_Toc15378446"/>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办理公共场所、集中式供水以及二次供水、放射诊疗等卫生行政许可及相关事宜；依法开展公共场所、学校卫生、生活饮用水、传染病防治、医疗卫生、职业卫生、消毒产品和放射诊疗等卫生执法监督工作；依法承担辖区卫生法律法规宣传培训、卫生现场监督、重大活动卫生安全保障、各类突发公共卫生事件的应急处置等工作。</w:t>
      </w:r>
    </w:p>
    <w:p>
      <w:pPr>
        <w:pStyle w:val="2"/>
        <w:adjustRightInd w:val="0"/>
        <w:snapToGrid w:val="0"/>
        <w:spacing w:before="93" w:line="600" w:lineRule="exact"/>
        <w:ind w:firstLine="675" w:firstLineChars="210"/>
        <w:outlineLvl w:val="2"/>
        <w:rPr>
          <w:rFonts w:ascii="仿宋" w:hAnsi="仿宋" w:eastAsia="仿宋"/>
          <w:b/>
          <w:bCs/>
          <w:sz w:val="32"/>
          <w:szCs w:val="32"/>
        </w:rPr>
      </w:pPr>
      <w:r>
        <w:rPr>
          <w:rFonts w:hint="eastAsia" w:ascii="仿宋" w:hAnsi="仿宋" w:eastAsia="仿宋"/>
          <w:b/>
          <w:bCs/>
          <w:sz w:val="32"/>
          <w:szCs w:val="32"/>
        </w:rPr>
        <w:t>（二）</w:t>
      </w:r>
      <w:r>
        <w:rPr>
          <w:rFonts w:ascii="仿宋" w:hAnsi="仿宋" w:eastAsia="仿宋"/>
          <w:b/>
          <w:bCs/>
          <w:sz w:val="32"/>
          <w:szCs w:val="32"/>
        </w:rPr>
        <w:t>20</w:t>
      </w:r>
      <w:r>
        <w:rPr>
          <w:rFonts w:hint="eastAsia" w:ascii="仿宋" w:hAnsi="仿宋" w:eastAsia="仿宋"/>
          <w:b/>
          <w:bCs/>
          <w:sz w:val="32"/>
          <w:szCs w:val="32"/>
        </w:rPr>
        <w:t>21年重点工作完成情况。</w:t>
      </w:r>
      <w:bookmarkEnd w:id="18"/>
      <w:bookmarkEnd w:id="19"/>
    </w:p>
    <w:p>
      <w:pPr>
        <w:pStyle w:val="2"/>
        <w:adjustRightInd w:val="0"/>
        <w:snapToGrid w:val="0"/>
        <w:spacing w:before="93" w:line="600" w:lineRule="exact"/>
        <w:ind w:firstLine="675" w:firstLineChars="210"/>
        <w:outlineLvl w:val="2"/>
        <w:rPr>
          <w:rFonts w:ascii="仿宋" w:hAnsi="仿宋" w:eastAsia="仿宋"/>
          <w:b/>
          <w:bCs/>
          <w:sz w:val="32"/>
          <w:szCs w:val="32"/>
        </w:rPr>
      </w:pPr>
      <w:r>
        <w:rPr>
          <w:rFonts w:hint="eastAsia" w:ascii="仿宋" w:hAnsi="仿宋" w:eastAsia="仿宋"/>
          <w:b/>
          <w:bCs/>
          <w:sz w:val="32"/>
          <w:szCs w:val="32"/>
        </w:rPr>
        <w:t>（一）常态化监督巡查，督促疫情防控措施落实</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一是以医疗机构预检分诊、消毒隔离、首诊负责等制度是否健全落实，医护人员防护措施、体温登记和核酸检测是否落实等内容为重点，对辖区医疗机构进行全覆盖监督检查巡查，截至目前共巡查1786户次，发现问题240余个，整改问题240余个，对因疫情防控落实不力的医疗机构责令停业整顿8户，给予警告33户。二是对辖区开展新冠疫苗接种点进行全程监督，对各接种点场所设置、接种流程、硬件设施设备、疫情防控措施、医疗废物处理等情况进行了检查，共出动执法人员350余人次，车辆90余台次，同时委托第三方检测机构，对新冠疫苗接种点进行院感检测，检测结果全部合格。</w:t>
      </w:r>
    </w:p>
    <w:p>
      <w:pPr>
        <w:pStyle w:val="2"/>
        <w:adjustRightInd w:val="0"/>
        <w:snapToGrid w:val="0"/>
        <w:spacing w:before="93" w:line="600" w:lineRule="exact"/>
        <w:ind w:firstLine="675" w:firstLineChars="210"/>
        <w:outlineLvl w:val="2"/>
        <w:rPr>
          <w:rFonts w:ascii="仿宋" w:hAnsi="仿宋" w:eastAsia="仿宋"/>
          <w:b/>
          <w:bCs/>
          <w:sz w:val="32"/>
          <w:szCs w:val="32"/>
        </w:rPr>
      </w:pPr>
      <w:r>
        <w:rPr>
          <w:rFonts w:hint="eastAsia" w:ascii="仿宋" w:hAnsi="仿宋" w:eastAsia="仿宋"/>
          <w:b/>
          <w:bCs/>
          <w:sz w:val="32"/>
          <w:szCs w:val="32"/>
        </w:rPr>
        <w:t>（二）开展随机监督抽查，充分发挥震慑作用</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2021年，我区国家、省级“双随机 一公开”监督抽检任务涉及公共场所、生活饮用水、学校卫生、放射卫生、医疗卫生、传染病防治等六个专业，监督检查任务共42个（国家任务40个，省级任务2个）。同时委托第三方检测机构对其中15户单位的卫生指标进行了检测。截止目前，“四川智慧卫监”信息系统显示数据为执行单位总数42户，完成42户，关闭0户，完成率100%，完结率100%。来源于双随机的案件数目为4件，罚款金额0.32万元。对被处罚的单位及时进行“回头看”检查，确保问题整改到位，并将监督抽检结果及处罚情况在西区人民政府官方网站进行了公示，积极引导社会力量参与,充分发挥群众监督与舆论监督的作用,营造良好社会氛围,取得良好监督抽检效果。</w:t>
      </w:r>
    </w:p>
    <w:p>
      <w:pPr>
        <w:pStyle w:val="2"/>
        <w:adjustRightInd w:val="0"/>
        <w:snapToGrid w:val="0"/>
        <w:spacing w:before="93" w:line="600" w:lineRule="exact"/>
        <w:ind w:firstLine="675" w:firstLineChars="210"/>
        <w:outlineLvl w:val="2"/>
        <w:rPr>
          <w:rFonts w:ascii="仿宋" w:hAnsi="仿宋" w:eastAsia="仿宋"/>
          <w:b/>
          <w:bCs/>
          <w:sz w:val="32"/>
          <w:szCs w:val="32"/>
        </w:rPr>
      </w:pPr>
      <w:r>
        <w:rPr>
          <w:rFonts w:hint="eastAsia" w:ascii="仿宋" w:hAnsi="仿宋" w:eastAsia="仿宋"/>
          <w:b/>
          <w:bCs/>
          <w:sz w:val="32"/>
          <w:szCs w:val="32"/>
        </w:rPr>
        <w:t>（三）打击非法行医，维护医疗秩序</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2021年，大队通过开展日常巡查、非工作时间突击行动等多种手段，对人员密集的集贸市场、城乡结合部及校园周边开展打击非法行医工作，共计开展打非巡查110余次。6月11日，大队参加了由区卫生健康局牵头，攀枝花市西区市场监督管理局、攀枝花市西区综合行政执法局、攀枝花市公安局西区分局及镇、街道办事处等部门配合开展的“打非”突击行动，共出动执法车辆4台，执法人员8人，检查集贸市场及校园周边10处，均未发现非法行医乱象，也未发现医疗机构违法开展“两非”活动。</w:t>
      </w:r>
    </w:p>
    <w:p>
      <w:pPr>
        <w:pStyle w:val="2"/>
        <w:adjustRightInd w:val="0"/>
        <w:snapToGrid w:val="0"/>
        <w:spacing w:before="93" w:line="600" w:lineRule="exact"/>
        <w:ind w:firstLine="675" w:firstLineChars="210"/>
        <w:outlineLvl w:val="2"/>
        <w:rPr>
          <w:rFonts w:ascii="仿宋" w:hAnsi="仿宋" w:eastAsia="仿宋"/>
          <w:b/>
          <w:bCs/>
          <w:sz w:val="32"/>
          <w:szCs w:val="32"/>
        </w:rPr>
      </w:pPr>
      <w:r>
        <w:rPr>
          <w:rFonts w:hint="eastAsia" w:ascii="仿宋" w:hAnsi="仿宋" w:eastAsia="仿宋"/>
          <w:b/>
          <w:bCs/>
          <w:sz w:val="32"/>
          <w:szCs w:val="32"/>
        </w:rPr>
        <w:t>（四）推动“信用+综合监管”，履行职业卫生监督职责</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为全面贯彻落实攀枝花市卫生健康委在西区开展职业卫生监管领域“信用+综合监管”试点的安排部署，惩戒失信行为，鼓励守信经营。结合辖区实际，大队制定了职业卫生“信用+综合监管”试点工作方案，试点工作逐步推进，根据企业提交的“攀枝花市职业卫生信用承诺书”以及自查自评的职业卫生信用等级评定表，截止目前共现场复核确定企业A级2家，B级8家，C级20家。</w:t>
      </w:r>
    </w:p>
    <w:p>
      <w:pPr>
        <w:pStyle w:val="2"/>
        <w:adjustRightInd w:val="0"/>
        <w:snapToGrid w:val="0"/>
        <w:spacing w:before="93" w:line="600" w:lineRule="exact"/>
        <w:ind w:firstLine="675" w:firstLineChars="210"/>
        <w:outlineLvl w:val="2"/>
        <w:rPr>
          <w:rFonts w:ascii="仿宋" w:hAnsi="仿宋" w:eastAsia="仿宋"/>
          <w:b/>
          <w:bCs/>
          <w:sz w:val="32"/>
          <w:szCs w:val="32"/>
        </w:rPr>
      </w:pPr>
      <w:r>
        <w:rPr>
          <w:rFonts w:hint="eastAsia" w:ascii="仿宋" w:hAnsi="仿宋" w:eastAsia="仿宋"/>
          <w:b/>
          <w:bCs/>
          <w:sz w:val="32"/>
          <w:szCs w:val="32"/>
        </w:rPr>
        <w:t>（五）量化分级管理，提高场所卫生管理水平</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1.公共场所量化分级管理工作。对辖区321户甲类公共场所实施了量化分级管理，评出B级182家，C级139家。</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2.供水单位量化分级管理工作。对辖区2户二次供水单位实施了量化分级管理，评出B级2家。</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3.民营医疗机构量化分级管理工作。对辖区67户民营医疗机构进行量化评级，评出A级1家，B级55家，C级12家。</w:t>
      </w:r>
    </w:p>
    <w:p>
      <w:pPr>
        <w:pStyle w:val="2"/>
        <w:adjustRightInd w:val="0"/>
        <w:snapToGrid w:val="0"/>
        <w:spacing w:before="93" w:line="600" w:lineRule="exact"/>
        <w:ind w:firstLine="675" w:firstLineChars="210"/>
        <w:outlineLvl w:val="2"/>
        <w:rPr>
          <w:rFonts w:ascii="仿宋" w:hAnsi="仿宋" w:eastAsia="仿宋"/>
          <w:b/>
          <w:bCs/>
          <w:sz w:val="32"/>
          <w:szCs w:val="32"/>
        </w:rPr>
      </w:pPr>
      <w:r>
        <w:rPr>
          <w:rFonts w:hint="eastAsia" w:ascii="仿宋" w:hAnsi="仿宋" w:eastAsia="仿宋"/>
          <w:b/>
          <w:bCs/>
          <w:sz w:val="32"/>
          <w:szCs w:val="32"/>
        </w:rPr>
        <w:t>（六）加强学校卫生监督检查，筑牢校园卫生安全围墙</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一是开展2021年春、秋季学期学校、托幼机构卫生安全专项整治工作，共检查区属学校11所、托幼机构20所。重点查看疫情防控制度建设、应急处置流程演练、“日报告”“零报告”执行、教职员工和学生管理、防护物资配备、校区预防性消毒、临时隔离室设置以及校园饮用水管理等方面情况，督促卫生安全隐患整改落实。二是为切实做好我区2021 年高、中考期间学校卫生安全工作，开展了辖区内涉及高、中考的学校以及考点周边住宿场所的卫生安全监督检查，督促学校严格落实体温检测、校外佩戴口罩、规范消毒、生活饮用水卫生管理等疫情防控措施，及时消除各种卫生安全隐患，有效预防高、中考期间学校突发公共卫生事件的发生。</w:t>
      </w:r>
    </w:p>
    <w:p>
      <w:pPr>
        <w:pStyle w:val="2"/>
        <w:adjustRightInd w:val="0"/>
        <w:snapToGrid w:val="0"/>
        <w:spacing w:before="93" w:line="600" w:lineRule="exact"/>
        <w:ind w:firstLine="675" w:firstLineChars="210"/>
        <w:outlineLvl w:val="2"/>
        <w:rPr>
          <w:rFonts w:ascii="仿宋" w:hAnsi="仿宋" w:eastAsia="仿宋"/>
          <w:b/>
          <w:bCs/>
          <w:sz w:val="32"/>
          <w:szCs w:val="32"/>
        </w:rPr>
      </w:pPr>
      <w:r>
        <w:rPr>
          <w:rFonts w:hint="eastAsia" w:ascii="仿宋" w:hAnsi="仿宋" w:eastAsia="仿宋"/>
          <w:b/>
          <w:bCs/>
          <w:sz w:val="32"/>
          <w:szCs w:val="32"/>
        </w:rPr>
        <w:t>（七）监督无死角，保障生活饮用水安全</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一是对辖区内现制现售饮用水设备、二次供水等进行了检查，重点检查各经营单位所有涉水产品的卫生许可批件和标签、说明书是否齐全，现制现售水设施的卫生许可批件、设备安装情况、更换滤芯和水质检测情况、信息公示情况。共检查现制现售饮用水设备89台，二次供水单位2户。二是开展农村饮水卫生安全监督指导工作。通过调查了解，实地走访西区格里坪镇有农村自建供水设施的3个行政村，7个供水点。现场指导提升管水工作人员实践操作技能，并开展了卫生知识宣讲，为进一步加强生活饮用水安全监管，切实保障人民群众饮用水卫生安全，打下坚实基础。</w:t>
      </w:r>
    </w:p>
    <w:p>
      <w:pPr>
        <w:pStyle w:val="4"/>
        <w:rPr>
          <w:rFonts w:hint="eastAsia" w:ascii="黑体" w:eastAsia="黑体"/>
          <w:b w:val="0"/>
        </w:rPr>
      </w:pPr>
      <w:bookmarkStart w:id="20" w:name="_Toc15396601"/>
      <w:bookmarkStart w:id="21" w:name="_Toc15377200"/>
    </w:p>
    <w:p>
      <w:pPr>
        <w:pStyle w:val="4"/>
        <w:rPr>
          <w:rStyle w:val="26"/>
          <w:rFonts w:hint="eastAsia" w:eastAsia="黑体"/>
          <w:b w:val="0"/>
          <w:bCs w:val="0"/>
          <w:lang w:eastAsia="zh-CN"/>
        </w:rPr>
      </w:pPr>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r>
        <w:rPr>
          <w:rStyle w:val="26"/>
          <w:rFonts w:hint="eastAsia" w:ascii="黑体" w:hAnsi="黑体" w:eastAsia="黑体"/>
          <w:b w:val="0"/>
          <w:bCs w:val="0"/>
          <w:lang w:eastAsia="zh-CN"/>
        </w:rPr>
        <w:t>情况</w:t>
      </w:r>
    </w:p>
    <w:p>
      <w:pPr>
        <w:spacing w:line="352" w:lineRule="auto"/>
        <w:ind w:firstLine="640" w:firstLineChars="200"/>
        <w:rPr>
          <w:rFonts w:ascii="仿宋_GB2312" w:eastAsia="仿宋_GB2312"/>
          <w:sz w:val="32"/>
          <w:szCs w:val="32"/>
        </w:rPr>
      </w:pPr>
      <w:r>
        <w:rPr>
          <w:rFonts w:hint="eastAsia" w:ascii="仿宋_GB2312" w:eastAsia="仿宋_GB2312"/>
          <w:sz w:val="32"/>
          <w:szCs w:val="32"/>
        </w:rPr>
        <w:t>西区卫生和计划生育监督执法大队为区卫生健康局所属参照公务员法管理的事业单位；内设办公</w:t>
      </w:r>
      <w:r>
        <w:rPr>
          <w:rFonts w:hint="eastAsia" w:ascii="仿宋_GB2312" w:eastAsia="仿宋_GB2312"/>
          <w:color w:val="000000"/>
          <w:sz w:val="32"/>
          <w:szCs w:val="32"/>
        </w:rPr>
        <w:t>室、监督一股、监督二</w:t>
      </w:r>
      <w:r>
        <w:rPr>
          <w:rFonts w:eastAsia="仿宋_GB2312"/>
          <w:color w:val="000000"/>
          <w:sz w:val="32"/>
          <w:szCs w:val="32"/>
        </w:rPr>
        <w:t>股</w:t>
      </w:r>
      <w:r>
        <w:rPr>
          <w:rFonts w:hint="eastAsia" w:eastAsia="仿宋_GB2312"/>
          <w:color w:val="000000"/>
          <w:sz w:val="32"/>
          <w:szCs w:val="32"/>
        </w:rPr>
        <w:t>、监督三股</w:t>
      </w:r>
      <w:r>
        <w:rPr>
          <w:rFonts w:eastAsia="仿宋_GB2312"/>
          <w:sz w:val="32"/>
          <w:szCs w:val="32"/>
        </w:rPr>
        <w:t>4个股室。</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pPr>
      <w:bookmarkStart w:id="22" w:name="_Toc15377204"/>
      <w:bookmarkStart w:id="23" w:name="_Toc15396602"/>
      <w:r>
        <w:rPr>
          <w:rFonts w:hint="eastAsia" w:ascii="黑体" w:hAnsi="黑体" w:eastAsia="黑体"/>
          <w:b w:val="0"/>
        </w:rPr>
        <w:t>第二部分 2021年度</w:t>
      </w:r>
      <w:r>
        <w:rPr>
          <w:rStyle w:val="25"/>
          <w:rFonts w:hint="eastAsia" w:ascii="黑体" w:hAnsi="黑体" w:eastAsia="黑体"/>
          <w:b w:val="0"/>
          <w:bCs/>
        </w:rPr>
        <w:t>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ind w:firstLine="640" w:firstLineChars="200"/>
        <w:rPr>
          <w:rFonts w:eastAsia="仿宋_GB2312"/>
          <w:sz w:val="32"/>
          <w:szCs w:val="32"/>
        </w:rPr>
      </w:pPr>
      <w:r>
        <w:rPr>
          <w:rFonts w:hint="eastAsia" w:ascii="仿宋" w:hAnsi="仿宋" w:eastAsia="仿宋"/>
          <w:sz w:val="32"/>
          <w:szCs w:val="32"/>
        </w:rPr>
        <w:t>2021年度收入总计</w:t>
      </w:r>
      <w:r>
        <w:rPr>
          <w:rFonts w:hint="eastAsia" w:ascii="仿宋" w:hAnsi="仿宋" w:eastAsia="仿宋"/>
          <w:sz w:val="32"/>
          <w:szCs w:val="32"/>
          <w:lang w:val="en-US" w:eastAsia="zh-CN"/>
        </w:rPr>
        <w:t>292.82</w:t>
      </w:r>
      <w:r>
        <w:rPr>
          <w:rFonts w:hint="eastAsia" w:ascii="仿宋" w:hAnsi="仿宋" w:eastAsia="仿宋"/>
          <w:sz w:val="32"/>
          <w:szCs w:val="32"/>
        </w:rPr>
        <w:t>万元、支出总计</w:t>
      </w:r>
      <w:r>
        <w:rPr>
          <w:rFonts w:hint="eastAsia" w:ascii="仿宋" w:hAnsi="仿宋" w:eastAsia="仿宋"/>
          <w:sz w:val="32"/>
          <w:szCs w:val="32"/>
          <w:lang w:val="en-US" w:eastAsia="zh-CN"/>
        </w:rPr>
        <w:t>292.82</w:t>
      </w:r>
      <w:r>
        <w:rPr>
          <w:rFonts w:hint="eastAsia" w:ascii="仿宋" w:hAnsi="仿宋" w:eastAsia="仿宋"/>
          <w:sz w:val="32"/>
          <w:szCs w:val="32"/>
        </w:rPr>
        <w:t>万元。与2020年相比，收入总计增加</w:t>
      </w:r>
      <w:r>
        <w:rPr>
          <w:rFonts w:hint="eastAsia" w:ascii="仿宋" w:hAnsi="仿宋" w:eastAsia="仿宋"/>
          <w:sz w:val="32"/>
          <w:szCs w:val="32"/>
          <w:lang w:val="en-US" w:eastAsia="zh-CN"/>
        </w:rPr>
        <w:t>38.25</w:t>
      </w:r>
      <w:r>
        <w:rPr>
          <w:rFonts w:hint="eastAsia" w:ascii="仿宋" w:hAnsi="仿宋" w:eastAsia="仿宋"/>
          <w:sz w:val="32"/>
          <w:szCs w:val="32"/>
        </w:rPr>
        <w:t>万元，增长</w:t>
      </w:r>
      <w:r>
        <w:rPr>
          <w:rFonts w:hint="eastAsia" w:ascii="仿宋" w:hAnsi="仿宋" w:eastAsia="仿宋"/>
          <w:sz w:val="32"/>
          <w:szCs w:val="32"/>
          <w:lang w:val="en-US" w:eastAsia="zh-CN"/>
        </w:rPr>
        <w:t>15.03</w:t>
      </w:r>
      <w:r>
        <w:rPr>
          <w:rFonts w:ascii="仿宋" w:hAnsi="仿宋" w:eastAsia="仿宋"/>
          <w:sz w:val="32"/>
          <w:szCs w:val="32"/>
        </w:rPr>
        <w:t>%</w:t>
      </w:r>
      <w:r>
        <w:rPr>
          <w:rFonts w:hint="eastAsia" w:ascii="仿宋" w:hAnsi="仿宋" w:eastAsia="仿宋"/>
          <w:sz w:val="32"/>
          <w:szCs w:val="32"/>
        </w:rPr>
        <w:t>；支出总计增加</w:t>
      </w:r>
      <w:r>
        <w:rPr>
          <w:rFonts w:hint="eastAsia" w:ascii="仿宋" w:hAnsi="仿宋" w:eastAsia="仿宋"/>
          <w:sz w:val="32"/>
          <w:szCs w:val="32"/>
          <w:lang w:val="en-US" w:eastAsia="zh-CN"/>
        </w:rPr>
        <w:t>38.25</w:t>
      </w:r>
      <w:r>
        <w:rPr>
          <w:rFonts w:hint="eastAsia" w:ascii="仿宋" w:hAnsi="仿宋" w:eastAsia="仿宋"/>
          <w:sz w:val="32"/>
          <w:szCs w:val="32"/>
        </w:rPr>
        <w:t>万元，增长</w:t>
      </w:r>
      <w:r>
        <w:rPr>
          <w:rFonts w:hint="eastAsia" w:ascii="仿宋" w:hAnsi="仿宋" w:eastAsia="仿宋"/>
          <w:sz w:val="32"/>
          <w:szCs w:val="32"/>
          <w:lang w:val="en-US" w:eastAsia="zh-CN"/>
        </w:rPr>
        <w:t>15.03</w:t>
      </w:r>
      <w:r>
        <w:rPr>
          <w:rFonts w:ascii="仿宋" w:hAnsi="仿宋" w:eastAsia="仿宋"/>
          <w:sz w:val="32"/>
          <w:szCs w:val="32"/>
        </w:rPr>
        <w:t>%</w:t>
      </w:r>
      <w:r>
        <w:rPr>
          <w:rFonts w:hint="eastAsia" w:ascii="仿宋" w:hAnsi="仿宋" w:eastAsia="仿宋"/>
          <w:sz w:val="32"/>
          <w:szCs w:val="32"/>
        </w:rPr>
        <w:t>，主要变动原因是</w:t>
      </w:r>
      <w:r>
        <w:rPr>
          <w:rFonts w:hint="eastAsia" w:eastAsia="仿宋_GB2312"/>
          <w:sz w:val="32"/>
          <w:szCs w:val="32"/>
        </w:rPr>
        <w:t>人员经费及基本公共卫生等经费增加。</w:t>
      </w:r>
    </w:p>
    <w:p>
      <w:pPr>
        <w:pStyle w:val="2"/>
        <w:spacing w:before="93"/>
        <w:ind w:firstLine="900" w:firstLineChars="300"/>
      </w:pPr>
      <w:r>
        <w:drawing>
          <wp:inline distT="0" distB="0" distL="0" distR="0">
            <wp:extent cx="3989070" cy="2470785"/>
            <wp:effectExtent l="19050" t="0" r="10949" b="5149"/>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color w:val="auto"/>
          <w:sz w:val="32"/>
          <w:szCs w:val="32"/>
        </w:rPr>
        <w:t>20</w:t>
      </w:r>
      <w:r>
        <w:rPr>
          <w:rFonts w:hint="eastAsia" w:ascii="仿宋" w:hAnsi="仿宋" w:eastAsia="仿宋"/>
          <w:color w:val="auto"/>
          <w:sz w:val="32"/>
          <w:szCs w:val="32"/>
        </w:rPr>
        <w:t>21年本年收入合计199.12万元，其中：一般公共预算财政拨款收入199.11万元，占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pStyle w:val="2"/>
        <w:spacing w:before="93"/>
        <w:ind w:firstLine="750" w:firstLineChars="250"/>
      </w:pPr>
      <w:r>
        <w:drawing>
          <wp:inline distT="0" distB="0" distL="0" distR="0">
            <wp:extent cx="3703955" cy="1877695"/>
            <wp:effectExtent l="4445" t="5080" r="6350" b="222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color w:val="auto"/>
          <w:sz w:val="32"/>
          <w:szCs w:val="32"/>
        </w:rPr>
        <w:t>20</w:t>
      </w:r>
      <w:r>
        <w:rPr>
          <w:rFonts w:hint="eastAsia" w:ascii="仿宋" w:hAnsi="仿宋" w:eastAsia="仿宋"/>
          <w:color w:val="auto"/>
          <w:sz w:val="32"/>
          <w:szCs w:val="32"/>
        </w:rPr>
        <w:t>21年本年支出合计199.16万元，其中：基本支出</w:t>
      </w:r>
      <w:r>
        <w:rPr>
          <w:rFonts w:hint="eastAsia" w:ascii="仿宋" w:hAnsi="仿宋" w:eastAsia="仿宋"/>
          <w:color w:val="auto"/>
          <w:sz w:val="32"/>
          <w:szCs w:val="32"/>
          <w:lang w:val="en-US" w:eastAsia="zh-CN"/>
        </w:rPr>
        <w:t>182.24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91.5</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16.92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ind w:firstLine="750" w:firstLineChars="250"/>
        <w:rPr>
          <w:rFonts w:hint="eastAsia" w:eastAsia="仿宋_GB2312"/>
          <w:lang w:eastAsia="zh-CN"/>
        </w:rPr>
      </w:pPr>
      <w:r>
        <w:rPr>
          <w:rFonts w:hint="eastAsia" w:eastAsia="仿宋_GB2312"/>
          <w:lang w:eastAsia="zh-CN"/>
        </w:rPr>
        <w:drawing>
          <wp:inline distT="0" distB="0" distL="114300" distR="114300">
            <wp:extent cx="3898900" cy="2477135"/>
            <wp:effectExtent l="4445" t="4445" r="20955"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ind w:firstLine="640" w:firstLineChars="200"/>
        <w:rPr>
          <w:rFonts w:eastAsia="仿宋_GB2312"/>
          <w:sz w:val="32"/>
          <w:szCs w:val="32"/>
        </w:rPr>
      </w:pPr>
      <w:r>
        <w:rPr>
          <w:rFonts w:ascii="仿宋" w:hAnsi="仿宋" w:eastAsia="仿宋"/>
          <w:sz w:val="32"/>
          <w:szCs w:val="32"/>
        </w:rPr>
        <w:t>20</w:t>
      </w:r>
      <w:r>
        <w:rPr>
          <w:rFonts w:hint="eastAsia" w:ascii="仿宋" w:hAnsi="仿宋" w:eastAsia="仿宋"/>
          <w:sz w:val="32"/>
          <w:szCs w:val="32"/>
        </w:rPr>
        <w:t>21年财政拨款收入总计</w:t>
      </w:r>
      <w:r>
        <w:rPr>
          <w:rFonts w:hint="eastAsia" w:ascii="仿宋" w:hAnsi="仿宋" w:eastAsia="仿宋"/>
          <w:sz w:val="32"/>
          <w:szCs w:val="32"/>
          <w:lang w:val="en-US" w:eastAsia="zh-CN"/>
        </w:rPr>
        <w:t>292.82</w:t>
      </w:r>
      <w:r>
        <w:rPr>
          <w:rFonts w:hint="eastAsia" w:ascii="仿宋" w:hAnsi="仿宋" w:eastAsia="仿宋"/>
          <w:sz w:val="32"/>
          <w:szCs w:val="32"/>
        </w:rPr>
        <w:t>万元、支出总计</w:t>
      </w:r>
      <w:r>
        <w:rPr>
          <w:rFonts w:hint="eastAsia" w:ascii="仿宋" w:hAnsi="仿宋" w:eastAsia="仿宋"/>
          <w:sz w:val="32"/>
          <w:szCs w:val="32"/>
          <w:lang w:val="en-US" w:eastAsia="zh-CN"/>
        </w:rPr>
        <w:t>292.82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20年相比，财政拨款收入总计增加</w:t>
      </w:r>
      <w:r>
        <w:rPr>
          <w:rFonts w:hint="eastAsia" w:ascii="仿宋" w:hAnsi="仿宋" w:eastAsia="仿宋"/>
          <w:sz w:val="32"/>
          <w:szCs w:val="32"/>
          <w:lang w:val="en-US" w:eastAsia="zh-CN"/>
        </w:rPr>
        <w:t>38.25</w:t>
      </w:r>
      <w:r>
        <w:rPr>
          <w:rFonts w:hint="eastAsia" w:ascii="仿宋" w:hAnsi="仿宋" w:eastAsia="仿宋"/>
          <w:sz w:val="32"/>
          <w:szCs w:val="32"/>
        </w:rPr>
        <w:t>万元，增长</w:t>
      </w:r>
      <w:r>
        <w:rPr>
          <w:rFonts w:hint="eastAsia" w:ascii="仿宋" w:hAnsi="仿宋" w:eastAsia="仿宋"/>
          <w:sz w:val="32"/>
          <w:szCs w:val="32"/>
          <w:lang w:val="en-US" w:eastAsia="zh-CN"/>
        </w:rPr>
        <w:t>15.03</w:t>
      </w:r>
      <w:r>
        <w:rPr>
          <w:rFonts w:ascii="仿宋" w:hAnsi="仿宋" w:eastAsia="仿宋"/>
          <w:sz w:val="32"/>
          <w:szCs w:val="32"/>
        </w:rPr>
        <w:t>%</w:t>
      </w:r>
      <w:r>
        <w:rPr>
          <w:rFonts w:hint="eastAsia" w:ascii="仿宋" w:hAnsi="仿宋" w:eastAsia="仿宋"/>
          <w:sz w:val="32"/>
          <w:szCs w:val="32"/>
        </w:rPr>
        <w:t>、支出总计各增加</w:t>
      </w:r>
      <w:r>
        <w:rPr>
          <w:rFonts w:hint="eastAsia" w:ascii="仿宋" w:hAnsi="仿宋" w:eastAsia="仿宋"/>
          <w:sz w:val="32"/>
          <w:szCs w:val="32"/>
          <w:lang w:val="en-US" w:eastAsia="zh-CN"/>
        </w:rPr>
        <w:t>38.25</w:t>
      </w:r>
      <w:r>
        <w:rPr>
          <w:rFonts w:hint="eastAsia" w:ascii="仿宋" w:hAnsi="仿宋" w:eastAsia="仿宋"/>
          <w:sz w:val="32"/>
          <w:szCs w:val="32"/>
        </w:rPr>
        <w:t>万元，增长</w:t>
      </w:r>
      <w:r>
        <w:rPr>
          <w:rFonts w:hint="eastAsia" w:ascii="仿宋" w:hAnsi="仿宋" w:eastAsia="仿宋"/>
          <w:sz w:val="32"/>
          <w:szCs w:val="32"/>
          <w:lang w:val="en-US" w:eastAsia="zh-CN"/>
        </w:rPr>
        <w:t>15.03</w:t>
      </w:r>
      <w:r>
        <w:rPr>
          <w:rFonts w:ascii="仿宋" w:hAnsi="仿宋" w:eastAsia="仿宋"/>
          <w:sz w:val="32"/>
          <w:szCs w:val="32"/>
        </w:rPr>
        <w:t>%</w:t>
      </w:r>
      <w:r>
        <w:rPr>
          <w:rFonts w:hint="eastAsia" w:ascii="仿宋" w:hAnsi="仿宋" w:eastAsia="仿宋"/>
          <w:sz w:val="32"/>
          <w:szCs w:val="32"/>
        </w:rPr>
        <w:t>。主要变动原因是</w:t>
      </w:r>
      <w:r>
        <w:rPr>
          <w:rFonts w:hint="eastAsia" w:eastAsia="仿宋_GB2312"/>
          <w:sz w:val="32"/>
          <w:szCs w:val="32"/>
        </w:rPr>
        <w:t>人员经费及基本公共卫生等经费增加。</w:t>
      </w:r>
    </w:p>
    <w:p>
      <w:pPr>
        <w:ind w:firstLine="640" w:firstLineChars="200"/>
        <w:rPr>
          <w:rFonts w:eastAsia="仿宋_GB2312"/>
          <w:sz w:val="32"/>
          <w:szCs w:val="32"/>
        </w:rPr>
      </w:pPr>
    </w:p>
    <w:p>
      <w:pPr>
        <w:ind w:firstLine="600" w:firstLineChars="200"/>
        <w:rPr>
          <w:rFonts w:eastAsia="仿宋_GB2312"/>
          <w:sz w:val="30"/>
          <w:szCs w:val="30"/>
        </w:rPr>
      </w:pPr>
    </w:p>
    <w:p>
      <w:pPr>
        <w:ind w:left="166" w:leftChars="79"/>
        <w:rPr>
          <w:rFonts w:eastAsia="仿宋_GB2312"/>
          <w:sz w:val="32"/>
          <w:szCs w:val="32"/>
        </w:rPr>
      </w:pPr>
      <w:r>
        <w:rPr>
          <w:rFonts w:hint="eastAsia" w:eastAsia="仿宋_GB2312"/>
          <w:sz w:val="32"/>
          <w:szCs w:val="32"/>
        </w:rPr>
        <w:t xml:space="preserve">    </w:t>
      </w:r>
      <w:r>
        <w:rPr>
          <w:rFonts w:hint="eastAsia" w:eastAsia="仿宋_GB2312"/>
          <w:sz w:val="32"/>
          <w:szCs w:val="32"/>
        </w:rPr>
        <w:drawing>
          <wp:inline distT="0" distB="0" distL="0" distR="0">
            <wp:extent cx="3980180" cy="2133600"/>
            <wp:effectExtent l="19050" t="0" r="19805"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eastAsia="仿宋_GB2312"/>
          <w:sz w:val="36"/>
          <w:szCs w:val="32"/>
        </w:rPr>
      </w:pPr>
      <w:r>
        <w:rPr>
          <w:rFonts w:ascii="仿宋" w:hAnsi="仿宋" w:eastAsia="仿宋"/>
          <w:sz w:val="32"/>
          <w:szCs w:val="32"/>
        </w:rPr>
        <w:t>20</w:t>
      </w:r>
      <w:r>
        <w:rPr>
          <w:rFonts w:hint="eastAsia" w:ascii="仿宋" w:hAnsi="仿宋" w:eastAsia="仿宋"/>
          <w:sz w:val="32"/>
          <w:szCs w:val="32"/>
        </w:rPr>
        <w:t>21年一般公共预算财政拨款支出199.16万元，占本年支出合计的100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 xml:space="preserve">20年相比，一般公共预算财政拨款支出增加40.33万元，增长25.39 </w:t>
      </w:r>
      <w:r>
        <w:rPr>
          <w:rFonts w:ascii="仿宋" w:hAnsi="仿宋" w:eastAsia="仿宋"/>
          <w:sz w:val="32"/>
          <w:szCs w:val="32"/>
        </w:rPr>
        <w:t>%</w:t>
      </w:r>
      <w:r>
        <w:rPr>
          <w:rFonts w:hint="eastAsia" w:ascii="仿宋" w:hAnsi="仿宋" w:eastAsia="仿宋"/>
          <w:sz w:val="32"/>
          <w:szCs w:val="32"/>
        </w:rPr>
        <w:t>。主要变动原因是</w:t>
      </w:r>
      <w:r>
        <w:rPr>
          <w:rFonts w:hint="eastAsia" w:eastAsia="仿宋_GB2312"/>
          <w:sz w:val="32"/>
          <w:szCs w:val="32"/>
        </w:rPr>
        <w:t>人员经费及基本公共卫生项目等经费增加</w:t>
      </w:r>
      <w:r>
        <w:rPr>
          <w:rFonts w:hint="eastAsia" w:eastAsia="仿宋_GB2312"/>
          <w:sz w:val="36"/>
          <w:szCs w:val="32"/>
        </w:rPr>
        <w:t>。</w:t>
      </w:r>
    </w:p>
    <w:p>
      <w:pPr>
        <w:pStyle w:val="2"/>
        <w:spacing w:before="93"/>
        <w:ind w:firstLine="1200" w:firstLineChars="400"/>
      </w:pPr>
      <w:r>
        <w:drawing>
          <wp:inline distT="0" distB="0" distL="0" distR="0">
            <wp:extent cx="3725545" cy="2174240"/>
            <wp:effectExtent l="19050" t="0" r="2691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color w:val="auto"/>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color w:val="auto"/>
          <w:sz w:val="32"/>
          <w:szCs w:val="32"/>
        </w:rPr>
        <w:t>199.16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color w:val="auto"/>
          <w:sz w:val="32"/>
          <w:szCs w:val="32"/>
        </w:rPr>
        <w:t>支出7.43万元，占3.73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color w:val="auto"/>
          <w:sz w:val="32"/>
          <w:szCs w:val="32"/>
        </w:rPr>
        <w:t>181.7</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万元，占91.25</w:t>
      </w:r>
      <w:r>
        <w:rPr>
          <w:rFonts w:ascii="仿宋" w:hAnsi="仿宋" w:eastAsia="仿宋"/>
          <w:color w:val="auto"/>
          <w:sz w:val="32"/>
          <w:szCs w:val="32"/>
        </w:rPr>
        <w:t>%</w:t>
      </w:r>
      <w:r>
        <w:rPr>
          <w:rFonts w:hint="eastAsia" w:ascii="仿宋" w:hAnsi="仿宋" w:eastAsia="仿宋"/>
          <w:color w:val="auto"/>
          <w:sz w:val="32"/>
          <w:szCs w:val="32"/>
        </w:rPr>
        <w:t>；住房保障支出9.9</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5.02</w:t>
      </w:r>
      <w:r>
        <w:rPr>
          <w:rFonts w:ascii="仿宋" w:hAnsi="仿宋" w:eastAsia="仿宋"/>
          <w:color w:val="auto"/>
          <w:sz w:val="32"/>
          <w:szCs w:val="32"/>
        </w:rPr>
        <w:t>%</w:t>
      </w:r>
      <w:r>
        <w:rPr>
          <w:rFonts w:hint="eastAsia" w:ascii="仿宋" w:hAnsi="仿宋" w:eastAsia="仿宋"/>
          <w:color w:val="auto"/>
          <w:sz w:val="32"/>
          <w:szCs w:val="32"/>
        </w:rPr>
        <w:t>；</w:t>
      </w:r>
    </w:p>
    <w:p>
      <w:pPr>
        <w:pStyle w:val="2"/>
        <w:spacing w:before="93"/>
        <w:ind w:firstLine="1050" w:firstLineChars="350"/>
      </w:pPr>
      <w:r>
        <w:rPr>
          <w:rFonts w:hint="eastAsia"/>
        </w:rPr>
        <w:drawing>
          <wp:inline distT="0" distB="0" distL="0" distR="0">
            <wp:extent cx="3992245" cy="2273300"/>
            <wp:effectExtent l="19050" t="0" r="26773"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Style w:val="14"/>
          <w:rFonts w:ascii="仿宋" w:hAnsi="仿宋" w:eastAsia="仿宋"/>
          <w:b w:val="0"/>
          <w:sz w:val="32"/>
          <w:szCs w:val="32"/>
        </w:rPr>
      </w:pPr>
      <w:bookmarkStart w:id="37" w:name="_Toc15377444"/>
      <w:bookmarkStart w:id="38" w:name="_Toc15377213"/>
      <w:bookmarkStart w:id="39" w:name="_Toc15378460"/>
      <w:r>
        <w:rPr>
          <w:rFonts w:hint="eastAsia" w:ascii="仿宋" w:hAnsi="仿宋" w:eastAsia="仿宋"/>
          <w:b/>
          <w:color w:val="auto"/>
          <w:sz w:val="32"/>
          <w:szCs w:val="32"/>
        </w:rPr>
        <w:t>2021年一般公共预算支出决算数为199.16万元</w:t>
      </w:r>
      <w:r>
        <w:rPr>
          <w:rFonts w:hint="eastAsia" w:ascii="仿宋" w:hAnsi="仿宋" w:eastAsia="仿宋"/>
          <w:color w:val="auto"/>
          <w:sz w:val="32"/>
          <w:szCs w:val="32"/>
        </w:rPr>
        <w:t>，</w:t>
      </w:r>
      <w:r>
        <w:rPr>
          <w:rStyle w:val="14"/>
          <w:rFonts w:hint="eastAsia" w:ascii="仿宋" w:hAnsi="仿宋" w:eastAsia="仿宋"/>
          <w:bCs/>
          <w:color w:val="auto"/>
          <w:sz w:val="32"/>
          <w:szCs w:val="32"/>
        </w:rPr>
        <w:t>完成预算</w:t>
      </w:r>
      <w:r>
        <w:rPr>
          <w:rStyle w:val="14"/>
          <w:rFonts w:hint="eastAsia" w:ascii="仿宋" w:hAnsi="仿宋" w:eastAsia="仿宋"/>
          <w:bCs/>
          <w:color w:val="auto"/>
          <w:sz w:val="32"/>
          <w:szCs w:val="32"/>
          <w:lang w:val="en-US" w:eastAsia="zh-CN"/>
        </w:rPr>
        <w:t>100</w:t>
      </w:r>
      <w:r>
        <w:rPr>
          <w:rStyle w:val="14"/>
          <w:rFonts w:ascii="仿宋" w:hAnsi="仿宋" w:eastAsia="仿宋"/>
          <w:bCs/>
          <w:color w:val="auto"/>
          <w:sz w:val="32"/>
          <w:szCs w:val="32"/>
        </w:rPr>
        <w:t>%</w:t>
      </w:r>
      <w:r>
        <w:rPr>
          <w:rStyle w:val="14"/>
          <w:rFonts w:hint="eastAsia" w:ascii="仿宋" w:hAnsi="仿宋" w:eastAsia="仿宋"/>
          <w:bCs/>
          <w:color w:val="auto"/>
          <w:sz w:val="32"/>
          <w:szCs w:val="32"/>
        </w:rPr>
        <w:t>。</w:t>
      </w:r>
      <w:r>
        <w:rPr>
          <w:rStyle w:val="14"/>
          <w:rFonts w:hint="eastAsia" w:ascii="仿宋" w:hAnsi="仿宋" w:eastAsia="仿宋"/>
          <w:bCs/>
          <w:sz w:val="32"/>
          <w:szCs w:val="32"/>
        </w:rPr>
        <w:t>其中：</w:t>
      </w:r>
      <w:bookmarkEnd w:id="37"/>
      <w:bookmarkEnd w:id="38"/>
      <w:bookmarkEnd w:id="39"/>
    </w:p>
    <w:p>
      <w:pPr>
        <w:spacing w:line="600" w:lineRule="exact"/>
        <w:ind w:firstLine="800" w:firstLineChars="250"/>
        <w:rPr>
          <w:rStyle w:val="14"/>
          <w:rFonts w:ascii="仿宋" w:hAnsi="仿宋" w:eastAsia="仿宋"/>
          <w:b w:val="0"/>
          <w:bCs/>
          <w:color w:val="auto"/>
          <w:sz w:val="32"/>
          <w:szCs w:val="32"/>
        </w:rPr>
      </w:pPr>
      <w:r>
        <w:rPr>
          <w:rFonts w:hint="eastAsia" w:ascii="仿宋" w:hAnsi="仿宋" w:eastAsia="仿宋"/>
          <w:sz w:val="32"/>
          <w:szCs w:val="32"/>
        </w:rPr>
        <w:t>1.卫生健康210（类）01（款）01（项）</w:t>
      </w:r>
      <w:r>
        <w:rPr>
          <w:rFonts w:ascii="仿宋" w:hAnsi="仿宋" w:eastAsia="仿宋"/>
          <w:sz w:val="32"/>
          <w:szCs w:val="32"/>
        </w:rPr>
        <w:t>:</w:t>
      </w:r>
      <w:r>
        <w:rPr>
          <w:rFonts w:hint="eastAsia" w:ascii="仿宋" w:hAnsi="仿宋" w:eastAsia="仿宋"/>
          <w:sz w:val="32"/>
          <w:szCs w:val="32"/>
        </w:rPr>
        <w:t>支出决算为158.43万元，完成预算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等于预算数</w:t>
      </w:r>
      <w:r>
        <w:rPr>
          <w:rStyle w:val="14"/>
          <w:rFonts w:hint="eastAsia" w:ascii="仿宋" w:hAnsi="仿宋" w:eastAsia="仿宋"/>
          <w:b w:val="0"/>
          <w:bCs/>
          <w:color w:val="auto"/>
          <w:sz w:val="32"/>
          <w:szCs w:val="32"/>
        </w:rPr>
        <w:t>主要原因是</w:t>
      </w:r>
      <w:r>
        <w:rPr>
          <w:rStyle w:val="14"/>
          <w:rFonts w:hint="eastAsia" w:ascii="仿宋" w:hAnsi="仿宋" w:eastAsia="仿宋"/>
          <w:b w:val="0"/>
          <w:bCs/>
          <w:color w:val="auto"/>
          <w:sz w:val="32"/>
          <w:szCs w:val="32"/>
          <w:lang w:eastAsia="zh-CN"/>
        </w:rPr>
        <w:t>人员经费的增加</w:t>
      </w:r>
      <w:r>
        <w:rPr>
          <w:rStyle w:val="14"/>
          <w:rFonts w:hint="eastAsia" w:ascii="仿宋" w:hAnsi="仿宋" w:eastAsia="仿宋"/>
          <w:b w:val="0"/>
          <w:bCs/>
          <w:color w:val="auto"/>
          <w:sz w:val="32"/>
          <w:szCs w:val="32"/>
        </w:rPr>
        <w:t>。</w:t>
      </w:r>
    </w:p>
    <w:p>
      <w:pPr>
        <w:spacing w:line="600" w:lineRule="exact"/>
        <w:ind w:firstLine="640" w:firstLineChars="200"/>
        <w:rPr>
          <w:rFonts w:hint="eastAsia" w:ascii="仿宋" w:hAnsi="仿宋" w:eastAsia="仿宋"/>
          <w:b/>
          <w:color w:val="auto"/>
          <w:sz w:val="32"/>
          <w:szCs w:val="32"/>
          <w:lang w:eastAsia="zh-CN"/>
        </w:rPr>
      </w:pPr>
      <w:r>
        <w:rPr>
          <w:rFonts w:ascii="仿宋" w:hAnsi="仿宋" w:eastAsia="仿宋"/>
          <w:color w:val="auto"/>
          <w:sz w:val="32"/>
          <w:szCs w:val="32"/>
        </w:rPr>
        <w:t>2.</w:t>
      </w:r>
      <w:r>
        <w:rPr>
          <w:rFonts w:hint="eastAsia" w:ascii="仿宋" w:hAnsi="仿宋" w:eastAsia="仿宋"/>
          <w:color w:val="auto"/>
          <w:sz w:val="32"/>
          <w:szCs w:val="32"/>
        </w:rPr>
        <w:t>卫生监督机构</w:t>
      </w:r>
      <w:r>
        <w:rPr>
          <w:rFonts w:ascii="仿宋" w:hAnsi="仿宋" w:eastAsia="仿宋"/>
          <w:color w:val="auto"/>
          <w:sz w:val="32"/>
          <w:szCs w:val="32"/>
        </w:rPr>
        <w:t>21</w:t>
      </w:r>
      <w:r>
        <w:rPr>
          <w:rFonts w:hint="eastAsia" w:ascii="仿宋" w:hAnsi="仿宋" w:eastAsia="仿宋"/>
          <w:color w:val="auto"/>
          <w:sz w:val="32"/>
          <w:szCs w:val="32"/>
        </w:rPr>
        <w:t>0（类）</w:t>
      </w:r>
      <w:r>
        <w:rPr>
          <w:rFonts w:ascii="仿宋" w:hAnsi="仿宋" w:eastAsia="仿宋"/>
          <w:color w:val="auto"/>
          <w:sz w:val="32"/>
          <w:szCs w:val="32"/>
        </w:rPr>
        <w:t>0</w:t>
      </w:r>
      <w:r>
        <w:rPr>
          <w:rFonts w:hint="eastAsia" w:ascii="仿宋" w:hAnsi="仿宋" w:eastAsia="仿宋"/>
          <w:color w:val="auto"/>
          <w:sz w:val="32"/>
          <w:szCs w:val="32"/>
        </w:rPr>
        <w:t>4（款）</w:t>
      </w:r>
      <w:r>
        <w:rPr>
          <w:rFonts w:ascii="仿宋" w:hAnsi="仿宋" w:eastAsia="仿宋"/>
          <w:color w:val="auto"/>
          <w:sz w:val="32"/>
          <w:szCs w:val="32"/>
        </w:rPr>
        <w:t>0</w:t>
      </w:r>
      <w:r>
        <w:rPr>
          <w:rFonts w:hint="eastAsia" w:ascii="仿宋" w:hAnsi="仿宋" w:eastAsia="仿宋"/>
          <w:color w:val="auto"/>
          <w:sz w:val="32"/>
          <w:szCs w:val="32"/>
        </w:rPr>
        <w:t>2（项）</w:t>
      </w:r>
      <w:r>
        <w:rPr>
          <w:rFonts w:ascii="仿宋" w:hAnsi="仿宋" w:eastAsia="仿宋"/>
          <w:color w:val="auto"/>
          <w:sz w:val="32"/>
          <w:szCs w:val="32"/>
        </w:rPr>
        <w:t>:</w:t>
      </w:r>
      <w:r>
        <w:rPr>
          <w:rFonts w:hint="eastAsia" w:ascii="仿宋" w:hAnsi="仿宋" w:eastAsia="仿宋"/>
          <w:color w:val="auto"/>
          <w:sz w:val="32"/>
          <w:szCs w:val="32"/>
        </w:rPr>
        <w:t>支出决算为8.88万元，完成预算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lang w:eastAsia="zh-CN"/>
        </w:rPr>
        <w:t>。</w:t>
      </w:r>
    </w:p>
    <w:p>
      <w:pPr>
        <w:spacing w:line="600" w:lineRule="exact"/>
        <w:ind w:firstLine="800" w:firstLineChars="250"/>
        <w:rPr>
          <w:rFonts w:hint="eastAsia" w:ascii="仿宋" w:hAnsi="仿宋" w:eastAsia="仿宋"/>
          <w:sz w:val="32"/>
          <w:szCs w:val="32"/>
          <w:lang w:eastAsia="zh-CN"/>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基本公共卫生服务</w:t>
      </w:r>
      <w:r>
        <w:rPr>
          <w:rFonts w:ascii="仿宋" w:hAnsi="仿宋" w:eastAsia="仿宋"/>
          <w:sz w:val="32"/>
          <w:szCs w:val="32"/>
        </w:rPr>
        <w:t>21</w:t>
      </w:r>
      <w:r>
        <w:rPr>
          <w:rFonts w:hint="eastAsia" w:ascii="仿宋" w:hAnsi="仿宋" w:eastAsia="仿宋"/>
          <w:sz w:val="32"/>
          <w:szCs w:val="32"/>
        </w:rPr>
        <w:t>0（类）</w:t>
      </w:r>
      <w:r>
        <w:rPr>
          <w:rFonts w:ascii="仿宋" w:hAnsi="仿宋" w:eastAsia="仿宋"/>
          <w:sz w:val="32"/>
          <w:szCs w:val="32"/>
        </w:rPr>
        <w:t>0</w:t>
      </w:r>
      <w:r>
        <w:rPr>
          <w:rFonts w:hint="eastAsia" w:ascii="仿宋" w:hAnsi="仿宋" w:eastAsia="仿宋"/>
          <w:sz w:val="32"/>
          <w:szCs w:val="32"/>
        </w:rPr>
        <w:t>4（款）</w:t>
      </w:r>
      <w:r>
        <w:rPr>
          <w:rFonts w:ascii="仿宋" w:hAnsi="仿宋" w:eastAsia="仿宋"/>
          <w:sz w:val="32"/>
          <w:szCs w:val="32"/>
        </w:rPr>
        <w:t>0</w:t>
      </w:r>
      <w:r>
        <w:rPr>
          <w:rFonts w:hint="eastAsia" w:ascii="仿宋" w:hAnsi="仿宋" w:eastAsia="仿宋"/>
          <w:sz w:val="32"/>
          <w:szCs w:val="32"/>
        </w:rPr>
        <w:t>8（项）</w:t>
      </w:r>
      <w:r>
        <w:rPr>
          <w:rFonts w:ascii="仿宋" w:hAnsi="仿宋" w:eastAsia="仿宋"/>
          <w:sz w:val="32"/>
          <w:szCs w:val="32"/>
        </w:rPr>
        <w:t>:</w:t>
      </w:r>
      <w:r>
        <w:rPr>
          <w:rFonts w:hint="eastAsia" w:ascii="仿宋" w:hAnsi="仿宋" w:eastAsia="仿宋"/>
          <w:sz w:val="32"/>
          <w:szCs w:val="32"/>
        </w:rPr>
        <w:t>支出决算为8万元，完成预算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lang w:eastAsia="zh-CN"/>
        </w:rPr>
        <w:t>。</w:t>
      </w:r>
    </w:p>
    <w:p>
      <w:pPr>
        <w:spacing w:line="600" w:lineRule="exact"/>
        <w:ind w:firstLine="800" w:firstLineChars="250"/>
        <w:rPr>
          <w:rFonts w:ascii="仿宋" w:hAnsi="仿宋" w:eastAsia="仿宋"/>
          <w:b/>
          <w:sz w:val="32"/>
          <w:szCs w:val="32"/>
        </w:rPr>
      </w:pPr>
      <w:r>
        <w:rPr>
          <w:rFonts w:hint="eastAsia" w:ascii="仿宋" w:hAnsi="仿宋" w:eastAsia="仿宋"/>
          <w:sz w:val="32"/>
          <w:szCs w:val="32"/>
        </w:rPr>
        <w:t>4.重大公共卫生服务</w:t>
      </w:r>
      <w:r>
        <w:rPr>
          <w:rFonts w:ascii="仿宋" w:hAnsi="仿宋" w:eastAsia="仿宋"/>
          <w:sz w:val="32"/>
          <w:szCs w:val="32"/>
        </w:rPr>
        <w:t>21</w:t>
      </w:r>
      <w:r>
        <w:rPr>
          <w:rFonts w:hint="eastAsia" w:ascii="仿宋" w:hAnsi="仿宋" w:eastAsia="仿宋"/>
          <w:sz w:val="32"/>
          <w:szCs w:val="32"/>
        </w:rPr>
        <w:t>0（类）</w:t>
      </w:r>
      <w:r>
        <w:rPr>
          <w:rFonts w:ascii="仿宋" w:hAnsi="仿宋" w:eastAsia="仿宋"/>
          <w:sz w:val="32"/>
          <w:szCs w:val="32"/>
        </w:rPr>
        <w:t>0</w:t>
      </w:r>
      <w:r>
        <w:rPr>
          <w:rFonts w:hint="eastAsia" w:ascii="仿宋" w:hAnsi="仿宋" w:eastAsia="仿宋"/>
          <w:sz w:val="32"/>
          <w:szCs w:val="32"/>
        </w:rPr>
        <w:t>4（款）</w:t>
      </w:r>
      <w:r>
        <w:rPr>
          <w:rFonts w:ascii="仿宋" w:hAnsi="仿宋" w:eastAsia="仿宋"/>
          <w:sz w:val="32"/>
          <w:szCs w:val="32"/>
        </w:rPr>
        <w:t>0</w:t>
      </w:r>
      <w:r>
        <w:rPr>
          <w:rFonts w:hint="eastAsia" w:ascii="仿宋" w:hAnsi="仿宋" w:eastAsia="仿宋"/>
          <w:sz w:val="32"/>
          <w:szCs w:val="32"/>
        </w:rPr>
        <w:t>9（项）</w:t>
      </w:r>
      <w:r>
        <w:rPr>
          <w:rFonts w:ascii="仿宋" w:hAnsi="仿宋" w:eastAsia="仿宋"/>
          <w:sz w:val="32"/>
          <w:szCs w:val="32"/>
        </w:rPr>
        <w:t>:</w:t>
      </w:r>
      <w:r>
        <w:rPr>
          <w:rFonts w:hint="eastAsia" w:ascii="仿宋" w:hAnsi="仿宋" w:eastAsia="仿宋"/>
          <w:sz w:val="32"/>
          <w:szCs w:val="32"/>
        </w:rPr>
        <w:t>支出决算为0.04万元，完成预算</w:t>
      </w:r>
      <w:r>
        <w:rPr>
          <w:rFonts w:hint="eastAsia" w:ascii="仿宋" w:hAnsi="仿宋" w:eastAsia="仿宋"/>
          <w:sz w:val="32"/>
          <w:szCs w:val="32"/>
          <w:lang w:val="en-US" w:eastAsia="zh-CN"/>
        </w:rPr>
        <w:t>100</w:t>
      </w:r>
      <w:r>
        <w:rPr>
          <w:rFonts w:ascii="仿宋" w:hAnsi="仿宋" w:eastAsia="仿宋"/>
          <w:sz w:val="32"/>
          <w:szCs w:val="32"/>
        </w:rPr>
        <w:t>%</w:t>
      </w:r>
      <w:r>
        <w:rPr>
          <w:rStyle w:val="14"/>
          <w:rFonts w:hint="eastAsia" w:ascii="仿宋" w:hAnsi="仿宋" w:eastAsia="仿宋"/>
          <w:b w:val="0"/>
          <w:bCs/>
          <w:sz w:val="32"/>
          <w:szCs w:val="32"/>
        </w:rPr>
        <w:t>。</w:t>
      </w:r>
    </w:p>
    <w:p>
      <w:pPr>
        <w:spacing w:line="600" w:lineRule="exact"/>
        <w:ind w:firstLine="800" w:firstLineChars="250"/>
        <w:rPr>
          <w:rStyle w:val="14"/>
          <w:rFonts w:hint="eastAsia" w:ascii="仿宋" w:hAnsi="仿宋" w:eastAsia="仿宋"/>
          <w:b w:val="0"/>
          <w:bCs/>
          <w:color w:val="auto"/>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社会保障和就业</w:t>
      </w:r>
      <w:r>
        <w:rPr>
          <w:rFonts w:ascii="仿宋" w:hAnsi="仿宋" w:eastAsia="仿宋"/>
          <w:sz w:val="32"/>
          <w:szCs w:val="32"/>
        </w:rPr>
        <w:t>208</w:t>
      </w:r>
      <w:r>
        <w:rPr>
          <w:rFonts w:hint="eastAsia" w:ascii="仿宋" w:hAnsi="仿宋" w:eastAsia="仿宋"/>
          <w:sz w:val="32"/>
          <w:szCs w:val="32"/>
        </w:rPr>
        <w:t>（类）</w:t>
      </w:r>
      <w:r>
        <w:rPr>
          <w:rFonts w:ascii="仿宋" w:hAnsi="仿宋" w:eastAsia="仿宋"/>
          <w:sz w:val="32"/>
          <w:szCs w:val="32"/>
        </w:rPr>
        <w:t>05</w:t>
      </w:r>
      <w:r>
        <w:rPr>
          <w:rFonts w:hint="eastAsia" w:ascii="仿宋" w:hAnsi="仿宋" w:eastAsia="仿宋"/>
          <w:sz w:val="32"/>
          <w:szCs w:val="32"/>
        </w:rPr>
        <w:t>（款）</w:t>
      </w:r>
      <w:r>
        <w:rPr>
          <w:rFonts w:ascii="仿宋" w:hAnsi="仿宋" w:eastAsia="仿宋"/>
          <w:sz w:val="32"/>
          <w:szCs w:val="32"/>
        </w:rPr>
        <w:t>05</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支出决算为7.43万元，完成预算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大于</w:t>
      </w:r>
      <w:r>
        <w:rPr>
          <w:rStyle w:val="14"/>
          <w:rFonts w:hint="eastAsia" w:ascii="仿宋" w:hAnsi="仿宋" w:eastAsia="仿宋"/>
          <w:b w:val="0"/>
          <w:bCs/>
          <w:color w:val="auto"/>
          <w:sz w:val="32"/>
          <w:szCs w:val="32"/>
        </w:rPr>
        <w:t>预算数的主要原因是</w:t>
      </w:r>
      <w:r>
        <w:rPr>
          <w:rStyle w:val="14"/>
          <w:rFonts w:hint="eastAsia" w:ascii="仿宋" w:hAnsi="仿宋" w:eastAsia="仿宋"/>
          <w:b w:val="0"/>
          <w:bCs/>
          <w:color w:val="auto"/>
          <w:sz w:val="32"/>
          <w:szCs w:val="32"/>
          <w:lang w:eastAsia="zh-CN"/>
        </w:rPr>
        <w:t>人员经费的增加</w:t>
      </w:r>
      <w:r>
        <w:rPr>
          <w:rStyle w:val="14"/>
          <w:rFonts w:hint="eastAsia" w:ascii="仿宋" w:hAnsi="仿宋" w:eastAsia="仿宋"/>
          <w:b w:val="0"/>
          <w:bCs/>
          <w:color w:val="auto"/>
          <w:sz w:val="32"/>
          <w:szCs w:val="32"/>
        </w:rPr>
        <w:t>。</w:t>
      </w:r>
    </w:p>
    <w:p>
      <w:pPr>
        <w:spacing w:line="600" w:lineRule="exact"/>
        <w:ind w:firstLine="800" w:firstLineChars="250"/>
        <w:rPr>
          <w:rStyle w:val="14"/>
          <w:rFonts w:hint="eastAsia" w:ascii="仿宋" w:hAnsi="仿宋" w:eastAsia="仿宋"/>
          <w:b w:val="0"/>
          <w:bCs/>
          <w:color w:val="auto"/>
          <w:sz w:val="32"/>
          <w:szCs w:val="32"/>
        </w:rPr>
      </w:pPr>
      <w:r>
        <w:rPr>
          <w:rFonts w:hint="eastAsia" w:ascii="仿宋" w:hAnsi="仿宋" w:eastAsia="仿宋"/>
          <w:color w:val="auto"/>
          <w:sz w:val="32"/>
          <w:szCs w:val="32"/>
        </w:rPr>
        <w:t>6</w:t>
      </w:r>
      <w:r>
        <w:rPr>
          <w:rFonts w:ascii="仿宋" w:hAnsi="仿宋" w:eastAsia="仿宋"/>
          <w:color w:val="auto"/>
          <w:sz w:val="32"/>
          <w:szCs w:val="32"/>
        </w:rPr>
        <w:t>.</w:t>
      </w:r>
      <w:r>
        <w:rPr>
          <w:rFonts w:hint="eastAsia" w:ascii="仿宋" w:hAnsi="仿宋" w:eastAsia="仿宋"/>
          <w:color w:val="auto"/>
          <w:sz w:val="32"/>
          <w:szCs w:val="32"/>
        </w:rPr>
        <w:t>行政单位医疗</w:t>
      </w:r>
      <w:r>
        <w:rPr>
          <w:rFonts w:ascii="仿宋" w:hAnsi="仿宋" w:eastAsia="仿宋"/>
          <w:color w:val="auto"/>
          <w:sz w:val="32"/>
          <w:szCs w:val="32"/>
        </w:rPr>
        <w:t>210</w:t>
      </w:r>
      <w:r>
        <w:rPr>
          <w:rFonts w:hint="eastAsia" w:ascii="仿宋" w:hAnsi="仿宋" w:eastAsia="仿宋"/>
          <w:color w:val="auto"/>
          <w:sz w:val="32"/>
          <w:szCs w:val="32"/>
        </w:rPr>
        <w:t>（类）</w:t>
      </w:r>
      <w:r>
        <w:rPr>
          <w:rFonts w:ascii="仿宋" w:hAnsi="仿宋" w:eastAsia="仿宋"/>
          <w:color w:val="auto"/>
          <w:sz w:val="32"/>
          <w:szCs w:val="32"/>
        </w:rPr>
        <w:t>11</w:t>
      </w:r>
      <w:r>
        <w:rPr>
          <w:rFonts w:hint="eastAsia" w:ascii="仿宋" w:hAnsi="仿宋" w:eastAsia="仿宋"/>
          <w:color w:val="auto"/>
          <w:sz w:val="32"/>
          <w:szCs w:val="32"/>
        </w:rPr>
        <w:t>（款）</w:t>
      </w:r>
      <w:r>
        <w:rPr>
          <w:rFonts w:ascii="仿宋" w:hAnsi="仿宋" w:eastAsia="仿宋"/>
          <w:color w:val="auto"/>
          <w:sz w:val="32"/>
          <w:szCs w:val="32"/>
        </w:rPr>
        <w:t>01</w:t>
      </w:r>
      <w:r>
        <w:rPr>
          <w:rFonts w:hint="eastAsia" w:ascii="仿宋" w:hAnsi="仿宋" w:eastAsia="仿宋"/>
          <w:color w:val="auto"/>
          <w:sz w:val="32"/>
          <w:szCs w:val="32"/>
        </w:rPr>
        <w:t>（项）</w:t>
      </w:r>
      <w:r>
        <w:rPr>
          <w:rFonts w:ascii="仿宋" w:hAnsi="仿宋" w:eastAsia="仿宋"/>
          <w:color w:val="auto"/>
          <w:sz w:val="32"/>
          <w:szCs w:val="32"/>
        </w:rPr>
        <w:t>:</w:t>
      </w:r>
      <w:r>
        <w:rPr>
          <w:rFonts w:hint="eastAsia" w:ascii="仿宋" w:hAnsi="仿宋" w:eastAsia="仿宋"/>
          <w:color w:val="auto"/>
          <w:sz w:val="32"/>
          <w:szCs w:val="32"/>
        </w:rPr>
        <w:t>支出决算为5.82万元，完成预算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大于</w:t>
      </w:r>
      <w:r>
        <w:rPr>
          <w:rStyle w:val="14"/>
          <w:rFonts w:hint="eastAsia" w:ascii="仿宋" w:hAnsi="仿宋" w:eastAsia="仿宋"/>
          <w:b w:val="0"/>
          <w:bCs/>
          <w:color w:val="auto"/>
          <w:sz w:val="32"/>
          <w:szCs w:val="32"/>
        </w:rPr>
        <w:t>预算数的主要原因是</w:t>
      </w:r>
      <w:r>
        <w:rPr>
          <w:rStyle w:val="14"/>
          <w:rFonts w:hint="eastAsia" w:ascii="仿宋" w:hAnsi="仿宋" w:eastAsia="仿宋"/>
          <w:b w:val="0"/>
          <w:bCs/>
          <w:color w:val="auto"/>
          <w:sz w:val="32"/>
          <w:szCs w:val="32"/>
          <w:lang w:eastAsia="zh-CN"/>
        </w:rPr>
        <w:t>人员经费的增加</w:t>
      </w:r>
      <w:r>
        <w:rPr>
          <w:rStyle w:val="14"/>
          <w:rFonts w:hint="eastAsia" w:ascii="仿宋" w:hAnsi="仿宋" w:eastAsia="仿宋"/>
          <w:b w:val="0"/>
          <w:bCs/>
          <w:color w:val="auto"/>
          <w:sz w:val="32"/>
          <w:szCs w:val="32"/>
        </w:rPr>
        <w:t>。</w:t>
      </w:r>
    </w:p>
    <w:p>
      <w:pPr>
        <w:spacing w:line="600" w:lineRule="exact"/>
        <w:ind w:firstLine="800" w:firstLineChars="250"/>
        <w:rPr>
          <w:rFonts w:ascii="仿宋" w:hAnsi="仿宋" w:eastAsia="仿宋"/>
          <w:b/>
          <w:color w:val="auto"/>
          <w:sz w:val="32"/>
          <w:szCs w:val="32"/>
        </w:rPr>
      </w:pPr>
      <w:r>
        <w:rPr>
          <w:rFonts w:hint="eastAsia" w:ascii="仿宋" w:hAnsi="仿宋" w:eastAsia="仿宋"/>
          <w:color w:val="auto"/>
          <w:sz w:val="32"/>
          <w:szCs w:val="32"/>
        </w:rPr>
        <w:t>7.公务员医疗补助</w:t>
      </w:r>
      <w:r>
        <w:rPr>
          <w:rFonts w:ascii="仿宋" w:hAnsi="仿宋" w:eastAsia="仿宋"/>
          <w:color w:val="auto"/>
          <w:sz w:val="32"/>
          <w:szCs w:val="32"/>
        </w:rPr>
        <w:t>210</w:t>
      </w:r>
      <w:r>
        <w:rPr>
          <w:rFonts w:hint="eastAsia" w:ascii="仿宋" w:hAnsi="仿宋" w:eastAsia="仿宋"/>
          <w:color w:val="auto"/>
          <w:sz w:val="32"/>
          <w:szCs w:val="32"/>
        </w:rPr>
        <w:t>（类）</w:t>
      </w:r>
      <w:r>
        <w:rPr>
          <w:rFonts w:ascii="仿宋" w:hAnsi="仿宋" w:eastAsia="仿宋"/>
          <w:color w:val="auto"/>
          <w:sz w:val="32"/>
          <w:szCs w:val="32"/>
        </w:rPr>
        <w:t>11</w:t>
      </w:r>
      <w:r>
        <w:rPr>
          <w:rFonts w:hint="eastAsia" w:ascii="仿宋" w:hAnsi="仿宋" w:eastAsia="仿宋"/>
          <w:color w:val="auto"/>
          <w:sz w:val="32"/>
          <w:szCs w:val="32"/>
        </w:rPr>
        <w:t>（款）</w:t>
      </w:r>
      <w:r>
        <w:rPr>
          <w:rFonts w:ascii="仿宋" w:hAnsi="仿宋" w:eastAsia="仿宋"/>
          <w:color w:val="auto"/>
          <w:sz w:val="32"/>
          <w:szCs w:val="32"/>
        </w:rPr>
        <w:t>03</w:t>
      </w:r>
      <w:r>
        <w:rPr>
          <w:rFonts w:hint="eastAsia" w:ascii="仿宋" w:hAnsi="仿宋" w:eastAsia="仿宋"/>
          <w:color w:val="auto"/>
          <w:sz w:val="32"/>
          <w:szCs w:val="32"/>
        </w:rPr>
        <w:t>（项）：支出决算为</w:t>
      </w:r>
      <w:r>
        <w:rPr>
          <w:rFonts w:ascii="仿宋" w:hAnsi="仿宋" w:eastAsia="仿宋"/>
          <w:color w:val="auto"/>
          <w:sz w:val="32"/>
          <w:szCs w:val="32"/>
        </w:rPr>
        <w:t>0.</w:t>
      </w:r>
      <w:r>
        <w:rPr>
          <w:rFonts w:hint="eastAsia" w:ascii="仿宋" w:hAnsi="仿宋" w:eastAsia="仿宋"/>
          <w:color w:val="auto"/>
          <w:sz w:val="32"/>
          <w:szCs w:val="32"/>
        </w:rPr>
        <w:t>56万元，完成预算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等于</w:t>
      </w:r>
      <w:r>
        <w:rPr>
          <w:rStyle w:val="14"/>
          <w:rFonts w:hint="eastAsia" w:ascii="仿宋" w:hAnsi="仿宋" w:eastAsia="仿宋"/>
          <w:b w:val="0"/>
          <w:bCs/>
          <w:color w:val="auto"/>
          <w:sz w:val="32"/>
          <w:szCs w:val="32"/>
        </w:rPr>
        <w:t>预算数的主要原因是</w:t>
      </w:r>
      <w:r>
        <w:rPr>
          <w:rStyle w:val="14"/>
          <w:rFonts w:hint="eastAsia" w:ascii="仿宋" w:hAnsi="仿宋" w:eastAsia="仿宋"/>
          <w:b w:val="0"/>
          <w:bCs/>
          <w:color w:val="auto"/>
          <w:sz w:val="32"/>
          <w:szCs w:val="32"/>
          <w:lang w:eastAsia="zh-CN"/>
        </w:rPr>
        <w:t>人员经费的增加</w:t>
      </w:r>
      <w:r>
        <w:rPr>
          <w:rStyle w:val="14"/>
          <w:rFonts w:hint="eastAsia" w:ascii="仿宋" w:hAnsi="仿宋" w:eastAsia="仿宋"/>
          <w:b w:val="0"/>
          <w:bCs/>
          <w:color w:val="auto"/>
          <w:sz w:val="32"/>
          <w:szCs w:val="32"/>
        </w:rPr>
        <w:t>。</w:t>
      </w:r>
    </w:p>
    <w:p>
      <w:pPr>
        <w:spacing w:line="600" w:lineRule="exact"/>
        <w:ind w:firstLine="800" w:firstLineChars="250"/>
        <w:rPr>
          <w:rFonts w:ascii="仿宋" w:hAnsi="仿宋" w:eastAsia="仿宋"/>
          <w:b/>
          <w:color w:val="auto"/>
          <w:sz w:val="32"/>
          <w:szCs w:val="32"/>
        </w:rPr>
      </w:pPr>
      <w:r>
        <w:rPr>
          <w:rFonts w:hint="eastAsia" w:ascii="仿宋" w:hAnsi="仿宋" w:eastAsia="仿宋"/>
          <w:color w:val="auto"/>
          <w:sz w:val="32"/>
          <w:szCs w:val="32"/>
        </w:rPr>
        <w:t>8.住房保障</w:t>
      </w:r>
      <w:r>
        <w:rPr>
          <w:rFonts w:ascii="仿宋" w:hAnsi="仿宋" w:eastAsia="仿宋"/>
          <w:color w:val="auto"/>
          <w:sz w:val="32"/>
          <w:szCs w:val="32"/>
        </w:rPr>
        <w:t>221</w:t>
      </w:r>
      <w:r>
        <w:rPr>
          <w:rFonts w:hint="eastAsia" w:ascii="仿宋" w:hAnsi="仿宋" w:eastAsia="仿宋"/>
          <w:color w:val="auto"/>
          <w:sz w:val="32"/>
          <w:szCs w:val="32"/>
        </w:rPr>
        <w:t>（类）</w:t>
      </w:r>
      <w:r>
        <w:rPr>
          <w:rFonts w:ascii="仿宋" w:hAnsi="仿宋" w:eastAsia="仿宋"/>
          <w:color w:val="auto"/>
          <w:sz w:val="32"/>
          <w:szCs w:val="32"/>
        </w:rPr>
        <w:t>02</w:t>
      </w:r>
      <w:r>
        <w:rPr>
          <w:rFonts w:hint="eastAsia" w:ascii="仿宋" w:hAnsi="仿宋" w:eastAsia="仿宋"/>
          <w:color w:val="auto"/>
          <w:sz w:val="32"/>
          <w:szCs w:val="32"/>
        </w:rPr>
        <w:t>（款）</w:t>
      </w:r>
      <w:r>
        <w:rPr>
          <w:rFonts w:ascii="仿宋" w:hAnsi="仿宋" w:eastAsia="仿宋"/>
          <w:color w:val="auto"/>
          <w:sz w:val="32"/>
          <w:szCs w:val="32"/>
        </w:rPr>
        <w:t>01</w:t>
      </w:r>
      <w:r>
        <w:rPr>
          <w:rFonts w:hint="eastAsia" w:ascii="仿宋" w:hAnsi="仿宋" w:eastAsia="仿宋"/>
          <w:color w:val="auto"/>
          <w:sz w:val="32"/>
          <w:szCs w:val="32"/>
        </w:rPr>
        <w:t>（项）：支出决算为9.99万元，完成预算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等于</w:t>
      </w:r>
      <w:r>
        <w:rPr>
          <w:rStyle w:val="14"/>
          <w:rFonts w:hint="eastAsia" w:ascii="仿宋" w:hAnsi="仿宋" w:eastAsia="仿宋"/>
          <w:b w:val="0"/>
          <w:bCs/>
          <w:color w:val="auto"/>
          <w:sz w:val="32"/>
          <w:szCs w:val="32"/>
        </w:rPr>
        <w:t>预算数的主要原因是</w:t>
      </w:r>
      <w:r>
        <w:rPr>
          <w:rStyle w:val="14"/>
          <w:rFonts w:hint="eastAsia" w:ascii="仿宋" w:hAnsi="仿宋" w:eastAsia="仿宋"/>
          <w:b w:val="0"/>
          <w:bCs/>
          <w:color w:val="auto"/>
          <w:sz w:val="32"/>
          <w:szCs w:val="32"/>
          <w:lang w:eastAsia="zh-CN"/>
        </w:rPr>
        <w:t>人员经费的增加</w:t>
      </w:r>
      <w:r>
        <w:rPr>
          <w:rStyle w:val="14"/>
          <w:rFonts w:hint="eastAsia" w:ascii="仿宋" w:hAnsi="仿宋" w:eastAsia="仿宋"/>
          <w:b w:val="0"/>
          <w:bCs/>
          <w:color w:val="auto"/>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21年一般公共预算财政拨款基本支出</w:t>
      </w:r>
      <w:r>
        <w:rPr>
          <w:rFonts w:hint="eastAsia" w:ascii="仿宋" w:hAnsi="仿宋" w:eastAsia="仿宋"/>
          <w:color w:val="auto"/>
          <w:sz w:val="32"/>
          <w:szCs w:val="32"/>
          <w:lang w:val="en-US" w:eastAsia="zh-CN"/>
        </w:rPr>
        <w:t>182.24</w:t>
      </w:r>
      <w:r>
        <w:rPr>
          <w:rFonts w:hint="eastAsia" w:ascii="仿宋" w:hAnsi="仿宋" w:eastAsia="仿宋"/>
          <w:color w:val="auto"/>
          <w:sz w:val="32"/>
          <w:szCs w:val="32"/>
        </w:rPr>
        <w:t>万元，其中：</w:t>
      </w:r>
    </w:p>
    <w:p>
      <w:pPr>
        <w:spacing w:line="600" w:lineRule="exact"/>
        <w:ind w:firstLine="645"/>
        <w:rPr>
          <w:rFonts w:hint="default" w:eastAsia="仿宋"/>
          <w:lang w:val="en-US" w:eastAsia="zh-CN"/>
        </w:rPr>
      </w:pPr>
      <w:r>
        <w:rPr>
          <w:rFonts w:hint="eastAsia" w:ascii="仿宋" w:hAnsi="仿宋" w:eastAsia="仿宋"/>
          <w:color w:val="auto"/>
          <w:sz w:val="32"/>
          <w:szCs w:val="32"/>
        </w:rPr>
        <w:t>人员经费165.73万元，</w:t>
      </w:r>
      <w:r>
        <w:rPr>
          <w:rFonts w:hint="eastAsia" w:ascii="仿宋" w:hAnsi="仿宋" w:eastAsia="仿宋"/>
          <w:sz w:val="32"/>
          <w:szCs w:val="32"/>
        </w:rPr>
        <w:t>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w:t>
      </w:r>
      <w:r>
        <w:rPr>
          <w:rFonts w:hint="eastAsia" w:ascii="仿宋" w:hAnsi="仿宋" w:eastAsia="仿宋"/>
          <w:color w:val="auto"/>
          <w:sz w:val="32"/>
          <w:szCs w:val="32"/>
        </w:rPr>
        <w:t>　公用经费16.51万元，</w:t>
      </w:r>
      <w:r>
        <w:rPr>
          <w:rFonts w:hint="eastAsia" w:ascii="仿宋" w:hAnsi="仿宋" w:eastAsia="仿宋"/>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21年“三公”经费财政拨款支出决算为4.84万元，完成预算96.8</w:t>
      </w:r>
      <w:r>
        <w:rPr>
          <w:rFonts w:ascii="仿宋" w:hAnsi="仿宋" w:eastAsia="仿宋"/>
          <w:sz w:val="32"/>
          <w:szCs w:val="32"/>
        </w:rPr>
        <w:t>%</w:t>
      </w:r>
      <w:r>
        <w:rPr>
          <w:rFonts w:hint="eastAsia" w:ascii="仿宋" w:hAnsi="仿宋" w:eastAsia="仿宋"/>
          <w:sz w:val="32"/>
          <w:szCs w:val="32"/>
        </w:rPr>
        <w:t>，决算数小于预算数的主要原因是公务用车运行维修费减少。</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hint="eastAsia" w:ascii="仿宋" w:hAnsi="仿宋" w:eastAsia="仿宋"/>
          <w:sz w:val="32"/>
          <w:szCs w:val="32"/>
        </w:rPr>
      </w:pPr>
      <w:r>
        <w:rPr>
          <w:rFonts w:ascii="仿宋" w:hAnsi="仿宋" w:eastAsia="仿宋"/>
          <w:color w:val="auto"/>
          <w:sz w:val="32"/>
          <w:szCs w:val="32"/>
        </w:rPr>
        <w:t>20</w:t>
      </w:r>
      <w:r>
        <w:rPr>
          <w:rFonts w:hint="eastAsia" w:ascii="仿宋" w:hAnsi="仿宋" w:eastAsia="仿宋"/>
          <w:color w:val="auto"/>
          <w:sz w:val="32"/>
          <w:szCs w:val="32"/>
        </w:rPr>
        <w:t>21年“三公”经费财政拨款支出决算中，因公出国（境）费支出决算0万元. 占0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；公务用车购置及运行维护费支出决算4.84万元，占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；公务接待费支出决算0万元, 占0</w:t>
      </w:r>
      <w:r>
        <w:rPr>
          <w:rFonts w:ascii="仿宋" w:hAnsi="仿宋" w:eastAsia="仿宋"/>
          <w:color w:val="auto"/>
          <w:sz w:val="32"/>
          <w:szCs w:val="32"/>
        </w:rPr>
        <w:t>%</w:t>
      </w:r>
      <w:r>
        <w:rPr>
          <w:rFonts w:hint="eastAsia" w:ascii="仿宋" w:hAnsi="仿宋" w:eastAsia="仿宋"/>
          <w:color w:val="auto"/>
          <w:sz w:val="32"/>
          <w:szCs w:val="32"/>
        </w:rPr>
        <w:t>。具体情况如下：</w:t>
      </w:r>
    </w:p>
    <w:p>
      <w:pPr>
        <w:pStyle w:val="2"/>
      </w:pPr>
      <w:r>
        <w:rPr>
          <w:rFonts w:hint="eastAsia" w:ascii="仿宋" w:hAnsi="仿宋" w:eastAsia="仿宋"/>
          <w:sz w:val="32"/>
          <w:szCs w:val="32"/>
          <w:lang w:val="en-US" w:eastAsia="zh-CN"/>
        </w:rPr>
        <w:t xml:space="preserve">      </w:t>
      </w:r>
      <w:r>
        <w:drawing>
          <wp:inline distT="0" distB="0" distL="114300" distR="114300">
            <wp:extent cx="4241800" cy="2658745"/>
            <wp:effectExtent l="4445" t="4445" r="2095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hint="eastAsia" w:ascii="仿宋_GB2312" w:eastAsia="仿宋"/>
          <w:sz w:val="32"/>
          <w:szCs w:val="32"/>
          <w:lang w:eastAsia="zh-CN"/>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Fonts w:hint="eastAsia" w:ascii="仿宋_GB2312" w:eastAsia="仿宋_GB2312"/>
          <w:sz w:val="32"/>
          <w:szCs w:val="32"/>
          <w:lang w:eastAsia="zh-CN"/>
        </w:rPr>
        <w:t>，完成预算</w:t>
      </w:r>
      <w:r>
        <w:rPr>
          <w:rFonts w:hint="eastAsia" w:ascii="仿宋_GB2312" w:eastAsia="仿宋_GB2312"/>
          <w:sz w:val="32"/>
          <w:szCs w:val="32"/>
          <w:lang w:val="en-US" w:eastAsia="zh-CN"/>
        </w:rPr>
        <w:t>0%</w:t>
      </w:r>
      <w:r>
        <w:rPr>
          <w:rStyle w:val="14"/>
          <w:rFonts w:hint="eastAsia" w:ascii="仿宋" w:hAnsi="仿宋" w:eastAsia="仿宋"/>
          <w:b w:val="0"/>
          <w:bCs/>
          <w:sz w:val="32"/>
          <w:szCs w:val="32"/>
        </w:rPr>
        <w:t>。</w:t>
      </w:r>
      <w:r>
        <w:rPr>
          <w:rFonts w:hint="eastAsia" w:ascii="仿宋" w:hAnsi="仿宋" w:eastAsia="仿宋"/>
          <w:sz w:val="32"/>
          <w:szCs w:val="32"/>
        </w:rPr>
        <w:t>全年安排因公出国（境）团组0次，出国（境）0人。因公出国（境）支出决算比</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4.84万元,</w:t>
      </w:r>
      <w:r>
        <w:rPr>
          <w:rStyle w:val="14"/>
          <w:rFonts w:hint="eastAsia" w:ascii="仿宋" w:hAnsi="仿宋" w:eastAsia="仿宋"/>
          <w:b w:val="0"/>
          <w:bCs/>
          <w:sz w:val="32"/>
          <w:szCs w:val="32"/>
        </w:rPr>
        <w:t>完成预算96.8</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0.09</w:t>
      </w:r>
      <w:r>
        <w:rPr>
          <w:rFonts w:hint="eastAsia" w:ascii="仿宋_GB2312" w:eastAsia="仿宋_GB2312"/>
          <w:sz w:val="32"/>
          <w:szCs w:val="32"/>
        </w:rPr>
        <w:t>万元，下降</w:t>
      </w:r>
      <w:r>
        <w:rPr>
          <w:rFonts w:hint="eastAsia" w:ascii="仿宋_GB2312" w:eastAsia="仿宋_GB2312"/>
          <w:sz w:val="32"/>
          <w:szCs w:val="32"/>
          <w:lang w:val="en-US" w:eastAsia="zh-CN"/>
        </w:rPr>
        <w:t>1.83</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公务用车运行维修费减少</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b/>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w:t>
      </w:r>
      <w:r>
        <w:rPr>
          <w:rFonts w:eastAsia="仿宋_GB2312"/>
          <w:sz w:val="32"/>
          <w:szCs w:val="32"/>
        </w:rPr>
        <w:t>单位共有公务用车</w:t>
      </w:r>
      <w:r>
        <w:rPr>
          <w:rFonts w:hint="eastAsia" w:eastAsia="仿宋_GB2312"/>
          <w:sz w:val="32"/>
          <w:szCs w:val="32"/>
        </w:rPr>
        <w:t>3</w:t>
      </w:r>
      <w:r>
        <w:rPr>
          <w:rFonts w:eastAsia="仿宋_GB2312"/>
          <w:sz w:val="32"/>
          <w:szCs w:val="32"/>
        </w:rPr>
        <w:t>辆</w:t>
      </w:r>
      <w:r>
        <w:rPr>
          <w:rFonts w:hint="eastAsia" w:eastAsia="仿宋_GB2312"/>
          <w:sz w:val="32"/>
          <w:szCs w:val="32"/>
        </w:rPr>
        <w:t>（其中一辆已报废，正在办理报废程序）</w:t>
      </w:r>
      <w:r>
        <w:rPr>
          <w:rFonts w:eastAsia="仿宋_GB2312"/>
          <w:sz w:val="32"/>
          <w:szCs w:val="32"/>
        </w:rPr>
        <w:t>，其中：</w:t>
      </w:r>
      <w:r>
        <w:rPr>
          <w:rFonts w:hint="eastAsia" w:eastAsia="仿宋_GB2312"/>
          <w:sz w:val="32"/>
          <w:szCs w:val="32"/>
        </w:rPr>
        <w:t>越野车2</w:t>
      </w:r>
      <w:r>
        <w:rPr>
          <w:rFonts w:eastAsia="仿宋_GB2312"/>
          <w:sz w:val="32"/>
          <w:szCs w:val="32"/>
        </w:rPr>
        <w:t>辆、皮卡车1辆</w:t>
      </w:r>
      <w:r>
        <w:rPr>
          <w:rFonts w:hint="eastAsia" w:ascii="仿宋_GB2312" w:eastAsia="仿宋_GB2312"/>
          <w:sz w:val="32"/>
          <w:szCs w:val="32"/>
        </w:rPr>
        <w:t>。</w:t>
      </w:r>
    </w:p>
    <w:p>
      <w:pPr>
        <w:ind w:firstLine="643" w:firstLineChars="200"/>
        <w:rPr>
          <w:rFonts w:ascii="仿宋" w:hAnsi="仿宋" w:eastAsia="仿宋"/>
          <w:sz w:val="32"/>
          <w:szCs w:val="32"/>
        </w:rPr>
      </w:pPr>
      <w:r>
        <w:rPr>
          <w:rFonts w:hint="eastAsia" w:ascii="仿宋_GB2312" w:eastAsia="仿宋_GB2312"/>
          <w:b/>
          <w:sz w:val="32"/>
          <w:szCs w:val="32"/>
        </w:rPr>
        <w:t>公务用车运行维护费支出</w:t>
      </w:r>
      <w:r>
        <w:rPr>
          <w:rFonts w:hint="eastAsia" w:ascii="仿宋_GB2312" w:eastAsia="仿宋_GB2312"/>
          <w:b/>
          <w:sz w:val="32"/>
          <w:szCs w:val="32"/>
          <w:lang w:val="en-US" w:eastAsia="zh-CN"/>
        </w:rPr>
        <w:t>4.84</w:t>
      </w:r>
      <w:r>
        <w:rPr>
          <w:rFonts w:hint="eastAsia" w:ascii="仿宋_GB2312" w:eastAsia="仿宋_GB2312"/>
          <w:sz w:val="32"/>
          <w:szCs w:val="32"/>
        </w:rPr>
        <w:t>万元。</w:t>
      </w:r>
      <w:r>
        <w:rPr>
          <w:rFonts w:hint="eastAsia" w:ascii="仿宋" w:hAnsi="仿宋" w:eastAsia="仿宋"/>
          <w:sz w:val="32"/>
          <w:szCs w:val="32"/>
        </w:rPr>
        <w:t>主要用于卫生监督巡查工作等所需的公务用车燃料费、维修费、过路过桥费、保险费等支出。</w:t>
      </w:r>
    </w:p>
    <w:p>
      <w:pPr>
        <w:numPr>
          <w:ilvl w:val="0"/>
          <w:numId w:val="0"/>
        </w:numPr>
        <w:spacing w:line="60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20</w:t>
      </w:r>
      <w:r>
        <w:rPr>
          <w:rFonts w:hint="eastAsia" w:ascii="仿宋_GB2312" w:eastAsia="仿宋_GB2312"/>
          <w:sz w:val="32"/>
          <w:szCs w:val="32"/>
          <w:lang w:eastAsia="zh-CN"/>
        </w:rPr>
        <w:t>年持平，</w:t>
      </w:r>
      <w:r>
        <w:rPr>
          <w:rFonts w:hint="eastAsia" w:ascii="仿宋" w:hAnsi="仿宋" w:eastAsia="仿宋"/>
          <w:sz w:val="32"/>
          <w:szCs w:val="32"/>
        </w:rPr>
        <w:t>主要原因是无公务接待费用</w:t>
      </w:r>
      <w:r>
        <w:rPr>
          <w:rFonts w:hint="eastAsia" w:ascii="仿宋_GB2312" w:eastAsia="仿宋_GB2312"/>
          <w:sz w:val="32"/>
          <w:szCs w:val="32"/>
          <w:lang w:eastAsia="zh-CN"/>
        </w:rPr>
        <w:t>。</w:t>
      </w:r>
    </w:p>
    <w:p>
      <w:pPr>
        <w:pStyle w:val="2"/>
        <w:ind w:firstLine="964" w:firstLineChars="300"/>
        <w:rPr>
          <w:rStyle w:val="14"/>
          <w:rFonts w:hint="eastAsia" w:ascii="仿宋" w:hAnsi="仿宋" w:eastAsia="仿宋" w:cs="Times New Roman"/>
          <w:b w:val="0"/>
          <w:bCs/>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国内公务接待支出</w:t>
      </w:r>
      <w:r>
        <w:rPr>
          <w:rFonts w:hint="eastAsia" w:cs="Times New Roman"/>
          <w:b/>
          <w:kern w:val="2"/>
          <w:sz w:val="32"/>
          <w:szCs w:val="32"/>
          <w:lang w:val="en-US" w:eastAsia="zh-CN" w:bidi="ar-SA"/>
        </w:rPr>
        <w:t>0</w:t>
      </w:r>
      <w:r>
        <w:rPr>
          <w:rFonts w:hint="eastAsia" w:ascii="仿宋_GB2312" w:hAnsi="Times New Roman" w:eastAsia="仿宋_GB2312" w:cs="Times New Roman"/>
          <w:kern w:val="2"/>
          <w:sz w:val="32"/>
          <w:szCs w:val="32"/>
          <w:lang w:val="en-US" w:eastAsia="zh-CN" w:bidi="ar-SA"/>
        </w:rPr>
        <w:t>万元</w:t>
      </w:r>
      <w:r>
        <w:rPr>
          <w:rStyle w:val="14"/>
          <w:rFonts w:hint="eastAsia" w:ascii="仿宋" w:hAnsi="仿宋" w:eastAsia="仿宋" w:cs="Times New Roman"/>
          <w:b w:val="0"/>
          <w:bCs/>
          <w:kern w:val="2"/>
          <w:sz w:val="32"/>
          <w:szCs w:val="32"/>
          <w:lang w:val="en-US" w:eastAsia="zh-CN" w:bidi="ar-SA"/>
        </w:rPr>
        <w:t>。国内公务接待0批次，0人次（不包括陪同人员），共计支出0万元。</w:t>
      </w:r>
    </w:p>
    <w:p>
      <w:pPr>
        <w:pStyle w:val="2"/>
        <w:ind w:firstLine="964" w:firstLineChars="300"/>
        <w:rPr>
          <w:rStyle w:val="14"/>
          <w:rFonts w:hint="eastAsia" w:ascii="仿宋" w:hAnsi="仿宋" w:eastAsia="仿宋" w:cs="Times New Roman"/>
          <w:b w:val="0"/>
          <w:bCs/>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外事接待支出</w:t>
      </w:r>
      <w:r>
        <w:rPr>
          <w:rFonts w:hint="eastAsia" w:cs="Times New Roman"/>
          <w:b/>
          <w:kern w:val="2"/>
          <w:sz w:val="32"/>
          <w:szCs w:val="32"/>
          <w:lang w:val="en-US" w:eastAsia="zh-CN" w:bidi="ar-SA"/>
        </w:rPr>
        <w:t>0</w:t>
      </w:r>
      <w:r>
        <w:rPr>
          <w:rStyle w:val="14"/>
          <w:rFonts w:hint="eastAsia" w:ascii="仿宋" w:hAnsi="仿宋" w:eastAsia="仿宋" w:cs="Times New Roman"/>
          <w:b w:val="0"/>
          <w:bCs/>
          <w:kern w:val="2"/>
          <w:sz w:val="32"/>
          <w:szCs w:val="32"/>
          <w:lang w:val="en-US" w:eastAsia="zh-CN" w:bidi="ar-SA"/>
        </w:rPr>
        <w:t>万元，外事接待0批次，0人，共计支出0万元。</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50" w:name="_Toc15377221"/>
      <w:bookmarkStart w:id="51" w:name="_Toc15396612"/>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sz w:val="32"/>
          <w:szCs w:val="32"/>
        </w:rPr>
        <w:t>西区卫生和计划生育监督执法大队</w:t>
      </w:r>
      <w:r>
        <w:rPr>
          <w:rFonts w:hint="eastAsia" w:ascii="仿宋_GB2312" w:eastAsia="仿宋_GB2312"/>
          <w:sz w:val="32"/>
          <w:szCs w:val="32"/>
        </w:rPr>
        <w:t>机关运行经费支出</w:t>
      </w:r>
      <w:r>
        <w:rPr>
          <w:rFonts w:hint="eastAsia" w:ascii="仿宋_GB2312" w:eastAsia="仿宋_GB2312"/>
          <w:sz w:val="32"/>
          <w:szCs w:val="32"/>
          <w:lang w:val="en-US" w:eastAsia="zh-CN"/>
        </w:rPr>
        <w:t>199.16</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38.31</w:t>
      </w:r>
      <w:r>
        <w:rPr>
          <w:rFonts w:hint="eastAsia" w:ascii="仿宋_GB2312" w:eastAsia="仿宋_GB2312"/>
          <w:sz w:val="32"/>
          <w:szCs w:val="32"/>
        </w:rPr>
        <w:t>万元，增长</w:t>
      </w:r>
      <w:r>
        <w:rPr>
          <w:rFonts w:hint="eastAsia" w:ascii="仿宋_GB2312" w:eastAsia="仿宋_GB2312"/>
          <w:sz w:val="32"/>
          <w:szCs w:val="32"/>
          <w:lang w:val="en-US" w:eastAsia="zh-CN"/>
        </w:rPr>
        <w:t>23.82</w:t>
      </w:r>
      <w:r>
        <w:rPr>
          <w:rFonts w:ascii="仿宋_GB2312" w:eastAsia="仿宋_GB2312"/>
          <w:sz w:val="32"/>
          <w:szCs w:val="32"/>
        </w:rPr>
        <w:t>%</w:t>
      </w:r>
      <w:r>
        <w:rPr>
          <w:rFonts w:hint="eastAsia" w:ascii="仿宋_GB2312" w:eastAsia="仿宋_GB2312"/>
          <w:sz w:val="32"/>
          <w:szCs w:val="32"/>
        </w:rPr>
        <w:t>主要原因是</w:t>
      </w:r>
      <w:r>
        <w:rPr>
          <w:rFonts w:hint="eastAsia" w:eastAsia="仿宋_GB2312"/>
          <w:sz w:val="32"/>
          <w:szCs w:val="32"/>
        </w:rPr>
        <w:t>人员经费及基本公共卫生项目等经费增加</w:t>
      </w:r>
      <w:r>
        <w:rPr>
          <w:rFonts w:hint="eastAsia"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sz w:val="32"/>
          <w:szCs w:val="32"/>
        </w:rPr>
        <w:t>西区卫生和计划生育监督执法大队</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sz w:val="32"/>
          <w:szCs w:val="32"/>
        </w:rPr>
        <w:t>西区卫生和计划生育监督执法大队</w:t>
      </w:r>
      <w:r>
        <w:rPr>
          <w:rFonts w:hint="eastAsia" w:ascii="仿宋_GB2312" w:eastAsia="仿宋_GB2312"/>
          <w:sz w:val="32"/>
          <w:szCs w:val="32"/>
        </w:rPr>
        <w:t>共有车辆</w:t>
      </w:r>
      <w:r>
        <w:rPr>
          <w:rFonts w:hint="eastAsia" w:ascii="仿宋_GB2312" w:eastAsia="仿宋_GB2312"/>
          <w:sz w:val="32"/>
          <w:szCs w:val="32"/>
          <w:lang w:val="en-US" w:eastAsia="zh-CN"/>
        </w:rPr>
        <w:t>3</w:t>
      </w:r>
      <w:r>
        <w:rPr>
          <w:rFonts w:hint="eastAsia" w:ascii="仿宋_GB2312" w:eastAsia="仿宋_GB2312"/>
          <w:sz w:val="32"/>
          <w:szCs w:val="32"/>
        </w:rPr>
        <w:t>辆</w:t>
      </w:r>
      <w:r>
        <w:rPr>
          <w:rFonts w:hint="eastAsia" w:eastAsia="仿宋_GB2312"/>
          <w:sz w:val="32"/>
          <w:szCs w:val="32"/>
        </w:rPr>
        <w:t>（其中一辆已报废，正在办理报废程序</w:t>
      </w:r>
      <w:r>
        <w:rPr>
          <w:rFonts w:hint="eastAsia" w:eastAsia="仿宋_GB2312"/>
          <w:sz w:val="32"/>
          <w:szCs w:val="32"/>
          <w:lang w:eastAsia="zh-CN"/>
        </w:rPr>
        <w:t>）</w:t>
      </w:r>
      <w:r>
        <w:rPr>
          <w:rFonts w:hint="eastAsia" w:ascii="仿宋_GB2312" w:eastAsia="仿宋_GB2312"/>
          <w:sz w:val="32"/>
          <w:szCs w:val="32"/>
        </w:rPr>
        <w:t>，其中：主要领导干部用车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 w:hAnsi="仿宋" w:eastAsia="仿宋"/>
          <w:sz w:val="32"/>
          <w:szCs w:val="32"/>
        </w:rPr>
        <w:t>执法执勤用车</w:t>
      </w:r>
      <w:r>
        <w:rPr>
          <w:rFonts w:hint="eastAsia" w:ascii="仿宋" w:hAnsi="仿宋" w:eastAsia="仿宋"/>
          <w:sz w:val="32"/>
          <w:szCs w:val="32"/>
          <w:lang w:val="en-US" w:eastAsia="zh-CN"/>
        </w:rPr>
        <w:t>3</w:t>
      </w:r>
      <w:r>
        <w:rPr>
          <w:rFonts w:hint="eastAsia" w:ascii="仿宋" w:hAnsi="仿宋" w:eastAsia="仿宋"/>
          <w:sz w:val="32"/>
          <w:szCs w:val="32"/>
        </w:rPr>
        <w:t>辆</w:t>
      </w:r>
      <w:r>
        <w:rPr>
          <w:rFonts w:hint="eastAsia" w:ascii="仿宋" w:hAnsi="仿宋" w:eastAsia="仿宋"/>
          <w:sz w:val="32"/>
          <w:szCs w:val="32"/>
          <w:lang w:eastAsia="zh-CN"/>
        </w:rPr>
        <w:t>（</w:t>
      </w:r>
      <w:r>
        <w:rPr>
          <w:rFonts w:eastAsia="仿宋_GB2312"/>
          <w:sz w:val="32"/>
          <w:szCs w:val="32"/>
        </w:rPr>
        <w:t>其中：</w:t>
      </w:r>
      <w:r>
        <w:rPr>
          <w:rFonts w:hint="eastAsia" w:eastAsia="仿宋_GB2312"/>
          <w:sz w:val="32"/>
          <w:szCs w:val="32"/>
        </w:rPr>
        <w:t>越野车2</w:t>
      </w:r>
      <w:r>
        <w:rPr>
          <w:rFonts w:eastAsia="仿宋_GB2312"/>
          <w:sz w:val="32"/>
          <w:szCs w:val="32"/>
        </w:rPr>
        <w:t>辆、皮卡车1辆</w:t>
      </w:r>
      <w:r>
        <w:rPr>
          <w:rFonts w:hint="eastAsia" w:eastAsia="仿宋_GB2312"/>
          <w:sz w:val="32"/>
          <w:szCs w:val="32"/>
          <w:lang w:eastAsia="zh-CN"/>
        </w:rPr>
        <w:t>（正在办理报废程序）</w:t>
      </w:r>
      <w:r>
        <w:rPr>
          <w:rFonts w:hint="eastAsia" w:ascii="仿宋" w:hAnsi="仿宋" w:eastAsia="仿宋"/>
          <w:sz w:val="32"/>
          <w:szCs w:val="32"/>
          <w:lang w:eastAsia="zh-CN"/>
        </w:rPr>
        <w:t>。</w:t>
      </w:r>
      <w:r>
        <w:rPr>
          <w:rFonts w:hint="eastAsia" w:ascii="仿宋" w:hAnsi="仿宋" w:eastAsia="仿宋"/>
          <w:sz w:val="32"/>
          <w:szCs w:val="32"/>
        </w:rPr>
        <w:t>单价</w:t>
      </w:r>
      <w:r>
        <w:rPr>
          <w:rFonts w:ascii="仿宋" w:hAnsi="仿宋" w:eastAsia="仿宋"/>
          <w:sz w:val="32"/>
          <w:szCs w:val="32"/>
        </w:rPr>
        <w:t>50</w:t>
      </w:r>
      <w:r>
        <w:rPr>
          <w:rFonts w:hint="eastAsia" w:ascii="仿宋" w:hAnsi="仿宋" w:eastAsia="仿宋"/>
          <w:sz w:val="32"/>
          <w:szCs w:val="32"/>
        </w:rPr>
        <w:t>万元以上通用设备0台（套），单价</w:t>
      </w:r>
      <w:r>
        <w:rPr>
          <w:rFonts w:ascii="仿宋" w:hAnsi="仿宋" w:eastAsia="仿宋"/>
          <w:sz w:val="32"/>
          <w:szCs w:val="32"/>
        </w:rPr>
        <w:t>100</w:t>
      </w:r>
      <w:r>
        <w:rPr>
          <w:rFonts w:hint="eastAsia" w:ascii="仿宋" w:hAnsi="仿宋" w:eastAsia="仿宋"/>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 w:hAnsi="仿宋" w:eastAsia="仿宋"/>
          <w:sz w:val="32"/>
          <w:szCs w:val="32"/>
        </w:rPr>
        <w:t>卫生监督专项经费项目</w:t>
      </w:r>
      <w:r>
        <w:rPr>
          <w:rFonts w:hint="eastAsia" w:ascii="仿宋" w:hAnsi="仿宋" w:eastAsia="仿宋"/>
          <w:sz w:val="32"/>
          <w:szCs w:val="32"/>
          <w:lang w:eastAsia="zh-CN"/>
        </w:rPr>
        <w:t>、</w:t>
      </w:r>
      <w:r>
        <w:rPr>
          <w:rFonts w:hint="eastAsia" w:ascii="仿宋" w:hAnsi="仿宋" w:eastAsia="仿宋"/>
          <w:sz w:val="32"/>
          <w:szCs w:val="32"/>
        </w:rPr>
        <w:t>矿山、冶金、化工行业领域尘毒危害专项治理与执法工作专项经费项目</w:t>
      </w:r>
      <w:r>
        <w:rPr>
          <w:rFonts w:hint="eastAsia" w:ascii="仿宋" w:hAnsi="仿宋" w:eastAsia="仿宋"/>
          <w:sz w:val="32"/>
          <w:szCs w:val="32"/>
          <w:lang w:eastAsia="zh-CN"/>
        </w:rPr>
        <w:t>、</w:t>
      </w:r>
      <w:r>
        <w:rPr>
          <w:rFonts w:hint="eastAsia" w:eastAsia="仿宋_GB2312"/>
          <w:sz w:val="32"/>
          <w:szCs w:val="32"/>
        </w:rPr>
        <w:t>新冠肺炎疫情防控工作经费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eastAsia="仿宋_GB2312"/>
          <w:sz w:val="32"/>
          <w:szCs w:val="32"/>
        </w:rPr>
        <w:t>国家“双随机、一公开”卫生监督抽查工作经费</w:t>
      </w:r>
      <w:r>
        <w:rPr>
          <w:rFonts w:hint="eastAsia" w:eastAsia="仿宋_GB2312"/>
          <w:sz w:val="32"/>
          <w:szCs w:val="32"/>
          <w:lang w:eastAsia="zh-CN"/>
        </w:rPr>
        <w:t>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个项目开展了绩效自评。同时，本部门对2021年部门整体开展绩效自评，《2021年攀枝花市西区卫生和计划生育监督执法大队</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hint="eastAsia" w:ascii="仿宋_GB2312" w:eastAsia="仿宋_GB2312"/>
          <w:sz w:val="32"/>
          <w:szCs w:val="32"/>
        </w:rPr>
      </w:pPr>
      <w:bookmarkStart w:id="57" w:name="_Toc15377226"/>
      <w:r>
        <w:rPr>
          <w:rFonts w:hint="eastAsia" w:ascii="仿宋" w:hAnsi="仿宋" w:eastAsia="仿宋"/>
          <w:sz w:val="32"/>
          <w:szCs w:val="32"/>
        </w:rPr>
        <w:t>1</w:t>
      </w:r>
      <w:r>
        <w:rPr>
          <w:rFonts w:hint="eastAsia" w:ascii="仿宋_GB2312" w:eastAsia="仿宋_GB2312"/>
          <w:sz w:val="32"/>
          <w:szCs w:val="32"/>
        </w:rPr>
        <w:t>.财政拨款收入：</w:t>
      </w:r>
      <w:r>
        <w:rPr>
          <w:rFonts w:hint="eastAsia" w:ascii="仿宋_GB2312" w:eastAsia="仿宋_GB2312"/>
          <w:color w:val="auto"/>
          <w:sz w:val="32"/>
          <w:szCs w:val="32"/>
        </w:rPr>
        <w:t>单位从同级财政部门取得的财政预算资金。</w:t>
      </w:r>
      <w:r>
        <w:rPr>
          <w:rFonts w:hint="eastAsia" w:ascii="仿宋_GB2312" w:eastAsia="仿宋_GB2312"/>
          <w:sz w:val="32"/>
          <w:szCs w:val="32"/>
        </w:rPr>
        <w:t xml:space="preserve"> </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.行政运行：反映我单位的基本支出。</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.卫生监督机构：反映卫生监督机构的支出。</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.机关事业单位基本养老保险缴费支出：指机关事业单位实施养老保险制度由单位缴纳的基本养老保险费支出。</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.住房公积金：指行政事业单位按人力资源和社会保障部、财政部规定的基本工资和津贴补贴以及规定比例为职工缴纳的住房公积金。</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.基本支出：指为保障机构正常运转、完成日常工作任务而发生的人员支出和公用支出。</w:t>
      </w:r>
    </w:p>
    <w:p>
      <w:pPr>
        <w:spacing w:line="600" w:lineRule="exact"/>
        <w:ind w:firstLine="640"/>
        <w:rPr>
          <w:rFonts w:hint="eastAsia" w:ascii="仿宋_GB2312" w:eastAsia="仿宋_GB2312"/>
          <w:sz w:val="32"/>
          <w:szCs w:val="32"/>
        </w:rPr>
      </w:pPr>
      <w:r>
        <w:rPr>
          <w:rFonts w:hint="eastAsia" w:ascii="仿宋_GB2312" w:eastAsia="仿宋_GB2312"/>
          <w:sz w:val="32"/>
          <w:szCs w:val="32"/>
        </w:rPr>
        <w:t xml:space="preserve">8.项目支出：指在基本支出之外为完成特定行政任务和事业发展目标所发生的支出。 </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.经营支出：指事业单位在专业业务活动及其辅助活动之外开展非独立核算经营活动发生的支出。</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.“三公”经费：</w:t>
      </w:r>
      <w:r>
        <w:rPr>
          <w:rFonts w:hint="eastAsia" w:ascii="仿宋_GB2312" w:eastAsia="仿宋_GB2312"/>
          <w:color w:val="auto"/>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.机关运行经费：</w:t>
      </w:r>
      <w:r>
        <w:rPr>
          <w:rFonts w:hint="eastAsia" w:ascii="仿宋_GB2312" w:eastAsia="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仿宋_GB2312" w:eastAsia="仿宋_GB2312"/>
          <w:sz w:val="32"/>
          <w:szCs w:val="32"/>
        </w:rPr>
      </w:pPr>
    </w:p>
    <w:p>
      <w:pPr>
        <w:spacing w:line="600" w:lineRule="exact"/>
        <w:jc w:val="center"/>
        <w:outlineLvl w:val="0"/>
        <w:rPr>
          <w:rStyle w:val="25"/>
          <w:rFonts w:ascii="黑体" w:hAnsi="黑体" w:eastAsia="黑体"/>
          <w:b w:val="0"/>
        </w:rPr>
      </w:pPr>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572" w:lineRule="exact"/>
        <w:jc w:val="left"/>
        <w:outlineLvl w:val="0"/>
        <w:rPr>
          <w:rFonts w:hint="eastAsia" w:ascii="黑体" w:hAnsi="黑体" w:eastAsia="黑体" w:cs="黑体"/>
          <w:sz w:val="32"/>
          <w:szCs w:val="32"/>
        </w:rPr>
      </w:pPr>
      <w:r>
        <w:rPr>
          <w:rFonts w:hint="eastAsia" w:ascii="黑体" w:hAnsi="黑体" w:eastAsia="黑体" w:cs="黑体"/>
          <w:sz w:val="32"/>
          <w:szCs w:val="32"/>
        </w:rPr>
        <w:t>附件</w:t>
      </w:r>
    </w:p>
    <w:tbl>
      <w:tblPr>
        <w:tblStyle w:val="16"/>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攀枝花市西区卫生健康局124003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攀枝花市西区卫生和计划生育监督执法大队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按照工作职责开展公共场所、学校、生活饮用水、医疗机构、传染病防控、消毒服务机构等行业的专项监督检查，全面完成各项专项任务，保障辖区人民健康权益。</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过项目实施，保障了卫生监督巡查工作的顺利开展，为巡查人员对责任区域监管提供了强大支持，提高了卫生监督巡查工作的覆盖率，对监督区域的巡查守护取得了较好的成效。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17万元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16.92万元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187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提升工作卫生监督管理工作管理水平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提高在职工作人员工作水平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支付工作经费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17万元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16.92万元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7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提升、推动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成效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抽样调查满意度达到基本满意及以上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抽样调查满意度达到基本满意及以上</w:t>
            </w:r>
          </w:p>
        </w:tc>
      </w:tr>
    </w:tbl>
    <w:p>
      <w:pPr>
        <w:spacing w:line="572" w:lineRule="exact"/>
        <w:jc w:val="center"/>
        <w:rPr>
          <w:rFonts w:hint="eastAsia" w:ascii="方正小标宋简体" w:hAnsi="宋体" w:eastAsia="方正小标宋简体"/>
          <w:kern w:val="0"/>
          <w:sz w:val="40"/>
          <w:szCs w:val="44"/>
        </w:rPr>
      </w:pPr>
    </w:p>
    <w:p>
      <w:pPr>
        <w:spacing w:line="572" w:lineRule="exact"/>
        <w:jc w:val="center"/>
        <w:rPr>
          <w:rFonts w:ascii="黑体" w:hAnsi="宋体" w:eastAsia="黑体" w:cs="宋体"/>
          <w:kern w:val="0"/>
          <w:sz w:val="24"/>
          <w:szCs w:val="32"/>
          <w:shd w:val="clear" w:color="auto" w:fill="FFFFFF"/>
        </w:rPr>
      </w:pPr>
      <w:r>
        <w:rPr>
          <w:rFonts w:hint="eastAsia" w:ascii="方正小标宋简体" w:hAnsi="宋体" w:eastAsia="方正小标宋简体"/>
          <w:kern w:val="0"/>
          <w:sz w:val="40"/>
          <w:szCs w:val="44"/>
        </w:rPr>
        <w:t>2021年攀枝花市西区卫生和计划生育监督执法大队部门整体绩效评价报告</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ascii="楷体_GB2312" w:hAnsi="仿宋" w:eastAsia="楷体_GB2312"/>
          <w:sz w:val="32"/>
          <w:szCs w:val="32"/>
        </w:rPr>
        <w:t>（</w:t>
      </w:r>
      <w:r>
        <w:rPr>
          <w:rFonts w:hint="eastAsia" w:ascii="仿宋_GB2312" w:hAnsi="宋体" w:eastAsia="仿宋_GB2312" w:cs="宋体"/>
          <w:kern w:val="0"/>
          <w:sz w:val="32"/>
          <w:szCs w:val="32"/>
          <w:shd w:val="clear" w:color="auto" w:fill="FFFFFF"/>
          <w:lang w:val="zh-CN"/>
        </w:rPr>
        <w:t>一）机构组成</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西区卫生和计划生育监督执法大队为区卫生健康局所属参照公务员法管理的事业单位；内设办公室、监督一股、监督二股、监督三股4个股室。</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攀枝花市西区卫生和计划生育监督执法大队是参照公务员法管理的事业单位。其主要职责：办理公共场所、集中式供水以及二次供水、放射诊疗等卫生行政许可及相关事宜；依法开展公共场所、学校卫生、生活饮用水、传染病防治、医疗卫生、职业卫生、消毒产品和放射诊疗等卫生执法监督工作；依法承担辖区卫生法律法规宣传培训、卫生现场监督、重大活动卫生安全保障、各类突发公共卫生事件的应急处置等工作。</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攀枝花市西区卫生和计划生育监督执法大队核准参照公务员编制7名，临聘编制20名；现有参公人员6名，临聘人员1</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名；领导职数：大队长1名（副科级），副大队长1名。</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widowControl/>
        <w:adjustRightInd w:val="0"/>
        <w:snapToGrid w:val="0"/>
        <w:spacing w:line="572"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202</w:t>
      </w:r>
      <w:r>
        <w:rPr>
          <w:rFonts w:hint="eastAsia" w:ascii="仿宋_GB2312" w:hAnsi="宋体" w:eastAsia="仿宋_GB2312" w:cs="宋体"/>
          <w:color w:val="auto"/>
          <w:kern w:val="0"/>
          <w:sz w:val="32"/>
          <w:szCs w:val="32"/>
          <w:shd w:val="clear" w:color="auto" w:fill="FFFFFF"/>
          <w:lang w:val="en-US" w:eastAsia="zh-CN"/>
        </w:rPr>
        <w:t>1</w:t>
      </w:r>
      <w:r>
        <w:rPr>
          <w:rFonts w:hint="eastAsia" w:ascii="仿宋_GB2312" w:hAnsi="宋体" w:eastAsia="仿宋_GB2312" w:cs="宋体"/>
          <w:color w:val="auto"/>
          <w:kern w:val="0"/>
          <w:sz w:val="32"/>
          <w:szCs w:val="32"/>
          <w:shd w:val="clear" w:color="auto" w:fill="FFFFFF"/>
          <w:lang w:val="zh-CN"/>
        </w:rPr>
        <w:t>年收入合计</w:t>
      </w:r>
      <w:r>
        <w:rPr>
          <w:rFonts w:hint="eastAsia" w:ascii="仿宋_GB2312" w:hAnsi="宋体" w:eastAsia="仿宋_GB2312" w:cs="宋体"/>
          <w:color w:val="auto"/>
          <w:kern w:val="0"/>
          <w:sz w:val="32"/>
          <w:szCs w:val="32"/>
          <w:shd w:val="clear" w:color="auto" w:fill="FFFFFF"/>
          <w:lang w:val="en-US" w:eastAsia="zh-CN"/>
        </w:rPr>
        <w:t>199.12</w:t>
      </w:r>
      <w:r>
        <w:rPr>
          <w:rFonts w:hint="eastAsia" w:ascii="仿宋_GB2312" w:hAnsi="宋体" w:eastAsia="仿宋_GB2312" w:cs="宋体"/>
          <w:color w:val="auto"/>
          <w:kern w:val="0"/>
          <w:sz w:val="32"/>
          <w:szCs w:val="32"/>
          <w:shd w:val="clear" w:color="auto" w:fill="FFFFFF"/>
          <w:lang w:val="zh-CN"/>
        </w:rPr>
        <w:t>万元，其中：一般公共预算财政拨款收入</w:t>
      </w:r>
      <w:r>
        <w:rPr>
          <w:rFonts w:hint="eastAsia" w:ascii="仿宋_GB2312" w:hAnsi="宋体" w:eastAsia="仿宋_GB2312" w:cs="宋体"/>
          <w:color w:val="auto"/>
          <w:kern w:val="0"/>
          <w:sz w:val="32"/>
          <w:szCs w:val="32"/>
          <w:shd w:val="clear" w:color="auto" w:fill="FFFFFF"/>
          <w:lang w:val="en-US" w:eastAsia="zh-CN"/>
        </w:rPr>
        <w:t>199.11</w:t>
      </w:r>
      <w:r>
        <w:rPr>
          <w:rFonts w:hint="eastAsia" w:ascii="仿宋_GB2312" w:hAnsi="宋体" w:eastAsia="仿宋_GB2312" w:cs="宋体"/>
          <w:color w:val="auto"/>
          <w:kern w:val="0"/>
          <w:sz w:val="32"/>
          <w:szCs w:val="32"/>
          <w:shd w:val="clear" w:color="auto" w:fill="FFFFFF"/>
          <w:lang w:val="zh-CN"/>
        </w:rPr>
        <w:t>万元。</w:t>
      </w:r>
    </w:p>
    <w:p>
      <w:pPr>
        <w:widowControl/>
        <w:numPr>
          <w:ilvl w:val="0"/>
          <w:numId w:val="0"/>
        </w:numPr>
        <w:adjustRightInd w:val="0"/>
        <w:snapToGrid w:val="0"/>
        <w:spacing w:line="572" w:lineRule="exact"/>
        <w:ind w:firstLine="640" w:firstLineChars="200"/>
        <w:contextualSpacing/>
        <w:jc w:val="left"/>
        <w:rPr>
          <w:lang w:val="zh-CN"/>
        </w:rPr>
      </w:pPr>
      <w:r>
        <w:rPr>
          <w:rFonts w:hint="eastAsia" w:ascii="仿宋_GB2312" w:hAnsi="宋体" w:eastAsia="仿宋_GB2312" w:cs="宋体"/>
          <w:kern w:val="0"/>
          <w:sz w:val="32"/>
          <w:szCs w:val="32"/>
          <w:shd w:val="clear" w:color="auto" w:fill="FFFFFF"/>
          <w:lang w:val="zh-CN"/>
        </w:rPr>
        <w:t>（二）部门财政资金支出情况。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2021年支出199.16万元。其中：人员经费支出 165.73万元万元，日常公用经费支出16.51万元，项目经费总支出为16.92万元。</w:t>
      </w:r>
    </w:p>
    <w:p>
      <w:pPr>
        <w:widowControl/>
        <w:numPr>
          <w:ilvl w:val="0"/>
          <w:numId w:val="0"/>
        </w:numPr>
        <w:adjustRightInd w:val="0"/>
        <w:snapToGrid w:val="0"/>
        <w:spacing w:line="572" w:lineRule="exact"/>
        <w:ind w:left="640" w:leftChars="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lang w:eastAsia="zh-CN"/>
        </w:rPr>
        <w:t>三、</w:t>
      </w:r>
      <w:r>
        <w:rPr>
          <w:rFonts w:hint="eastAsia" w:ascii="黑体" w:hAnsi="宋体" w:eastAsia="黑体" w:cs="宋体"/>
          <w:kern w:val="0"/>
          <w:sz w:val="32"/>
          <w:szCs w:val="32"/>
          <w:shd w:val="clear" w:color="auto" w:fill="FFFFFF"/>
        </w:rPr>
        <w:t>部门整体预算绩效管理情况</w:t>
      </w:r>
    </w:p>
    <w:p>
      <w:pPr>
        <w:spacing w:line="580" w:lineRule="exact"/>
        <w:ind w:firstLine="480" w:firstLineChars="150"/>
        <w:rPr>
          <w:rFonts w:eastAsia="楷体_GB2312"/>
          <w:sz w:val="32"/>
          <w:szCs w:val="32"/>
        </w:rPr>
      </w:pPr>
      <w:r>
        <w:rPr>
          <w:rFonts w:eastAsia="楷体_GB2312"/>
          <w:sz w:val="32"/>
          <w:szCs w:val="32"/>
        </w:rPr>
        <w:t>（一）部门财政资金收</w:t>
      </w:r>
      <w:r>
        <w:rPr>
          <w:rFonts w:hint="eastAsia" w:eastAsia="楷体_GB2312"/>
          <w:sz w:val="32"/>
          <w:szCs w:val="32"/>
          <w:lang w:eastAsia="zh-CN"/>
        </w:rPr>
        <w:t>入</w:t>
      </w:r>
      <w:r>
        <w:rPr>
          <w:rFonts w:eastAsia="楷体_GB2312"/>
          <w:sz w:val="32"/>
          <w:szCs w:val="32"/>
        </w:rPr>
        <w:t>情况。</w:t>
      </w:r>
    </w:p>
    <w:p>
      <w:pPr>
        <w:pStyle w:val="7"/>
        <w:spacing w:line="600" w:lineRule="exact"/>
        <w:ind w:firstLine="643" w:firstLineChars="200"/>
        <w:jc w:val="left"/>
        <w:rPr>
          <w:rFonts w:ascii="Times New Roman" w:hAnsi="Times New Roman" w:eastAsia="仿宋_GB2312"/>
          <w:sz w:val="32"/>
          <w:szCs w:val="32"/>
        </w:rPr>
      </w:pPr>
      <w:r>
        <w:rPr>
          <w:rFonts w:ascii="Times New Roman" w:hAnsi="Times New Roman" w:eastAsia="仿宋_GB2312"/>
          <w:b/>
          <w:sz w:val="32"/>
          <w:szCs w:val="32"/>
        </w:rPr>
        <w:t>1.基本支出安排及使用情况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2021年收入296.95元，其中：</w:t>
      </w:r>
      <w:r>
        <w:rPr>
          <w:rFonts w:hint="eastAsia" w:ascii="仿宋_GB2312" w:hAnsi="宋体" w:eastAsia="仿宋_GB2312" w:cs="宋体"/>
          <w:kern w:val="0"/>
          <w:sz w:val="32"/>
          <w:szCs w:val="32"/>
          <w:shd w:val="clear" w:color="auto" w:fill="FFFFFF"/>
          <w:lang w:val="en-US" w:eastAsia="zh-CN"/>
        </w:rPr>
        <w:t>年初预算167.98万元，追加经费23.31万元，结转经费93.7万元，上级补助资金8万元，</w:t>
      </w:r>
      <w:r>
        <w:rPr>
          <w:rFonts w:hint="eastAsia" w:ascii="仿宋_GB2312" w:hAnsi="宋体" w:eastAsia="仿宋_GB2312" w:cs="宋体"/>
          <w:kern w:val="0"/>
          <w:sz w:val="32"/>
          <w:szCs w:val="32"/>
          <w:shd w:val="clear" w:color="auto" w:fill="FFFFFF"/>
          <w:lang w:val="zh-CN"/>
        </w:rPr>
        <w:t>拨付上缴存量资金3.96万元。</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2021年基本支出182.24万元，其中社会保障和就业支出7.43万元、卫生健康支出164.82万元，住房保障支出9.99万元。</w:t>
      </w:r>
    </w:p>
    <w:p>
      <w:pPr>
        <w:pStyle w:val="7"/>
        <w:snapToGrid w:val="0"/>
        <w:spacing w:line="353"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2.部门预算项目安排及支出情况</w:t>
      </w:r>
    </w:p>
    <w:p>
      <w:pPr>
        <w:pStyle w:val="7"/>
        <w:snapToGrid w:val="0"/>
        <w:spacing w:line="353" w:lineRule="auto"/>
        <w:ind w:firstLine="640" w:firstLineChars="200"/>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2021年度项目经费预算安排为17万元，其中：矿山、冶金、化工行业领域尘毒危害专项治理与执法工作经费1万元；卫生监督专项经费2万元；新冠肺炎疫情防控工作经费1万元；国家“双随机、一公开”卫生监督抽查工作经费中1万元；基本公共卫生服务</w:t>
      </w:r>
      <w:r>
        <w:rPr>
          <w:rFonts w:hint="eastAsia" w:ascii="仿宋_GB2312" w:hAnsi="宋体" w:eastAsia="仿宋_GB2312" w:cs="宋体"/>
          <w:kern w:val="0"/>
          <w:sz w:val="32"/>
          <w:szCs w:val="32"/>
          <w:shd w:val="clear" w:color="auto" w:fill="FFFFFF"/>
          <w:lang w:val="en-US" w:eastAsia="zh-CN" w:bidi="ar-SA"/>
        </w:rPr>
        <w:t>中</w:t>
      </w:r>
      <w:r>
        <w:rPr>
          <w:rFonts w:hint="eastAsia" w:ascii="仿宋_GB2312" w:hAnsi="宋体" w:eastAsia="仿宋_GB2312" w:cs="宋体"/>
          <w:kern w:val="0"/>
          <w:sz w:val="32"/>
          <w:szCs w:val="32"/>
          <w:shd w:val="clear" w:color="auto" w:fill="FFFFFF"/>
          <w:lang w:val="zh-CN" w:eastAsia="zh-CN" w:bidi="ar-SA"/>
        </w:rPr>
        <w:t>央专项资金8万元；拨付上缴存量资金3.96万元；重大公共卫生服务结转经费0.04万元。</w:t>
      </w:r>
    </w:p>
    <w:p>
      <w:pPr>
        <w:snapToGrid w:val="0"/>
        <w:spacing w:line="353" w:lineRule="auto"/>
        <w:ind w:firstLine="640" w:firstLineChars="200"/>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2021年度项目经费总支出为16.92万元。</w:t>
      </w:r>
    </w:p>
    <w:p>
      <w:pPr>
        <w:snapToGrid w:val="0"/>
        <w:spacing w:line="353" w:lineRule="auto"/>
        <w:ind w:firstLine="640" w:firstLineChars="200"/>
        <w:rPr>
          <w:rFonts w:hint="eastAsia" w:eastAsia="楷体_GB2312"/>
          <w:sz w:val="32"/>
          <w:szCs w:val="32"/>
        </w:rPr>
      </w:pPr>
      <w:r>
        <w:rPr>
          <w:rFonts w:eastAsia="楷体_GB2312"/>
          <w:sz w:val="32"/>
          <w:szCs w:val="32"/>
        </w:rPr>
        <w:t>（二）部门财政资金支出情况</w:t>
      </w:r>
    </w:p>
    <w:p>
      <w:pPr>
        <w:snapToGrid w:val="0"/>
        <w:spacing w:line="353" w:lineRule="auto"/>
        <w:ind w:firstLine="640" w:firstLineChars="200"/>
        <w:rPr>
          <w:rFonts w:hint="eastAsia" w:eastAsia="楷体_GB2312"/>
          <w:sz w:val="32"/>
          <w:szCs w:val="32"/>
        </w:rPr>
      </w:pPr>
      <w:r>
        <w:rPr>
          <w:rFonts w:hint="eastAsia" w:ascii="仿宋_GB2312" w:hAnsi="宋体" w:eastAsia="仿宋_GB2312" w:cs="宋体"/>
          <w:kern w:val="0"/>
          <w:sz w:val="32"/>
          <w:szCs w:val="32"/>
          <w:shd w:val="clear" w:color="auto" w:fill="FFFFFF"/>
          <w:lang w:val="zh-CN" w:eastAsia="zh-CN" w:bidi="ar-SA"/>
        </w:rPr>
        <w:t>2021年支出199.16万元。其中：人员经费支出 165.73万元万元，日常公用经费支出16.51万元，项目经费总支出为16.92万元。</w:t>
      </w:r>
    </w:p>
    <w:p>
      <w:pPr>
        <w:snapToGrid w:val="0"/>
        <w:spacing w:line="353" w:lineRule="auto"/>
        <w:ind w:firstLine="640" w:firstLineChars="200"/>
        <w:rPr>
          <w:rFonts w:hint="eastAsia" w:eastAsia="楷体_GB2312"/>
          <w:sz w:val="32"/>
          <w:szCs w:val="32"/>
        </w:rPr>
      </w:pPr>
      <w:r>
        <w:rPr>
          <w:rFonts w:eastAsia="楷体_GB2312"/>
          <w:sz w:val="32"/>
          <w:szCs w:val="32"/>
        </w:rPr>
        <w:t>（三）结转和结余情况。</w:t>
      </w:r>
    </w:p>
    <w:p>
      <w:pPr>
        <w:snapToGrid w:val="0"/>
        <w:spacing w:line="353" w:lineRule="auto"/>
        <w:ind w:firstLine="640" w:firstLineChars="200"/>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zh-CN" w:eastAsia="zh-CN" w:bidi="ar-SA"/>
        </w:rPr>
        <w:t>年初财政拨款结转93.7万元,本年结余93.66万元。</w:t>
      </w:r>
    </w:p>
    <w:p>
      <w:pPr>
        <w:snapToGrid w:val="0"/>
        <w:spacing w:line="353" w:lineRule="auto"/>
        <w:ind w:firstLine="640" w:firstLineChars="200"/>
        <w:rPr>
          <w:rFonts w:eastAsia="黑体"/>
          <w:sz w:val="32"/>
          <w:szCs w:val="32"/>
        </w:rPr>
      </w:pPr>
      <w:r>
        <w:rPr>
          <w:rStyle w:val="33"/>
          <w:rFonts w:hint="eastAsia" w:eastAsia="黑体"/>
          <w:lang w:eastAsia="zh-CN"/>
        </w:rPr>
        <w:t>四</w:t>
      </w:r>
      <w:r>
        <w:rPr>
          <w:rStyle w:val="33"/>
          <w:rFonts w:hint="default" w:ascii="Times New Roman" w:hAnsi="Times New Roman"/>
        </w:rPr>
        <w:t>、</w:t>
      </w:r>
      <w:r>
        <w:rPr>
          <w:rFonts w:eastAsia="黑体"/>
          <w:sz w:val="32"/>
          <w:szCs w:val="32"/>
        </w:rPr>
        <w:t>部门财政支出管理情况</w:t>
      </w:r>
    </w:p>
    <w:p>
      <w:pPr>
        <w:snapToGrid w:val="0"/>
        <w:spacing w:line="353" w:lineRule="auto"/>
        <w:ind w:firstLine="640" w:firstLineChars="200"/>
        <w:rPr>
          <w:rFonts w:eastAsia="楷体_GB2312"/>
          <w:sz w:val="32"/>
          <w:szCs w:val="32"/>
        </w:rPr>
      </w:pPr>
      <w:r>
        <w:rPr>
          <w:rFonts w:eastAsia="楷体_GB2312"/>
          <w:sz w:val="32"/>
          <w:szCs w:val="32"/>
        </w:rPr>
        <w:t>（一）专项资金分配情况。</w:t>
      </w:r>
    </w:p>
    <w:p>
      <w:pPr>
        <w:snapToGrid w:val="0"/>
        <w:spacing w:line="353" w:lineRule="auto"/>
        <w:ind w:firstLine="640" w:firstLineChars="200"/>
        <w:rPr>
          <w:rFonts w:eastAsia="仿宋_GB2312"/>
          <w:sz w:val="32"/>
          <w:szCs w:val="32"/>
        </w:rPr>
      </w:pPr>
      <w:r>
        <w:rPr>
          <w:rFonts w:hint="eastAsia" w:eastAsia="仿宋_GB2312"/>
          <w:sz w:val="32"/>
          <w:szCs w:val="32"/>
        </w:rPr>
        <w:t>2021年</w:t>
      </w:r>
      <w:r>
        <w:rPr>
          <w:rFonts w:eastAsia="仿宋_GB2312"/>
          <w:sz w:val="32"/>
          <w:szCs w:val="32"/>
        </w:rPr>
        <w:t>度项目经费总支出为</w:t>
      </w:r>
      <w:r>
        <w:rPr>
          <w:rFonts w:hint="eastAsia" w:eastAsia="仿宋_GB2312"/>
          <w:sz w:val="32"/>
          <w:szCs w:val="32"/>
        </w:rPr>
        <w:t>16.92万元</w:t>
      </w:r>
      <w:r>
        <w:rPr>
          <w:rFonts w:hint="eastAsia" w:eastAsia="仿宋_GB2312"/>
          <w:sz w:val="32"/>
          <w:szCs w:val="32"/>
          <w:lang w:eastAsia="zh-CN"/>
        </w:rPr>
        <w:t>。</w:t>
      </w:r>
      <w:r>
        <w:rPr>
          <w:rFonts w:hint="eastAsia" w:eastAsia="仿宋_GB2312"/>
          <w:sz w:val="32"/>
          <w:szCs w:val="32"/>
        </w:rPr>
        <w:t>下达区级项目预算5万元，实际支出4.92万元（其中：矿山、冶金、化工行业领域尘毒危害专项治理与执法工作经费1万元；卫生监督专项经费1.92万元；新冠肺炎疫情防控工作经费1万元；国家“双随机、一公开”卫生监督抽查工作经费1万元）；中央、省补助公共卫生专项资金支出8万元；拨付上缴存量资金支出3.96万元，重大公共卫生服务专项资金支出0.04万元。</w:t>
      </w:r>
    </w:p>
    <w:p>
      <w:pPr>
        <w:snapToGrid w:val="0"/>
        <w:spacing w:line="353" w:lineRule="auto"/>
        <w:ind w:firstLine="640" w:firstLineChars="200"/>
        <w:rPr>
          <w:rFonts w:hint="eastAsia" w:eastAsia="楷体_GB2312"/>
          <w:sz w:val="32"/>
          <w:szCs w:val="32"/>
        </w:rPr>
      </w:pPr>
      <w:r>
        <w:rPr>
          <w:rFonts w:eastAsia="楷体_GB2312"/>
          <w:sz w:val="32"/>
          <w:szCs w:val="32"/>
        </w:rPr>
        <w:t>（二）资产管理</w:t>
      </w:r>
    </w:p>
    <w:p>
      <w:pPr>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为加强国有资产管理，防止国有资产流失，确保国有资产保值增值，本部门不断完善各项管理制度，设立专人管理，明确职责，积极开展资产登记、资产清查、定期盘点，做到帐帐相符，账实相符。对于资产的调拨、报废、报损等资产处置问题按照“单位申请、部门审核、领导审批”的程序逐级依规办理</w:t>
      </w:r>
    </w:p>
    <w:p>
      <w:pPr>
        <w:snapToGrid w:val="0"/>
        <w:spacing w:line="353" w:lineRule="auto"/>
        <w:ind w:firstLine="640" w:firstLineChars="200"/>
        <w:rPr>
          <w:rFonts w:eastAsia="楷体_GB2312"/>
          <w:sz w:val="32"/>
          <w:szCs w:val="32"/>
        </w:rPr>
      </w:pPr>
      <w:r>
        <w:rPr>
          <w:rFonts w:eastAsia="楷体_GB2312"/>
          <w:sz w:val="32"/>
          <w:szCs w:val="32"/>
        </w:rPr>
        <w:t>（三）内控制度管理</w:t>
      </w:r>
    </w:p>
    <w:p>
      <w:pPr>
        <w:widowControl/>
        <w:adjustRightInd w:val="0"/>
        <w:snapToGrid w:val="0"/>
        <w:spacing w:line="353" w:lineRule="auto"/>
        <w:ind w:firstLine="640" w:firstLineChars="200"/>
        <w:jc w:val="left"/>
        <w:rPr>
          <w:rFonts w:hint="eastAsia"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内部控制制度的设置及执行情况</w:t>
      </w:r>
    </w:p>
    <w:p>
      <w:pPr>
        <w:widowControl/>
        <w:adjustRightInd w:val="0"/>
        <w:snapToGrid w:val="0"/>
        <w:spacing w:line="353" w:lineRule="auto"/>
        <w:ind w:firstLine="640" w:firstLineChars="200"/>
        <w:jc w:val="left"/>
        <w:rPr>
          <w:rFonts w:eastAsia="仿宋_GB2312"/>
          <w:sz w:val="32"/>
          <w:szCs w:val="32"/>
        </w:rPr>
      </w:pPr>
      <w:r>
        <w:rPr>
          <w:rFonts w:hint="eastAsia" w:eastAsia="仿宋_GB2312"/>
          <w:sz w:val="32"/>
          <w:szCs w:val="32"/>
        </w:rPr>
        <w:t>根据上级部门的要求，我单位不断加强自身的制度建设，进行不断的梳理和完善，对内控管理的各个环节加强制约，不断完善操作规程和流程。从制度、审计、安全等多方面，形成相互融通相互制约机制。</w:t>
      </w:r>
    </w:p>
    <w:p>
      <w:pPr>
        <w:snapToGrid w:val="0"/>
        <w:spacing w:line="353" w:lineRule="auto"/>
        <w:ind w:firstLine="640" w:firstLineChars="200"/>
        <w:jc w:val="left"/>
        <w:rPr>
          <w:rFonts w:hint="eastAsia" w:eastAsia="仿宋_GB2312"/>
          <w:sz w:val="32"/>
          <w:szCs w:val="32"/>
        </w:rPr>
      </w:pPr>
      <w:r>
        <w:rPr>
          <w:rFonts w:hint="eastAsia" w:eastAsia="仿宋_GB2312"/>
          <w:sz w:val="32"/>
          <w:szCs w:val="32"/>
        </w:rPr>
        <w:t>2.</w:t>
      </w:r>
      <w:r>
        <w:rPr>
          <w:rFonts w:eastAsia="仿宋_GB2312"/>
          <w:sz w:val="32"/>
          <w:szCs w:val="32"/>
        </w:rPr>
        <w:t>部门内部控制制度的执行</w:t>
      </w:r>
    </w:p>
    <w:p>
      <w:pPr>
        <w:snapToGrid w:val="0"/>
        <w:spacing w:line="353" w:lineRule="auto"/>
        <w:ind w:firstLine="640" w:firstLineChars="200"/>
        <w:jc w:val="left"/>
        <w:rPr>
          <w:rFonts w:hint="eastAsia" w:eastAsia="仿宋_GB2312"/>
          <w:sz w:val="32"/>
          <w:szCs w:val="32"/>
        </w:rPr>
      </w:pPr>
      <w:r>
        <w:rPr>
          <w:rFonts w:eastAsia="仿宋_GB2312"/>
          <w:sz w:val="32"/>
          <w:szCs w:val="32"/>
        </w:rPr>
        <w:t>在重大经济事项的决策与执行中坚持依法决策，防止和纠正违反宪法、法律和法规的行政决策。坚持科学、民主决策，充分征求和听取各层的意见。严格按照部门内控制度执行，重大财政资金安排使用和单位大额报销，均经过重大议事小组会审议通过后进行报销。所有资金专款专用，严格执行资金审批程序。</w:t>
      </w:r>
    </w:p>
    <w:p>
      <w:pPr>
        <w:snapToGrid w:val="0"/>
        <w:spacing w:line="353" w:lineRule="auto"/>
        <w:ind w:firstLine="640" w:firstLineChars="200"/>
        <w:rPr>
          <w:rFonts w:hint="eastAsia" w:eastAsia="楷体_GB2312"/>
          <w:sz w:val="32"/>
          <w:szCs w:val="32"/>
        </w:rPr>
      </w:pPr>
      <w:r>
        <w:rPr>
          <w:rFonts w:eastAsia="楷体_GB2312"/>
          <w:sz w:val="32"/>
          <w:szCs w:val="32"/>
        </w:rPr>
        <w:t>（四）信息公开。</w:t>
      </w:r>
    </w:p>
    <w:p>
      <w:pPr>
        <w:snapToGrid w:val="0"/>
        <w:spacing w:line="353" w:lineRule="auto"/>
        <w:ind w:firstLine="640" w:firstLineChars="200"/>
        <w:rPr>
          <w:rFonts w:hint="eastAsia" w:eastAsia="楷体_GB2312"/>
          <w:sz w:val="32"/>
          <w:szCs w:val="32"/>
        </w:rPr>
      </w:pPr>
      <w:r>
        <w:rPr>
          <w:rFonts w:eastAsia="仿宋_GB2312"/>
          <w:sz w:val="32"/>
          <w:szCs w:val="32"/>
        </w:rPr>
        <w:t>本部门预算整体支出绩效评价自评报告在攀枝花市西区人民政府网站政务公开栏目中进行公示。</w:t>
      </w:r>
    </w:p>
    <w:p>
      <w:pPr>
        <w:snapToGrid w:val="0"/>
        <w:spacing w:line="353" w:lineRule="auto"/>
        <w:ind w:firstLine="640" w:firstLineChars="200"/>
        <w:rPr>
          <w:rFonts w:eastAsia="楷体_GB2312"/>
          <w:sz w:val="32"/>
          <w:szCs w:val="32"/>
        </w:rPr>
      </w:pPr>
      <w:r>
        <w:rPr>
          <w:rFonts w:eastAsia="楷体_GB2312"/>
          <w:sz w:val="32"/>
          <w:szCs w:val="32"/>
        </w:rPr>
        <w:t>（五）绩效监控</w:t>
      </w:r>
    </w:p>
    <w:p>
      <w:pPr>
        <w:snapToGrid w:val="0"/>
        <w:spacing w:line="353" w:lineRule="auto"/>
        <w:ind w:firstLine="640" w:firstLineChars="200"/>
        <w:rPr>
          <w:rFonts w:hint="eastAsia" w:eastAsia="仿宋_GB2312"/>
          <w:sz w:val="32"/>
          <w:szCs w:val="32"/>
        </w:rPr>
      </w:pPr>
      <w:r>
        <w:rPr>
          <w:rFonts w:hint="eastAsia" w:eastAsia="仿宋_GB2312"/>
          <w:sz w:val="32"/>
          <w:szCs w:val="32"/>
        </w:rPr>
        <w:t>2021年预算执行动态监控，将全年资金动态监督纳入财政统一系统，纳入国库集中支付监控，在统一平台记录资金的支付的申请、审核、支付、清算、核算详细流程，部门严格执行重大事项决策机制，不搞“一支笔、一言堂”，严格执行内部控制制度与流程，确保预算资金安全。</w:t>
      </w:r>
    </w:p>
    <w:p>
      <w:pPr>
        <w:snapToGrid w:val="0"/>
        <w:spacing w:line="353" w:lineRule="auto"/>
        <w:ind w:firstLine="640" w:firstLineChars="200"/>
        <w:rPr>
          <w:rFonts w:eastAsia="黑体"/>
          <w:sz w:val="32"/>
          <w:szCs w:val="32"/>
        </w:rPr>
      </w:pPr>
      <w:r>
        <w:rPr>
          <w:rFonts w:hint="eastAsia" w:eastAsia="黑体"/>
          <w:sz w:val="32"/>
          <w:szCs w:val="32"/>
        </w:rPr>
        <w:t>四</w:t>
      </w:r>
      <w:r>
        <w:rPr>
          <w:rFonts w:eastAsia="黑体"/>
          <w:sz w:val="32"/>
          <w:szCs w:val="32"/>
        </w:rPr>
        <w:t>、部门绩效情况</w:t>
      </w:r>
    </w:p>
    <w:p>
      <w:pPr>
        <w:snapToGrid w:val="0"/>
        <w:spacing w:line="353" w:lineRule="auto"/>
        <w:ind w:left="210" w:leftChars="100" w:firstLine="640" w:firstLineChars="200"/>
        <w:rPr>
          <w:rStyle w:val="32"/>
          <w:rFonts w:hint="default" w:ascii="Times New Roman" w:eastAsia="楷体_GB2312"/>
        </w:rPr>
      </w:pPr>
      <w:r>
        <w:rPr>
          <w:rStyle w:val="31"/>
          <w:rFonts w:ascii="Times New Roman" w:hAnsi="Times New Roman" w:eastAsia="楷体_GB2312"/>
          <w:b w:val="0"/>
        </w:rPr>
        <w:t>（一）</w:t>
      </w:r>
      <w:r>
        <w:rPr>
          <w:rStyle w:val="32"/>
          <w:rFonts w:hint="default" w:ascii="Times New Roman" w:eastAsia="楷体_GB2312"/>
        </w:rPr>
        <w:t>总体绩效</w:t>
      </w:r>
    </w:p>
    <w:p>
      <w:pPr>
        <w:pStyle w:val="7"/>
        <w:spacing w:line="353" w:lineRule="auto"/>
        <w:ind w:firstLine="640" w:firstLineChars="200"/>
        <w:rPr>
          <w:rFonts w:ascii="Times New Roman" w:hAnsi="Times New Roman" w:eastAsia="仿宋_GB2312"/>
          <w:sz w:val="32"/>
          <w:szCs w:val="32"/>
        </w:rPr>
      </w:pPr>
      <w:r>
        <w:rPr>
          <w:rFonts w:hint="eastAsia" w:ascii="仿宋_GB2312" w:hAnsi="Times New Roman" w:eastAsia="仿宋_GB2312"/>
          <w:sz w:val="32"/>
          <w:szCs w:val="32"/>
        </w:rPr>
        <w:t>2021年度下达资金全部完成支付，按预期完成各对应工作项</w:t>
      </w:r>
      <w:r>
        <w:rPr>
          <w:rFonts w:hint="eastAsia" w:ascii="Times New Roman" w:hAnsi="Times New Roman" w:eastAsia="仿宋_GB2312"/>
          <w:sz w:val="32"/>
          <w:szCs w:val="32"/>
        </w:rPr>
        <w:t>目，达到保证运转的基本目标。</w:t>
      </w:r>
    </w:p>
    <w:p>
      <w:pPr>
        <w:pStyle w:val="7"/>
        <w:spacing w:line="353" w:lineRule="auto"/>
        <w:ind w:firstLine="640" w:firstLineChars="200"/>
        <w:rPr>
          <w:rFonts w:hint="eastAsia" w:ascii="仿宋_GB2312" w:eastAsia="仿宋_GB2312"/>
          <w:sz w:val="32"/>
          <w:szCs w:val="32"/>
        </w:rPr>
      </w:pPr>
      <w:r>
        <w:rPr>
          <w:rFonts w:hint="eastAsia" w:ascii="仿宋_GB2312" w:eastAsia="仿宋_GB2312"/>
          <w:sz w:val="32"/>
          <w:szCs w:val="32"/>
        </w:rPr>
        <w:t>1.2021年度，区卫生计生监督执法大队</w:t>
      </w:r>
      <w:r>
        <w:rPr>
          <w:rFonts w:hint="eastAsia" w:ascii="仿宋_GB2312" w:hAnsi="Times New Roman" w:eastAsia="仿宋_GB2312"/>
          <w:sz w:val="32"/>
          <w:szCs w:val="32"/>
        </w:rPr>
        <w:t>基本支出</w:t>
      </w:r>
      <w:r>
        <w:rPr>
          <w:rFonts w:hint="eastAsia" w:ascii="Times New Roman" w:hAnsi="Times New Roman" w:eastAsia="仿宋_GB2312"/>
          <w:sz w:val="32"/>
          <w:szCs w:val="32"/>
        </w:rPr>
        <w:t>182.24</w:t>
      </w:r>
      <w:r>
        <w:rPr>
          <w:rFonts w:ascii="Times New Roman" w:hAnsi="Times New Roman" w:eastAsia="仿宋_GB2312"/>
          <w:sz w:val="32"/>
          <w:szCs w:val="32"/>
        </w:rPr>
        <w:t>万元</w:t>
      </w:r>
      <w:r>
        <w:rPr>
          <w:rFonts w:hint="eastAsia" w:ascii="Times New Roman" w:hAnsi="Times New Roman" w:eastAsia="仿宋_GB2312"/>
          <w:sz w:val="32"/>
          <w:szCs w:val="32"/>
        </w:rPr>
        <w:t>（</w:t>
      </w:r>
      <w:r>
        <w:rPr>
          <w:rFonts w:ascii="Times New Roman" w:hAnsi="Times New Roman" w:eastAsia="仿宋_GB2312"/>
          <w:sz w:val="32"/>
          <w:szCs w:val="32"/>
        </w:rPr>
        <w:t>其中</w:t>
      </w:r>
      <w:r>
        <w:rPr>
          <w:rFonts w:hint="eastAsia" w:ascii="Times New Roman" w:hAnsi="Times New Roman" w:eastAsia="仿宋_GB2312"/>
          <w:sz w:val="32"/>
          <w:szCs w:val="32"/>
        </w:rPr>
        <w:t>：社会保障和就业支出7.43</w:t>
      </w:r>
      <w:r>
        <w:rPr>
          <w:rFonts w:ascii="Times New Roman" w:hAnsi="Times New Roman" w:eastAsia="仿宋_GB2312"/>
          <w:sz w:val="32"/>
          <w:szCs w:val="32"/>
        </w:rPr>
        <w:t>万元</w:t>
      </w:r>
      <w:r>
        <w:rPr>
          <w:rFonts w:hint="eastAsia" w:ascii="Times New Roman" w:hAnsi="Times New Roman" w:eastAsia="仿宋_GB2312"/>
          <w:sz w:val="32"/>
          <w:szCs w:val="32"/>
        </w:rPr>
        <w:t>、卫生健康支出164.8</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万元，住房保障支出9.99</w:t>
      </w:r>
      <w:r>
        <w:rPr>
          <w:rFonts w:ascii="Times New Roman" w:hAnsi="Times New Roman" w:eastAsia="仿宋_GB2312"/>
          <w:sz w:val="32"/>
          <w:szCs w:val="32"/>
        </w:rPr>
        <w:t>万元</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仿宋_GB2312" w:eastAsia="仿宋_GB2312"/>
          <w:sz w:val="32"/>
          <w:szCs w:val="32"/>
        </w:rPr>
        <w:t>各基本经费项目的数量指标均已完成，质量指标均符合规范要求，时效指标均在2021年12月底前完成。成本指标均按下拨金额规范使用。</w:t>
      </w:r>
    </w:p>
    <w:p>
      <w:pPr>
        <w:spacing w:line="353" w:lineRule="auto"/>
        <w:ind w:firstLine="640" w:firstLineChars="200"/>
        <w:jc w:val="left"/>
        <w:rPr>
          <w:rFonts w:hint="eastAsia" w:ascii="仿宋_GB2312" w:eastAsia="仿宋_GB2312"/>
          <w:sz w:val="32"/>
          <w:szCs w:val="32"/>
        </w:rPr>
      </w:pPr>
      <w:r>
        <w:rPr>
          <w:rFonts w:hint="eastAsia" w:ascii="仿宋_GB2312" w:eastAsia="仿宋_GB2312"/>
          <w:sz w:val="32"/>
          <w:szCs w:val="32"/>
        </w:rPr>
        <w:t>2.2021年度，区卫生计生监督执法大队在区财政局的监管下，完善预算编制体制，加强预算执行力度，注重分析考核，推动了经费的使用效益。合理合规的使用基本经费，促进了经费的有效运用。</w:t>
      </w:r>
    </w:p>
    <w:p>
      <w:pPr>
        <w:spacing w:line="353" w:lineRule="auto"/>
        <w:ind w:firstLine="640" w:firstLineChars="200"/>
        <w:jc w:val="left"/>
        <w:rPr>
          <w:rFonts w:ascii="仿宋_GB2312" w:eastAsia="仿宋_GB2312"/>
          <w:sz w:val="32"/>
          <w:szCs w:val="32"/>
        </w:rPr>
      </w:pPr>
      <w:r>
        <w:rPr>
          <w:rFonts w:hint="eastAsia" w:ascii="仿宋_GB2312" w:eastAsia="仿宋_GB2312"/>
          <w:sz w:val="32"/>
          <w:szCs w:val="32"/>
        </w:rPr>
        <w:t>3.2021年度，区卫生计生监督执法大队经费使用完成情况达到</w:t>
      </w:r>
      <w:r>
        <w:rPr>
          <w:rFonts w:ascii="仿宋_GB2312" w:eastAsia="仿宋_GB2312"/>
          <w:sz w:val="32"/>
          <w:szCs w:val="32"/>
        </w:rPr>
        <w:t>118.56</w:t>
      </w:r>
      <w:r>
        <w:rPr>
          <w:rFonts w:hint="eastAsia" w:ascii="仿宋_GB2312" w:eastAsia="仿宋_GB2312"/>
          <w:sz w:val="32"/>
          <w:szCs w:val="32"/>
        </w:rPr>
        <w:t>%。</w:t>
      </w:r>
    </w:p>
    <w:p>
      <w:pPr>
        <w:snapToGrid w:val="0"/>
        <w:spacing w:line="353" w:lineRule="auto"/>
        <w:ind w:left="210" w:leftChars="100" w:firstLine="640" w:firstLineChars="200"/>
        <w:rPr>
          <w:rStyle w:val="32"/>
          <w:rFonts w:hint="default" w:ascii="Times New Roman" w:eastAsia="楷体_GB2312"/>
        </w:rPr>
      </w:pPr>
      <w:r>
        <w:rPr>
          <w:rStyle w:val="31"/>
          <w:rFonts w:ascii="Times New Roman" w:hAnsi="Times New Roman" w:eastAsia="楷体_GB2312"/>
          <w:b w:val="0"/>
        </w:rPr>
        <w:t>（二）</w:t>
      </w:r>
      <w:r>
        <w:rPr>
          <w:rStyle w:val="32"/>
          <w:rFonts w:hint="default" w:ascii="Times New Roman" w:eastAsia="楷体_GB2312"/>
        </w:rPr>
        <w:t>主要目标绩效完成情况</w:t>
      </w:r>
    </w:p>
    <w:p>
      <w:pPr>
        <w:pStyle w:val="7"/>
        <w:spacing w:line="353"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2021年度，</w:t>
      </w:r>
      <w:r>
        <w:rPr>
          <w:rFonts w:hint="eastAsia" w:ascii="仿宋_GB2312" w:eastAsia="仿宋_GB2312"/>
          <w:sz w:val="32"/>
          <w:szCs w:val="32"/>
        </w:rPr>
        <w:t>区卫生计生监督执法大队</w:t>
      </w:r>
      <w:r>
        <w:rPr>
          <w:rFonts w:hint="eastAsia" w:ascii="仿宋_GB2312" w:hAnsi="Calibri" w:eastAsia="仿宋_GB2312"/>
          <w:sz w:val="32"/>
          <w:szCs w:val="32"/>
        </w:rPr>
        <w:t>有区级项目4个：</w:t>
      </w:r>
    </w:p>
    <w:p>
      <w:pPr>
        <w:pStyle w:val="7"/>
        <w:spacing w:line="353" w:lineRule="auto"/>
        <w:ind w:firstLine="640" w:firstLineChars="200"/>
        <w:rPr>
          <w:rFonts w:hint="eastAsia" w:ascii="仿宋_GB2312" w:hAnsi="Times New Roman" w:eastAsia="仿宋_GB2312"/>
          <w:sz w:val="32"/>
          <w:szCs w:val="32"/>
        </w:rPr>
      </w:pPr>
      <w:r>
        <w:rPr>
          <w:rFonts w:hint="eastAsia" w:ascii="仿宋_GB2312" w:hAnsi="Calibri" w:eastAsia="仿宋_GB2312"/>
          <w:sz w:val="32"/>
          <w:szCs w:val="32"/>
        </w:rPr>
        <w:t>1.卫生监督专项经费收入2</w:t>
      </w:r>
      <w:r>
        <w:rPr>
          <w:rFonts w:hint="eastAsia" w:ascii="仿宋_GB2312" w:hAnsi="Times New Roman" w:eastAsia="仿宋_GB2312"/>
          <w:sz w:val="32"/>
          <w:szCs w:val="32"/>
        </w:rPr>
        <w:t>万元,实际支出</w:t>
      </w:r>
      <w:r>
        <w:rPr>
          <w:rFonts w:hint="eastAsia" w:eastAsia="仿宋_GB2312"/>
          <w:sz w:val="32"/>
          <w:szCs w:val="32"/>
        </w:rPr>
        <w:t>1.92</w:t>
      </w:r>
      <w:r>
        <w:rPr>
          <w:rFonts w:hint="eastAsia" w:ascii="仿宋_GB2312" w:hAnsi="Times New Roman" w:eastAsia="仿宋_GB2312"/>
          <w:sz w:val="32"/>
          <w:szCs w:val="32"/>
        </w:rPr>
        <w:t>万元，通过开展专业性强、针对性高的培训，提高在职工作人员工作水平，提升工作实效。</w:t>
      </w:r>
    </w:p>
    <w:p>
      <w:pPr>
        <w:pStyle w:val="7"/>
        <w:spacing w:line="353"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2.矿山、冶金、化工行业领域尘毒危害专项治理与执法工作经费</w:t>
      </w:r>
      <w:r>
        <w:rPr>
          <w:rFonts w:hint="eastAsia" w:ascii="仿宋_GB2312" w:hAnsi="Calibri" w:eastAsia="仿宋_GB2312"/>
          <w:sz w:val="32"/>
          <w:szCs w:val="32"/>
        </w:rPr>
        <w:t>收入</w:t>
      </w:r>
      <w:r>
        <w:rPr>
          <w:rFonts w:hint="eastAsia" w:ascii="仿宋_GB2312" w:hAnsi="Times New Roman" w:eastAsia="仿宋_GB2312"/>
          <w:sz w:val="32"/>
          <w:szCs w:val="32"/>
        </w:rPr>
        <w:t>1万元，实际支出1万元，通过开展辖区矿山、冶金、化工等重点行业领域尘毒危害专项治理与执法，有效控制、减少和消除重点行业领域用人单位尘毒危害，切实保护劳动者健康权益。</w:t>
      </w:r>
    </w:p>
    <w:p>
      <w:pPr>
        <w:pStyle w:val="7"/>
        <w:spacing w:line="353" w:lineRule="auto"/>
        <w:ind w:firstLine="640" w:firstLineChars="200"/>
        <w:rPr>
          <w:rFonts w:hint="eastAsia" w:eastAsia="仿宋_GB2312"/>
          <w:sz w:val="32"/>
          <w:szCs w:val="32"/>
        </w:rPr>
      </w:pPr>
      <w:r>
        <w:rPr>
          <w:rFonts w:hint="eastAsia" w:ascii="仿宋_GB2312" w:hAnsi="Times New Roman" w:eastAsia="仿宋_GB2312"/>
          <w:sz w:val="32"/>
          <w:szCs w:val="32"/>
        </w:rPr>
        <w:t>3.</w:t>
      </w:r>
      <w:r>
        <w:rPr>
          <w:rFonts w:hint="eastAsia" w:eastAsia="仿宋_GB2312"/>
          <w:sz w:val="32"/>
          <w:szCs w:val="32"/>
        </w:rPr>
        <w:t>新冠肺炎疫情防控工作经费</w:t>
      </w:r>
      <w:r>
        <w:rPr>
          <w:rFonts w:hint="eastAsia" w:ascii="仿宋_GB2312" w:hAnsi="Calibri" w:eastAsia="仿宋_GB2312"/>
          <w:sz w:val="32"/>
          <w:szCs w:val="32"/>
        </w:rPr>
        <w:t>收入</w:t>
      </w:r>
      <w:r>
        <w:rPr>
          <w:rFonts w:hint="eastAsia" w:eastAsia="仿宋_GB2312"/>
          <w:sz w:val="32"/>
          <w:szCs w:val="32"/>
        </w:rPr>
        <w:t>1万元，</w:t>
      </w:r>
      <w:r>
        <w:rPr>
          <w:rFonts w:hint="eastAsia" w:ascii="仿宋_GB2312" w:hAnsi="Times New Roman" w:eastAsia="仿宋_GB2312"/>
          <w:sz w:val="32"/>
          <w:szCs w:val="32"/>
        </w:rPr>
        <w:t>实际支出1万元，通过项目的实施，推进工作顺利开展，确保全年工作顺利完成，有效提高工作水平，提升工作实效，为疫情防控工作及人员提供有力保障，降低风险和成本，推动疫情防控工作有序有效开展</w:t>
      </w:r>
      <w:r>
        <w:rPr>
          <w:rFonts w:hint="eastAsia" w:eastAsia="仿宋_GB2312"/>
          <w:sz w:val="32"/>
          <w:szCs w:val="32"/>
        </w:rPr>
        <w:t>。</w:t>
      </w:r>
    </w:p>
    <w:p>
      <w:pPr>
        <w:pStyle w:val="7"/>
        <w:spacing w:line="353" w:lineRule="auto"/>
        <w:ind w:firstLine="640" w:firstLineChars="200"/>
        <w:rPr>
          <w:rFonts w:hint="eastAsia" w:ascii="仿宋_GB2312" w:hAnsi="Times New Roman" w:eastAsia="仿宋_GB2312"/>
          <w:sz w:val="32"/>
          <w:szCs w:val="32"/>
        </w:rPr>
      </w:pPr>
      <w:r>
        <w:rPr>
          <w:rFonts w:hint="eastAsia" w:eastAsia="仿宋_GB2312"/>
          <w:sz w:val="32"/>
          <w:szCs w:val="32"/>
        </w:rPr>
        <w:t>4.国家“双随机、一公开”卫生监督抽查工作经费</w:t>
      </w:r>
      <w:r>
        <w:rPr>
          <w:rFonts w:hint="eastAsia" w:ascii="仿宋_GB2312" w:hAnsi="Calibri" w:eastAsia="仿宋_GB2312"/>
          <w:sz w:val="32"/>
          <w:szCs w:val="32"/>
        </w:rPr>
        <w:t>收入</w:t>
      </w:r>
      <w:r>
        <w:rPr>
          <w:rFonts w:hint="eastAsia" w:eastAsia="仿宋_GB2312"/>
          <w:sz w:val="32"/>
          <w:szCs w:val="32"/>
        </w:rPr>
        <w:t>1万元，</w:t>
      </w:r>
      <w:r>
        <w:rPr>
          <w:rFonts w:hint="eastAsia" w:ascii="仿宋_GB2312" w:hAnsi="Times New Roman" w:eastAsia="仿宋_GB2312"/>
          <w:sz w:val="32"/>
          <w:szCs w:val="32"/>
        </w:rPr>
        <w:t>实际支出1万元，通过项目的实施，对国家和省级抽取的公共场所、学校、供水单位、医疗机构、放射诊疗单位、用人单位等相关单位进行监督抽查，提升其卫生管理水平，保障群众身体健康。</w:t>
      </w:r>
    </w:p>
    <w:p>
      <w:pPr>
        <w:pStyle w:val="7"/>
        <w:spacing w:line="353" w:lineRule="auto"/>
        <w:ind w:firstLine="640" w:firstLineChars="200"/>
        <w:rPr>
          <w:rFonts w:hint="eastAsia" w:ascii="仿宋_GB2312" w:hAnsi="Times New Roman" w:eastAsia="仿宋_GB2312"/>
          <w:sz w:val="32"/>
          <w:szCs w:val="32"/>
        </w:rPr>
      </w:pPr>
    </w:p>
    <w:p>
      <w:pPr>
        <w:pStyle w:val="7"/>
        <w:snapToGrid w:val="0"/>
        <w:spacing w:line="353"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区级专项（项目）资金绩效目标完成率98.4%。</w:t>
      </w:r>
    </w:p>
    <w:p>
      <w:pPr>
        <w:pStyle w:val="7"/>
        <w:snapToGrid w:val="0"/>
        <w:spacing w:line="353"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产出指标完成情况分析</w:t>
      </w:r>
    </w:p>
    <w:p>
      <w:pPr>
        <w:pStyle w:val="7"/>
        <w:snapToGrid w:val="0"/>
        <w:spacing w:line="353"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w:t>
      </w:r>
      <w:r>
        <w:rPr>
          <w:rFonts w:hint="eastAsia" w:ascii="Times New Roman" w:hAnsi="Times New Roman" w:eastAsia="仿宋_GB2312"/>
          <w:sz w:val="32"/>
          <w:szCs w:val="32"/>
        </w:rPr>
        <w:t>卫生监督专项经费产出</w:t>
      </w:r>
      <w:r>
        <w:rPr>
          <w:rFonts w:ascii="Times New Roman" w:hAnsi="Times New Roman" w:eastAsia="仿宋_GB2312"/>
          <w:sz w:val="32"/>
          <w:szCs w:val="32"/>
        </w:rPr>
        <w:t>指标为</w:t>
      </w:r>
      <w:r>
        <w:rPr>
          <w:rFonts w:hint="eastAsia" w:ascii="Times New Roman" w:hAnsi="Times New Roman" w:eastAsia="仿宋_GB2312"/>
          <w:sz w:val="32"/>
          <w:szCs w:val="32"/>
        </w:rPr>
        <w:t>2</w:t>
      </w:r>
      <w:r>
        <w:rPr>
          <w:rFonts w:ascii="Times New Roman" w:hAnsi="Times New Roman" w:eastAsia="仿宋_GB2312"/>
          <w:sz w:val="32"/>
          <w:szCs w:val="32"/>
        </w:rPr>
        <w:t>万元，完成率为</w:t>
      </w:r>
      <w:r>
        <w:rPr>
          <w:rFonts w:hint="eastAsia" w:ascii="Times New Roman" w:hAnsi="Times New Roman" w:eastAsia="仿宋_GB2312"/>
          <w:sz w:val="32"/>
          <w:szCs w:val="32"/>
        </w:rPr>
        <w:t>96</w:t>
      </w:r>
      <w:r>
        <w:rPr>
          <w:rFonts w:ascii="Times New Roman" w:hAnsi="Times New Roman" w:eastAsia="仿宋_GB2312"/>
          <w:sz w:val="32"/>
          <w:szCs w:val="32"/>
        </w:rPr>
        <w:t>%,成本指标预期为</w:t>
      </w:r>
      <w:r>
        <w:rPr>
          <w:rFonts w:hint="eastAsia" w:ascii="Times New Roman" w:hAnsi="Times New Roman" w:eastAsia="仿宋_GB2312"/>
          <w:sz w:val="32"/>
          <w:szCs w:val="32"/>
        </w:rPr>
        <w:t>2</w:t>
      </w:r>
      <w:r>
        <w:rPr>
          <w:rFonts w:ascii="Times New Roman" w:hAnsi="Times New Roman" w:eastAsia="仿宋_GB2312"/>
          <w:sz w:val="32"/>
          <w:szCs w:val="32"/>
        </w:rPr>
        <w:t>万元，完成成本为</w:t>
      </w:r>
      <w:r>
        <w:rPr>
          <w:rFonts w:hint="eastAsia" w:ascii="Times New Roman" w:hAnsi="Times New Roman" w:eastAsia="仿宋_GB2312"/>
          <w:sz w:val="32"/>
          <w:szCs w:val="32"/>
        </w:rPr>
        <w:t>1.92</w:t>
      </w:r>
      <w:r>
        <w:rPr>
          <w:rFonts w:ascii="Times New Roman" w:hAnsi="Times New Roman" w:eastAsia="仿宋_GB2312"/>
          <w:sz w:val="32"/>
          <w:szCs w:val="32"/>
        </w:rPr>
        <w:t>万元。</w:t>
      </w:r>
    </w:p>
    <w:p>
      <w:pPr>
        <w:pStyle w:val="7"/>
        <w:snapToGrid w:val="0"/>
        <w:spacing w:line="353" w:lineRule="auto"/>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项目</w:t>
      </w:r>
      <w:r>
        <w:rPr>
          <w:rFonts w:hint="eastAsia" w:ascii="Times New Roman" w:hAnsi="Times New Roman" w:eastAsia="仿宋_GB2312"/>
          <w:sz w:val="32"/>
          <w:szCs w:val="32"/>
        </w:rPr>
        <w:t>矿山、冶金、化工行业领域尘毒危害专项治理与执法工作经费1万元</w:t>
      </w:r>
      <w:r>
        <w:rPr>
          <w:rFonts w:ascii="Times New Roman" w:hAnsi="Times New Roman" w:eastAsia="仿宋_GB2312"/>
          <w:sz w:val="32"/>
          <w:szCs w:val="32"/>
        </w:rPr>
        <w:t>，完成率为</w:t>
      </w:r>
      <w:r>
        <w:rPr>
          <w:rFonts w:hint="eastAsia" w:ascii="Times New Roman" w:hAnsi="Times New Roman" w:eastAsia="仿宋_GB2312"/>
          <w:sz w:val="32"/>
          <w:szCs w:val="32"/>
        </w:rPr>
        <w:t>100</w:t>
      </w:r>
      <w:r>
        <w:rPr>
          <w:rFonts w:ascii="Times New Roman" w:hAnsi="Times New Roman" w:eastAsia="仿宋_GB2312"/>
          <w:sz w:val="32"/>
          <w:szCs w:val="32"/>
        </w:rPr>
        <w:t>%，成本指标预期为</w:t>
      </w:r>
      <w:r>
        <w:rPr>
          <w:rFonts w:hint="eastAsia" w:ascii="Times New Roman" w:hAnsi="Times New Roman" w:eastAsia="仿宋_GB2312"/>
          <w:sz w:val="32"/>
          <w:szCs w:val="32"/>
        </w:rPr>
        <w:t>1</w:t>
      </w:r>
      <w:r>
        <w:rPr>
          <w:rFonts w:ascii="Times New Roman" w:hAnsi="Times New Roman" w:eastAsia="仿宋_GB2312"/>
          <w:sz w:val="32"/>
          <w:szCs w:val="32"/>
        </w:rPr>
        <w:t>万元，完成成本为</w:t>
      </w:r>
      <w:r>
        <w:rPr>
          <w:rFonts w:hint="eastAsia" w:ascii="Times New Roman" w:hAnsi="Times New Roman" w:eastAsia="仿宋_GB2312"/>
          <w:sz w:val="32"/>
          <w:szCs w:val="32"/>
        </w:rPr>
        <w:t>1</w:t>
      </w:r>
      <w:r>
        <w:rPr>
          <w:rFonts w:ascii="Times New Roman" w:hAnsi="Times New Roman" w:eastAsia="仿宋_GB2312"/>
          <w:sz w:val="32"/>
          <w:szCs w:val="32"/>
        </w:rPr>
        <w:t>万元。</w:t>
      </w:r>
    </w:p>
    <w:p>
      <w:pPr>
        <w:pStyle w:val="7"/>
        <w:snapToGrid w:val="0"/>
        <w:spacing w:line="353" w:lineRule="auto"/>
        <w:ind w:firstLine="640" w:firstLineChars="200"/>
        <w:rPr>
          <w:rFonts w:hint="eastAsia" w:ascii="Times New Roman" w:hAnsi="Times New Roman" w:eastAsia="仿宋_GB2312"/>
          <w:sz w:val="32"/>
          <w:szCs w:val="32"/>
        </w:rPr>
      </w:pPr>
      <w:r>
        <w:rPr>
          <w:rFonts w:hint="eastAsia" w:eastAsia="仿宋_GB2312"/>
          <w:sz w:val="32"/>
          <w:szCs w:val="32"/>
        </w:rPr>
        <w:t>项目新冠肺炎疫情防控工作经费1万元，</w:t>
      </w:r>
      <w:r>
        <w:rPr>
          <w:rFonts w:ascii="Times New Roman" w:hAnsi="Times New Roman" w:eastAsia="仿宋_GB2312"/>
          <w:sz w:val="32"/>
          <w:szCs w:val="32"/>
        </w:rPr>
        <w:t>完成率为</w:t>
      </w:r>
      <w:r>
        <w:rPr>
          <w:rFonts w:hint="eastAsia" w:ascii="Times New Roman" w:hAnsi="Times New Roman" w:eastAsia="仿宋_GB2312"/>
          <w:sz w:val="32"/>
          <w:szCs w:val="32"/>
        </w:rPr>
        <w:t>100</w:t>
      </w:r>
      <w:r>
        <w:rPr>
          <w:rFonts w:ascii="Times New Roman" w:hAnsi="Times New Roman" w:eastAsia="仿宋_GB2312"/>
          <w:sz w:val="32"/>
          <w:szCs w:val="32"/>
        </w:rPr>
        <w:t>%，成本指标预期为</w:t>
      </w:r>
      <w:r>
        <w:rPr>
          <w:rFonts w:hint="eastAsia" w:ascii="Times New Roman" w:hAnsi="Times New Roman" w:eastAsia="仿宋_GB2312"/>
          <w:sz w:val="32"/>
          <w:szCs w:val="32"/>
        </w:rPr>
        <w:t>1</w:t>
      </w:r>
      <w:r>
        <w:rPr>
          <w:rFonts w:ascii="Times New Roman" w:hAnsi="Times New Roman" w:eastAsia="仿宋_GB2312"/>
          <w:sz w:val="32"/>
          <w:szCs w:val="32"/>
        </w:rPr>
        <w:t>万元，完成成本为</w:t>
      </w:r>
      <w:r>
        <w:rPr>
          <w:rFonts w:hint="eastAsia" w:ascii="Times New Roman" w:hAnsi="Times New Roman" w:eastAsia="仿宋_GB2312"/>
          <w:sz w:val="32"/>
          <w:szCs w:val="32"/>
        </w:rPr>
        <w:t>1</w:t>
      </w:r>
      <w:r>
        <w:rPr>
          <w:rFonts w:ascii="Times New Roman" w:hAnsi="Times New Roman" w:eastAsia="仿宋_GB2312"/>
          <w:sz w:val="32"/>
          <w:szCs w:val="32"/>
        </w:rPr>
        <w:t>万元。</w:t>
      </w:r>
    </w:p>
    <w:p>
      <w:pPr>
        <w:pStyle w:val="7"/>
        <w:snapToGrid w:val="0"/>
        <w:spacing w:line="353"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项目</w:t>
      </w:r>
      <w:r>
        <w:rPr>
          <w:rFonts w:hint="eastAsia" w:eastAsia="仿宋_GB2312"/>
          <w:sz w:val="32"/>
          <w:szCs w:val="32"/>
        </w:rPr>
        <w:t>国家“双随机、一公开”卫生监督抽查工作经费1万元，</w:t>
      </w:r>
      <w:r>
        <w:rPr>
          <w:rFonts w:ascii="Times New Roman" w:hAnsi="Times New Roman" w:eastAsia="仿宋_GB2312"/>
          <w:sz w:val="32"/>
          <w:szCs w:val="32"/>
        </w:rPr>
        <w:t>完成率为</w:t>
      </w:r>
      <w:r>
        <w:rPr>
          <w:rFonts w:hint="eastAsia" w:ascii="Times New Roman" w:hAnsi="Times New Roman" w:eastAsia="仿宋_GB2312"/>
          <w:sz w:val="32"/>
          <w:szCs w:val="32"/>
        </w:rPr>
        <w:t>100</w:t>
      </w:r>
      <w:r>
        <w:rPr>
          <w:rFonts w:ascii="Times New Roman" w:hAnsi="Times New Roman" w:eastAsia="仿宋_GB2312"/>
          <w:sz w:val="32"/>
          <w:szCs w:val="32"/>
        </w:rPr>
        <w:t>%，成本指标预期为</w:t>
      </w:r>
      <w:r>
        <w:rPr>
          <w:rFonts w:hint="eastAsia" w:ascii="Times New Roman" w:hAnsi="Times New Roman" w:eastAsia="仿宋_GB2312"/>
          <w:sz w:val="32"/>
          <w:szCs w:val="32"/>
        </w:rPr>
        <w:t>1</w:t>
      </w:r>
      <w:r>
        <w:rPr>
          <w:rFonts w:ascii="Times New Roman" w:hAnsi="Times New Roman" w:eastAsia="仿宋_GB2312"/>
          <w:sz w:val="32"/>
          <w:szCs w:val="32"/>
        </w:rPr>
        <w:t>万元，完成成本为</w:t>
      </w:r>
      <w:r>
        <w:rPr>
          <w:rFonts w:hint="eastAsia" w:ascii="Times New Roman" w:hAnsi="Times New Roman" w:eastAsia="仿宋_GB2312"/>
          <w:sz w:val="32"/>
          <w:szCs w:val="32"/>
        </w:rPr>
        <w:t>1</w:t>
      </w:r>
      <w:r>
        <w:rPr>
          <w:rFonts w:ascii="Times New Roman" w:hAnsi="Times New Roman" w:eastAsia="仿宋_GB2312"/>
          <w:sz w:val="32"/>
          <w:szCs w:val="32"/>
        </w:rPr>
        <w:t>万元。</w:t>
      </w:r>
    </w:p>
    <w:p>
      <w:pPr>
        <w:pStyle w:val="7"/>
        <w:snapToGrid w:val="0"/>
        <w:spacing w:line="353"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效益指标完成情况分析</w:t>
      </w:r>
    </w:p>
    <w:p>
      <w:pPr>
        <w:pStyle w:val="7"/>
        <w:snapToGrid w:val="0"/>
        <w:spacing w:line="353" w:lineRule="auto"/>
        <w:ind w:firstLine="640" w:firstLineChars="200"/>
        <w:rPr>
          <w:rFonts w:hint="eastAsia" w:eastAsia="仿宋_GB2312"/>
          <w:sz w:val="32"/>
          <w:szCs w:val="32"/>
        </w:rPr>
      </w:pPr>
      <w:r>
        <w:rPr>
          <w:rFonts w:hint="eastAsia" w:eastAsia="仿宋_GB2312"/>
          <w:sz w:val="32"/>
          <w:szCs w:val="32"/>
        </w:rPr>
        <w:t>卫生监督专项经费等项目均</w:t>
      </w:r>
      <w:r>
        <w:rPr>
          <w:rFonts w:eastAsia="仿宋_GB2312"/>
          <w:sz w:val="32"/>
          <w:szCs w:val="32"/>
        </w:rPr>
        <w:t>达到预期社会效益</w:t>
      </w:r>
      <w:r>
        <w:rPr>
          <w:rFonts w:hint="eastAsia" w:eastAsia="仿宋_GB2312"/>
          <w:sz w:val="32"/>
          <w:szCs w:val="32"/>
        </w:rPr>
        <w:t>，</w:t>
      </w:r>
      <w:r>
        <w:rPr>
          <w:rFonts w:eastAsia="仿宋_GB2312"/>
          <w:sz w:val="32"/>
          <w:szCs w:val="32"/>
        </w:rPr>
        <w:t>可持续性影响显著。</w:t>
      </w:r>
      <w:r>
        <w:rPr>
          <w:rFonts w:hint="eastAsia" w:eastAsia="仿宋_GB2312"/>
          <w:sz w:val="32"/>
          <w:szCs w:val="32"/>
        </w:rPr>
        <w:t>2021年度我单位对辖区公共卫生、医疗卫生等经营单位开展卫生知识及法律法规宣传，并对辖区居民开展宣传，提高卫生知识及法律法规知晓率，</w:t>
      </w:r>
      <w:r>
        <w:rPr>
          <w:rFonts w:hint="eastAsia" w:eastAsia="仿宋_GB2312"/>
          <w:kern w:val="0"/>
          <w:sz w:val="32"/>
          <w:szCs w:val="32"/>
        </w:rPr>
        <w:t>加强了社会公众知晓度。</w:t>
      </w:r>
      <w:r>
        <w:rPr>
          <w:rFonts w:hint="eastAsia" w:ascii="仿宋_GB2312" w:eastAsia="仿宋_GB2312"/>
          <w:sz w:val="32"/>
          <w:szCs w:val="32"/>
        </w:rPr>
        <w:t>大力开展各行业专项整治工作，严厉查处各行业违法行为，</w:t>
      </w:r>
      <w:r>
        <w:rPr>
          <w:rFonts w:eastAsia="仿宋_GB2312"/>
          <w:sz w:val="32"/>
          <w:szCs w:val="32"/>
        </w:rPr>
        <w:t>共办理卫生行政处罚案件72件（简易程序59件，一般程序13件）（其中公共场所行政处罚22件，罚款0.7万元；生活饮用水行政处罚1件，罚款0.6万元；职业卫生行政处罚9件，罚款2万元；医疗卫生行政处罚3件，罚款1.8万元；传染病防治行政处罚36件，罚款0.8万元），共计罚没金额5.9万元，无行政复议和行政</w:t>
      </w:r>
      <w:r>
        <w:rPr>
          <w:rFonts w:hint="eastAsia" w:eastAsia="仿宋_GB2312"/>
          <w:sz w:val="32"/>
          <w:szCs w:val="32"/>
          <w:lang w:eastAsia="zh-CN"/>
        </w:rPr>
        <w:t>诉讼</w:t>
      </w:r>
      <w:bookmarkStart w:id="73" w:name="_GoBack"/>
      <w:bookmarkEnd w:id="73"/>
      <w:r>
        <w:rPr>
          <w:rFonts w:eastAsia="仿宋_GB2312"/>
          <w:sz w:val="32"/>
          <w:szCs w:val="32"/>
        </w:rPr>
        <w:t>案件。接到群众投诉事件6件，对投诉举报事件及时进行调查处理，并将结果及时向举报人反馈，所有投诉件均已办结。</w:t>
      </w:r>
    </w:p>
    <w:p>
      <w:pPr>
        <w:spacing w:line="600" w:lineRule="exact"/>
        <w:ind w:firstLine="640" w:firstLineChars="200"/>
        <w:rPr>
          <w:rFonts w:hint="eastAsia" w:eastAsia="仿宋_GB2312"/>
          <w:sz w:val="32"/>
          <w:szCs w:val="32"/>
        </w:rPr>
      </w:pPr>
      <w:r>
        <w:rPr>
          <w:rFonts w:hint="eastAsia" w:eastAsia="仿宋_GB2312"/>
          <w:sz w:val="32"/>
          <w:szCs w:val="32"/>
        </w:rPr>
        <w:t>3.</w:t>
      </w:r>
      <w:r>
        <w:rPr>
          <w:rFonts w:eastAsia="仿宋_GB2312"/>
          <w:sz w:val="32"/>
          <w:szCs w:val="32"/>
        </w:rPr>
        <w:t>满意度指标完成情况分析</w:t>
      </w:r>
    </w:p>
    <w:p>
      <w:pPr>
        <w:spacing w:line="600" w:lineRule="exact"/>
        <w:ind w:firstLine="640" w:firstLineChars="200"/>
        <w:rPr>
          <w:rFonts w:hint="eastAsia" w:eastAsia="仿宋_GB2312"/>
          <w:sz w:val="32"/>
          <w:szCs w:val="32"/>
        </w:rPr>
      </w:pPr>
      <w:r>
        <w:rPr>
          <w:rFonts w:hint="eastAsia" w:eastAsia="仿宋_GB2312"/>
          <w:sz w:val="32"/>
          <w:szCs w:val="32"/>
        </w:rPr>
        <w:t>卫生监督专项经费等</w:t>
      </w:r>
      <w:r>
        <w:rPr>
          <w:rFonts w:eastAsia="仿宋_GB2312"/>
          <w:sz w:val="32"/>
          <w:szCs w:val="32"/>
        </w:rPr>
        <w:t>项目满意度</w:t>
      </w:r>
      <w:r>
        <w:rPr>
          <w:rFonts w:hint="eastAsia" w:eastAsia="仿宋_GB2312"/>
          <w:sz w:val="32"/>
          <w:szCs w:val="32"/>
        </w:rPr>
        <w:t>均</w:t>
      </w:r>
      <w:r>
        <w:rPr>
          <w:rFonts w:eastAsia="仿宋_GB2312"/>
          <w:sz w:val="32"/>
          <w:szCs w:val="32"/>
        </w:rPr>
        <w:t>达到预期效果。</w:t>
      </w:r>
    </w:p>
    <w:p>
      <w:pPr>
        <w:pStyle w:val="2"/>
        <w:rPr>
          <w:rFonts w:hint="default" w:eastAsia="仿宋_GB2312"/>
          <w:lang w:val="en-US" w:eastAsia="zh-CN"/>
        </w:rPr>
      </w:pPr>
    </w:p>
    <w:p>
      <w:pPr>
        <w:pStyle w:val="2"/>
        <w:numPr>
          <w:ilvl w:val="0"/>
          <w:numId w:val="0"/>
        </w:numPr>
      </w:pPr>
    </w:p>
    <w:p>
      <w:pPr>
        <w:widowControl/>
        <w:numPr>
          <w:ilvl w:val="0"/>
          <w:numId w:val="0"/>
        </w:numPr>
        <w:adjustRightInd w:val="0"/>
        <w:snapToGrid w:val="0"/>
        <w:spacing w:line="576" w:lineRule="exact"/>
        <w:ind w:left="640" w:leftChars="0"/>
        <w:contextualSpacing/>
        <w:jc w:val="left"/>
      </w:pPr>
      <w:r>
        <w:rPr>
          <w:rFonts w:hint="eastAsia" w:ascii="黑体" w:hAnsi="宋体" w:eastAsia="黑体" w:cs="宋体"/>
          <w:kern w:val="0"/>
          <w:sz w:val="32"/>
          <w:szCs w:val="32"/>
          <w:shd w:val="clear" w:color="auto" w:fill="FFFFFF"/>
          <w:lang w:eastAsia="zh-CN"/>
        </w:rPr>
        <w:t>五、</w:t>
      </w:r>
      <w:r>
        <w:rPr>
          <w:rFonts w:hint="eastAsia" w:ascii="黑体" w:hAnsi="宋体" w:eastAsia="黑体" w:cs="宋体"/>
          <w:kern w:val="0"/>
          <w:sz w:val="32"/>
          <w:szCs w:val="32"/>
          <w:shd w:val="clear" w:color="auto" w:fill="FFFFFF"/>
        </w:rPr>
        <w:t>评价结论及建议</w:t>
      </w:r>
    </w:p>
    <w:p>
      <w:pPr>
        <w:widowControl/>
        <w:numPr>
          <w:ilvl w:val="0"/>
          <w:numId w:val="4"/>
        </w:numPr>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评价结论。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2021年我单位资金运行管理工作严格按照区委、区政府的工作安排，积极履行职责，强化科学管理，保障政策落实，有效发挥了财政资金的使用效率，较好地完成了各项指标任务。在人员经费支出、公共支出方面严格执行区委、区政府的各项制度；在项目经费的使用方面，在保证各项任务顺利完成的同时，严格落实厉行节约的原则，有效压缩不必要的支出；在三公经费的使用方面，严格控制在预算申报的范围内合理、据实规范报销。同时，本部门在完成年度工作目标的同时加强了预算收支管理，健全了内部管理制度，优化了内部管理流程，有效提升了本部门全年绩效管理成果。</w:t>
      </w:r>
    </w:p>
    <w:p>
      <w:pPr>
        <w:tabs>
          <w:tab w:val="left" w:pos="4246"/>
        </w:tabs>
        <w:snapToGrid w:val="0"/>
        <w:spacing w:line="353" w:lineRule="auto"/>
        <w:ind w:firstLine="640" w:firstLineChars="200"/>
        <w:rPr>
          <w:lang w:val="zh-CN"/>
        </w:rPr>
      </w:pPr>
      <w:r>
        <w:rPr>
          <w:rFonts w:hint="eastAsia" w:eastAsia="仿宋_GB2312"/>
          <w:sz w:val="32"/>
          <w:szCs w:val="32"/>
        </w:rPr>
        <w:t>2021年</w:t>
      </w:r>
      <w:r>
        <w:rPr>
          <w:rFonts w:eastAsia="仿宋_GB2312"/>
          <w:sz w:val="32"/>
          <w:szCs w:val="32"/>
        </w:rPr>
        <w:t>本部门预算绩效目标完成</w:t>
      </w:r>
      <w:r>
        <w:rPr>
          <w:rFonts w:hint="eastAsia" w:eastAsia="仿宋_GB2312"/>
          <w:sz w:val="32"/>
          <w:szCs w:val="32"/>
        </w:rPr>
        <w:t>良好。</w:t>
      </w:r>
    </w:p>
    <w:p>
      <w:pPr>
        <w:widowControl/>
        <w:numPr>
          <w:ilvl w:val="0"/>
          <w:numId w:val="4"/>
        </w:numPr>
        <w:adjustRightInd w:val="0"/>
        <w:snapToGrid w:val="0"/>
        <w:spacing w:line="576"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存在问题。</w:t>
      </w:r>
    </w:p>
    <w:p>
      <w:pPr>
        <w:pStyle w:val="2"/>
        <w:numPr>
          <w:ilvl w:val="0"/>
          <w:numId w:val="0"/>
        </w:numPr>
        <w:ind w:firstLine="640" w:firstLineChars="200"/>
        <w:rPr>
          <w:lang w:val="zh-CN"/>
        </w:rPr>
      </w:pPr>
      <w:r>
        <w:rPr>
          <w:rFonts w:hint="eastAsia" w:eastAsia="仿宋_GB2312"/>
          <w:sz w:val="32"/>
          <w:szCs w:val="32"/>
        </w:rPr>
        <w:t>资金使用效益有待进一步提高。</w:t>
      </w:r>
    </w:p>
    <w:p>
      <w:pPr>
        <w:widowControl/>
        <w:numPr>
          <w:ilvl w:val="0"/>
          <w:numId w:val="4"/>
        </w:numPr>
        <w:adjustRightInd w:val="0"/>
        <w:snapToGrid w:val="0"/>
        <w:spacing w:line="576"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改进建议。</w:t>
      </w:r>
    </w:p>
    <w:p>
      <w:pPr>
        <w:snapToGrid w:val="0"/>
        <w:spacing w:line="353" w:lineRule="auto"/>
        <w:ind w:firstLine="640" w:firstLineChars="200"/>
        <w:rPr>
          <w:rFonts w:hint="eastAsia" w:eastAsia="仿宋_GB2312"/>
          <w:sz w:val="32"/>
          <w:szCs w:val="32"/>
        </w:rPr>
      </w:pPr>
      <w:r>
        <w:rPr>
          <w:rFonts w:hint="eastAsia" w:eastAsia="仿宋_GB2312"/>
          <w:sz w:val="32"/>
          <w:szCs w:val="32"/>
        </w:rPr>
        <w:t>提高业务水平，注重评价质量，资金分析常态化，定期做好预算支出分析，做好部门整体支出预算评价工作。</w:t>
      </w:r>
    </w:p>
    <w:p>
      <w:pPr>
        <w:spacing w:line="600" w:lineRule="exact"/>
        <w:jc w:val="both"/>
        <w:outlineLvl w:val="0"/>
        <w:rPr>
          <w:rFonts w:hint="eastAsia" w:ascii="黑体" w:hAnsi="黑体" w:eastAsia="黑体"/>
          <w:sz w:val="44"/>
          <w:szCs w:val="44"/>
        </w:rPr>
      </w:pPr>
      <w:bookmarkStart w:id="59" w:name="_Toc15396618"/>
    </w:p>
    <w:p>
      <w:pPr>
        <w:spacing w:line="600" w:lineRule="exact"/>
        <w:jc w:val="both"/>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26"/>
          <w:rFonts w:hint="eastAsia" w:ascii="仿宋" w:hAnsi="仿宋" w:eastAsia="仿宋"/>
          <w:b w:val="0"/>
          <w:bCs w:val="0"/>
        </w:rPr>
        <w:t>入决算表</w:t>
      </w:r>
      <w:bookmarkEnd w:id="61"/>
    </w:p>
    <w:p>
      <w:pPr>
        <w:pStyle w:val="4"/>
        <w:rPr>
          <w:rFonts w:ascii="仿宋" w:hAnsi="仿宋" w:eastAsia="仿宋"/>
        </w:rPr>
      </w:pPr>
      <w:bookmarkStart w:id="62"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3"/>
    </w:p>
    <w:p>
      <w:pPr>
        <w:pStyle w:val="4"/>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1"/>
    </w:p>
    <w:p>
      <w:pPr>
        <w:pStyle w:val="4"/>
        <w:rPr>
          <w:rStyle w:val="26"/>
          <w:rFonts w:ascii="仿宋" w:hAnsi="仿宋" w:eastAsia="仿宋"/>
          <w:b w:val="0"/>
          <w:bCs w:val="0"/>
        </w:rPr>
      </w:pPr>
      <w:bookmarkStart w:id="72"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2"/>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134"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74D32"/>
    <w:multiLevelType w:val="singleLevel"/>
    <w:tmpl w:val="BB574D32"/>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zOTY5OTljMWI5OWJlMjM5MjgwMmMyMzQxNjM3MTYifQ=="/>
  </w:docVars>
  <w:rsids>
    <w:rsidRoot w:val="00F1361C"/>
    <w:rsid w:val="000222C6"/>
    <w:rsid w:val="0002549F"/>
    <w:rsid w:val="000468DB"/>
    <w:rsid w:val="0006487A"/>
    <w:rsid w:val="00065F8F"/>
    <w:rsid w:val="00070A43"/>
    <w:rsid w:val="000768F2"/>
    <w:rsid w:val="000916E3"/>
    <w:rsid w:val="0009184B"/>
    <w:rsid w:val="00094236"/>
    <w:rsid w:val="00094616"/>
    <w:rsid w:val="0009593C"/>
    <w:rsid w:val="00097322"/>
    <w:rsid w:val="000A6480"/>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3E89"/>
    <w:rsid w:val="00144D6A"/>
    <w:rsid w:val="0014729F"/>
    <w:rsid w:val="00157BAB"/>
    <w:rsid w:val="001654D1"/>
    <w:rsid w:val="00171D94"/>
    <w:rsid w:val="00174518"/>
    <w:rsid w:val="0018106D"/>
    <w:rsid w:val="001877A7"/>
    <w:rsid w:val="00191536"/>
    <w:rsid w:val="00196687"/>
    <w:rsid w:val="001C0962"/>
    <w:rsid w:val="001D7531"/>
    <w:rsid w:val="001E737D"/>
    <w:rsid w:val="001F0592"/>
    <w:rsid w:val="001F1BB8"/>
    <w:rsid w:val="001F7506"/>
    <w:rsid w:val="002006CD"/>
    <w:rsid w:val="00202128"/>
    <w:rsid w:val="00202B36"/>
    <w:rsid w:val="00204B7A"/>
    <w:rsid w:val="00204CDE"/>
    <w:rsid w:val="0021101A"/>
    <w:rsid w:val="00220536"/>
    <w:rsid w:val="002252CA"/>
    <w:rsid w:val="00226379"/>
    <w:rsid w:val="00235629"/>
    <w:rsid w:val="002545A9"/>
    <w:rsid w:val="00260C38"/>
    <w:rsid w:val="002616C0"/>
    <w:rsid w:val="00265372"/>
    <w:rsid w:val="002662AA"/>
    <w:rsid w:val="00280496"/>
    <w:rsid w:val="00294DC9"/>
    <w:rsid w:val="00295495"/>
    <w:rsid w:val="002A31DE"/>
    <w:rsid w:val="002B2613"/>
    <w:rsid w:val="002D4ADC"/>
    <w:rsid w:val="002D6D05"/>
    <w:rsid w:val="002F1818"/>
    <w:rsid w:val="002F567B"/>
    <w:rsid w:val="002F79D0"/>
    <w:rsid w:val="003216A9"/>
    <w:rsid w:val="00335A74"/>
    <w:rsid w:val="0036561B"/>
    <w:rsid w:val="0037013F"/>
    <w:rsid w:val="00380C92"/>
    <w:rsid w:val="003A484F"/>
    <w:rsid w:val="003A4883"/>
    <w:rsid w:val="003B0BE0"/>
    <w:rsid w:val="003B0C1B"/>
    <w:rsid w:val="003B688C"/>
    <w:rsid w:val="003B78C9"/>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32A3"/>
    <w:rsid w:val="004E0A2D"/>
    <w:rsid w:val="004E206B"/>
    <w:rsid w:val="004E6DF7"/>
    <w:rsid w:val="004F0FBD"/>
    <w:rsid w:val="00505A47"/>
    <w:rsid w:val="00512FDA"/>
    <w:rsid w:val="00520DA0"/>
    <w:rsid w:val="00535A0C"/>
    <w:rsid w:val="005664BB"/>
    <w:rsid w:val="00566FFA"/>
    <w:rsid w:val="0057481D"/>
    <w:rsid w:val="0058486E"/>
    <w:rsid w:val="00585B33"/>
    <w:rsid w:val="0059014D"/>
    <w:rsid w:val="005B5C64"/>
    <w:rsid w:val="005C5337"/>
    <w:rsid w:val="005C6BD0"/>
    <w:rsid w:val="005D1C8B"/>
    <w:rsid w:val="005D468D"/>
    <w:rsid w:val="005D5CED"/>
    <w:rsid w:val="005F1A4C"/>
    <w:rsid w:val="00600CCE"/>
    <w:rsid w:val="00605688"/>
    <w:rsid w:val="006070AF"/>
    <w:rsid w:val="00607E6C"/>
    <w:rsid w:val="006101B1"/>
    <w:rsid w:val="00614E44"/>
    <w:rsid w:val="0062270A"/>
    <w:rsid w:val="00622830"/>
    <w:rsid w:val="00623DA0"/>
    <w:rsid w:val="00630AEF"/>
    <w:rsid w:val="006325CB"/>
    <w:rsid w:val="006325F8"/>
    <w:rsid w:val="00633463"/>
    <w:rsid w:val="00634C9A"/>
    <w:rsid w:val="00641163"/>
    <w:rsid w:val="006440E4"/>
    <w:rsid w:val="006566D1"/>
    <w:rsid w:val="0066343B"/>
    <w:rsid w:val="00664777"/>
    <w:rsid w:val="006748A4"/>
    <w:rsid w:val="00681A31"/>
    <w:rsid w:val="00683E73"/>
    <w:rsid w:val="006A3141"/>
    <w:rsid w:val="006A5E34"/>
    <w:rsid w:val="006B2422"/>
    <w:rsid w:val="006B2B9A"/>
    <w:rsid w:val="006B4F8A"/>
    <w:rsid w:val="006C1937"/>
    <w:rsid w:val="006F020C"/>
    <w:rsid w:val="00707B7C"/>
    <w:rsid w:val="007127B7"/>
    <w:rsid w:val="00716717"/>
    <w:rsid w:val="0071798E"/>
    <w:rsid w:val="007318D2"/>
    <w:rsid w:val="007416B6"/>
    <w:rsid w:val="00746F48"/>
    <w:rsid w:val="0075404D"/>
    <w:rsid w:val="0076182A"/>
    <w:rsid w:val="00767B7E"/>
    <w:rsid w:val="007770C3"/>
    <w:rsid w:val="00784D24"/>
    <w:rsid w:val="00785FBA"/>
    <w:rsid w:val="00786E4A"/>
    <w:rsid w:val="007875EB"/>
    <w:rsid w:val="0079426B"/>
    <w:rsid w:val="007A4622"/>
    <w:rsid w:val="007A6679"/>
    <w:rsid w:val="007C1E71"/>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1BEF"/>
    <w:rsid w:val="00885AF4"/>
    <w:rsid w:val="00887152"/>
    <w:rsid w:val="008939CD"/>
    <w:rsid w:val="008950E9"/>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2F43"/>
    <w:rsid w:val="009F7527"/>
    <w:rsid w:val="00A04EB0"/>
    <w:rsid w:val="00A13CC1"/>
    <w:rsid w:val="00A16847"/>
    <w:rsid w:val="00A237D8"/>
    <w:rsid w:val="00A268C4"/>
    <w:rsid w:val="00A307CD"/>
    <w:rsid w:val="00A331C8"/>
    <w:rsid w:val="00A3685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3F9D"/>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D4FD7"/>
    <w:rsid w:val="00BF40C7"/>
    <w:rsid w:val="00BF5BD6"/>
    <w:rsid w:val="00C03E31"/>
    <w:rsid w:val="00C32320"/>
    <w:rsid w:val="00C33E72"/>
    <w:rsid w:val="00C354B2"/>
    <w:rsid w:val="00C35554"/>
    <w:rsid w:val="00C42709"/>
    <w:rsid w:val="00C533CC"/>
    <w:rsid w:val="00C5751C"/>
    <w:rsid w:val="00C61BFC"/>
    <w:rsid w:val="00C62B85"/>
    <w:rsid w:val="00C65438"/>
    <w:rsid w:val="00C87FD8"/>
    <w:rsid w:val="00C91381"/>
    <w:rsid w:val="00C91CBB"/>
    <w:rsid w:val="00C94BAC"/>
    <w:rsid w:val="00CB4E70"/>
    <w:rsid w:val="00CC09B6"/>
    <w:rsid w:val="00CC666F"/>
    <w:rsid w:val="00CD1E3F"/>
    <w:rsid w:val="00CE44F6"/>
    <w:rsid w:val="00CE49DA"/>
    <w:rsid w:val="00CE7B61"/>
    <w:rsid w:val="00CF7B5E"/>
    <w:rsid w:val="00D00095"/>
    <w:rsid w:val="00D114F0"/>
    <w:rsid w:val="00D20620"/>
    <w:rsid w:val="00D254F7"/>
    <w:rsid w:val="00D26091"/>
    <w:rsid w:val="00D2685C"/>
    <w:rsid w:val="00D34E7C"/>
    <w:rsid w:val="00D35489"/>
    <w:rsid w:val="00D36AFE"/>
    <w:rsid w:val="00D51276"/>
    <w:rsid w:val="00D7035F"/>
    <w:rsid w:val="00DA634F"/>
    <w:rsid w:val="00DA65AC"/>
    <w:rsid w:val="00DA7A17"/>
    <w:rsid w:val="00DB1913"/>
    <w:rsid w:val="00DC410D"/>
    <w:rsid w:val="00DC5A81"/>
    <w:rsid w:val="00DC68CA"/>
    <w:rsid w:val="00DC7CBA"/>
    <w:rsid w:val="00DD73B7"/>
    <w:rsid w:val="00DF28BC"/>
    <w:rsid w:val="00DF34B9"/>
    <w:rsid w:val="00E01053"/>
    <w:rsid w:val="00E07ACF"/>
    <w:rsid w:val="00E1689C"/>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A7E"/>
    <w:rsid w:val="00ED6FBE"/>
    <w:rsid w:val="00EE2F57"/>
    <w:rsid w:val="00EE3856"/>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7E98"/>
    <w:rsid w:val="00FC195A"/>
    <w:rsid w:val="00FD3CC1"/>
    <w:rsid w:val="00FF1E02"/>
    <w:rsid w:val="00FF30B4"/>
    <w:rsid w:val="066E0107"/>
    <w:rsid w:val="06C706BF"/>
    <w:rsid w:val="07996F6E"/>
    <w:rsid w:val="0A2032A3"/>
    <w:rsid w:val="0C637445"/>
    <w:rsid w:val="0D8D7576"/>
    <w:rsid w:val="0DD759F4"/>
    <w:rsid w:val="101860EC"/>
    <w:rsid w:val="10C055FF"/>
    <w:rsid w:val="118107EC"/>
    <w:rsid w:val="13D50BC4"/>
    <w:rsid w:val="1620180E"/>
    <w:rsid w:val="16BB723D"/>
    <w:rsid w:val="19B32FBA"/>
    <w:rsid w:val="1BE8440E"/>
    <w:rsid w:val="1D155CEE"/>
    <w:rsid w:val="20DB3ED9"/>
    <w:rsid w:val="23860B96"/>
    <w:rsid w:val="240371BF"/>
    <w:rsid w:val="24322BFE"/>
    <w:rsid w:val="29FD04D3"/>
    <w:rsid w:val="2C8A61B5"/>
    <w:rsid w:val="2DF04E50"/>
    <w:rsid w:val="30021981"/>
    <w:rsid w:val="319F7F4E"/>
    <w:rsid w:val="36AA5135"/>
    <w:rsid w:val="37DE7023"/>
    <w:rsid w:val="37E16F03"/>
    <w:rsid w:val="383942A0"/>
    <w:rsid w:val="3D0F4376"/>
    <w:rsid w:val="3D98207C"/>
    <w:rsid w:val="42772C41"/>
    <w:rsid w:val="43AC5D3A"/>
    <w:rsid w:val="44E268DA"/>
    <w:rsid w:val="4A5A16A5"/>
    <w:rsid w:val="4A627F82"/>
    <w:rsid w:val="4B4F25DA"/>
    <w:rsid w:val="4BE068DB"/>
    <w:rsid w:val="4CE47978"/>
    <w:rsid w:val="4D577224"/>
    <w:rsid w:val="4EAB630A"/>
    <w:rsid w:val="4ECE2238"/>
    <w:rsid w:val="5305428D"/>
    <w:rsid w:val="5A1C3FCC"/>
    <w:rsid w:val="5AF92295"/>
    <w:rsid w:val="5CD71FC4"/>
    <w:rsid w:val="6117266D"/>
    <w:rsid w:val="62580792"/>
    <w:rsid w:val="6C4A05C8"/>
    <w:rsid w:val="6E7E3605"/>
    <w:rsid w:val="6FF5CC65"/>
    <w:rsid w:val="715C0E4B"/>
    <w:rsid w:val="72734D90"/>
    <w:rsid w:val="73AD73D5"/>
    <w:rsid w:val="73B6EB34"/>
    <w:rsid w:val="79EE5BA4"/>
    <w:rsid w:val="7A894339"/>
    <w:rsid w:val="7AA73725"/>
    <w:rsid w:val="7DE92023"/>
    <w:rsid w:val="7EEF11D3"/>
    <w:rsid w:val="7F104622"/>
    <w:rsid w:val="7FA30C79"/>
    <w:rsid w:val="7FC21584"/>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8"/>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fontstyle71"/>
    <w:qFormat/>
    <w:uiPriority w:val="0"/>
    <w:rPr>
      <w:rFonts w:hint="default" w:ascii="TimesNewRoman" w:hAnsi="TimesNewRoman"/>
      <w:b/>
      <w:bCs/>
      <w:color w:val="000000"/>
      <w:sz w:val="32"/>
      <w:szCs w:val="32"/>
    </w:rPr>
  </w:style>
  <w:style w:type="character" w:customStyle="1" w:styleId="32">
    <w:name w:val="fontstyle41"/>
    <w:qFormat/>
    <w:uiPriority w:val="0"/>
    <w:rPr>
      <w:rFonts w:hint="eastAsia" w:ascii="仿宋_GB2312" w:eastAsia="仿宋_GB2312"/>
      <w:color w:val="000000"/>
      <w:sz w:val="32"/>
      <w:szCs w:val="32"/>
    </w:rPr>
  </w:style>
  <w:style w:type="character" w:customStyle="1" w:styleId="33">
    <w:name w:val="fontstyle31"/>
    <w:qFormat/>
    <w:uiPriority w:val="0"/>
    <w:rPr>
      <w:rFonts w:hint="eastAsia" w:ascii="黑体" w:hAnsi="黑体" w:eastAsia="黑体"/>
      <w:color w:val="000000"/>
      <w:sz w:val="32"/>
      <w:szCs w:val="32"/>
    </w:rPr>
  </w:style>
  <w:style w:type="character" w:customStyle="1" w:styleId="34">
    <w:name w:val="font11"/>
    <w:basedOn w:val="13"/>
    <w:qFormat/>
    <w:uiPriority w:val="0"/>
    <w:rPr>
      <w:rFonts w:hint="eastAsia" w:ascii="宋体" w:hAnsi="宋体" w:eastAsia="宋体" w:cs="宋体"/>
      <w:color w:val="000000"/>
      <w:sz w:val="24"/>
      <w:szCs w:val="24"/>
      <w:u w:val="none"/>
    </w:rPr>
  </w:style>
  <w:style w:type="character" w:customStyle="1" w:styleId="35">
    <w:name w:val="font5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2020年度收入总计</c:v>
                </c:pt>
                <c:pt idx="1">
                  <c:v>2020年度支出总计</c:v>
                </c:pt>
                <c:pt idx="2">
                  <c:v>2021年度收入总计</c:v>
                </c:pt>
                <c:pt idx="3">
                  <c:v>2021年度支出总计</c:v>
                </c:pt>
              </c:strCache>
            </c:strRef>
          </c:cat>
          <c:val>
            <c:numRef>
              <c:f>Sheet1!$B$2:$B$5</c:f>
              <c:numCache>
                <c:formatCode>General</c:formatCode>
                <c:ptCount val="4"/>
                <c:pt idx="0">
                  <c:v>254.57</c:v>
                </c:pt>
                <c:pt idx="1">
                  <c:v>254.57</c:v>
                </c:pt>
                <c:pt idx="2">
                  <c:v>292.82</c:v>
                </c:pt>
                <c:pt idx="3">
                  <c:v>292.82</c:v>
                </c:pt>
              </c:numCache>
            </c:numRef>
          </c:val>
        </c:ser>
        <c:dLbls>
          <c:showLegendKey val="0"/>
          <c:showVal val="0"/>
          <c:showCatName val="0"/>
          <c:showSerName val="0"/>
          <c:showPercent val="0"/>
          <c:showBubbleSize val="0"/>
        </c:dLbls>
        <c:gapWidth val="150"/>
        <c:axId val="132020096"/>
        <c:axId val="132021632"/>
      </c:barChart>
      <c:catAx>
        <c:axId val="1320200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021632"/>
        <c:crosses val="autoZero"/>
        <c:auto val="1"/>
        <c:lblAlgn val="ctr"/>
        <c:lblOffset val="100"/>
        <c:noMultiLvlLbl val="0"/>
      </c:catAx>
      <c:valAx>
        <c:axId val="1320216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0200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收入决算结构</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一般公共预算收入</c:v>
                </c:pt>
              </c:strCache>
            </c:strRef>
          </c:cat>
          <c:val>
            <c:numRef>
              <c:f>Sheet1!$B$2</c:f>
              <c:numCache>
                <c:formatCode>General</c:formatCode>
                <c:ptCount val="1"/>
                <c:pt idx="0">
                  <c:v>199.11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182.24</c:v>
                </c:pt>
                <c:pt idx="1">
                  <c:v>16.92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6349873843566"/>
          <c:y val="0.794755859363936"/>
          <c:w val="0.331202691337258"/>
          <c:h val="0.145295202952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2020年度收入总计</c:v>
                </c:pt>
                <c:pt idx="1">
                  <c:v>2020年度支出总计</c:v>
                </c:pt>
                <c:pt idx="2">
                  <c:v>2021年度收入总计</c:v>
                </c:pt>
                <c:pt idx="3">
                  <c:v>2021年度支出总计</c:v>
                </c:pt>
              </c:strCache>
            </c:strRef>
          </c:cat>
          <c:val>
            <c:numRef>
              <c:f>Sheet1!$B$2:$B$5</c:f>
              <c:numCache>
                <c:formatCode>General</c:formatCode>
                <c:ptCount val="4"/>
                <c:pt idx="0">
                  <c:v>254.57</c:v>
                </c:pt>
                <c:pt idx="1">
                  <c:v>254.57</c:v>
                </c:pt>
                <c:pt idx="2">
                  <c:v>292.82</c:v>
                </c:pt>
                <c:pt idx="3">
                  <c:v>292.82</c:v>
                </c:pt>
              </c:numCache>
            </c:numRef>
          </c:val>
        </c:ser>
        <c:dLbls>
          <c:showLegendKey val="0"/>
          <c:showVal val="1"/>
          <c:showCatName val="0"/>
          <c:showSerName val="0"/>
          <c:showPercent val="0"/>
          <c:showBubbleSize val="0"/>
        </c:dLbls>
        <c:gapWidth val="150"/>
        <c:axId val="133495040"/>
        <c:axId val="138555392"/>
      </c:barChart>
      <c:catAx>
        <c:axId val="1334950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555392"/>
        <c:crosses val="autoZero"/>
        <c:auto val="1"/>
        <c:lblAlgn val="ctr"/>
        <c:lblOffset val="100"/>
        <c:noMultiLvlLbl val="0"/>
      </c:catAx>
      <c:valAx>
        <c:axId val="138555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49504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158.83</c:v>
                </c:pt>
                <c:pt idx="1">
                  <c:v>199.16</c:v>
                </c:pt>
              </c:numCache>
            </c:numRef>
          </c:val>
        </c:ser>
        <c:dLbls>
          <c:showLegendKey val="0"/>
          <c:showVal val="1"/>
          <c:showCatName val="0"/>
          <c:showSerName val="0"/>
          <c:showPercent val="0"/>
          <c:showBubbleSize val="0"/>
        </c:dLbls>
        <c:gapWidth val="150"/>
        <c:axId val="132844544"/>
        <c:axId val="132858624"/>
      </c:barChart>
      <c:catAx>
        <c:axId val="1328445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858624"/>
        <c:crosses val="autoZero"/>
        <c:auto val="1"/>
        <c:lblAlgn val="ctr"/>
        <c:lblOffset val="100"/>
        <c:noMultiLvlLbl val="0"/>
      </c:catAx>
      <c:valAx>
        <c:axId val="132858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8445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卫生健康</c:v>
                </c:pt>
                <c:pt idx="1">
                  <c:v>社会保障和就业</c:v>
                </c:pt>
                <c:pt idx="2">
                  <c:v>住房保障</c:v>
                </c:pt>
              </c:strCache>
            </c:strRef>
          </c:cat>
          <c:val>
            <c:numRef>
              <c:f>Sheet1!$B$2:$B$4</c:f>
              <c:numCache>
                <c:formatCode>General</c:formatCode>
                <c:ptCount val="3"/>
                <c:pt idx="0">
                  <c:v>181.74</c:v>
                </c:pt>
                <c:pt idx="1">
                  <c:v>7.43</c:v>
                </c:pt>
                <c:pt idx="2">
                  <c:v>9.99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公务车运行维护费支出</c:v>
                </c:pt>
                <c:pt idx="1">
                  <c:v>公务接待费支出</c:v>
                </c:pt>
                <c:pt idx="2">
                  <c:v>因公出国（境）费支出</c:v>
                </c:pt>
                <c:pt idx="3">
                  <c:v>公务用车购置</c:v>
                </c:pt>
              </c:strCache>
            </c:strRef>
          </c:cat>
          <c:val>
            <c:numRef>
              <c:f>Sheet1!$B$2:$B$5</c:f>
              <c:numCache>
                <c:formatCode>General</c:formatCode>
                <c:ptCount val="4"/>
                <c:pt idx="0">
                  <c:v>4.84</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10607</Words>
  <Characters>11404</Characters>
  <Lines>69</Lines>
  <Paragraphs>19</Paragraphs>
  <TotalTime>1</TotalTime>
  <ScaleCrop>false</ScaleCrop>
  <LinksUpToDate>false</LinksUpToDate>
  <CharactersWithSpaces>11440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宋敏</cp:lastModifiedBy>
  <cp:lastPrinted>2022-08-08T09:11:00Z</cp:lastPrinted>
  <dcterms:modified xsi:type="dcterms:W3CDTF">2023-10-17T06:36:35Z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BD8453D9D0C44DB89EA20955DFBFA67D</vt:lpwstr>
  </property>
</Properties>
</file>