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rPr>
      </w:pPr>
      <w:bookmarkStart w:id="1" w:name="_Toc15378441"/>
      <w:bookmarkStart w:id="2" w:name="_Toc15377425"/>
      <w:bookmarkStart w:id="3" w:name="_Toc15396597"/>
      <w:bookmarkStart w:id="4" w:name="_Toc15396475"/>
      <w:bookmarkStart w:id="5" w:name="_Toc15377193"/>
      <w:r>
        <w:rPr>
          <w:rFonts w:hint="eastAsia" w:ascii="方正小标宋_GBK" w:hAnsi="方正小标宋_GBK" w:eastAsia="方正小标宋_GBK" w:cs="方正小标宋_GBK"/>
          <w:color w:val="auto"/>
          <w:sz w:val="72"/>
          <w:szCs w:val="72"/>
          <w:highlight w:val="none"/>
        </w:rPr>
        <w:t>20</w:t>
      </w:r>
      <w:r>
        <w:rPr>
          <w:rFonts w:hint="eastAsia" w:ascii="方正小标宋_GBK" w:hAnsi="方正小标宋_GBK" w:eastAsia="方正小标宋_GBK" w:cs="方正小标宋_GBK"/>
          <w:color w:val="auto"/>
          <w:sz w:val="72"/>
          <w:szCs w:val="72"/>
          <w:highlight w:val="none"/>
          <w:lang w:val="en-US" w:eastAsia="zh-CN"/>
        </w:rPr>
        <w:t>21</w:t>
      </w:r>
      <w:r>
        <w:rPr>
          <w:rFonts w:hint="eastAsia" w:ascii="方正小标宋_GBK" w:hAnsi="方正小标宋_GBK" w:eastAsia="方正小标宋_GBK" w:cs="方正小标宋_GBK"/>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highlight w:val="none"/>
        </w:rPr>
      </w:pPr>
      <w:bookmarkStart w:id="6" w:name="_Toc15396476"/>
      <w:bookmarkStart w:id="7" w:name="_Toc15377194"/>
      <w:bookmarkStart w:id="8" w:name="_Toc15377426"/>
      <w:bookmarkStart w:id="9" w:name="_Toc15396598"/>
      <w:bookmarkStart w:id="10" w:name="_Toc15378442"/>
      <w:r>
        <w:rPr>
          <w:rFonts w:hint="eastAsia" w:ascii="方正小标宋_GBK" w:hAnsi="方正小标宋_GBK" w:eastAsia="方正小标宋_GBK" w:cs="方正小标宋_GBK"/>
          <w:color w:val="auto"/>
          <w:sz w:val="72"/>
          <w:szCs w:val="72"/>
          <w:highlight w:val="none"/>
        </w:rPr>
        <w:t>四川省</w:t>
      </w:r>
      <w:bookmarkEnd w:id="0"/>
      <w:bookmarkStart w:id="11" w:name="_Toc15306268"/>
      <w:r>
        <w:rPr>
          <w:rFonts w:hint="eastAsia" w:ascii="方正小标宋_GBK" w:hAnsi="方正小标宋_GBK" w:eastAsia="方正小标宋_GBK" w:cs="方正小标宋_GBK"/>
          <w:color w:val="auto"/>
          <w:sz w:val="72"/>
          <w:szCs w:val="72"/>
          <w:highlight w:val="none"/>
          <w:lang w:eastAsia="zh-CN"/>
        </w:rPr>
        <w:t>攀枝花市西区水利工程运行中心</w:t>
      </w:r>
      <w:r>
        <w:rPr>
          <w:rFonts w:hint="eastAsia" w:ascii="方正小标宋_GBK" w:hAnsi="方正小标宋_GBK" w:eastAsia="方正小标宋_GBK" w:cs="方正小标宋_GBK"/>
          <w:color w:val="auto"/>
          <w:sz w:val="72"/>
          <w:szCs w:val="72"/>
          <w:highlight w:val="none"/>
        </w:rPr>
        <w:t>决算</w:t>
      </w:r>
      <w:bookmarkEnd w:id="6"/>
      <w:bookmarkEnd w:id="7"/>
      <w:bookmarkEnd w:id="8"/>
      <w:bookmarkEnd w:id="9"/>
      <w:bookmarkEnd w:id="10"/>
      <w:bookmarkEnd w:id="11"/>
    </w:p>
    <w:p>
      <w:pPr>
        <w:widowControl/>
        <w:jc w:val="center"/>
        <w:rPr>
          <w:rFonts w:hint="eastAsia" w:ascii="方正小标宋_GBK" w:hAnsi="方正小标宋_GBK" w:eastAsia="方正小标宋_GBK" w:cs="方正小标宋_GBK"/>
          <w:color w:val="auto"/>
          <w:sz w:val="72"/>
          <w:szCs w:val="72"/>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hint="eastAsia" w:ascii="黑体" w:hAnsi="黑体" w:eastAsia="黑体"/>
          <w:color w:val="auto"/>
          <w:sz w:val="48"/>
          <w:szCs w:val="48"/>
          <w:highlight w:val="none"/>
        </w:r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keepNext w:val="0"/>
        <w:keepLines w:val="0"/>
        <w:pageBreakBefore w:val="0"/>
        <w:kinsoku/>
        <w:wordWrap/>
        <w:overflowPunct/>
        <w:topLinePunct w:val="0"/>
        <w:autoSpaceDE/>
        <w:autoSpaceDN/>
        <w:bidi w:val="0"/>
        <w:spacing w:line="540" w:lineRule="exact"/>
        <w:textAlignment w:val="auto"/>
        <w:rPr>
          <w:color w:val="auto"/>
          <w:highlight w:val="none"/>
        </w:rPr>
      </w:pPr>
    </w:p>
    <w:p>
      <w:pPr>
        <w:pStyle w:val="11"/>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一、职能</w:t>
      </w:r>
      <w:r>
        <w:rPr>
          <w:rFonts w:hint="eastAsia" w:ascii="仿宋_GB2312" w:hAnsi="仿宋_GB2312" w:eastAsia="仿宋_GB2312" w:cs="仿宋_GB2312"/>
          <w:color w:val="auto"/>
          <w:sz w:val="32"/>
          <w:szCs w:val="32"/>
          <w:highlight w:val="none"/>
          <w:lang w:eastAsia="zh-CN"/>
        </w:rPr>
        <w:t>简介</w:t>
      </w:r>
      <w:r>
        <w:rPr>
          <w:rFonts w:hint="eastAsia" w:ascii="仿宋_GB2312" w:hAnsi="仿宋_GB2312" w:eastAsia="仿宋_GB2312" w:cs="仿宋_GB2312"/>
          <w:color w:val="auto"/>
          <w:sz w:val="32"/>
          <w:szCs w:val="32"/>
          <w:highlight w:val="none"/>
          <w:lang w:val="en-US" w:eastAsia="zh-CN"/>
        </w:rPr>
        <w:t>.......................................4</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2021年重点</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完成情况</w:t>
      </w:r>
      <w:r>
        <w:rPr>
          <w:rFonts w:hint="eastAsia" w:ascii="仿宋_GB2312" w:hAnsi="仿宋_GB2312" w:eastAsia="仿宋_GB2312" w:cs="仿宋_GB2312"/>
          <w:color w:val="auto"/>
          <w:sz w:val="32"/>
          <w:szCs w:val="32"/>
          <w:highlight w:val="none"/>
          <w:lang w:val="en-US" w:eastAsia="zh-CN"/>
        </w:rPr>
        <w:t>.........................5</w:t>
      </w:r>
    </w:p>
    <w:p>
      <w:pPr>
        <w:rPr>
          <w:rFonts w:hint="default"/>
          <w:lang w:val="en-US" w:eastAsia="zh-CN"/>
        </w:rPr>
      </w:pPr>
      <w:r>
        <w:rPr>
          <w:rFonts w:hint="eastAsia" w:ascii="仿宋_GB2312" w:hAnsi="仿宋_GB2312" w:eastAsia="仿宋_GB2312" w:cs="仿宋_GB2312"/>
          <w:color w:val="auto"/>
          <w:sz w:val="32"/>
          <w:szCs w:val="32"/>
          <w:highlight w:val="none"/>
          <w:lang w:val="en-US" w:eastAsia="zh-CN"/>
        </w:rPr>
        <w:t>三、机构设置情况...................................6</w:t>
      </w:r>
    </w:p>
    <w:p>
      <w:pPr>
        <w:pStyle w:val="11"/>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第二部分</w:t>
      </w:r>
      <w:r>
        <w:rPr>
          <w:rFonts w:hint="eastAsia" w:ascii="仿宋_GB2312" w:hAnsi="仿宋_GB2312" w:eastAsia="仿宋_GB2312" w:cs="仿宋_GB2312"/>
          <w:b/>
          <w:bCs/>
          <w:color w:val="auto"/>
          <w:sz w:val="32"/>
          <w:szCs w:val="32"/>
          <w:highlight w:val="none"/>
          <w:lang w:val="en-US" w:eastAsia="zh-CN"/>
        </w:rPr>
        <w:t xml:space="preserve"> 2021年度</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决算情况说明</w:t>
      </w:r>
      <w:r>
        <w:rPr>
          <w:rFonts w:hint="eastAsia" w:ascii="仿宋_GB2312" w:hAnsi="仿宋_GB2312" w:eastAsia="仿宋_GB2312" w:cs="仿宋_GB2312"/>
          <w:b/>
          <w:bCs/>
          <w:color w:val="auto"/>
          <w:sz w:val="32"/>
          <w:szCs w:val="32"/>
          <w:highlight w:val="none"/>
          <w:lang w:val="en-US" w:eastAsia="zh-CN"/>
        </w:rPr>
        <w:t>.................7</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color w:val="auto"/>
          <w:sz w:val="32"/>
          <w:szCs w:val="32"/>
          <w:highlight w:val="none"/>
          <w:lang w:val="en-US" w:eastAsia="zh-CN"/>
        </w:rPr>
        <w:t>.......................7</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color w:val="auto"/>
          <w:sz w:val="32"/>
          <w:szCs w:val="32"/>
          <w:highlight w:val="none"/>
          <w:lang w:val="en-US" w:eastAsia="zh-CN"/>
        </w:rPr>
        <w:t>...............................7</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color w:val="auto"/>
          <w:sz w:val="32"/>
          <w:szCs w:val="32"/>
          <w:highlight w:val="none"/>
          <w:lang w:val="en-US" w:eastAsia="zh-CN"/>
        </w:rPr>
        <w:t>...............................8</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lang w:val="en-US" w:eastAsia="zh-CN"/>
        </w:rPr>
        <w:t>...............9</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lang w:val="en-US" w:eastAsia="zh-CN"/>
        </w:rPr>
        <w:t>...........9</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lang w:val="en-US" w:eastAsia="zh-CN"/>
        </w:rPr>
        <w:t>......11</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三公”经费财政拨款支出决算情况说明</w:t>
      </w:r>
      <w:r>
        <w:rPr>
          <w:rFonts w:hint="eastAsia" w:ascii="仿宋_GB2312" w:hAnsi="仿宋_GB2312" w:eastAsia="仿宋_GB2312" w:cs="仿宋_GB2312"/>
          <w:color w:val="auto"/>
          <w:sz w:val="32"/>
          <w:szCs w:val="32"/>
          <w:highlight w:val="none"/>
          <w:lang w:val="en-US" w:eastAsia="zh-CN"/>
        </w:rPr>
        <w:t>............12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lang w:val="en-US" w:eastAsia="zh-CN"/>
        </w:rPr>
        <w:t>................13</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九、国有资本经营预算支出决算情况说明</w:t>
      </w:r>
      <w:r>
        <w:rPr>
          <w:rFonts w:hint="eastAsia" w:ascii="仿宋_GB2312" w:hAnsi="仿宋_GB2312" w:eastAsia="仿宋_GB2312" w:cs="仿宋_GB2312"/>
          <w:color w:val="auto"/>
          <w:sz w:val="32"/>
          <w:szCs w:val="32"/>
          <w:highlight w:val="none"/>
          <w:lang w:val="en-US" w:eastAsia="zh-CN"/>
        </w:rPr>
        <w:t>..............13</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十、其他重要事项的情况说明</w:t>
      </w:r>
      <w:r>
        <w:rPr>
          <w:rFonts w:hint="eastAsia" w:ascii="仿宋_GB2312" w:hAnsi="仿宋_GB2312" w:eastAsia="仿宋_GB2312" w:cs="仿宋_GB2312"/>
          <w:color w:val="auto"/>
          <w:sz w:val="32"/>
          <w:szCs w:val="32"/>
          <w:highlight w:val="none"/>
          <w:lang w:val="en-US" w:eastAsia="zh-CN"/>
        </w:rPr>
        <w:t>........................13</w:t>
      </w:r>
    </w:p>
    <w:p>
      <w:pPr>
        <w:pStyle w:val="11"/>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第三部分 名词解释</w:t>
      </w: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第四部分 附件</w:t>
      </w:r>
      <w:r>
        <w:rPr>
          <w:rFonts w:hint="eastAsia" w:ascii="仿宋_GB2312" w:hAnsi="仿宋_GB2312" w:eastAsia="仿宋_GB2312" w:cs="仿宋_GB2312"/>
          <w:b/>
          <w:bCs/>
          <w:color w:val="auto"/>
          <w:sz w:val="32"/>
          <w:szCs w:val="32"/>
          <w:highlight w:val="none"/>
          <w:lang w:val="en-US" w:eastAsia="zh-CN"/>
        </w:rPr>
        <w:t>....................................17</w:t>
      </w:r>
    </w:p>
    <w:p>
      <w:pPr>
        <w:pStyle w:val="11"/>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第五部分 附表</w:t>
      </w:r>
      <w:r>
        <w:rPr>
          <w:rFonts w:hint="eastAsia" w:ascii="仿宋_GB2312" w:hAnsi="仿宋_GB2312" w:eastAsia="仿宋_GB2312" w:cs="仿宋_GB2312"/>
          <w:b/>
          <w:bCs/>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一、收入支出决算总表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二、收入决算表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五、财政拨款支出决算明细表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六、一般公共预算财政拨款支出决算表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七、一般公共预算财政拨款支出决算明细表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八、一般公共预算财政拨款基本支出决算表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九、一般公共预算财政拨款项目支出决算表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十、一般公共预算财政拨款“三公”经费支出决算表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十一、政府性基金预算财政拨款收入支出决算表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十二、政府性基金预算财政拨款“三公”经费支出决算表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十三、国有资本经营预算</w:t>
      </w:r>
      <w:r>
        <w:rPr>
          <w:rFonts w:hint="eastAsia" w:ascii="仿宋_GB2312" w:hAnsi="仿宋_GB2312" w:eastAsia="仿宋_GB2312" w:cs="仿宋_GB2312"/>
          <w:color w:val="auto"/>
          <w:sz w:val="32"/>
          <w:szCs w:val="32"/>
          <w:highlight w:val="none"/>
          <w:lang w:eastAsia="zh-CN"/>
        </w:rPr>
        <w:t>财政拨款收入</w:t>
      </w:r>
      <w:r>
        <w:rPr>
          <w:rFonts w:hint="eastAsia" w:ascii="仿宋_GB2312" w:hAnsi="仿宋_GB2312" w:eastAsia="仿宋_GB2312" w:cs="仿宋_GB2312"/>
          <w:color w:val="auto"/>
          <w:sz w:val="32"/>
          <w:szCs w:val="32"/>
          <w:highlight w:val="none"/>
        </w:rPr>
        <w:t>支出决算表</w:t>
      </w:r>
      <w:r>
        <w:rPr>
          <w:rFonts w:hint="eastAsia" w:ascii="仿宋_GB2312" w:hAnsi="仿宋_GB2312" w:eastAsia="仿宋_GB2312" w:cs="仿宋_GB2312"/>
          <w:color w:val="auto"/>
          <w:sz w:val="32"/>
          <w:szCs w:val="32"/>
          <w:highlight w:val="none"/>
          <w:lang w:val="en-US" w:eastAsia="zh-CN"/>
        </w:rPr>
        <w:t>......32</w:t>
      </w:r>
    </w:p>
    <w:p>
      <w:pPr>
        <w:pStyle w:val="12"/>
        <w:keepNext w:val="0"/>
        <w:keepLines w:val="0"/>
        <w:pageBreakBefore w:val="0"/>
        <w:kinsoku/>
        <w:wordWrap/>
        <w:overflowPunct/>
        <w:topLinePunct w:val="0"/>
        <w:autoSpaceDE/>
        <w:autoSpaceDN/>
        <w:bidi w:val="0"/>
        <w:adjustRightInd w:val="0"/>
        <w:snapToGrid w:val="0"/>
        <w:spacing w:line="540" w:lineRule="exact"/>
        <w:ind w:left="0" w:leftChars="0" w:firstLine="0" w:firstLineChars="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十四、国有资本经营预算财政拨款支出决算表..........32</w:t>
      </w:r>
    </w:p>
    <w:p>
      <w:pPr>
        <w:keepNext w:val="0"/>
        <w:keepLines w:val="0"/>
        <w:pageBreakBefore w:val="0"/>
        <w:widowControl/>
        <w:kinsoku/>
        <w:wordWrap/>
        <w:overflowPunct/>
        <w:topLinePunct w:val="0"/>
        <w:autoSpaceDE/>
        <w:autoSpaceDN/>
        <w:bidi w:val="0"/>
        <w:spacing w:line="540" w:lineRule="exact"/>
        <w:jc w:val="left"/>
        <w:textAlignment w:val="auto"/>
        <w:rPr>
          <w:rFonts w:hint="eastAsia" w:ascii="仿宋_GB2312" w:hAnsi="仿宋_GB2312" w:eastAsia="仿宋_GB2312" w:cs="仿宋_GB2312"/>
          <w:bCs/>
          <w:color w:val="auto"/>
          <w:kern w:val="44"/>
          <w:sz w:val="32"/>
          <w:szCs w:val="32"/>
          <w:highlight w:val="none"/>
        </w:rPr>
      </w:pPr>
      <w:bookmarkStart w:id="12" w:name="_Toc15396599"/>
      <w:bookmarkStart w:id="13" w:name="_Toc15377196"/>
      <w:r>
        <w:rPr>
          <w:rFonts w:hint="eastAsia" w:ascii="仿宋_GB2312" w:hAnsi="仿宋_GB2312" w:eastAsia="仿宋_GB2312" w:cs="仿宋_GB2312"/>
          <w:b/>
          <w:color w:val="auto"/>
          <w:sz w:val="32"/>
          <w:szCs w:val="32"/>
          <w:highlight w:val="none"/>
        </w:rPr>
        <w:br w:type="page"/>
      </w:r>
    </w:p>
    <w:p>
      <w:pPr>
        <w:pStyle w:val="3"/>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b w:val="0"/>
          <w:color w:val="auto"/>
          <w:sz w:val="44"/>
          <w:szCs w:val="44"/>
          <w:highlight w:val="none"/>
        </w:rPr>
        <w:t xml:space="preserve">第一部分 </w:t>
      </w:r>
      <w:r>
        <w:rPr>
          <w:rFonts w:hint="eastAsia" w:ascii="方正小标宋_GBK" w:hAnsi="方正小标宋_GBK" w:eastAsia="方正小标宋_GBK" w:cs="方正小标宋_GBK"/>
          <w:b w:val="0"/>
          <w:color w:val="auto"/>
          <w:sz w:val="44"/>
          <w:szCs w:val="44"/>
          <w:highlight w:val="none"/>
          <w:lang w:eastAsia="zh-CN"/>
        </w:rPr>
        <w:t>单位</w:t>
      </w:r>
      <w:r>
        <w:rPr>
          <w:rStyle w:val="25"/>
          <w:rFonts w:hint="eastAsia" w:ascii="方正小标宋_GBK" w:hAnsi="方正小标宋_GBK" w:eastAsia="方正小标宋_GBK" w:cs="方正小标宋_GBK"/>
          <w:b w:val="0"/>
          <w:bCs w:val="0"/>
          <w:color w:val="auto"/>
          <w:sz w:val="44"/>
          <w:szCs w:val="44"/>
          <w:highlight w:val="none"/>
        </w:rPr>
        <w:t>概况</w:t>
      </w:r>
      <w:bookmarkEnd w:id="12"/>
      <w:bookmarkEnd w:id="13"/>
    </w:p>
    <w:p>
      <w:pPr>
        <w:pStyle w:val="4"/>
        <w:pageBreakBefore w:val="0"/>
        <w:widowControl w:val="0"/>
        <w:numPr>
          <w:ilvl w:val="0"/>
          <w:numId w:val="1"/>
        </w:numPr>
        <w:kinsoku/>
        <w:wordWrap/>
        <w:overflowPunct/>
        <w:topLinePunct w:val="0"/>
        <w:autoSpaceDE/>
        <w:autoSpaceDN/>
        <w:bidi w:val="0"/>
        <w:adjustRightInd/>
        <w:spacing w:before="0" w:after="0" w:line="560" w:lineRule="exact"/>
        <w:ind w:left="0" w:firstLine="640" w:firstLineChars="200"/>
        <w:textAlignment w:val="auto"/>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pageBreakBefore w:val="0"/>
        <w:widowControl w:val="0"/>
        <w:kinsoku/>
        <w:wordWrap/>
        <w:overflowPunct/>
        <w:topLinePunct w:val="0"/>
        <w:autoSpaceDE/>
        <w:autoSpaceDN/>
        <w:bidi w:val="0"/>
        <w:adjustRightInd/>
        <w:snapToGrid w:val="0"/>
        <w:spacing w:line="540" w:lineRule="exact"/>
        <w:ind w:lef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（一）基本情况。</w:t>
      </w:r>
    </w:p>
    <w:p>
      <w:pPr>
        <w:pageBreakBefore w:val="0"/>
        <w:widowControl w:val="0"/>
        <w:kinsoku/>
        <w:wordWrap/>
        <w:overflowPunct/>
        <w:topLinePunct w:val="0"/>
        <w:autoSpaceDE/>
        <w:autoSpaceDN/>
        <w:bidi w:val="0"/>
        <w:adjustRightInd/>
        <w:snapToGrid w:val="0"/>
        <w:spacing w:line="540" w:lineRule="exact"/>
        <w:ind w:left="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主要职能。</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1.在区委、区政府的统一领导下开展工程建设管理各项工作。 </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2.负责梅子箐水库扩建工程项目规划、立项、报批工作。</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3.在上级部门的指导下组织设计文件的编制、审核、申报等工作。</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4.按照基本建设程序和批准的建设规模、内容、标准组织工程建设。</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梅子箐水库工程建设项目资金的筹集，依据《基本建设财务管理制度》、《会计基础工作规范》等基本管理制度，建立健全各项财务管理制度，并组织编制、审查、上报项目年度建设计划，落实年度工程建设资金，严格按照概算控制工程投资，用好、管好建设资金。</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6.负责工程质量监督、安全监督和开工手续的办理。</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7.负责协调工程建设用地、征地手续办理、征地拆迁、移民安置等工作，解决好工程建设外部条件。</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8.依法对工程项目的勘察、设计、施工、监理和设备材料等组织招标，并签订有关合同。</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9.组织施工用水、用电、道路、通讯和场地平整等准备工作及必要的生产、生活临时设施的建设。</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10.组织研究和处理建设过程中出现的技术和管理问题，加强施工现场管理，委托监理单位组织施工图审查和技术交底，组织重大设计变更的审核与报批。</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11.负责组织制订、上报在建工程度汛方案，落实安全度汛措施，并对建设过程中的安全度汛负责。</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12.负责监督检查现场管理机构建设管理情况，包括工程投资、工期、质量、生产安全和工程建设责任制落实情况等。           </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13.负责组织工程各阶段验收和竣工验收工作，组织编制竣工决算并送审；组织项目运行准备和运行管理，办理项目移交手续。</w:t>
      </w:r>
    </w:p>
    <w:p>
      <w:pPr>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14负责工程档案资料管理，包括对各参建单位所形成档案资料的收集整理、验收，并对归档工作进行监督、检查。</w:t>
      </w:r>
    </w:p>
    <w:p>
      <w:pPr>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人员情况</w:t>
      </w:r>
    </w:p>
    <w:p>
      <w:pPr>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color w:val="000000"/>
          <w:sz w:val="32"/>
          <w:szCs w:val="32"/>
          <w:lang w:eastAsia="zh-CN"/>
        </w:rPr>
        <w:t>水利工程运行中心</w:t>
      </w:r>
      <w:r>
        <w:rPr>
          <w:rFonts w:hint="default" w:ascii="Times New Roman" w:hAnsi="Times New Roman" w:eastAsia="仿宋_GB2312" w:cs="Times New Roman"/>
          <w:sz w:val="32"/>
          <w:szCs w:val="32"/>
        </w:rPr>
        <w:t>共有职工</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人，事业编制</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,在编临聘2人</w:t>
      </w:r>
      <w:r>
        <w:rPr>
          <w:rFonts w:hint="default" w:ascii="Times New Roman" w:hAnsi="Times New Roman" w:eastAsia="仿宋_GB2312" w:cs="Times New Roman"/>
          <w:sz w:val="32"/>
          <w:szCs w:val="32"/>
        </w:rPr>
        <w:t>。</w:t>
      </w:r>
    </w:p>
    <w:p>
      <w:pPr>
        <w:pStyle w:val="4"/>
        <w:pageBreakBefore w:val="0"/>
        <w:widowControl w:val="0"/>
        <w:numPr>
          <w:ilvl w:val="0"/>
          <w:numId w:val="0"/>
        </w:numPr>
        <w:kinsoku/>
        <w:wordWrap/>
        <w:overflowPunct/>
        <w:topLinePunct w:val="0"/>
        <w:autoSpaceDE/>
        <w:autoSpaceDN/>
        <w:bidi w:val="0"/>
        <w:adjustRightInd/>
        <w:spacing w:before="0" w:after="0" w:line="540" w:lineRule="exact"/>
        <w:ind w:firstLine="640" w:firstLineChars="200"/>
        <w:textAlignment w:val="auto"/>
        <w:rPr>
          <w:rFonts w:hint="default" w:ascii="Times New Roman" w:hAnsi="Times New Roman" w:eastAsia="黑体" w:cs="Times New Roman"/>
          <w:b w:val="0"/>
          <w:color w:val="auto"/>
          <w:highlight w:val="none"/>
        </w:rPr>
      </w:pPr>
      <w:r>
        <w:rPr>
          <w:rFonts w:hint="default" w:ascii="Times New Roman" w:hAnsi="Times New Roman" w:eastAsia="黑体" w:cs="Times New Roman"/>
          <w:b w:val="0"/>
          <w:color w:val="auto"/>
          <w:highlight w:val="none"/>
          <w:lang w:val="en-US" w:eastAsia="zh-CN"/>
        </w:rPr>
        <w:t>二、2021</w:t>
      </w:r>
      <w:r>
        <w:rPr>
          <w:rFonts w:hint="default" w:ascii="Times New Roman" w:hAnsi="Times New Roman" w:eastAsia="黑体" w:cs="Times New Roman"/>
          <w:b w:val="0"/>
          <w:bCs/>
          <w:color w:val="auto"/>
          <w:highlight w:val="none"/>
          <w:lang w:val="en-US" w:eastAsia="zh-CN"/>
        </w:rPr>
        <w:t>年重点</w:t>
      </w:r>
      <w:r>
        <w:rPr>
          <w:rFonts w:hint="default" w:ascii="Times New Roman" w:hAnsi="Times New Roman" w:eastAsia="黑体" w:cs="Times New Roman"/>
          <w:b w:val="0"/>
          <w:bCs/>
          <w:color w:val="auto"/>
          <w:highlight w:val="none"/>
        </w:rPr>
        <w:t>工作</w:t>
      </w:r>
      <w:bookmarkEnd w:id="14"/>
      <w:bookmarkEnd w:id="15"/>
      <w:r>
        <w:rPr>
          <w:rFonts w:hint="default" w:ascii="Times New Roman" w:hAnsi="Times New Roman" w:eastAsia="黑体" w:cs="Times New Roman"/>
          <w:b w:val="0"/>
          <w:bCs/>
          <w:color w:val="auto"/>
          <w:highlight w:val="none"/>
          <w:lang w:eastAsia="zh-CN"/>
        </w:rPr>
        <w:t>完成</w:t>
      </w:r>
      <w:r>
        <w:rPr>
          <w:rFonts w:hint="default" w:ascii="Times New Roman" w:hAnsi="Times New Roman" w:eastAsia="黑体" w:cs="Times New Roman"/>
          <w:b w:val="0"/>
          <w:color w:val="auto"/>
          <w:highlight w:val="none"/>
          <w:lang w:eastAsia="zh-CN"/>
        </w:rPr>
        <w:t>情况</w:t>
      </w:r>
    </w:p>
    <w:p>
      <w:pPr>
        <w:pageBreakBefore w:val="0"/>
        <w:widowControl w:val="0"/>
        <w:kinsoku/>
        <w:wordWrap/>
        <w:overflowPunct/>
        <w:topLinePunct w:val="0"/>
        <w:autoSpaceDE/>
        <w:autoSpaceDN/>
        <w:bidi w:val="0"/>
        <w:adjustRightIn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加紧推进工程建设。</w:t>
      </w:r>
    </w:p>
    <w:p>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区水利工程运行中心全年围绕任务目标，加快</w:t>
      </w:r>
      <w:r>
        <w:rPr>
          <w:rFonts w:hint="default" w:ascii="Times New Roman" w:hAnsi="Times New Roman" w:eastAsia="仿宋_GB2312" w:cs="Times New Roman"/>
          <w:sz w:val="32"/>
          <w:szCs w:val="32"/>
          <w:lang w:eastAsia="zh-CN"/>
        </w:rPr>
        <w:t>推进项目</w:t>
      </w:r>
      <w:r>
        <w:rPr>
          <w:rFonts w:hint="default" w:ascii="Times New Roman" w:hAnsi="Times New Roman" w:eastAsia="仿宋_GB2312" w:cs="Times New Roman"/>
          <w:sz w:val="32"/>
          <w:szCs w:val="32"/>
        </w:rPr>
        <w:t>工程建设。梅子箐水库枢纽工程（I标段）、充水渠工程（Ⅱ标段）、三洞桥水库工程（Ⅲ标段）、高涧沟水库扩建工程（Ⅳ标段）、管理房（Ⅶ标）已完工；灌区含提灌站工程（Ⅴ标）因林地手续问题未按计划完工，正在开展灌区提灌站、渡槽等主干渠建设，与灌区工程相关的机电和监控等设备正在根据灌区工程进度同步安装。截至目前，工程总体完成95%。</w:t>
      </w:r>
    </w:p>
    <w:p>
      <w:pPr>
        <w:pageBreakBefore w:val="0"/>
        <w:widowControl w:val="0"/>
        <w:kinsoku/>
        <w:wordWrap/>
        <w:overflowPunct/>
        <w:topLinePunct w:val="0"/>
        <w:autoSpaceDE/>
        <w:autoSpaceDN/>
        <w:bidi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稳抓各项验收工作。</w:t>
      </w:r>
    </w:p>
    <w:p>
      <w:pPr>
        <w:pStyle w:val="24"/>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eastAsia="zh-CN"/>
        </w:rPr>
        <w:t>一是</w:t>
      </w:r>
      <w:r>
        <w:rPr>
          <w:rFonts w:hint="default" w:ascii="Times New Roman" w:hAnsi="Times New Roman" w:eastAsia="仿宋_GB2312" w:cs="Times New Roman"/>
          <w:kern w:val="0"/>
          <w:sz w:val="32"/>
          <w:szCs w:val="32"/>
        </w:rPr>
        <w:t>梅子箐水库扩建工程主体及附属充水工程均已完成建设，其中梅子箐水库枢纽工程、三洞桥水库、高涧沟水库扩建工程均已通过完工验收，充水渠工程正在进行资料收集整理准备核备。</w:t>
      </w:r>
      <w:r>
        <w:rPr>
          <w:rFonts w:hint="default" w:ascii="Times New Roman" w:hAnsi="Times New Roman" w:eastAsia="仿宋_GB2312" w:cs="Times New Roman"/>
          <w:sz w:val="32"/>
          <w:szCs w:val="32"/>
          <w:lang w:val="en-US" w:eastAsia="zh-CN"/>
        </w:rPr>
        <w:t>12月28日</w:t>
      </w:r>
      <w:r>
        <w:rPr>
          <w:rFonts w:hint="default" w:ascii="Times New Roman" w:hAnsi="Times New Roman" w:eastAsia="仿宋" w:cs="Times New Roman"/>
          <w:sz w:val="32"/>
          <w:szCs w:val="32"/>
          <w:lang w:val="en-US" w:eastAsia="zh-CN"/>
        </w:rPr>
        <w:t>四川省水利厅、攀枝花市水利局等部门及部分特邀专家组成的梅子箐水库扩建工程枢纽竣工技术预验收专家组，同意工程通过竣工技术预验收。</w:t>
      </w:r>
      <w:r>
        <w:rPr>
          <w:rFonts w:hint="default" w:ascii="Times New Roman" w:hAnsi="Times New Roman" w:eastAsia="仿宋_GB2312" w:cs="Times New Roman"/>
          <w:b/>
          <w:bCs/>
          <w:kern w:val="0"/>
          <w:sz w:val="32"/>
          <w:szCs w:val="32"/>
          <w:lang w:eastAsia="zh-CN"/>
        </w:rPr>
        <w:t>二是</w:t>
      </w:r>
      <w:r>
        <w:rPr>
          <w:rFonts w:hint="default" w:ascii="Times New Roman" w:hAnsi="Times New Roman" w:eastAsia="仿宋_GB2312" w:cs="Times New Roman"/>
          <w:sz w:val="32"/>
          <w:szCs w:val="32"/>
        </w:rPr>
        <w:t>攀枝花市西区梅子箐水库扩建工程已完成导（截）流阶段验收、下闸蓄水阶段预验收和移民蓄水安置现场验收，主体工程已具备蓄水条件。</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 xml:space="preserve"> 6月，梅子箐水库开始引水，目前水位从1133米升至1150.3米，库容约为850万立方米。通过蓄水期间观察，大坝渗流和压力等数据稳定，库区有部分不稳定边坡垮塌，蓄水总体情况正常。</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kern w:val="0"/>
          <w:sz w:val="32"/>
          <w:szCs w:val="32"/>
        </w:rPr>
        <w:t>中心积极对接省市主管部门，扎实开展验收工作各项前期工作，计划将后续验收工作通过购买专业服务的方式，委托有资质的社会企业开展，为后续验收工作提供有力保障。</w:t>
      </w:r>
    </w:p>
    <w:p>
      <w:pPr>
        <w:pageBreakBefore w:val="0"/>
        <w:widowControl w:val="0"/>
        <w:kinsoku/>
        <w:wordWrap/>
        <w:overflowPunct/>
        <w:topLinePunct w:val="0"/>
        <w:autoSpaceDE/>
        <w:autoSpaceDN/>
        <w:bidi w:val="0"/>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3.狠抓移民征地工作。</w:t>
      </w:r>
    </w:p>
    <w:p>
      <w:pPr>
        <w:pStyle w:val="24"/>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全年移民征地围绕中心工作计划安排，</w:t>
      </w:r>
      <w:r>
        <w:rPr>
          <w:rFonts w:hint="default" w:ascii="Times New Roman" w:hAnsi="Times New Roman" w:eastAsia="仿宋_GB2312" w:cs="Times New Roman"/>
          <w:sz w:val="32"/>
          <w:szCs w:val="32"/>
        </w:rPr>
        <w:t>目前基本完成梅子箐水库扩建工程全线的征地移民补偿工作及征地范围内的移民搬迁安置工作；完成了企业单位、交通设施、输电线路、文物古迹、库底清理等各专项的迁建和补偿工作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已完成水库蓄水阶段移民安置验收终验相关工作。</w:t>
      </w:r>
    </w:p>
    <w:p>
      <w:pPr>
        <w:pStyle w:val="4"/>
        <w:pageBreakBefore w:val="0"/>
        <w:widowControl w:val="0"/>
        <w:numPr>
          <w:ilvl w:val="0"/>
          <w:numId w:val="0"/>
        </w:numPr>
        <w:kinsoku/>
        <w:wordWrap/>
        <w:overflowPunct/>
        <w:topLinePunct w:val="0"/>
        <w:autoSpaceDE/>
        <w:autoSpaceDN/>
        <w:bidi w:val="0"/>
        <w:adjustRightInd/>
        <w:spacing w:before="0" w:after="0" w:line="540" w:lineRule="exact"/>
        <w:ind w:firstLine="640" w:firstLineChars="200"/>
        <w:textAlignment w:val="auto"/>
        <w:rPr>
          <w:rFonts w:hint="default" w:ascii="Times New Roman" w:hAnsi="Times New Roman" w:eastAsia="黑体" w:cs="Times New Roman"/>
          <w:b w:val="0"/>
          <w:color w:val="auto"/>
          <w:highlight w:val="none"/>
          <w:lang w:val="en-US" w:eastAsia="zh-CN"/>
        </w:rPr>
      </w:pPr>
      <w:r>
        <w:rPr>
          <w:rFonts w:hint="default" w:ascii="Times New Roman" w:hAnsi="Times New Roman" w:eastAsia="黑体" w:cs="Times New Roman"/>
          <w:b w:val="0"/>
          <w:color w:val="auto"/>
          <w:highlight w:val="none"/>
          <w:lang w:val="en-US" w:eastAsia="zh-CN"/>
        </w:rPr>
        <w:t>三、机构设置情况</w:t>
      </w:r>
    </w:p>
    <w:p>
      <w:pPr>
        <w:pStyle w:val="24"/>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攀枝花市西区水利工程运行中心属于攀枝花市西区水利局下属的二级预算单位，下设独立编制机构0个，其中行政机构0个，参照公务员法管理的事业机构0个，其他事业机构0个。</w:t>
      </w:r>
    </w:p>
    <w:p>
      <w:pPr>
        <w:pStyle w:val="24"/>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纳入2021年度单位决算编制范围的独立编制机构包括：攀枝花市西区水利工程运行中心。</w:t>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lang w:val="en-US" w:eastAsia="zh-CN"/>
        </w:rPr>
        <w:t xml:space="preserve"> </w:t>
      </w:r>
      <w:r>
        <w:rPr>
          <w:rFonts w:hint="eastAsia" w:ascii="方正小标宋_GBK" w:hAnsi="方正小标宋_GBK" w:eastAsia="方正小标宋_GBK" w:cs="方正小标宋_GBK"/>
          <w:b w:val="0"/>
          <w:bCs/>
          <w:color w:val="auto"/>
          <w:highlight w:val="none"/>
          <w:lang w:val="en-US" w:eastAsia="zh-CN"/>
        </w:rPr>
        <w:t xml:space="preserve"> </w:t>
      </w:r>
      <w:r>
        <w:rPr>
          <w:rFonts w:hint="eastAsia" w:ascii="方正小标宋_GBK" w:hAnsi="方正小标宋_GBK" w:eastAsia="方正小标宋_GBK" w:cs="方正小标宋_GBK"/>
          <w:b w:val="0"/>
          <w:bCs/>
          <w:color w:val="auto"/>
          <w:highlight w:val="none"/>
        </w:rPr>
        <w:t xml:space="preserve">第二部分 </w:t>
      </w:r>
      <w:r>
        <w:rPr>
          <w:rFonts w:hint="eastAsia" w:ascii="方正小标宋_GBK" w:hAnsi="方正小标宋_GBK" w:eastAsia="方正小标宋_GBK" w:cs="方正小标宋_GBK"/>
          <w:b w:val="0"/>
          <w:bCs/>
          <w:color w:val="auto"/>
          <w:highlight w:val="none"/>
          <w:lang w:val="en-US" w:eastAsia="zh-CN"/>
        </w:rPr>
        <w:t>2021年度</w:t>
      </w:r>
      <w:r>
        <w:rPr>
          <w:rStyle w:val="25"/>
          <w:rFonts w:hint="eastAsia" w:ascii="方正小标宋_GBK" w:hAnsi="方正小标宋_GBK" w:eastAsia="方正小标宋_GBK" w:cs="方正小标宋_GBK"/>
          <w:b w:val="0"/>
          <w:bCs/>
          <w:color w:val="auto"/>
          <w:highlight w:val="none"/>
          <w:lang w:eastAsia="zh-CN"/>
        </w:rPr>
        <w:t>单位</w:t>
      </w:r>
      <w:r>
        <w:rPr>
          <w:rStyle w:val="25"/>
          <w:rFonts w:hint="eastAsia" w:ascii="方正小标宋_GBK" w:hAnsi="方正小标宋_GBK" w:eastAsia="方正小标宋_GBK" w:cs="方正小标宋_GBK"/>
          <w:b w:val="0"/>
          <w:bCs/>
          <w:color w:val="auto"/>
          <w:highlight w:val="none"/>
        </w:rPr>
        <w:t>决算情况说明</w:t>
      </w:r>
      <w:bookmarkEnd w:id="16"/>
      <w:bookmarkEnd w:id="17"/>
    </w:p>
    <w:p>
      <w:pPr>
        <w:pStyle w:val="24"/>
        <w:numPr>
          <w:ilvl w:val="0"/>
          <w:numId w:val="2"/>
        </w:numPr>
        <w:spacing w:line="600" w:lineRule="exact"/>
        <w:ind w:firstLineChars="0"/>
        <w:outlineLvl w:val="1"/>
        <w:rPr>
          <w:rStyle w:val="26"/>
          <w:rFonts w:hint="default" w:ascii="Times New Roman" w:hAnsi="Times New Roman" w:eastAsia="黑体" w:cs="Times New Roman"/>
          <w:b w:val="0"/>
          <w:color w:val="auto"/>
          <w:highlight w:val="none"/>
        </w:rPr>
      </w:pPr>
      <w:bookmarkStart w:id="18" w:name="_Toc15396603"/>
      <w:bookmarkStart w:id="19" w:name="_Toc15377205"/>
      <w:r>
        <w:rPr>
          <w:rFonts w:hint="default" w:ascii="Times New Roman" w:hAnsi="Times New Roman" w:eastAsia="黑体" w:cs="Times New Roman"/>
          <w:color w:val="auto"/>
          <w:sz w:val="32"/>
          <w:szCs w:val="32"/>
          <w:highlight w:val="none"/>
        </w:rPr>
        <w:t>收</w:t>
      </w:r>
      <w:r>
        <w:rPr>
          <w:rStyle w:val="26"/>
          <w:rFonts w:hint="default" w:ascii="Times New Roman" w:hAnsi="Times New Roman" w:eastAsia="黑体" w:cs="Times New Roman"/>
          <w:b w:val="0"/>
          <w:color w:val="auto"/>
          <w:highlight w:val="none"/>
        </w:rPr>
        <w:t>入支出决算总体情况说明</w:t>
      </w:r>
      <w:bookmarkEnd w:id="18"/>
      <w:bookmarkEnd w:id="19"/>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2021年度收、支总计</w:t>
      </w:r>
      <w:r>
        <w:rPr>
          <w:rFonts w:hint="default" w:ascii="Times New Roman" w:hAnsi="Times New Roman" w:eastAsia="仿宋" w:cs="Times New Roman"/>
          <w:sz w:val="32"/>
          <w:szCs w:val="32"/>
          <w:lang w:val="en-US" w:eastAsia="zh-CN"/>
        </w:rPr>
        <w:t>1437.07</w:t>
      </w:r>
      <w:r>
        <w:rPr>
          <w:rFonts w:hint="default" w:ascii="Times New Roman" w:hAnsi="Times New Roman" w:eastAsia="仿宋" w:cs="Times New Roman"/>
          <w:sz w:val="32"/>
          <w:szCs w:val="32"/>
        </w:rPr>
        <w:t>万元。与2020年</w:t>
      </w:r>
      <w:r>
        <w:rPr>
          <w:rFonts w:hint="default" w:ascii="Times New Roman" w:hAnsi="Times New Roman" w:eastAsia="仿宋" w:cs="Times New Roman"/>
          <w:sz w:val="32"/>
          <w:szCs w:val="32"/>
          <w:lang w:val="en-US" w:eastAsia="zh-CN"/>
        </w:rPr>
        <w:t>4713.84万元</w:t>
      </w:r>
      <w:r>
        <w:rPr>
          <w:rFonts w:hint="default" w:ascii="Times New Roman" w:hAnsi="Times New Roman" w:eastAsia="仿宋" w:cs="Times New Roman"/>
          <w:sz w:val="32"/>
          <w:szCs w:val="32"/>
        </w:rPr>
        <w:t>相比</w:t>
      </w:r>
      <w:r>
        <w:rPr>
          <w:rFonts w:hint="eastAsia" w:eastAsia="仿宋" w:cs="Times New Roman"/>
          <w:sz w:val="32"/>
          <w:szCs w:val="32"/>
          <w:lang w:eastAsia="zh-CN"/>
        </w:rPr>
        <w:t>，</w:t>
      </w:r>
      <w:r>
        <w:rPr>
          <w:rFonts w:hint="default" w:ascii="Times New Roman" w:hAnsi="Times New Roman" w:eastAsia="仿宋" w:cs="Times New Roman"/>
          <w:sz w:val="32"/>
          <w:szCs w:val="32"/>
        </w:rPr>
        <w:t>收、支总计各减少</w:t>
      </w:r>
      <w:r>
        <w:rPr>
          <w:rFonts w:hint="default" w:ascii="Times New Roman" w:hAnsi="Times New Roman" w:eastAsia="仿宋" w:cs="Times New Roman"/>
          <w:sz w:val="32"/>
          <w:szCs w:val="32"/>
          <w:lang w:val="en-US" w:eastAsia="zh-CN"/>
        </w:rPr>
        <w:t>3276.77</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69.51</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eastAsia="zh-CN"/>
        </w:rPr>
        <w:t>使用上年结转资金。</w:t>
      </w:r>
      <w:r>
        <w:rPr>
          <w:rFonts w:hint="default" w:ascii="Times New Roman" w:hAnsi="Times New Roman" w:eastAsia="仿宋" w:cs="Times New Roman"/>
          <w:sz w:val="32"/>
          <w:szCs w:val="32"/>
        </w:rPr>
        <w:t>（图1：收、支决算总计变动情况图）（柱状图）</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（图1：收、支决算总计变动情况图）（柱状图）</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3296920" cy="1544320"/>
            <wp:effectExtent l="4445" t="4445" r="1333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2"/>
        </w:numPr>
        <w:spacing w:line="600" w:lineRule="exact"/>
        <w:ind w:firstLineChars="0"/>
        <w:outlineLvl w:val="1"/>
        <w:rPr>
          <w:rStyle w:val="26"/>
          <w:rFonts w:hint="default" w:ascii="Times New Roman" w:hAnsi="Times New Roman" w:eastAsia="黑体" w:cs="Times New Roman"/>
          <w:b w:val="0"/>
          <w:color w:val="auto"/>
          <w:highlight w:val="none"/>
        </w:rPr>
      </w:pPr>
      <w:bookmarkStart w:id="20" w:name="_Toc15377206"/>
      <w:bookmarkStart w:id="21" w:name="_Toc15396604"/>
      <w:r>
        <w:rPr>
          <w:rFonts w:hint="default" w:ascii="Times New Roman" w:hAnsi="Times New Roman" w:eastAsia="黑体" w:cs="Times New Roman"/>
          <w:color w:val="auto"/>
          <w:sz w:val="32"/>
          <w:szCs w:val="32"/>
          <w:highlight w:val="none"/>
        </w:rPr>
        <w:t>收</w:t>
      </w:r>
      <w:r>
        <w:rPr>
          <w:rStyle w:val="26"/>
          <w:rFonts w:hint="default" w:ascii="Times New Roman" w:hAnsi="Times New Roman" w:eastAsia="黑体" w:cs="Times New Roman"/>
          <w:b w:val="0"/>
          <w:color w:val="auto"/>
          <w:highlight w:val="none"/>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Style w:val="26"/>
          <w:rFonts w:hint="default" w:ascii="Times New Roman" w:hAnsi="Times New Roman" w:eastAsia="黑体" w:cs="Times New Roman"/>
          <w:b w:val="0"/>
          <w:color w:val="auto"/>
          <w:highlight w:val="none"/>
        </w:rPr>
      </w:pPr>
      <w:r>
        <w:rPr>
          <w:rFonts w:hint="default" w:ascii="Times New Roman" w:hAnsi="Times New Roman" w:eastAsia="仿宋_GB2312" w:cs="Times New Roman"/>
          <w:sz w:val="32"/>
          <w:szCs w:val="32"/>
        </w:rPr>
        <w:t>2021年本年收入合计</w:t>
      </w:r>
      <w:r>
        <w:rPr>
          <w:rFonts w:hint="default" w:ascii="Times New Roman" w:hAnsi="Times New Roman" w:eastAsia="仿宋_GB2312" w:cs="Times New Roman"/>
          <w:sz w:val="32"/>
          <w:szCs w:val="32"/>
          <w:lang w:val="en-US" w:eastAsia="zh-CN"/>
        </w:rPr>
        <w:t>158.37</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12.40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（图2：收入决算结构图）（饼状图）</w:t>
      </w:r>
    </w:p>
    <w:p>
      <w:pPr>
        <w:pStyle w:val="6"/>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516120" cy="2030095"/>
            <wp:effectExtent l="4445" t="4445" r="13335" b="22860"/>
            <wp:docPr id="6" name="图表 5"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4"/>
        <w:numPr>
          <w:ilvl w:val="0"/>
          <w:numId w:val="0"/>
        </w:numPr>
        <w:spacing w:line="600" w:lineRule="exact"/>
        <w:ind w:left="640" w:leftChars="0"/>
        <w:outlineLvl w:val="1"/>
        <w:rPr>
          <w:rStyle w:val="26"/>
          <w:rFonts w:hint="default" w:ascii="Times New Roman" w:hAnsi="Times New Roman" w:eastAsia="黑体" w:cs="Times New Roman"/>
          <w:b w:val="0"/>
          <w:color w:val="auto"/>
          <w:highlight w:val="none"/>
        </w:rPr>
      </w:pPr>
      <w:bookmarkStart w:id="22" w:name="_Toc15396605"/>
      <w:bookmarkStart w:id="23" w:name="_Toc15377207"/>
      <w:r>
        <w:rPr>
          <w:rFonts w:hint="eastAsia"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支</w:t>
      </w:r>
      <w:r>
        <w:rPr>
          <w:rStyle w:val="26"/>
          <w:rFonts w:hint="default" w:ascii="Times New Roman" w:hAnsi="Times New Roman" w:eastAsia="黑体" w:cs="Times New Roman"/>
          <w:b w:val="0"/>
          <w:color w:val="auto"/>
          <w:highlight w:val="none"/>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rPr>
        <w:t>2021年本年支出合计</w:t>
      </w:r>
      <w:r>
        <w:rPr>
          <w:rFonts w:hint="default" w:ascii="Times New Roman" w:hAnsi="Times New Roman" w:eastAsia="仿宋" w:cs="Times New Roman"/>
          <w:sz w:val="32"/>
          <w:szCs w:val="32"/>
          <w:lang w:val="en-US" w:eastAsia="zh-CN"/>
        </w:rPr>
        <w:t>1437.07</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145.97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1291.10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%；上缴上级支出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%；经营支出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%；对附属单位补助支出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firstLineChars="200"/>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（图3：支出决算结构图）（饼状图）</w:t>
      </w:r>
    </w:p>
    <w:p>
      <w:pPr>
        <w:pStyle w:val="6"/>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772660" cy="2447925"/>
            <wp:effectExtent l="4445" t="4445" r="23495" b="62230"/>
            <wp:docPr id="5" name="图表 4"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hint="default" w:ascii="Times New Roman" w:hAnsi="Times New Roman" w:eastAsia="黑体" w:cs="Times New Roman"/>
          <w:b w:val="0"/>
          <w:color w:val="auto"/>
          <w:highlight w:val="none"/>
        </w:rPr>
      </w:pPr>
      <w:bookmarkStart w:id="24" w:name="_Toc15396606"/>
      <w:bookmarkStart w:id="25" w:name="_Toc15377208"/>
      <w:r>
        <w:rPr>
          <w:rFonts w:hint="default" w:ascii="Times New Roman" w:hAnsi="Times New Roman" w:eastAsia="黑体" w:cs="Times New Roman"/>
          <w:color w:val="auto"/>
          <w:sz w:val="32"/>
          <w:szCs w:val="32"/>
          <w:highlight w:val="none"/>
        </w:rPr>
        <w:t>四、财</w:t>
      </w:r>
      <w:r>
        <w:rPr>
          <w:rStyle w:val="26"/>
          <w:rFonts w:hint="default" w:ascii="Times New Roman" w:hAnsi="Times New Roman" w:eastAsia="黑体" w:cs="Times New Roman"/>
          <w:b w:val="0"/>
          <w:color w:val="auto"/>
          <w:highlight w:val="none"/>
        </w:rPr>
        <w:t>政拨款收入支出决算总体情况说明</w:t>
      </w:r>
      <w:bookmarkEnd w:id="24"/>
      <w:bookmarkEnd w:id="25"/>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rPr>
        <w:t>2021年财政拨款收、支总计</w:t>
      </w:r>
      <w:r>
        <w:rPr>
          <w:rFonts w:hint="default" w:ascii="Times New Roman" w:hAnsi="Times New Roman" w:eastAsia="仿宋" w:cs="Times New Roman"/>
          <w:sz w:val="32"/>
          <w:szCs w:val="32"/>
          <w:lang w:val="en-US" w:eastAsia="zh-CN"/>
        </w:rPr>
        <w:t>1437.07</w:t>
      </w:r>
      <w:r>
        <w:rPr>
          <w:rFonts w:hint="default" w:ascii="Times New Roman" w:hAnsi="Times New Roman" w:eastAsia="仿宋" w:cs="Times New Roman"/>
          <w:sz w:val="32"/>
          <w:szCs w:val="32"/>
        </w:rPr>
        <w:t>万元。与2020年相比，财政拨款收、支总计减少</w:t>
      </w:r>
      <w:r>
        <w:rPr>
          <w:rFonts w:hint="default" w:ascii="Times New Roman" w:hAnsi="Times New Roman" w:eastAsia="仿宋" w:cs="Times New Roman"/>
          <w:sz w:val="32"/>
          <w:szCs w:val="32"/>
          <w:lang w:val="en-US" w:eastAsia="zh-CN"/>
        </w:rPr>
        <w:t>3276.77</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69.51</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eastAsia="zh-CN"/>
        </w:rPr>
        <w:t>工程接近尾声，项目款减少。</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（图4：财政拨款收、支决算总计变动情况）（柱状图）</w:t>
      </w:r>
    </w:p>
    <w:p>
      <w:pPr>
        <w:rPr>
          <w:rFonts w:hint="default" w:ascii="Times New Roman" w:hAnsi="Times New Roman" w:eastAsia="仿宋" w:cs="Times New Roman"/>
          <w:b/>
          <w:color w:val="auto"/>
          <w:sz w:val="32"/>
          <w:szCs w:val="32"/>
          <w:highlight w:val="none"/>
        </w:rPr>
      </w:pPr>
      <w:r>
        <w:rPr>
          <w:rFonts w:hint="default" w:ascii="Times New Roman" w:hAnsi="Times New Roman" w:cs="Times New Roman"/>
        </w:rPr>
        <w:drawing>
          <wp:inline distT="0" distB="0" distL="114300" distR="114300">
            <wp:extent cx="4391025" cy="2181860"/>
            <wp:effectExtent l="4445" t="4445" r="5080" b="234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default" w:ascii="Times New Roman" w:hAnsi="Times New Roman" w:cs="Times New Roman"/>
        </w:rPr>
      </w:pPr>
    </w:p>
    <w:p>
      <w:pPr>
        <w:spacing w:line="600" w:lineRule="exact"/>
        <w:ind w:firstLine="640" w:firstLineChars="200"/>
        <w:outlineLvl w:val="1"/>
        <w:rPr>
          <w:rStyle w:val="26"/>
          <w:rFonts w:hint="default" w:ascii="Times New Roman" w:hAnsi="Times New Roman" w:eastAsia="黑体" w:cs="Times New Roman"/>
          <w:b w:val="0"/>
          <w:color w:val="auto"/>
          <w:highlight w:val="none"/>
        </w:rPr>
      </w:pPr>
      <w:bookmarkStart w:id="26" w:name="_Toc15396607"/>
      <w:bookmarkStart w:id="27"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6"/>
          <w:rFonts w:hint="default" w:ascii="Times New Roman" w:hAnsi="Times New Roman" w:eastAsia="黑体" w:cs="Times New Roman"/>
          <w:b w:val="0"/>
          <w:color w:val="auto"/>
          <w:highlight w:val="none"/>
        </w:rPr>
        <w:t>般公共预算财政拨款支出决算情况说明</w:t>
      </w:r>
      <w:bookmarkEnd w:id="26"/>
      <w:bookmarkEnd w:id="27"/>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lang w:eastAsia="zh-CN"/>
        </w:rPr>
      </w:pPr>
      <w:bookmarkStart w:id="28"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28"/>
      <w:r>
        <w:rPr>
          <w:rFonts w:hint="eastAsia" w:ascii="楷体_GB2312" w:hAnsi="楷体_GB2312" w:eastAsia="楷体_GB2312" w:cs="楷体_GB2312"/>
          <w:b w:val="0"/>
          <w:bCs/>
          <w:color w:val="auto"/>
          <w:sz w:val="32"/>
          <w:szCs w:val="32"/>
          <w:highlight w:val="none"/>
          <w:lang w:eastAsia="zh-CN"/>
        </w:rPr>
        <w:t>。</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rPr>
        <w:t>2021年一般公共预算财政拨款支出</w:t>
      </w:r>
      <w:r>
        <w:rPr>
          <w:rFonts w:hint="default" w:ascii="Times New Roman" w:hAnsi="Times New Roman" w:eastAsia="仿宋" w:cs="Times New Roman"/>
          <w:sz w:val="32"/>
          <w:szCs w:val="32"/>
          <w:lang w:val="en-US" w:eastAsia="zh-CN"/>
        </w:rPr>
        <w:t>145.97</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%。与2020年相比，一般公共预算财政拨款支出减少</w:t>
      </w:r>
      <w:r>
        <w:rPr>
          <w:rFonts w:hint="default" w:ascii="Times New Roman" w:hAnsi="Times New Roman" w:eastAsia="仿宋" w:cs="Times New Roman"/>
          <w:sz w:val="32"/>
          <w:szCs w:val="32"/>
          <w:lang w:val="en-US" w:eastAsia="zh-CN"/>
        </w:rPr>
        <w:t>5.77</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lang w:val="en-US" w:eastAsia="zh-CN"/>
        </w:rPr>
        <w:t>3.8</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eastAsia="zh-CN"/>
        </w:rPr>
        <w:t>人员经费减少。</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（图5：一般公共预算财政拨款支出决算变动情况）（柱状图）</w:t>
      </w:r>
    </w:p>
    <w:p>
      <w:pPr>
        <w:rPr>
          <w:rFonts w:hint="default" w:ascii="Times New Roman" w:hAnsi="Times New Roman" w:cs="Times New Roman"/>
        </w:rPr>
      </w:pPr>
      <w:r>
        <w:rPr>
          <w:rFonts w:hint="default" w:ascii="Times New Roman" w:hAnsi="Times New Roman" w:cs="Times New Roman"/>
        </w:rPr>
        <w:drawing>
          <wp:inline distT="0" distB="0" distL="114300" distR="114300">
            <wp:extent cx="4552950" cy="2067560"/>
            <wp:effectExtent l="4445" t="4445" r="14605" b="234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lang w:eastAsia="zh-CN"/>
        </w:rPr>
      </w:pPr>
      <w:bookmarkStart w:id="29" w:name="_Toc15377211"/>
      <w:r>
        <w:rPr>
          <w:rFonts w:hint="default" w:ascii="楷体_GB2312" w:hAnsi="楷体_GB2312" w:eastAsia="楷体_GB2312" w:cs="楷体_GB2312"/>
          <w:b w:val="0"/>
          <w:bCs/>
          <w:color w:val="auto"/>
          <w:sz w:val="32"/>
          <w:szCs w:val="32"/>
          <w:highlight w:val="none"/>
        </w:rPr>
        <w:t>（二）一般公共预算财政拨款支出决算结构情况</w:t>
      </w:r>
      <w:bookmarkEnd w:id="29"/>
      <w:r>
        <w:rPr>
          <w:rFonts w:hint="eastAsia" w:ascii="楷体_GB2312" w:hAnsi="楷体_GB2312" w:eastAsia="楷体_GB2312" w:cs="楷体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rPr>
        <w:t>2021年一般公共预算财政拨款支出</w:t>
      </w:r>
      <w:r>
        <w:rPr>
          <w:rFonts w:hint="default" w:ascii="Times New Roman" w:hAnsi="Times New Roman" w:eastAsia="仿宋" w:cs="Times New Roman"/>
          <w:sz w:val="32"/>
          <w:szCs w:val="32"/>
          <w:lang w:val="en-US" w:eastAsia="zh-CN"/>
        </w:rPr>
        <w:t>145.97</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sz w:val="32"/>
          <w:szCs w:val="32"/>
        </w:rPr>
        <w:t>社会保障和就业（类）</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val="en-US" w:eastAsia="zh-CN"/>
        </w:rPr>
        <w:t>9.24</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lang w:val="en-US" w:eastAsia="zh-CN"/>
        </w:rPr>
        <w:t>7.10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lang w:val="en-US" w:eastAsia="zh-CN"/>
        </w:rPr>
        <w:t>12.08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eastAsia="zh-CN"/>
        </w:rPr>
        <w:t>农林水支出</w:t>
      </w:r>
      <w:r>
        <w:rPr>
          <w:rFonts w:hint="default" w:ascii="Times New Roman" w:hAnsi="Times New Roman" w:eastAsia="仿宋_GB2312" w:cs="Times New Roman"/>
          <w:sz w:val="32"/>
          <w:szCs w:val="32"/>
          <w:lang w:val="en-US" w:eastAsia="zh-CN"/>
        </w:rPr>
        <w:t>117.55万元，</w:t>
      </w:r>
      <w:r>
        <w:rPr>
          <w:rFonts w:hint="default" w:ascii="Times New Roman" w:hAnsi="Times New Roman" w:eastAsia="仿宋_GB2312" w:cs="Times New Roman"/>
          <w:sz w:val="32"/>
          <w:szCs w:val="32"/>
        </w:rPr>
        <w:t>占</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（图6：一般公共预算财政拨款支出决算结构）（饼状图）</w:t>
      </w:r>
    </w:p>
    <w:p>
      <w:pPr>
        <w:pStyle w:val="6"/>
        <w:rPr>
          <w:rFonts w:hint="default" w:ascii="Times New Roman" w:hAnsi="Times New Roman" w:cs="Times New Roman"/>
        </w:rPr>
      </w:pPr>
      <w:r>
        <w:rPr>
          <w:rFonts w:hint="default" w:ascii="Times New Roman" w:hAnsi="Times New Roman" w:cs="Times New Roman"/>
        </w:rPr>
        <w:drawing>
          <wp:inline distT="0" distB="0" distL="114300" distR="114300">
            <wp:extent cx="4105910" cy="2533650"/>
            <wp:effectExtent l="4445" t="4445" r="23495" b="14605"/>
            <wp:docPr id="9" name="图表 8"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color w:val="auto"/>
          <w:sz w:val="32"/>
          <w:szCs w:val="32"/>
          <w:highlight w:val="none"/>
          <w:lang w:eastAsia="zh-CN"/>
        </w:rPr>
      </w:pPr>
      <w:bookmarkStart w:id="30" w:name="_Toc15377212"/>
      <w:r>
        <w:rPr>
          <w:rFonts w:hint="default" w:ascii="Times New Roman" w:hAnsi="Times New Roman" w:eastAsia="楷体_GB2312" w:cs="Times New Roman"/>
          <w:b w:val="0"/>
          <w:bCs/>
          <w:color w:val="auto"/>
          <w:sz w:val="32"/>
          <w:szCs w:val="32"/>
          <w:highlight w:val="none"/>
        </w:rPr>
        <w:t>（三）一般公共预算财政拨款支出决算具体情况</w:t>
      </w:r>
      <w:bookmarkEnd w:id="30"/>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 w:cs="Times New Roman"/>
          <w:sz w:val="32"/>
          <w:szCs w:val="32"/>
        </w:rPr>
      </w:pPr>
      <w:bookmarkStart w:id="31" w:name="_Toc15378460"/>
      <w:bookmarkStart w:id="32" w:name="_Toc15377213"/>
      <w:bookmarkStart w:id="33" w:name="_Toc15377444"/>
      <w:r>
        <w:rPr>
          <w:rFonts w:hint="default" w:ascii="Times New Roman" w:hAnsi="Times New Roman" w:eastAsia="仿宋" w:cs="Times New Roman"/>
          <w:b/>
          <w:sz w:val="32"/>
          <w:szCs w:val="32"/>
        </w:rPr>
        <w:t>2021年一般公共预算支出决算数为</w:t>
      </w:r>
      <w:r>
        <w:rPr>
          <w:rFonts w:hint="default" w:ascii="Times New Roman" w:hAnsi="Times New Roman" w:eastAsia="仿宋" w:cs="Times New Roman"/>
          <w:b/>
          <w:sz w:val="32"/>
          <w:szCs w:val="32"/>
          <w:lang w:val="en-US" w:eastAsia="zh-CN"/>
        </w:rPr>
        <w:t>145.97</w:t>
      </w:r>
      <w:r>
        <w:rPr>
          <w:rFonts w:hint="default" w:ascii="Times New Roman" w:hAnsi="Times New Roman" w:eastAsia="仿宋" w:cs="Times New Roman"/>
          <w:sz w:val="32"/>
          <w:szCs w:val="32"/>
        </w:rPr>
        <w:t>，</w:t>
      </w:r>
      <w:r>
        <w:rPr>
          <w:rStyle w:val="15"/>
          <w:rFonts w:hint="default" w:ascii="Times New Roman" w:hAnsi="Times New Roman" w:eastAsia="仿宋" w:cs="Times New Roman"/>
          <w:bCs/>
          <w:sz w:val="32"/>
          <w:szCs w:val="32"/>
        </w:rPr>
        <w:t>完成预算</w:t>
      </w:r>
      <w:r>
        <w:rPr>
          <w:rStyle w:val="15"/>
          <w:rFonts w:hint="default" w:ascii="Times New Roman" w:hAnsi="Times New Roman" w:eastAsia="仿宋" w:cs="Times New Roman"/>
          <w:bCs/>
          <w:sz w:val="32"/>
          <w:szCs w:val="32"/>
          <w:lang w:val="en-US" w:eastAsia="zh-CN"/>
        </w:rPr>
        <w:t>100</w:t>
      </w:r>
      <w:r>
        <w:rPr>
          <w:rStyle w:val="15"/>
          <w:rFonts w:hint="default" w:ascii="Times New Roman" w:hAnsi="Times New Roman" w:eastAsia="仿宋" w:cs="Times New Roman"/>
          <w:bCs/>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.社会保障和就业（类）</w:t>
      </w:r>
      <w:r>
        <w:rPr>
          <w:rFonts w:hint="default" w:ascii="Times New Roman" w:hAnsi="Times New Roman" w:eastAsia="仿宋_GB2312" w:cs="Times New Roman"/>
          <w:sz w:val="32"/>
          <w:szCs w:val="32"/>
          <w:lang w:eastAsia="zh-CN"/>
        </w:rPr>
        <w:t>行政事业单位退休</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机关事业单位基本养老保险缴费支出</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9.24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事业单位医疗</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6.45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公务员医疗补助</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0.65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4.农林水支出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其他水利支出</w:t>
      </w:r>
      <w:r>
        <w:rPr>
          <w:rFonts w:hint="default" w:ascii="Times New Roman" w:hAnsi="Times New Roman" w:eastAsia="仿宋_GB2312" w:cs="Times New Roman"/>
          <w:sz w:val="32"/>
          <w:szCs w:val="32"/>
        </w:rPr>
        <w:t>（项）:支出决算为</w:t>
      </w:r>
      <w:r>
        <w:rPr>
          <w:rFonts w:hint="default" w:ascii="Times New Roman" w:hAnsi="Times New Roman" w:eastAsia="仿宋_GB2312" w:cs="Times New Roman"/>
          <w:sz w:val="32"/>
          <w:szCs w:val="32"/>
          <w:lang w:val="en-US" w:eastAsia="zh-CN"/>
        </w:rPr>
        <w:t>117.55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sz w:val="32"/>
          <w:szCs w:val="32"/>
          <w:lang w:val="en-US" w:eastAsia="zh-CN"/>
        </w:rPr>
        <w:t>5.住房保障支出（类）住房改革支出（款）住房公积金（项）决算数为12.08万元，完成预算100%</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6"/>
          <w:rFonts w:hint="default" w:ascii="Times New Roman" w:hAnsi="Times New Roman" w:cs="Times New Roman"/>
          <w:color w:val="auto"/>
          <w:highlight w:val="none"/>
        </w:rPr>
      </w:pPr>
      <w:bookmarkStart w:id="34" w:name="_Toc15396608"/>
      <w:bookmarkStart w:id="35" w:name="_Toc15377214"/>
      <w:r>
        <w:rPr>
          <w:rFonts w:hint="default" w:ascii="Times New Roman" w:hAnsi="Times New Roman" w:eastAsia="黑体" w:cs="Times New Roman"/>
          <w:b w:val="0"/>
          <w:bCs w:val="0"/>
          <w:color w:val="auto"/>
          <w:sz w:val="32"/>
          <w:szCs w:val="32"/>
          <w:highlight w:val="none"/>
        </w:rPr>
        <w:t>六、一</w:t>
      </w:r>
      <w:r>
        <w:rPr>
          <w:rStyle w:val="26"/>
          <w:rFonts w:hint="default" w:ascii="Times New Roman" w:hAnsi="Times New Roman" w:eastAsia="黑体" w:cs="Times New Roman"/>
          <w:b w:val="0"/>
          <w:bCs w:val="0"/>
          <w:color w:val="auto"/>
          <w:highlight w:val="none"/>
        </w:rPr>
        <w:t>般公共预算财政拨款基本支出决算情况说明</w:t>
      </w:r>
      <w:bookmarkEnd w:id="34"/>
      <w:bookmarkEnd w:id="35"/>
      <w:r>
        <w:rPr>
          <w:rStyle w:val="26"/>
          <w:rFonts w:hint="default" w:ascii="Times New Roman" w:hAnsi="Times New Roman" w:eastAsia="黑体" w:cs="Times New Roman"/>
          <w:b w:val="0"/>
          <w:bCs w:val="0"/>
          <w:color w:val="auto"/>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2021年一般公共预算财政拨款基本支出</w:t>
      </w:r>
      <w:r>
        <w:rPr>
          <w:rFonts w:hint="default" w:ascii="Times New Roman" w:hAnsi="Times New Roman" w:eastAsia="仿宋" w:cs="Times New Roman"/>
          <w:sz w:val="32"/>
          <w:szCs w:val="32"/>
          <w:lang w:val="en-US" w:eastAsia="zh-CN"/>
        </w:rPr>
        <w:t>145.97</w:t>
      </w:r>
      <w:r>
        <w:rPr>
          <w:rFonts w:hint="default" w:ascii="Times New Roman" w:hAnsi="Times New Roman" w:eastAsia="仿宋"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127.74</w:t>
      </w:r>
      <w:r>
        <w:rPr>
          <w:rFonts w:hint="default" w:ascii="Times New Roman" w:hAnsi="Times New Roman" w:eastAsia="仿宋"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lang w:val="en-US" w:eastAsia="zh-CN"/>
        </w:rPr>
        <w:t>18.23</w:t>
      </w:r>
      <w:r>
        <w:rPr>
          <w:rFonts w:hint="default" w:ascii="Times New Roman" w:hAnsi="Times New Roman" w:eastAsia="仿宋"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6"/>
          <w:rFonts w:hint="default" w:ascii="Times New Roman" w:hAnsi="Times New Roman" w:eastAsia="黑体" w:cs="Times New Roman"/>
          <w:b w:val="0"/>
          <w:color w:val="auto"/>
          <w:highlight w:val="none"/>
        </w:rPr>
      </w:pPr>
      <w:bookmarkStart w:id="36" w:name="_Toc15396609"/>
      <w:bookmarkStart w:id="37" w:name="_Toc15377215"/>
      <w:r>
        <w:rPr>
          <w:rFonts w:hint="default" w:ascii="Times New Roman" w:hAnsi="Times New Roman" w:eastAsia="黑体" w:cs="Times New Roman"/>
          <w:color w:val="auto"/>
          <w:sz w:val="32"/>
          <w:szCs w:val="32"/>
          <w:highlight w:val="none"/>
        </w:rPr>
        <w:t>七、</w:t>
      </w:r>
      <w:r>
        <w:rPr>
          <w:rStyle w:val="26"/>
          <w:rFonts w:hint="default" w:ascii="Times New Roman" w:hAnsi="Times New Roman" w:eastAsia="黑体" w:cs="Times New Roman"/>
          <w:color w:val="auto"/>
          <w:highlight w:val="none"/>
        </w:rPr>
        <w:t>“</w:t>
      </w:r>
      <w:r>
        <w:rPr>
          <w:rStyle w:val="26"/>
          <w:rFonts w:hint="default" w:ascii="Times New Roman" w:hAnsi="Times New Roman" w:eastAsia="黑体" w:cs="Times New Roman"/>
          <w:b w:val="0"/>
          <w:color w:val="auto"/>
          <w:highlight w:val="none"/>
        </w:rPr>
        <w:t>三公”经费财政拨款支出决算情况说明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default" w:ascii="Times New Roman" w:hAnsi="Times New Roman" w:eastAsia="楷体_GB2312" w:cs="Times New Roman"/>
          <w:b w:val="0"/>
          <w:bCs/>
          <w:color w:val="auto"/>
          <w:sz w:val="32"/>
          <w:szCs w:val="32"/>
          <w:highlight w:val="none"/>
          <w:lang w:eastAsia="zh-CN"/>
        </w:rPr>
      </w:pPr>
      <w:bookmarkStart w:id="38" w:name="_Toc15377216"/>
      <w:r>
        <w:rPr>
          <w:rFonts w:hint="default" w:ascii="Times New Roman" w:hAnsi="Times New Roman" w:eastAsia="楷体_GB2312" w:cs="Times New Roman"/>
          <w:b w:val="0"/>
          <w:bCs/>
          <w:color w:val="auto"/>
          <w:sz w:val="32"/>
          <w:szCs w:val="32"/>
          <w:highlight w:val="none"/>
        </w:rPr>
        <w:t>（一）“三公”经费财政拨款支出决算总体情况说明</w:t>
      </w:r>
      <w:bookmarkEnd w:id="38"/>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2021年“三公”经费财政拨款支出决算为</w:t>
      </w:r>
      <w:r>
        <w:rPr>
          <w:rFonts w:hint="default" w:ascii="Times New Roman" w:hAnsi="Times New Roman" w:eastAsia="仿宋" w:cs="Times New Roman"/>
          <w:sz w:val="32"/>
          <w:szCs w:val="32"/>
          <w:lang w:val="en-US" w:eastAsia="zh-CN"/>
        </w:rPr>
        <w:t>7.65</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default" w:ascii="Times New Roman" w:hAnsi="Times New Roman" w:eastAsia="楷体_GB2312" w:cs="Times New Roman"/>
          <w:b w:val="0"/>
          <w:bCs/>
          <w:color w:val="auto"/>
          <w:sz w:val="32"/>
          <w:szCs w:val="32"/>
          <w:highlight w:val="none"/>
          <w:lang w:eastAsia="zh-CN"/>
        </w:rPr>
      </w:pPr>
      <w:bookmarkStart w:id="39" w:name="_Toc15377217"/>
      <w:r>
        <w:rPr>
          <w:rFonts w:hint="default" w:ascii="Times New Roman" w:hAnsi="Times New Roman" w:eastAsia="楷体_GB2312" w:cs="Times New Roman"/>
          <w:b w:val="0"/>
          <w:bCs/>
          <w:color w:val="auto"/>
          <w:sz w:val="32"/>
          <w:szCs w:val="32"/>
          <w:highlight w:val="none"/>
        </w:rPr>
        <w:t>（二）“三公”经费财政拨款支出决算具体情况说明</w:t>
      </w:r>
      <w:bookmarkEnd w:id="39"/>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021年“三公”经费财政拨款支出决算中，因公出国（境）费支出决算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sz w:val="32"/>
          <w:szCs w:val="32"/>
          <w:lang w:val="en-US" w:eastAsia="zh-CN"/>
        </w:rPr>
        <w:t>7.5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98</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sz w:val="32"/>
          <w:szCs w:val="32"/>
          <w:lang w:val="en-US" w:eastAsia="zh-CN"/>
        </w:rPr>
        <w:t>0.15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%。具体情况如下：</w:t>
      </w:r>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（图7：“三公”经费财政拨款支出结构）（饼状图）</w:t>
      </w:r>
    </w:p>
    <w:p>
      <w:pP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838700" cy="2514600"/>
            <wp:effectExtent l="4445" t="4445" r="14605" b="14605"/>
            <wp:docPr id="10" name="图表 9"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rPr>
      </w:pPr>
      <w:bookmarkStart w:id="40" w:name="_Toc15377218"/>
      <w:bookmarkStart w:id="41" w:name="_Toc15396610"/>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人。因公出国（境）支出决算比2020年增加/减少</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万元，增长/下降</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开支内容包括：</w:t>
      </w:r>
      <w:r>
        <w:rPr>
          <w:rFonts w:hint="default" w:ascii="Times New Roman" w:hAnsi="Times New Roman" w:eastAsia="仿宋_GB2312" w:cs="Times New Roman"/>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eastAsia="zh-CN"/>
        </w:rPr>
        <w:t>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万元。截至2021年12月底，单位共有公务用车</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皮卡</w:t>
      </w:r>
      <w:r>
        <w:rPr>
          <w:rFonts w:hint="default" w:ascii="Times New Roman" w:hAnsi="Times New Roman" w:eastAsia="仿宋_GB2312" w:cs="Times New Roman"/>
          <w:sz w:val="32"/>
          <w:szCs w:val="32"/>
        </w:rPr>
        <w:t>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eastAsia" w:eastAsia="仿宋_GB2312" w:cs="Times New Roman"/>
          <w:sz w:val="32"/>
          <w:szCs w:val="32"/>
          <w:lang w:eastAsia="zh-CN"/>
        </w:rPr>
        <w:t>，载客汽车</w:t>
      </w:r>
      <w:r>
        <w:rPr>
          <w:rFonts w:hint="eastAsia" w:eastAsia="仿宋_GB2312" w:cs="Times New Roman"/>
          <w:sz w:val="32"/>
          <w:szCs w:val="32"/>
          <w:lang w:val="en-US" w:eastAsia="zh-CN"/>
        </w:rPr>
        <w:t>0辆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b/>
          <w:sz w:val="32"/>
          <w:szCs w:val="32"/>
          <w:lang w:val="en-US" w:eastAsia="zh-CN"/>
        </w:rPr>
        <w:t>7.5</w:t>
      </w:r>
      <w:r>
        <w:rPr>
          <w:rFonts w:hint="default" w:ascii="Times New Roman" w:hAnsi="Times New Roman" w:eastAsia="仿宋_GB2312" w:cs="Times New Roman"/>
          <w:sz w:val="32"/>
          <w:szCs w:val="32"/>
        </w:rPr>
        <w:t>万元。主要用于事业工作、公共安全、一般行政管理事务、防汛、抗旱、</w:t>
      </w:r>
      <w:r>
        <w:rPr>
          <w:rFonts w:hint="default" w:ascii="Times New Roman" w:hAnsi="Times New Roman" w:eastAsia="仿宋_GB2312" w:cs="Times New Roman"/>
          <w:sz w:val="32"/>
          <w:szCs w:val="32"/>
          <w:lang w:eastAsia="zh-CN"/>
        </w:rPr>
        <w:t>梅子箐水库扩建工程项目工地巡查</w:t>
      </w:r>
      <w:r>
        <w:rPr>
          <w:rFonts w:hint="default" w:ascii="Times New Roman" w:hAnsi="Times New Roman" w:eastAsia="仿宋_GB2312" w:cs="Times New Roman"/>
          <w:sz w:val="32"/>
          <w:szCs w:val="32"/>
        </w:rPr>
        <w:t>等工作所需的公务用车燃料费、维修费、过路过桥费、保险费等支出。</w:t>
      </w:r>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lang w:val="en-US" w:eastAsia="zh-CN"/>
        </w:rPr>
        <w:t>100</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bidi w:val="0"/>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b/>
          <w:sz w:val="32"/>
          <w:szCs w:val="32"/>
          <w:lang w:val="en-US" w:eastAsia="zh-CN"/>
        </w:rPr>
        <w:t>0.15</w:t>
      </w:r>
      <w:r>
        <w:rPr>
          <w:rFonts w:hint="default" w:ascii="Times New Roman" w:hAnsi="Times New Roman" w:eastAsia="仿宋_GB2312" w:cs="Times New Roman"/>
          <w:sz w:val="32"/>
          <w:szCs w:val="32"/>
        </w:rPr>
        <w:t>万元，主要用于用餐费。国内公务接待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接待省水利厅验收梅子箐水库扩建项目，接待金额</w:t>
      </w:r>
      <w:r>
        <w:rPr>
          <w:rFonts w:hint="default" w:ascii="Times New Roman" w:hAnsi="Times New Roman" w:eastAsia="仿宋_GB2312" w:cs="Times New Roman"/>
          <w:sz w:val="32"/>
          <w:szCs w:val="32"/>
          <w:lang w:val="en-US" w:eastAsia="zh-CN"/>
        </w:rPr>
        <w:t>0.15万元</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bidi w:val="0"/>
        <w:snapToGrid/>
        <w:spacing w:line="560" w:lineRule="exact"/>
        <w:ind w:firstLine="640"/>
        <w:jc w:val="both"/>
        <w:textAlignment w:val="auto"/>
        <w:outlineLvl w:val="1"/>
        <w:rPr>
          <w:rStyle w:val="26"/>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6"/>
          <w:rFonts w:hint="default" w:ascii="Times New Roman" w:hAnsi="Times New Roman" w:eastAsia="黑体" w:cs="Times New Roman"/>
          <w:b w:val="0"/>
          <w:color w:val="auto"/>
          <w:highlight w:val="none"/>
        </w:rPr>
        <w:t>政府性基金预算支出决算情况说明</w:t>
      </w:r>
      <w:bookmarkEnd w:id="40"/>
      <w:bookmarkEnd w:id="41"/>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2021年政府性基金预算财政拨款支出</w:t>
      </w:r>
      <w:r>
        <w:rPr>
          <w:rFonts w:hint="default" w:ascii="Times New Roman" w:hAnsi="Times New Roman" w:eastAsia="仿宋_GB2312" w:cs="Times New Roman"/>
          <w:sz w:val="32"/>
          <w:szCs w:val="32"/>
          <w:lang w:val="en-US" w:eastAsia="zh-CN"/>
        </w:rPr>
        <w:t>1291.10</w:t>
      </w:r>
      <w:r>
        <w:rPr>
          <w:rFonts w:hint="default" w:ascii="Times New Roman" w:hAnsi="Times New Roman" w:eastAsia="仿宋_GB2312" w:cs="Times New Roman"/>
          <w:sz w:val="32"/>
          <w:szCs w:val="32"/>
        </w:rPr>
        <w:t>万元。</w:t>
      </w:r>
    </w:p>
    <w:p>
      <w:pPr>
        <w:keepNext w:val="0"/>
        <w:keepLines w:val="0"/>
        <w:pageBreakBefore w:val="0"/>
        <w:widowControl w:val="0"/>
        <w:numPr>
          <w:ilvl w:val="0"/>
          <w:numId w:val="3"/>
        </w:numPr>
        <w:kinsoku/>
        <w:wordWrap/>
        <w:overflowPunct/>
        <w:topLinePunct w:val="0"/>
        <w:bidi w:val="0"/>
        <w:snapToGrid/>
        <w:spacing w:line="560" w:lineRule="exact"/>
        <w:ind w:firstLine="640"/>
        <w:jc w:val="both"/>
        <w:textAlignment w:val="auto"/>
        <w:outlineLvl w:val="1"/>
        <w:rPr>
          <w:rStyle w:val="26"/>
          <w:rFonts w:hint="default" w:ascii="Times New Roman" w:hAnsi="Times New Roman" w:eastAsia="黑体" w:cs="Times New Roman"/>
          <w:b w:val="0"/>
          <w:color w:val="auto"/>
          <w:highlight w:val="none"/>
        </w:rPr>
      </w:pPr>
      <w:bookmarkStart w:id="42" w:name="_Toc15377219"/>
      <w:bookmarkStart w:id="43" w:name="_Toc15396611"/>
      <w:r>
        <w:rPr>
          <w:rStyle w:val="26"/>
          <w:rFonts w:hint="default" w:ascii="Times New Roman" w:hAnsi="Times New Roman" w:eastAsia="黑体" w:cs="Times New Roman"/>
          <w:b w:val="0"/>
          <w:color w:val="auto"/>
          <w:highlight w:val="none"/>
        </w:rPr>
        <w:t>国有资本经营预算支出决算情况说明</w:t>
      </w:r>
      <w:bookmarkEnd w:id="42"/>
      <w:bookmarkEnd w:id="43"/>
    </w:p>
    <w:p>
      <w:pPr>
        <w:keepNext w:val="0"/>
        <w:keepLines w:val="0"/>
        <w:pageBreakBefore w:val="0"/>
        <w:widowControl w:val="0"/>
        <w:kinsoku/>
        <w:wordWrap/>
        <w:overflowPunct/>
        <w:topLinePunct w:val="0"/>
        <w:bidi w:val="0"/>
        <w:snapToGrid/>
        <w:spacing w:line="560" w:lineRule="exact"/>
        <w:ind w:firstLine="640"/>
        <w:jc w:val="both"/>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3"/>
        </w:numPr>
        <w:kinsoku/>
        <w:wordWrap/>
        <w:overflowPunct/>
        <w:topLinePunct w:val="0"/>
        <w:bidi w:val="0"/>
        <w:snapToGrid/>
        <w:spacing w:line="560" w:lineRule="exact"/>
        <w:ind w:firstLine="640"/>
        <w:jc w:val="both"/>
        <w:textAlignment w:val="auto"/>
        <w:outlineLvl w:val="1"/>
        <w:rPr>
          <w:rStyle w:val="26"/>
          <w:rFonts w:hint="default" w:ascii="Times New Roman" w:hAnsi="Times New Roman" w:eastAsia="黑体" w:cs="Times New Roman"/>
          <w:b w:val="0"/>
          <w:color w:val="auto"/>
          <w:highlight w:val="none"/>
        </w:rPr>
      </w:pPr>
      <w:bookmarkStart w:id="44" w:name="_Toc15377221"/>
      <w:bookmarkStart w:id="45" w:name="_Toc15396612"/>
      <w:r>
        <w:rPr>
          <w:rStyle w:val="26"/>
          <w:rFonts w:hint="default" w:ascii="Times New Roman" w:hAnsi="Times New Roman" w:eastAsia="黑体" w:cs="Times New Roman"/>
          <w:b w:val="0"/>
          <w:color w:val="auto"/>
          <w:highlight w:val="none"/>
        </w:rPr>
        <w:t>其他重要事项的情况说明</w:t>
      </w:r>
      <w:bookmarkEnd w:id="44"/>
      <w:bookmarkEnd w:id="45"/>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2"/>
        <w:rPr>
          <w:rFonts w:hint="default" w:ascii="Times New Roman" w:hAnsi="Times New Roman" w:eastAsia="楷体_GB2312" w:cs="Times New Roman"/>
          <w:b w:val="0"/>
          <w:bCs/>
          <w:color w:val="auto"/>
          <w:sz w:val="32"/>
          <w:szCs w:val="32"/>
          <w:highlight w:val="none"/>
          <w:lang w:eastAsia="zh-CN"/>
        </w:rPr>
      </w:pPr>
      <w:bookmarkStart w:id="46" w:name="_Toc15377222"/>
      <w:r>
        <w:rPr>
          <w:rFonts w:hint="default" w:ascii="Times New Roman" w:hAnsi="Times New Roman" w:eastAsia="楷体_GB2312" w:cs="Times New Roman"/>
          <w:b w:val="0"/>
          <w:bCs/>
          <w:color w:val="auto"/>
          <w:sz w:val="32"/>
          <w:szCs w:val="32"/>
          <w:highlight w:val="none"/>
        </w:rPr>
        <w:t>（一）机关运行经费支出情况</w:t>
      </w:r>
      <w:bookmarkEnd w:id="46"/>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eastAsia="zh-CN"/>
        </w:rPr>
        <w:t>西区水利工程运行中心属于财政补助的事业单位，无机关运行经费。</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2"/>
        <w:rPr>
          <w:rFonts w:hint="default" w:ascii="Times New Roman" w:hAnsi="Times New Roman" w:eastAsia="楷体_GB2312" w:cs="Times New Roman"/>
          <w:b w:val="0"/>
          <w:bCs/>
          <w:color w:val="auto"/>
          <w:sz w:val="32"/>
          <w:szCs w:val="32"/>
          <w:highlight w:val="none"/>
          <w:lang w:eastAsia="zh-CN"/>
        </w:rPr>
      </w:pPr>
      <w:bookmarkStart w:id="47" w:name="_Toc15377223"/>
      <w:r>
        <w:rPr>
          <w:rFonts w:hint="default" w:ascii="Times New Roman" w:hAnsi="Times New Roman" w:eastAsia="楷体_GB2312" w:cs="Times New Roman"/>
          <w:b w:val="0"/>
          <w:bCs/>
          <w:color w:val="auto"/>
          <w:sz w:val="32"/>
          <w:szCs w:val="32"/>
          <w:highlight w:val="none"/>
        </w:rPr>
        <w:t>（二）政府采购支出情况</w:t>
      </w:r>
      <w:bookmarkEnd w:id="47"/>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292</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政府采购服务支出</w:t>
      </w:r>
      <w:r>
        <w:rPr>
          <w:rFonts w:hint="default" w:ascii="Times New Roman" w:hAnsi="Times New Roman" w:eastAsia="仿宋_GB2312" w:cs="Times New Roman"/>
          <w:color w:val="auto"/>
          <w:sz w:val="32"/>
          <w:szCs w:val="32"/>
          <w:lang w:val="en-US" w:eastAsia="zh-CN"/>
        </w:rPr>
        <w:t>292</w:t>
      </w:r>
      <w:r>
        <w:rPr>
          <w:rFonts w:hint="default" w:ascii="Times New Roman" w:hAnsi="Times New Roman" w:eastAsia="仿宋_GB2312" w:cs="Times New Roman"/>
          <w:color w:val="auto"/>
          <w:sz w:val="32"/>
          <w:szCs w:val="32"/>
        </w:rPr>
        <w:t>万元。主要用于工程导截流验收、合同完工验收、工程蓄水验收、充水工程通水验收、灌区工程通水验收、工程竣工验收等根据实际需要提供技术服务和提供会务服务；移民导截流自、初、终验收，移民蓄水自、初、终验收；水保专项验收、环评专项验收、档案专项验收、财务竣工验收、整体工程全面验收等根据实际需要提供技术服务和会务服务。</w:t>
      </w:r>
      <w:r>
        <w:rPr>
          <w:rFonts w:hint="default" w:ascii="Times New Roman" w:hAnsi="Times New Roman" w:eastAsia="仿宋_GB2312" w:cs="Times New Roman"/>
          <w:sz w:val="32"/>
          <w:szCs w:val="32"/>
        </w:rPr>
        <w:t>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outlineLvl w:val="2"/>
        <w:rPr>
          <w:rFonts w:hint="default" w:ascii="Times New Roman" w:hAnsi="Times New Roman" w:eastAsia="楷体_GB2312" w:cs="Times New Roman"/>
          <w:b w:val="0"/>
          <w:bCs/>
          <w:color w:val="auto"/>
          <w:sz w:val="32"/>
          <w:szCs w:val="32"/>
          <w:highlight w:val="none"/>
          <w:lang w:eastAsia="zh-CN"/>
        </w:rPr>
      </w:pPr>
      <w:bookmarkStart w:id="48" w:name="_Toc15377224"/>
      <w:r>
        <w:rPr>
          <w:rFonts w:hint="default" w:ascii="Times New Roman" w:hAnsi="Times New Roman" w:eastAsia="楷体_GB2312" w:cs="Times New Roman"/>
          <w:b w:val="0"/>
          <w:bCs/>
          <w:color w:val="auto"/>
          <w:sz w:val="32"/>
          <w:szCs w:val="32"/>
          <w:highlight w:val="none"/>
        </w:rPr>
        <w:t>（三）国有资产占有使用情况</w:t>
      </w:r>
      <w:bookmarkEnd w:id="48"/>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辆，其中：其中：主要领导干部用车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单价50万元以上通用设备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outlineLvl w:val="2"/>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rPr>
        <w:t>（四）预算绩效管理情况</w:t>
      </w:r>
      <w:r>
        <w:rPr>
          <w:rFonts w:hint="default" w:ascii="Times New Roman" w:hAnsi="Times New Roman" w:eastAsia="楷体_GB2312" w:cs="Times New Roman"/>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根据预算绩效管理要求，本单位在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2021年度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预算编制阶段，组织对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梅子箐水库防汛经费、梅子箐水库扩建工程项目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2个项目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开展了预算事前绩效评估，对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个项目编制了绩效目标，预算执行过程中，选取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个项目开展绩效监控，年终执行完毕后，对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个项目开展了绩效自评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2021年特定目标类部门预算项目绩效目标自评表见附件（第四部分）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cs="Times New Roman"/>
          <w:highlight w:val="yellow"/>
        </w:rPr>
      </w:pPr>
    </w:p>
    <w:p>
      <w:pPr>
        <w:keepNext w:val="0"/>
        <w:keepLines w:val="0"/>
        <w:pageBreakBefore w:val="0"/>
        <w:widowControl/>
        <w:kinsoku/>
        <w:wordWrap/>
        <w:overflowPunct/>
        <w:topLinePunct w:val="0"/>
        <w:bidi w:val="0"/>
        <w:snapToGrid/>
        <w:spacing w:line="560" w:lineRule="exact"/>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0"/>
        <w:rPr>
          <w:rStyle w:val="25"/>
          <w:rFonts w:ascii="黑体" w:hAnsi="黑体" w:eastAsia="黑体"/>
          <w:b w:val="0"/>
          <w:color w:val="auto"/>
          <w:highlight w:val="none"/>
        </w:rPr>
      </w:pPr>
      <w:bookmarkStart w:id="49" w:name="_Toc15396613"/>
      <w:bookmarkStart w:id="50" w:name="_Toc15377225"/>
      <w:r>
        <w:rPr>
          <w:rFonts w:hint="eastAsia" w:ascii="方正小标宋_GBK" w:hAnsi="方正小标宋_GBK" w:eastAsia="方正小标宋_GBK" w:cs="方正小标宋_GBK"/>
          <w:color w:val="auto"/>
          <w:sz w:val="44"/>
          <w:szCs w:val="44"/>
          <w:highlight w:val="none"/>
          <w:lang w:val="en-US" w:eastAsia="zh-CN"/>
        </w:rPr>
        <w:t xml:space="preserve">第三部分  </w:t>
      </w:r>
      <w:r>
        <w:rPr>
          <w:rFonts w:hint="eastAsia" w:ascii="方正小标宋_GBK" w:hAnsi="方正小标宋_GBK" w:eastAsia="方正小标宋_GBK" w:cs="方正小标宋_GBK"/>
          <w:color w:val="auto"/>
          <w:sz w:val="44"/>
          <w:szCs w:val="44"/>
          <w:highlight w:val="none"/>
        </w:rPr>
        <w:t>名</w:t>
      </w:r>
      <w:r>
        <w:rPr>
          <w:rStyle w:val="25"/>
          <w:rFonts w:hint="eastAsia" w:ascii="方正小标宋_GBK" w:hAnsi="方正小标宋_GBK" w:eastAsia="方正小标宋_GBK" w:cs="方正小标宋_GBK"/>
          <w:b w:val="0"/>
          <w:color w:val="auto"/>
          <w:sz w:val="44"/>
          <w:szCs w:val="44"/>
          <w:highlight w:val="none"/>
        </w:rPr>
        <w:t>词解释</w:t>
      </w:r>
      <w:bookmarkEnd w:id="49"/>
      <w:bookmarkEnd w:id="50"/>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 xml:space="preserve">.年初结转和结余：指以前年度尚未完成、结转到本年按有关规定继续使用的资金。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.社会保障和就业支出（类）行政事业单位养老支出（款）行政单位离退休（项），指主要用于行政单位（包括实行公务员管理的事业单位）开支的离退休费；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社会保障和就业支出（类）行政事业单位养老支出（款）机关事业单位基本养老保险费支出（项），指主要用于机关事业单位实施养老保险制度由单位缴纳的基本养老保险费支出；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.卫生健康支出（类）行政事业单位医疗（款）行政单位医疗（项）：指主要用于行政单位（包括实行公务员管理的事业单位）基本医疗保险缴费经费；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.卫生健康支出（类）行政事业单位医疗（款）事业单位医疗（项）：指主要用于事业单位基本医疗保险缴费经费；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.卫生健康支出（类）行政事业单位医疗（款）公务员医疗补助（项）：指主要用于财政部门安排的公务员医疗补助经费。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.农林水支出(类)农业农村（款）事业运行（项）：指主要用于农业事业人员的基本工资、津补贴、奖金、其他工资福利支出、水电费、差旅费、邮电费、工会经费、其他交通费用和其他商品和服务等支出；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.农林水支出(类)水利（款）其他水利支出（项）：指反映其他用于水利方面的支出。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住房保障支出（类）住房改革支出（款）住房公积金（项）：指主要用于行政事业单位按人力资源和社会保障部、财政部规定的基本工资和津贴补贴及规定</w:t>
      </w:r>
      <w:bookmarkStart w:id="67" w:name="_GoBack"/>
      <w:bookmarkEnd w:id="67"/>
      <w:r>
        <w:rPr>
          <w:rFonts w:hint="default" w:ascii="Times New Roman" w:hAnsi="Times New Roman" w:eastAsia="仿宋_GB2312" w:cs="Times New Roman"/>
          <w:sz w:val="32"/>
          <w:szCs w:val="32"/>
        </w:rPr>
        <w:t>比例为职工缴纳的住房公积金。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2" w:lineRule="exact"/>
        <w:jc w:val="center"/>
        <w:rPr>
          <w:rFonts w:hint="eastAsia" w:ascii="方正小标宋简体" w:hAnsi="宋体" w:eastAsia="方正小标宋简体"/>
          <w:kern w:val="0"/>
          <w:sz w:val="40"/>
          <w:szCs w:val="44"/>
        </w:rPr>
      </w:pPr>
      <w:bookmarkStart w:id="51" w:name="_Toc15396614"/>
      <w:bookmarkStart w:id="52" w:name="_Toc15377226"/>
    </w:p>
    <w:p>
      <w:pPr>
        <w:spacing w:line="572" w:lineRule="exact"/>
        <w:jc w:val="left"/>
        <w:rPr>
          <w:rFonts w:hint="eastAsia" w:ascii="方正小标宋_GBK" w:hAnsi="方正小标宋_GBK" w:eastAsia="方正小标宋_GBK" w:cs="方正小标宋_GBK"/>
          <w:kern w:val="0"/>
          <w:sz w:val="44"/>
          <w:szCs w:val="44"/>
          <w:lang w:val="en-US" w:eastAsia="zh-CN"/>
        </w:rPr>
      </w:pPr>
      <w:r>
        <w:rPr>
          <w:rFonts w:hint="eastAsia" w:ascii="黑体" w:hAnsi="黑体" w:eastAsia="黑体" w:cs="黑体"/>
          <w:kern w:val="0"/>
          <w:sz w:val="32"/>
          <w:szCs w:val="32"/>
          <w:lang w:val="en-US" w:eastAsia="zh-CN"/>
        </w:rPr>
        <w:t>附件</w:t>
      </w:r>
      <w:r>
        <w:rPr>
          <w:rFonts w:hint="eastAsia" w:ascii="方正小标宋_GBK" w:hAnsi="方正小标宋_GBK" w:eastAsia="方正小标宋_GBK" w:cs="方正小标宋_GBK"/>
          <w:kern w:val="0"/>
          <w:sz w:val="44"/>
          <w:szCs w:val="44"/>
          <w:lang w:val="en-US" w:eastAsia="zh-CN"/>
        </w:rPr>
        <w:t xml:space="preserve">          </w:t>
      </w:r>
    </w:p>
    <w:p>
      <w:pPr>
        <w:spacing w:line="572" w:lineRule="exact"/>
        <w:jc w:val="left"/>
        <w:rPr>
          <w:rFonts w:hint="eastAsia" w:ascii="方正小标宋_GBK" w:hAnsi="方正小标宋_GBK" w:eastAsia="方正小标宋_GBK" w:cs="方正小标宋_GBK"/>
          <w:kern w:val="0"/>
          <w:sz w:val="44"/>
          <w:szCs w:val="44"/>
          <w:lang w:val="en-US" w:eastAsia="zh-CN"/>
        </w:rPr>
      </w:pPr>
    </w:p>
    <w:p>
      <w:pPr>
        <w:keepNext w:val="0"/>
        <w:keepLines w:val="0"/>
        <w:pageBreakBefore w:val="0"/>
        <w:kinsoku/>
        <w:wordWrap/>
        <w:overflowPunct/>
        <w:topLinePunct w:val="0"/>
        <w:autoSpaceDE/>
        <w:autoSpaceDN/>
        <w:bidi w:val="0"/>
        <w:spacing w:line="353" w:lineRule="auto"/>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第四部分</w:t>
      </w:r>
    </w:p>
    <w:p>
      <w:pPr>
        <w:keepNext w:val="0"/>
        <w:keepLines w:val="0"/>
        <w:pageBreakBefore w:val="0"/>
        <w:kinsoku/>
        <w:wordWrap/>
        <w:overflowPunct/>
        <w:topLinePunct w:val="0"/>
        <w:autoSpaceDE/>
        <w:autoSpaceDN/>
        <w:bidi w:val="0"/>
        <w:spacing w:line="353" w:lineRule="auto"/>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2021年</w:t>
      </w:r>
      <w:r>
        <w:rPr>
          <w:rFonts w:hint="eastAsia" w:ascii="方正小标宋_GBK" w:hAnsi="方正小标宋_GBK" w:eastAsia="方正小标宋_GBK" w:cs="方正小标宋_GBK"/>
          <w:kern w:val="0"/>
          <w:sz w:val="44"/>
          <w:szCs w:val="44"/>
          <w:lang w:val="en-US" w:eastAsia="zh-CN"/>
        </w:rPr>
        <w:t>攀枝花市西区</w:t>
      </w:r>
      <w:r>
        <w:rPr>
          <w:rFonts w:hint="eastAsia" w:ascii="方正小标宋_GBK" w:hAnsi="方正小标宋_GBK" w:eastAsia="方正小标宋_GBK" w:cs="方正小标宋_GBK"/>
          <w:kern w:val="0"/>
          <w:sz w:val="44"/>
          <w:szCs w:val="44"/>
          <w:lang w:eastAsia="zh-CN"/>
        </w:rPr>
        <w:t>水利工程运行中心</w:t>
      </w:r>
    </w:p>
    <w:p>
      <w:pPr>
        <w:keepNext w:val="0"/>
        <w:keepLines w:val="0"/>
        <w:pageBreakBefore w:val="0"/>
        <w:kinsoku/>
        <w:wordWrap/>
        <w:overflowPunct/>
        <w:topLinePunct w:val="0"/>
        <w:autoSpaceDE/>
        <w:autoSpaceDN/>
        <w:bidi w:val="0"/>
        <w:spacing w:line="353" w:lineRule="auto"/>
        <w:jc w:val="center"/>
        <w:textAlignment w:val="auto"/>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rPr>
        <w:t>部门整体绩效评价报告</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center"/>
        <w:textAlignment w:val="auto"/>
        <w:rPr>
          <w:rFonts w:hint="eastAsia" w:ascii="黑体" w:hAnsi="宋体" w:eastAsia="黑体" w:cs="宋体"/>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（一）机构组成。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攀枝花市西区水利工程运行中心为西区水利局下设二级独立核算事业单位。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zh-CN"/>
        </w:rPr>
        <w:t>）机构职能。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1.在区委、区政府的统一领导下开展工程建设管理各项工作。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2.负责梅子箐水库扩建工程项目规划、立项、报批工作。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3.在上级部门的指导下组织设计文件的编制、审核、申报等工作。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4.按照基本建设程序和批准的建设规模、内容、标准组织工程建设。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梅子箐水库工程建设项目资金的筹集，依据《基本建设财务管理制度》、《会计基础工作规范》等基本管理制度，建立健全各项财务管理制度，并组织编制、审查、上报项目年度建设计划，落实年度工程建设资金，严格按照概算控制工程投资，用好、管好建设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6.负责工程质量监督、安全监督和开工手续的办理。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7.负责协调工程建设用地、征地手续办理、征地拆迁、移民安置等工作，解决好工程建设外部条件。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8.依法对工程项目的勘察、设计、施工、监理和设备材料等组织招标，并签订有关合同。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9.组织施工用水、用电、道路、通讯和场地平整等准备工作及必要的生产、生活临时设施的建设。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10.组织研究和处理建设过程中出现的技术和管理问题，加强施工现场管理，委托监理单位组织施工图审查和技术交底，组织重大设计变更的审核与报批。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11.负责组织制订、上报在建工程度汛方案，落实安全度汛措施，并对建设过程中的安全度汛负责。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12.负责监督检查现场管理机构建设管理情况，包括工程投资、工期、质量、生产安全和工程建设责任制落实情况等。</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13.负责组织工程各阶段验收和竣工验收工作，组织编制竣工决算并送审；组织项目运行准备和运行管理，办理项目移交手续。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14负责工程档案资料管理，包括对各参建单位所形成档案资料的收集整理、验收，并对归档工作进行监督、检查。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zh-CN"/>
        </w:rPr>
        <w:t>）人员概况。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攀枝花市西区水利工程运行中心事业编制</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名，其中：主任1名，副主任2名，</w:t>
      </w:r>
      <w:r>
        <w:rPr>
          <w:rFonts w:hint="eastAsia" w:eastAsia="仿宋_GB2312" w:cs="Times New Roman"/>
          <w:sz w:val="32"/>
          <w:szCs w:val="32"/>
          <w:lang w:val="zh-CN"/>
        </w:rPr>
        <w:t>共有</w:t>
      </w:r>
      <w:r>
        <w:rPr>
          <w:rFonts w:hint="default" w:ascii="Times New Roman" w:hAnsi="Times New Roman" w:eastAsia="仿宋_GB2312" w:cs="Times New Roman"/>
          <w:sz w:val="32"/>
          <w:szCs w:val="32"/>
          <w:lang w:val="zh-CN"/>
        </w:rPr>
        <w:t>事业人员</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zh-CN"/>
        </w:rPr>
        <w:t>人；公务用车编制3台，实有公务用车3台</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lang w:val="zh-CN"/>
        </w:rPr>
      </w:pPr>
      <w:r>
        <w:rPr>
          <w:rFonts w:hint="default"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年本年收入合计</w:t>
      </w:r>
      <w:r>
        <w:rPr>
          <w:rFonts w:hint="eastAsia" w:ascii="Times New Roman" w:hAnsi="Times New Roman" w:eastAsia="仿宋_GB2312" w:cs="Times New Roman"/>
          <w:sz w:val="32"/>
          <w:szCs w:val="32"/>
          <w:lang w:val="en-US" w:eastAsia="zh-CN"/>
        </w:rPr>
        <w:t>1437.07</w:t>
      </w:r>
      <w:r>
        <w:rPr>
          <w:rFonts w:hint="default" w:ascii="Times New Roman" w:hAnsi="Times New Roman" w:eastAsia="仿宋_GB2312" w:cs="Times New Roman"/>
          <w:sz w:val="32"/>
          <w:szCs w:val="32"/>
          <w:lang w:val="zh-CN"/>
        </w:rPr>
        <w:t>万元，其中：一般公共预算财政拨款收入</w:t>
      </w:r>
      <w:r>
        <w:rPr>
          <w:rFonts w:hint="eastAsia"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lang w:val="zh-CN"/>
        </w:rPr>
        <w:t>万元，占</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rPr>
        <w:t>%；政府性基金预算财政拨款收入</w:t>
      </w:r>
      <w:r>
        <w:rPr>
          <w:rFonts w:hint="eastAsia" w:ascii="Times New Roman" w:hAnsi="Times New Roman" w:eastAsia="仿宋_GB2312" w:cs="Times New Roman"/>
          <w:sz w:val="32"/>
          <w:szCs w:val="32"/>
          <w:lang w:val="en-US" w:eastAsia="zh-CN"/>
        </w:rPr>
        <w:t>1278.70</w:t>
      </w:r>
      <w:r>
        <w:rPr>
          <w:rFonts w:hint="default" w:ascii="Times New Roman" w:hAnsi="Times New Roman" w:eastAsia="仿宋_GB2312" w:cs="Times New Roman"/>
          <w:sz w:val="32"/>
          <w:szCs w:val="32"/>
          <w:lang w:val="zh-CN"/>
        </w:rPr>
        <w:t>万元，占</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w:t>
      </w:r>
      <w:r>
        <w:rPr>
          <w:rFonts w:hint="eastAsia" w:ascii="楷体_GB2312" w:hAnsi="楷体_GB2312" w:eastAsia="楷体_GB2312" w:cs="楷体_GB2312"/>
          <w:kern w:val="0"/>
          <w:sz w:val="32"/>
          <w:szCs w:val="32"/>
          <w:shd w:val="clear" w:color="auto" w:fill="FFFFFF"/>
          <w:lang w:val="en-US" w:eastAsia="zh-CN"/>
        </w:rPr>
        <w:t>二</w:t>
      </w:r>
      <w:r>
        <w:rPr>
          <w:rFonts w:hint="eastAsia" w:ascii="楷体_GB2312" w:hAnsi="楷体_GB2312" w:eastAsia="楷体_GB2312" w:cs="楷体_GB2312"/>
          <w:kern w:val="0"/>
          <w:sz w:val="32"/>
          <w:szCs w:val="32"/>
          <w:shd w:val="clear" w:color="auto" w:fill="FFFFFF"/>
          <w:lang w:val="zh-CN"/>
        </w:rPr>
        <w:t>）部门财政资金支出情况。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lang w:val="zh-CN"/>
        </w:rPr>
      </w:pPr>
      <w:r>
        <w:rPr>
          <w:rFonts w:hint="default"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年本年支出</w:t>
      </w:r>
      <w:r>
        <w:rPr>
          <w:rFonts w:hint="eastAsia" w:ascii="Times New Roman" w:hAnsi="Times New Roman" w:eastAsia="仿宋_GB2312" w:cs="Times New Roman"/>
          <w:sz w:val="32"/>
          <w:szCs w:val="32"/>
          <w:lang w:val="en-US" w:eastAsia="zh-CN"/>
        </w:rPr>
        <w:t>1437.07</w:t>
      </w:r>
      <w:r>
        <w:rPr>
          <w:rFonts w:hint="default" w:ascii="Times New Roman" w:hAnsi="Times New Roman" w:eastAsia="仿宋_GB2312" w:cs="Times New Roman"/>
          <w:sz w:val="32"/>
          <w:szCs w:val="32"/>
          <w:lang w:val="zh-CN"/>
        </w:rPr>
        <w:t>万元，主要用于以下方面:社会保障和就业支出</w:t>
      </w:r>
      <w:r>
        <w:rPr>
          <w:rFonts w:hint="eastAsia" w:ascii="Times New Roman" w:hAnsi="Times New Roman" w:eastAsia="仿宋_GB2312" w:cs="Times New Roman"/>
          <w:sz w:val="32"/>
          <w:szCs w:val="32"/>
          <w:lang w:val="en-US" w:eastAsia="zh-CN"/>
        </w:rPr>
        <w:t>9.24</w:t>
      </w:r>
      <w:r>
        <w:rPr>
          <w:rFonts w:hint="default" w:ascii="Times New Roman" w:hAnsi="Times New Roman" w:eastAsia="仿宋_GB2312" w:cs="Times New Roman"/>
          <w:sz w:val="32"/>
          <w:szCs w:val="32"/>
          <w:lang w:val="zh-CN"/>
        </w:rPr>
        <w:t>万元，占总支出的</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lang w:val="zh-CN"/>
        </w:rPr>
        <w:t>%；卫生健康支出</w:t>
      </w:r>
      <w:r>
        <w:rPr>
          <w:rFonts w:hint="eastAsia" w:ascii="Times New Roman" w:hAnsi="Times New Roman" w:eastAsia="仿宋_GB2312" w:cs="Times New Roman"/>
          <w:sz w:val="32"/>
          <w:szCs w:val="32"/>
          <w:lang w:val="en-US" w:eastAsia="zh-CN"/>
        </w:rPr>
        <w:t>7.10</w:t>
      </w:r>
      <w:r>
        <w:rPr>
          <w:rFonts w:hint="default" w:ascii="Times New Roman" w:hAnsi="Times New Roman" w:eastAsia="仿宋_GB2312" w:cs="Times New Roman"/>
          <w:sz w:val="32"/>
          <w:szCs w:val="32"/>
          <w:lang w:val="zh-CN"/>
        </w:rPr>
        <w:t>万元，占总支出的</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lang w:val="zh-CN"/>
        </w:rPr>
        <w:t>%；城乡社区支出</w:t>
      </w:r>
      <w:r>
        <w:rPr>
          <w:rFonts w:hint="eastAsia" w:ascii="Times New Roman" w:hAnsi="Times New Roman" w:eastAsia="仿宋_GB2312" w:cs="Times New Roman"/>
          <w:sz w:val="32"/>
          <w:szCs w:val="32"/>
          <w:lang w:val="en-US" w:eastAsia="zh-CN"/>
        </w:rPr>
        <w:t>12.40</w:t>
      </w:r>
      <w:r>
        <w:rPr>
          <w:rFonts w:hint="default" w:ascii="Times New Roman" w:hAnsi="Times New Roman" w:eastAsia="仿宋_GB2312" w:cs="Times New Roman"/>
          <w:sz w:val="32"/>
          <w:szCs w:val="32"/>
          <w:lang w:val="zh-CN"/>
        </w:rPr>
        <w:t>万元，占总支出的</w:t>
      </w:r>
      <w:r>
        <w:rPr>
          <w:rFonts w:hint="eastAsia" w:ascii="Times New Roman" w:hAnsi="Times New Roman" w:eastAsia="仿宋_GB2312" w:cs="Times New Roman"/>
          <w:sz w:val="32"/>
          <w:szCs w:val="32"/>
          <w:lang w:val="en-US" w:eastAsia="zh-CN"/>
        </w:rPr>
        <w:t>0.86</w:t>
      </w:r>
      <w:r>
        <w:rPr>
          <w:rFonts w:hint="default" w:ascii="Times New Roman" w:hAnsi="Times New Roman" w:eastAsia="仿宋_GB2312" w:cs="Times New Roman"/>
          <w:sz w:val="32"/>
          <w:szCs w:val="32"/>
          <w:lang w:val="zh-CN"/>
        </w:rPr>
        <w:t>%；农林水支出</w:t>
      </w:r>
      <w:r>
        <w:rPr>
          <w:rFonts w:hint="eastAsia" w:ascii="Times New Roman" w:hAnsi="Times New Roman" w:eastAsia="仿宋_GB2312" w:cs="Times New Roman"/>
          <w:sz w:val="32"/>
          <w:szCs w:val="32"/>
          <w:lang w:val="en-US" w:eastAsia="zh-CN"/>
        </w:rPr>
        <w:t>117.55</w:t>
      </w:r>
      <w:r>
        <w:rPr>
          <w:rFonts w:hint="default" w:ascii="Times New Roman" w:hAnsi="Times New Roman" w:eastAsia="仿宋_GB2312" w:cs="Times New Roman"/>
          <w:sz w:val="32"/>
          <w:szCs w:val="32"/>
          <w:lang w:val="zh-CN"/>
        </w:rPr>
        <w:t>万元，占总支出的</w:t>
      </w:r>
      <w:r>
        <w:rPr>
          <w:rFonts w:hint="eastAsia" w:ascii="Times New Roman" w:hAnsi="Times New Roman" w:eastAsia="仿宋_GB2312" w:cs="Times New Roman"/>
          <w:sz w:val="32"/>
          <w:szCs w:val="32"/>
          <w:lang w:val="en-US" w:eastAsia="zh-CN"/>
        </w:rPr>
        <w:t>8.18</w:t>
      </w:r>
      <w:r>
        <w:rPr>
          <w:rFonts w:hint="default" w:ascii="Times New Roman" w:hAnsi="Times New Roman" w:eastAsia="仿宋_GB2312" w:cs="Times New Roman"/>
          <w:sz w:val="32"/>
          <w:szCs w:val="32"/>
          <w:lang w:val="zh-CN"/>
        </w:rPr>
        <w:t>%；住房保障支出</w:t>
      </w:r>
      <w:r>
        <w:rPr>
          <w:rFonts w:hint="eastAsia" w:ascii="Times New Roman" w:hAnsi="Times New Roman" w:eastAsia="仿宋_GB2312" w:cs="Times New Roman"/>
          <w:sz w:val="32"/>
          <w:szCs w:val="32"/>
          <w:lang w:val="en-US" w:eastAsia="zh-CN"/>
        </w:rPr>
        <w:t>12.08</w:t>
      </w:r>
      <w:r>
        <w:rPr>
          <w:rFonts w:hint="default" w:ascii="Times New Roman" w:hAnsi="Times New Roman" w:eastAsia="仿宋_GB2312" w:cs="Times New Roman"/>
          <w:sz w:val="32"/>
          <w:szCs w:val="32"/>
          <w:lang w:val="zh-CN"/>
        </w:rPr>
        <w:t>万元，占总支出的</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84</w:t>
      </w:r>
      <w:r>
        <w:rPr>
          <w:rFonts w:hint="default" w:ascii="Times New Roman" w:hAnsi="Times New Roman" w:eastAsia="仿宋_GB2312" w:cs="Times New Roman"/>
          <w:sz w:val="32"/>
          <w:szCs w:val="32"/>
          <w:lang w:val="zh-CN"/>
        </w:rPr>
        <w:t>%；政府性基金预算财政拨款支出</w:t>
      </w:r>
      <w:r>
        <w:rPr>
          <w:rFonts w:hint="eastAsia" w:ascii="Times New Roman" w:hAnsi="Times New Roman" w:eastAsia="仿宋_GB2312" w:cs="Times New Roman"/>
          <w:sz w:val="32"/>
          <w:szCs w:val="32"/>
          <w:lang w:val="en-US" w:eastAsia="zh-CN"/>
        </w:rPr>
        <w:t>1278.70</w:t>
      </w:r>
      <w:r>
        <w:rPr>
          <w:rFonts w:hint="default" w:ascii="Times New Roman" w:hAnsi="Times New Roman" w:eastAsia="仿宋_GB2312" w:cs="Times New Roman"/>
          <w:sz w:val="32"/>
          <w:szCs w:val="32"/>
          <w:lang w:val="zh-CN"/>
        </w:rPr>
        <w:t>万元，占总支出的</w:t>
      </w:r>
      <w:r>
        <w:rPr>
          <w:rFonts w:hint="eastAsia" w:ascii="Times New Roman" w:hAnsi="Times New Roman" w:eastAsia="仿宋_GB2312" w:cs="Times New Roman"/>
          <w:sz w:val="32"/>
          <w:szCs w:val="32"/>
          <w:lang w:val="en-US" w:eastAsia="zh-CN"/>
        </w:rPr>
        <w:t>88.98</w:t>
      </w:r>
      <w:r>
        <w:rPr>
          <w:rFonts w:hint="default" w:ascii="Times New Roman" w:hAnsi="Times New Roman" w:eastAsia="仿宋_GB2312" w:cs="Times New Roman"/>
          <w:sz w:val="32"/>
          <w:szCs w:val="32"/>
          <w:lang w:val="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40" w:lineRule="exact"/>
        <w:ind w:left="1360" w:leftChars="0" w:hanging="720" w:firstLineChars="0"/>
        <w:contextualSpacing/>
        <w:jc w:val="both"/>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（一）部门预算项目绩效管理。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攀枝花市西区水利工程运行中心严格按照部门职能及履职需求制定部门绩效目标，基本完成部门目标任务，按照财政预算编制要求及预算编制原则准确及时全面编制预算、合理控制部门支出、根据预算目标进行预算动态调整、项目执行进度良好有序、预算完成情况良好、无违规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年我中心基本支出预算安排</w:t>
      </w:r>
      <w:r>
        <w:rPr>
          <w:rFonts w:hint="eastAsia"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lang w:val="zh-CN"/>
        </w:rPr>
        <w:t>万元，实际支出</w:t>
      </w:r>
      <w:r>
        <w:rPr>
          <w:rFonts w:hint="eastAsia" w:ascii="Times New Roman" w:hAnsi="Times New Roman" w:eastAsia="仿宋_GB2312" w:cs="Times New Roman"/>
          <w:sz w:val="32"/>
          <w:szCs w:val="32"/>
          <w:lang w:val="en-US" w:eastAsia="zh-CN"/>
        </w:rPr>
        <w:t>145.97</w:t>
      </w:r>
      <w:r>
        <w:rPr>
          <w:rFonts w:hint="default" w:ascii="Times New Roman" w:hAnsi="Times New Roman" w:eastAsia="仿宋_GB2312" w:cs="Times New Roman"/>
          <w:sz w:val="32"/>
          <w:szCs w:val="32"/>
          <w:lang w:val="zh-CN"/>
        </w:rPr>
        <w:t>万，基本支出主要用于人员经费和日常公用支出，人员经费用于人员的工资福利、养老保险、职业年金、公积金、社保缴费、其他工资福利支出等；日常公用经费用于日常工作中的办公费、邮电费、水费、电费、维修费、劳务费、委托业务费、工会经费、福利费、公务车运行维护费、手续费、其他商品和服务支出。其他对个人和家庭的补助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lang w:val="zh-CN"/>
        </w:rPr>
      </w:pPr>
      <w:r>
        <w:rPr>
          <w:rFonts w:hint="default"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年项目预算安排</w:t>
      </w:r>
      <w:r>
        <w:rPr>
          <w:rFonts w:hint="eastAsia" w:ascii="Times New Roman" w:hAnsi="Times New Roman" w:eastAsia="仿宋_GB2312" w:cs="Times New Roman"/>
          <w:sz w:val="32"/>
          <w:szCs w:val="32"/>
          <w:lang w:val="en-US" w:eastAsia="zh-CN"/>
        </w:rPr>
        <w:t>1291.10</w:t>
      </w:r>
      <w:r>
        <w:rPr>
          <w:rFonts w:hint="default" w:ascii="Times New Roman" w:hAnsi="Times New Roman" w:eastAsia="仿宋_GB2312" w:cs="Times New Roman"/>
          <w:sz w:val="32"/>
          <w:szCs w:val="32"/>
          <w:lang w:val="zh-CN"/>
        </w:rPr>
        <w:t>元，实际支出</w:t>
      </w:r>
      <w:r>
        <w:rPr>
          <w:rFonts w:hint="eastAsia" w:ascii="Times New Roman" w:hAnsi="Times New Roman" w:eastAsia="仿宋_GB2312" w:cs="Times New Roman"/>
          <w:sz w:val="32"/>
          <w:szCs w:val="32"/>
          <w:lang w:val="en-US" w:eastAsia="zh-CN"/>
        </w:rPr>
        <w:t>1291.10</w:t>
      </w:r>
      <w:r>
        <w:rPr>
          <w:rFonts w:hint="default" w:ascii="Times New Roman" w:hAnsi="Times New Roman" w:eastAsia="仿宋_GB2312" w:cs="Times New Roman"/>
          <w:sz w:val="32"/>
          <w:szCs w:val="32"/>
          <w:lang w:val="zh-CN"/>
        </w:rPr>
        <w:t>万元</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主要用于防汛</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其他水利支出、梅子箐水库扩建工程项目、移民项目等支出，项目基本按照预算绩效目标开展。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通过项目实施，梅子箐水库扩建工程施工二标段</w:t>
      </w:r>
      <w:r>
        <w:rPr>
          <w:rFonts w:hint="eastAsia" w:eastAsia="仿宋_GB2312" w:cs="Times New Roman"/>
          <w:color w:val="000000" w:themeColor="text1"/>
          <w:sz w:val="32"/>
          <w:szCs w:val="32"/>
          <w:lang w:val="en-US" w:eastAsia="zh-CN"/>
          <w14:textFill>
            <w14:solidFill>
              <w14:schemeClr w14:val="tx1"/>
            </w14:solidFill>
          </w14:textFill>
        </w:rPr>
        <w:t>已基本完工</w:t>
      </w:r>
      <w:r>
        <w:rPr>
          <w:rFonts w:hint="default" w:ascii="Times New Roman" w:hAnsi="Times New Roman" w:eastAsia="仿宋_GB2312" w:cs="Times New Roman"/>
          <w:color w:val="000000" w:themeColor="text1"/>
          <w:sz w:val="32"/>
          <w:szCs w:val="32"/>
          <w14:textFill>
            <w14:solidFill>
              <w14:schemeClr w14:val="tx1"/>
            </w14:solidFill>
          </w14:textFill>
        </w:rPr>
        <w:t>、施工五标段完成了</w:t>
      </w:r>
      <w:r>
        <w:rPr>
          <w:rFonts w:hint="eastAsia" w:eastAsia="仿宋_GB2312" w:cs="Times New Roman"/>
          <w:color w:val="000000" w:themeColor="text1"/>
          <w:sz w:val="32"/>
          <w:szCs w:val="32"/>
          <w:lang w:val="en-US" w:eastAsia="zh-CN"/>
          <w14:textFill>
            <w14:solidFill>
              <w14:schemeClr w14:val="tx1"/>
            </w14:solidFill>
          </w14:textFill>
        </w:rPr>
        <w:t>主干渠、库区一级提灌站和明渠渠道开挖</w:t>
      </w:r>
      <w:r>
        <w:rPr>
          <w:rFonts w:hint="default" w:ascii="Times New Roman" w:hAnsi="Times New Roman" w:eastAsia="仿宋_GB2312" w:cs="Times New Roman"/>
          <w:color w:val="000000" w:themeColor="text1"/>
          <w:sz w:val="32"/>
          <w:szCs w:val="32"/>
          <w14:textFill>
            <w14:solidFill>
              <w14:schemeClr w14:val="tx1"/>
            </w14:solidFill>
          </w14:textFill>
        </w:rPr>
        <w:t>，基本完成了移民临时用地复垦工作，完成了森林植被恢复及移民安置点房屋单价变更相关工作，共使用资金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1291.10</w:t>
      </w:r>
      <w:r>
        <w:rPr>
          <w:rFonts w:hint="default" w:ascii="Times New Roman" w:hAnsi="Times New Roman" w:eastAsia="仿宋_GB2312" w:cs="Times New Roman"/>
          <w:color w:val="000000" w:themeColor="text1"/>
          <w:sz w:val="32"/>
          <w:szCs w:val="32"/>
          <w14:textFill>
            <w14:solidFill>
              <w14:schemeClr w14:val="tx1"/>
            </w14:solidFill>
          </w14:textFill>
        </w:rPr>
        <w:t>万元，其工程质量达到行业验收标准。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通过绩效评价，202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年度部门预算具有明确的用途和目标，制定了较详细的执行计划，资金到位及时并严格按照财政有关规定使用，预算决策、管理、执行等日益规范，能较好地满足工作需要，取得了良好经济效益和社会效益。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en-US" w:eastAsia="zh-CN"/>
        </w:rPr>
        <w:t>(二)</w:t>
      </w:r>
      <w:r>
        <w:rPr>
          <w:rFonts w:hint="eastAsia" w:ascii="楷体_GB2312" w:hAnsi="楷体_GB2312" w:eastAsia="楷体_GB2312" w:cs="楷体_GB2312"/>
          <w:kern w:val="0"/>
          <w:sz w:val="32"/>
          <w:szCs w:val="32"/>
          <w:shd w:val="clear" w:color="auto" w:fill="FFFFFF"/>
          <w:lang w:val="zh-CN"/>
        </w:rPr>
        <w:t>存在问题。</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eastAsia="仿宋_GB2312" w:cs="Times New Roman"/>
          <w:sz w:val="32"/>
          <w:szCs w:val="32"/>
          <w:lang w:val="zh-CN"/>
        </w:rPr>
      </w:pPr>
      <w:r>
        <w:rPr>
          <w:rFonts w:hint="eastAsia" w:eastAsia="仿宋_GB2312" w:cs="Times New Roman"/>
          <w:sz w:val="32"/>
          <w:szCs w:val="32"/>
          <w:lang w:val="zh-CN"/>
        </w:rPr>
        <w:t>无</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_GB2312" w:hAnsi="楷体_GB2312" w:eastAsia="楷体_GB2312" w:cs="楷体_GB2312"/>
          <w:kern w:val="0"/>
          <w:sz w:val="32"/>
          <w:szCs w:val="32"/>
          <w:shd w:val="clear" w:color="auto" w:fill="FFFFFF"/>
          <w:lang w:val="zh-CN" w:eastAsia="zh-CN"/>
        </w:rPr>
      </w:pPr>
      <w:r>
        <w:rPr>
          <w:rFonts w:hint="eastAsia" w:ascii="楷体_GB2312" w:hAnsi="楷体_GB2312" w:eastAsia="楷体_GB2312" w:cs="楷体_GB2312"/>
          <w:kern w:val="0"/>
          <w:sz w:val="32"/>
          <w:szCs w:val="32"/>
          <w:shd w:val="clear" w:color="auto" w:fill="FFFFFF"/>
          <w:lang w:val="zh-CN" w:eastAsia="zh-CN"/>
        </w:rPr>
        <w:t>（三）改进建议。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在制定部门绩效相关政策时，建议结合相关行业特点，财政保障资金的到位，进一步加快项目及资金支付进度，减少当年结余资金率，提高项目绩效。</w:t>
      </w:r>
    </w:p>
    <w:p>
      <w:pPr>
        <w:keepNext w:val="0"/>
        <w:keepLines w:val="0"/>
        <w:pageBreakBefore w:val="0"/>
        <w:kinsoku/>
        <w:wordWrap/>
        <w:overflowPunct/>
        <w:topLinePunct w:val="0"/>
        <w:autoSpaceDE/>
        <w:autoSpaceDN/>
        <w:bidi w:val="0"/>
        <w:spacing w:line="540" w:lineRule="exact"/>
        <w:jc w:val="both"/>
        <w:textAlignment w:val="auto"/>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spacing w:line="600" w:lineRule="exact"/>
        <w:jc w:val="center"/>
        <w:rPr>
          <w:rFonts w:hint="eastAsia" w:ascii="方正小标宋简体" w:hAnsi="方正小标宋简体" w:eastAsia="方正小标宋简体" w:cs="方正小标宋简体"/>
          <w:color w:val="auto"/>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区水利</w:t>
      </w:r>
      <w:r>
        <w:rPr>
          <w:rFonts w:hint="eastAsia" w:ascii="方正小标宋_GBK" w:hAnsi="方正小标宋_GBK" w:eastAsia="方正小标宋_GBK" w:cs="方正小标宋_GBK"/>
          <w:color w:val="auto"/>
          <w:sz w:val="44"/>
          <w:szCs w:val="44"/>
          <w:lang w:eastAsia="zh-CN"/>
        </w:rPr>
        <w:t>工程运行中心</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spacing w:line="600" w:lineRule="exact"/>
        <w:ind w:firstLine="640"/>
        <w:jc w:val="center"/>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（梅子箐水库防汛经费）</w:t>
      </w:r>
    </w:p>
    <w:p>
      <w:pPr>
        <w:adjustRightInd w:val="0"/>
        <w:snapToGrid w:val="0"/>
        <w:spacing w:line="600" w:lineRule="exact"/>
        <w:ind w:firstLine="720"/>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根据《攀枝花市防汛抗旱指挥部办公室关于做好《攀枝花市防汛抗旱指挥部办公室关于做好2021年防汛带班值班和信息报送工作的通知》（攀防办〔2021〕5号）文要求，全区水利系统从202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年5月1日开始实行24小时水旱灾害防御值班。请各相关部门加强统筹协调，落实值、带班人员，严明工作纪律，强化值班值守工作。值班期间，工作人员要坚守岗位，切实履行工作职责，不得擅自离岗脱岗。强化信息收集和报送，及时处理突发情况，重大事项要及时报告，确保水旱灾害防御信息上下贯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eastAsia" w:ascii="Times New Roman" w:hAnsi="Times New Roman" w:eastAsia="仿宋_GB2312" w:cs="Times New Roman"/>
          <w:sz w:val="32"/>
          <w:szCs w:val="32"/>
          <w:lang w:val="en-US" w:eastAsia="zh-CN"/>
        </w:rPr>
        <w:t>.项目立项</w:t>
      </w:r>
      <w:r>
        <w:rPr>
          <w:rFonts w:hint="default" w:ascii="Times New Roman" w:hAnsi="Times New Roman" w:eastAsia="仿宋_GB2312" w:cs="Times New Roman"/>
          <w:sz w:val="32"/>
          <w:szCs w:val="32"/>
          <w:lang w:val="zh-CN"/>
        </w:rPr>
        <w:t>、资金申报的依据。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负责梅子箐水库及其他区级水利工程管理范围内的工程，承担水库及区级其他水利工程管理范围内的工程及设施设备的维修保养、运行管理、安全监测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防汛抢险应急预案等</w:t>
      </w:r>
      <w:r>
        <w:rPr>
          <w:rFonts w:hint="default" w:ascii="Times New Roman" w:hAnsi="Times New Roman" w:eastAsia="仿宋_GB2312" w:cs="Times New Roman"/>
          <w:sz w:val="32"/>
          <w:szCs w:val="32"/>
          <w:lang w:eastAsia="zh-CN"/>
        </w:rPr>
        <w:t>，所需经费</w:t>
      </w:r>
      <w:r>
        <w:rPr>
          <w:rFonts w:hint="default" w:ascii="Times New Roman" w:hAnsi="Times New Roman" w:eastAsia="仿宋_GB2312" w:cs="Times New Roman"/>
          <w:sz w:val="32"/>
          <w:szCs w:val="32"/>
          <w:lang w:val="zh-CN"/>
        </w:rPr>
        <w:t>区财政负责。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资金管理办法制定情况：</w:t>
      </w:r>
      <w:r>
        <w:rPr>
          <w:rFonts w:hint="default" w:ascii="Times New Roman" w:hAnsi="Times New Roman" w:eastAsia="仿宋_GB2312" w:cs="Times New Roman"/>
          <w:sz w:val="32"/>
          <w:szCs w:val="32"/>
          <w:lang w:val="en-US" w:eastAsia="zh-CN"/>
        </w:rPr>
        <w:t>1.61</w:t>
      </w:r>
      <w:r>
        <w:rPr>
          <w:rFonts w:hint="default" w:ascii="Times New Roman" w:hAnsi="Times New Roman" w:eastAsia="仿宋_GB2312" w:cs="Times New Roman"/>
          <w:sz w:val="32"/>
          <w:szCs w:val="32"/>
          <w:lang w:val="zh-CN"/>
        </w:rPr>
        <w:t>元资金用于坚持以人本、依法防控、科学防控，确保人民群众生命和财产安全，确保防汛工作顺利开展，通过银行转账方式进行支付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资金分配按照防汛宣传、防汛应急监测值守进行值守，人数为9人。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1.做好防汛物资储备，完成防汛应急演练，做好防汛安全巡查和值班值守工作，确保梅子箐、三洞桥及高涧沟三座水库库区人畜及水库在建工程安全度汛。</w:t>
      </w:r>
      <w:r>
        <w:rPr>
          <w:rFonts w:hint="default" w:ascii="Times New Roman" w:hAnsi="Times New Roman" w:eastAsia="仿宋_GB2312" w:cs="Times New Roman"/>
          <w:sz w:val="32"/>
          <w:szCs w:val="32"/>
          <w:lang w:eastAsia="zh-CN"/>
        </w:rPr>
        <w:t>所需经费由</w:t>
      </w:r>
      <w:r>
        <w:rPr>
          <w:rFonts w:hint="default" w:ascii="Times New Roman" w:hAnsi="Times New Roman" w:eastAsia="仿宋_GB2312" w:cs="Times New Roman"/>
          <w:sz w:val="32"/>
          <w:szCs w:val="32"/>
          <w:lang w:val="zh-CN"/>
        </w:rPr>
        <w:t>区财政负责。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申报内容与实际相符，申报目标合理可行。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项目采取自评方式，按照财政下达的项目支出绩效评价指标体系，从项目决策、项目管理、项目绩效等方面做出评价。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该项目资金申报数为</w:t>
      </w:r>
      <w:r>
        <w:rPr>
          <w:rFonts w:hint="default" w:ascii="Times New Roman" w:hAnsi="Times New Roman" w:eastAsia="仿宋_GB2312" w:cs="Times New Roman"/>
          <w:sz w:val="32"/>
          <w:szCs w:val="32"/>
          <w:lang w:val="en-US" w:eastAsia="zh-CN"/>
        </w:rPr>
        <w:t>8万</w:t>
      </w:r>
      <w:r>
        <w:rPr>
          <w:rFonts w:hint="default" w:ascii="Times New Roman" w:hAnsi="Times New Roman" w:eastAsia="仿宋_GB2312" w:cs="Times New Roman"/>
          <w:sz w:val="32"/>
          <w:szCs w:val="32"/>
          <w:lang w:val="zh-CN"/>
        </w:rPr>
        <w:t>元，年初预算数为</w:t>
      </w:r>
      <w:r>
        <w:rPr>
          <w:rFonts w:hint="default" w:ascii="Times New Roman" w:hAnsi="Times New Roman" w:eastAsia="仿宋_GB2312" w:cs="Times New Roman"/>
          <w:sz w:val="32"/>
          <w:szCs w:val="32"/>
          <w:lang w:val="en-US" w:eastAsia="zh-CN"/>
        </w:rPr>
        <w:t>8万</w:t>
      </w:r>
      <w:r>
        <w:rPr>
          <w:rFonts w:hint="default" w:ascii="Times New Roman" w:hAnsi="Times New Roman" w:eastAsia="仿宋_GB2312" w:cs="Times New Roman"/>
          <w:sz w:val="32"/>
          <w:szCs w:val="32"/>
          <w:lang w:val="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资金计划。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该项目为区级配套资金。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资金到位。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该项目全区资金到位</w:t>
      </w:r>
      <w:r>
        <w:rPr>
          <w:rFonts w:hint="default" w:ascii="Times New Roman" w:hAnsi="Times New Roman" w:eastAsia="仿宋_GB2312" w:cs="Times New Roman"/>
          <w:sz w:val="32"/>
          <w:szCs w:val="32"/>
          <w:lang w:val="en-US" w:eastAsia="zh-CN"/>
        </w:rPr>
        <w:t>1.16万</w:t>
      </w:r>
      <w:r>
        <w:rPr>
          <w:rFonts w:hint="default" w:ascii="Times New Roman" w:hAnsi="Times New Roman" w:eastAsia="仿宋_GB2312" w:cs="Times New Roman"/>
          <w:sz w:val="32"/>
          <w:szCs w:val="32"/>
          <w:lang w:val="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rPr>
        <w:t>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该项目资金已于2021年5月至10月支出1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16万元，资金支付率为</w:t>
      </w:r>
      <w:r>
        <w:rPr>
          <w:rFonts w:hint="default" w:ascii="Times New Roman" w:hAnsi="Times New Roman" w:eastAsia="仿宋_GB2312" w:cs="Times New Roman"/>
          <w:sz w:val="32"/>
          <w:szCs w:val="32"/>
          <w:lang w:val="en-US" w:eastAsia="zh-CN"/>
        </w:rPr>
        <w:t>14.52%，2021年6月因区财经纪律要求，取消了防汛值班值守费用。</w:t>
      </w:r>
      <w:r>
        <w:rPr>
          <w:rFonts w:hint="default" w:ascii="Times New Roman" w:hAnsi="Times New Roman" w:eastAsia="仿宋_GB2312" w:cs="Times New Roman"/>
          <w:sz w:val="32"/>
          <w:szCs w:val="32"/>
          <w:lang w:val="zh-CN"/>
        </w:rPr>
        <w:t>该项目资金支付范围、支付标准、支付进度、支付依据合规合法，与预算相符。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该项目由根据水库运行管理实际情况编制申报表，报送区财政 申请财政资金，待财政资金下达后，由财务人员在大平台系统上申 请财政指标，财政审核通过后，进行资金拨付。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zh-CN"/>
        </w:rPr>
        <w:t>）项目管理情况。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水利工程运行中心</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为确保专项资金及时拨付到位，采取银行转账方式上卡的方式发放。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项目完成</w:t>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16万元</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年汛期做好防汛物资储备，完成1次防汛应急演练，完成了汛期的巡查和值班值守工作。保证了3座水库和水库在建工程安全度汛。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年防汛工作的顺利完成，维护社会稳定，保障了社会正常的生产和生活活动，群众满意度良好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提升了防汛预警应变能力。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ascii="楷体_GB2312" w:hAnsi="楷体_GB2312" w:eastAsia="楷体_GB2312" w:cs="楷体_GB2312"/>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rPr>
        <w:t>16万元</w:t>
      </w:r>
      <w:r>
        <w:rPr>
          <w:rFonts w:hint="default" w:ascii="Times New Roman" w:hAnsi="Times New Roman" w:eastAsia="仿宋_GB2312" w:cs="Times New Roman"/>
          <w:sz w:val="32"/>
          <w:szCs w:val="32"/>
        </w:rPr>
        <w:t>，未超出预算资金；项目的组织管理符合项目的特殊性要求，项目的产出基本达到目标，项目效果良好，项目的绩效基本实现。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r>
        <w:rPr>
          <w:rFonts w:hint="eastAsia"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zh-CN"/>
        </w:rPr>
      </w:pPr>
      <w:r>
        <w:rPr>
          <w:rFonts w:hint="default" w:ascii="楷体_GB2312" w:hAnsi="楷体_GB2312" w:eastAsia="楷体_GB2312" w:cs="楷体_GB2312"/>
          <w:sz w:val="32"/>
          <w:szCs w:val="32"/>
          <w:lang w:val="zh-CN"/>
        </w:rPr>
        <w:t>（三）相关建议。</w:t>
      </w: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p>
      <w:pPr>
        <w:pStyle w:val="2"/>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sz w:val="32"/>
          <w:szCs w:val="32"/>
          <w:lang w:val="zh-CN"/>
        </w:rPr>
      </w:pPr>
    </w:p>
    <w:tbl>
      <w:tblPr>
        <w:tblStyle w:val="13"/>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668"/>
        <w:gridCol w:w="1275"/>
        <w:gridCol w:w="1560"/>
        <w:gridCol w:w="250"/>
        <w:gridCol w:w="1189"/>
        <w:gridCol w:w="1224"/>
        <w:gridCol w:w="313"/>
        <w:gridCol w:w="209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2021年部门预算项目绩效目标自评</w:t>
            </w:r>
          </w:p>
          <w:p>
            <w:pPr>
              <w:pStyle w:val="2"/>
              <w:ind w:firstLine="3120" w:firstLineChars="1300"/>
              <w:jc w:val="both"/>
              <w:rPr>
                <w:rFonts w:hint="eastAsia" w:eastAsia="仿宋_GB2312"/>
                <w:lang w:eastAsia="zh-CN"/>
              </w:rPr>
            </w:pPr>
            <w:r>
              <w:rPr>
                <w:rFonts w:hint="eastAsia" w:ascii="宋体" w:hAnsi="宋体" w:eastAsia="宋体" w:cs="宋体"/>
                <w:b w:val="0"/>
                <w:bCs w:val="0"/>
                <w:sz w:val="24"/>
                <w:szCs w:val="24"/>
                <w:lang w:eastAsia="zh-CN"/>
              </w:rPr>
              <w:t>（梅子箐水库防汛经费）</w:t>
            </w:r>
          </w:p>
        </w:tc>
      </w:tr>
      <w:tr>
        <w:tblPrEx>
          <w:tblCellMar>
            <w:top w:w="0" w:type="dxa"/>
            <w:left w:w="108" w:type="dxa"/>
            <w:bottom w:w="0" w:type="dxa"/>
            <w:right w:w="108" w:type="dxa"/>
          </w:tblCellMar>
        </w:tblPrEx>
        <w:trPr>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主管部门及代码</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水利工程运行中心</w:t>
            </w:r>
          </w:p>
        </w:tc>
      </w:tr>
      <w:tr>
        <w:tblPrEx>
          <w:tblCellMar>
            <w:top w:w="0" w:type="dxa"/>
            <w:left w:w="108" w:type="dxa"/>
            <w:bottom w:w="0" w:type="dxa"/>
            <w:right w:w="108" w:type="dxa"/>
          </w:tblCellMar>
        </w:tblPrEx>
        <w:trPr>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项目预算</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执行情况</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1.16</w:t>
            </w:r>
          </w:p>
        </w:tc>
      </w:tr>
      <w:tr>
        <w:tblPrEx>
          <w:tblCellMar>
            <w:top w:w="0" w:type="dxa"/>
            <w:left w:w="108" w:type="dxa"/>
            <w:bottom w:w="0" w:type="dxa"/>
            <w:right w:w="108" w:type="dxa"/>
          </w:tblCellMar>
        </w:tblPrEx>
        <w:trPr>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1.16</w:t>
            </w:r>
          </w:p>
        </w:tc>
      </w:tr>
      <w:tr>
        <w:tblPrEx>
          <w:tblCellMar>
            <w:top w:w="0" w:type="dxa"/>
            <w:left w:w="108" w:type="dxa"/>
            <w:bottom w:w="0" w:type="dxa"/>
            <w:right w:w="108" w:type="dxa"/>
          </w:tblCellMar>
        </w:tblPrEx>
        <w:trPr>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完成情况</w:t>
            </w: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目标实际完成情况</w:t>
            </w:r>
          </w:p>
        </w:tc>
      </w:tr>
      <w:tr>
        <w:tblPrEx>
          <w:tblCellMar>
            <w:top w:w="0" w:type="dxa"/>
            <w:left w:w="108" w:type="dxa"/>
            <w:bottom w:w="0" w:type="dxa"/>
            <w:right w:w="108" w:type="dxa"/>
          </w:tblCellMar>
        </w:tblPrEx>
        <w:trPr>
          <w:trHeight w:val="797"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坚持以人为本、依法防控、科学防控，确保人民群众生命和财产安全</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完成防汛物资采购，开展防汛宣传工作，汛期开展值班值守，保障人民群众生命财产安全</w:t>
            </w:r>
          </w:p>
        </w:tc>
      </w:tr>
      <w:tr>
        <w:tblPrEx>
          <w:tblCellMar>
            <w:top w:w="0" w:type="dxa"/>
            <w:left w:w="108" w:type="dxa"/>
            <w:bottom w:w="0" w:type="dxa"/>
            <w:right w:w="108" w:type="dxa"/>
          </w:tblCellMar>
        </w:tblPrEx>
        <w:trPr>
          <w:trHeight w:val="693"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年度绩效指标完成情况</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w:t>
            </w:r>
          </w:p>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二级</w:t>
            </w:r>
          </w:p>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三级</w:t>
            </w:r>
          </w:p>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预期指标值</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实际完成指标值</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涉及对象覆盖率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补助资金到位</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防汛工作计划</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2021年</w:t>
            </w:r>
            <w:r>
              <w:rPr>
                <w:rFonts w:hint="eastAsia" w:ascii="仿宋_GB2312" w:hAnsi="仿宋_GB2312" w:eastAsia="仿宋_GB2312" w:cs="仿宋_GB2312"/>
                <w:kern w:val="0"/>
                <w:sz w:val="24"/>
                <w:szCs w:val="24"/>
                <w:lang w:val="en-US" w:eastAsia="zh-CN"/>
              </w:rPr>
              <w:t>5月至10月</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已完成</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1.16万元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1.16</w:t>
            </w:r>
            <w:r>
              <w:rPr>
                <w:rFonts w:hint="eastAsia" w:ascii="仿宋_GB2312" w:hAnsi="仿宋_GB2312" w:eastAsia="仿宋_GB2312" w:cs="仿宋_GB2312"/>
                <w:kern w:val="0"/>
                <w:sz w:val="24"/>
                <w:szCs w:val="24"/>
              </w:rPr>
              <w:t>万元</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效益</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经济效益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确保库区人畜汛期安全度汛，减少人民生命财产安全损失。</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全面提升汛期防汛应对能力</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确保水利工程安全</w:t>
            </w:r>
            <w:r>
              <w:rPr>
                <w:rFonts w:hint="eastAsia" w:ascii="仿宋_GB2312" w:hAnsi="仿宋_GB2312" w:eastAsia="仿宋_GB2312" w:cs="仿宋_GB2312"/>
                <w:kern w:val="0"/>
                <w:sz w:val="24"/>
                <w:szCs w:val="24"/>
                <w:lang w:eastAsia="zh-CN"/>
              </w:rPr>
              <w:t>度汛</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530"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满意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群众满意度</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bl>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353" w:lineRule="auto"/>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攀枝花市</w:t>
      </w:r>
      <w:r>
        <w:rPr>
          <w:rFonts w:hint="eastAsia" w:ascii="方正小标宋_GBK" w:hAnsi="方正小标宋_GBK" w:eastAsia="方正小标宋_GBK" w:cs="方正小标宋_GBK"/>
          <w:color w:val="auto"/>
          <w:sz w:val="44"/>
          <w:szCs w:val="44"/>
          <w:lang w:eastAsia="zh-CN"/>
        </w:rPr>
        <w:t>西</w:t>
      </w:r>
      <w:r>
        <w:rPr>
          <w:rFonts w:hint="eastAsia" w:ascii="方正小标宋_GBK" w:hAnsi="方正小标宋_GBK" w:eastAsia="方正小标宋_GBK" w:cs="方正小标宋_GBK"/>
          <w:color w:val="auto"/>
          <w:sz w:val="44"/>
          <w:szCs w:val="44"/>
        </w:rPr>
        <w:t>区水利</w:t>
      </w:r>
      <w:r>
        <w:rPr>
          <w:rFonts w:hint="eastAsia" w:ascii="方正小标宋_GBK" w:hAnsi="方正小标宋_GBK" w:eastAsia="方正小标宋_GBK" w:cs="方正小标宋_GBK"/>
          <w:color w:val="auto"/>
          <w:sz w:val="44"/>
          <w:szCs w:val="44"/>
          <w:lang w:eastAsia="zh-CN"/>
        </w:rPr>
        <w:t>工程运行中心</w:t>
      </w:r>
    </w:p>
    <w:p>
      <w:pPr>
        <w:keepNext w:val="0"/>
        <w:keepLines w:val="0"/>
        <w:pageBreakBefore w:val="0"/>
        <w:widowControl w:val="0"/>
        <w:kinsoku/>
        <w:wordWrap/>
        <w:overflowPunct/>
        <w:topLinePunct w:val="0"/>
        <w:autoSpaceDE/>
        <w:autoSpaceDN/>
        <w:bidi w:val="0"/>
        <w:adjustRightInd/>
        <w:snapToGrid/>
        <w:spacing w:line="353" w:lineRule="auto"/>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年度部门预算项目支出绩效自评报告</w:t>
      </w:r>
    </w:p>
    <w:p>
      <w:pPr>
        <w:spacing w:line="600" w:lineRule="exact"/>
        <w:jc w:val="center"/>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（梅子箐水库扩建工程项目）</w:t>
      </w:r>
    </w:p>
    <w:p>
      <w:pPr>
        <w:spacing w:line="600" w:lineRule="exact"/>
        <w:ind w:firstLine="640"/>
        <w:jc w:val="center"/>
        <w:rPr>
          <w:rFonts w:ascii="宋体" w:hAnsi="宋体"/>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楷体_GB2312" w:hAnsi="宋体" w:eastAsia="楷体_GB2312"/>
          <w:b/>
          <w:sz w:val="32"/>
          <w:szCs w:val="32"/>
          <w:lang w:val="zh-CN"/>
        </w:rPr>
      </w:pPr>
      <w:r>
        <w:rPr>
          <w:rFonts w:hint="eastAsia" w:ascii="楷体_GB2312" w:hAnsi="楷体_GB2312" w:eastAsia="楷体_GB2312" w:cs="楷体_GB2312"/>
          <w:b w:val="0"/>
          <w:bCs/>
          <w:sz w:val="32"/>
          <w:szCs w:val="32"/>
          <w:lang w:val="zh-CN"/>
        </w:rPr>
        <w:t>（一）项目基本情况。</w:t>
      </w:r>
    </w:p>
    <w:p>
      <w:pPr>
        <w:keepNext w:val="0"/>
        <w:keepLines w:val="0"/>
        <w:pageBreakBefore w:val="0"/>
        <w:widowControl w:val="0"/>
        <w:kinsoku/>
        <w:wordWrap/>
        <w:overflowPunct/>
        <w:topLinePunct w:val="0"/>
        <w:autoSpaceDE/>
        <w:autoSpaceDN/>
        <w:bidi w:val="0"/>
        <w:spacing w:line="540" w:lineRule="exact"/>
        <w:ind w:firstLine="640"/>
        <w:textAlignment w:val="auto"/>
        <w:outlineLvl w:val="0"/>
        <w:rPr>
          <w:rFonts w:eastAsia="仿宋_GB2312"/>
          <w:sz w:val="32"/>
          <w:szCs w:val="32"/>
        </w:rPr>
      </w:pPr>
      <w:r>
        <w:rPr>
          <w:rFonts w:hint="eastAsia" w:eastAsia="仿宋_GB2312"/>
          <w:sz w:val="32"/>
          <w:szCs w:val="32"/>
          <w:lang w:val="en-US" w:eastAsia="zh-CN"/>
        </w:rPr>
        <w:t>1.</w:t>
      </w:r>
      <w:r>
        <w:rPr>
          <w:rFonts w:hint="eastAsia" w:eastAsia="仿宋_GB2312"/>
          <w:sz w:val="32"/>
          <w:szCs w:val="32"/>
        </w:rPr>
        <w:t>梅子箐水库扩建工程是省、市重点中型水利建设项目，该项目于</w:t>
      </w: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12</w:t>
      </w:r>
      <w:r>
        <w:rPr>
          <w:rFonts w:hint="eastAsia" w:eastAsia="仿宋_GB2312"/>
          <w:color w:val="000000" w:themeColor="text1"/>
          <w:sz w:val="32"/>
          <w:szCs w:val="32"/>
          <w14:textFill>
            <w14:solidFill>
              <w14:schemeClr w14:val="tx1"/>
            </w14:solidFill>
          </w14:textFill>
        </w:rPr>
        <w:t>月开工</w:t>
      </w:r>
      <w:r>
        <w:rPr>
          <w:rFonts w:hint="eastAsia" w:eastAsia="仿宋_GB2312"/>
          <w:sz w:val="32"/>
          <w:szCs w:val="32"/>
        </w:rPr>
        <w:t>，项目位于西区格里坪镇和仁和区福田镇境内，设计总库容</w:t>
      </w:r>
      <w:r>
        <w:rPr>
          <w:rFonts w:eastAsia="仿宋_GB2312"/>
          <w:sz w:val="32"/>
          <w:szCs w:val="32"/>
        </w:rPr>
        <w:t xml:space="preserve">2392 </w:t>
      </w:r>
      <w:r>
        <w:rPr>
          <w:rFonts w:hint="eastAsia" w:eastAsia="仿宋_GB2312"/>
          <w:sz w:val="32"/>
          <w:szCs w:val="32"/>
        </w:rPr>
        <w:t>万</w:t>
      </w:r>
      <w:r>
        <w:rPr>
          <w:rFonts w:eastAsia="仿宋_GB2312"/>
          <w:sz w:val="32"/>
          <w:szCs w:val="32"/>
        </w:rPr>
        <w:t>m</w:t>
      </w:r>
      <w:r>
        <w:rPr>
          <w:rFonts w:eastAsia="仿宋_GB2312"/>
          <w:sz w:val="32"/>
          <w:szCs w:val="32"/>
          <w:vertAlign w:val="superscript"/>
        </w:rPr>
        <w:t>3</w:t>
      </w:r>
      <w:r>
        <w:rPr>
          <w:rFonts w:hint="eastAsia" w:eastAsia="仿宋_GB2312"/>
          <w:sz w:val="32"/>
          <w:szCs w:val="32"/>
        </w:rPr>
        <w:t>，总灌面</w:t>
      </w:r>
      <w:r>
        <w:rPr>
          <w:rFonts w:eastAsia="仿宋_GB2312"/>
          <w:sz w:val="32"/>
          <w:szCs w:val="32"/>
        </w:rPr>
        <w:t xml:space="preserve"> 5.8 </w:t>
      </w:r>
      <w:r>
        <w:rPr>
          <w:rFonts w:hint="eastAsia" w:eastAsia="仿宋_GB2312"/>
          <w:sz w:val="32"/>
          <w:szCs w:val="32"/>
        </w:rPr>
        <w:t>万亩，可解决西区、仁和区灌区内</w:t>
      </w:r>
      <w:r>
        <w:rPr>
          <w:rFonts w:eastAsia="仿宋_GB2312"/>
          <w:sz w:val="32"/>
          <w:szCs w:val="32"/>
        </w:rPr>
        <w:t xml:space="preserve"> 1.31</w:t>
      </w:r>
      <w:r>
        <w:rPr>
          <w:rFonts w:hint="eastAsia" w:eastAsia="仿宋_GB2312"/>
          <w:sz w:val="32"/>
          <w:szCs w:val="32"/>
        </w:rPr>
        <w:t>万人和</w:t>
      </w:r>
      <w:r>
        <w:rPr>
          <w:rFonts w:eastAsia="仿宋_GB2312"/>
          <w:sz w:val="32"/>
          <w:szCs w:val="32"/>
        </w:rPr>
        <w:t xml:space="preserve"> 2.2 </w:t>
      </w:r>
      <w:r>
        <w:rPr>
          <w:rFonts w:hint="eastAsia" w:eastAsia="仿宋_GB2312"/>
          <w:sz w:val="32"/>
          <w:szCs w:val="32"/>
        </w:rPr>
        <w:t>万头牲畜的生产生活用水。工程由水库枢纽工程（含梅子箐水库扩建工程、三洞桥水库工程和高涧沟水库扩建工程）、充水渠工程、灌区工程组成，总投资</w:t>
      </w:r>
      <w:r>
        <w:rPr>
          <w:rFonts w:eastAsia="仿宋_GB2312"/>
          <w:sz w:val="32"/>
          <w:szCs w:val="32"/>
        </w:rPr>
        <w:t xml:space="preserve"> 41340 </w:t>
      </w:r>
      <w:r>
        <w:rPr>
          <w:rFonts w:hint="eastAsia"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根据四川省水利厅关于攀枝花市西区梅子箐水库扩建我国概念车初步设计报告的批复（川水函[2012]2700号）。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制定了资金支付方案，资金支持项目必须为梅子箐水库扩建工程批复建设内容，资金支付必须以实际完成工程量为依据。</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4.资金分配根据项目设计批复建设内容，结合招标项目合同金额进行分配，做到专款专用。</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项目主要内容。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sz w:val="32"/>
          <w:szCs w:val="32"/>
          <w:lang w:val="zh-CN" w:eastAsia="zh-CN"/>
        </w:rPr>
      </w:pPr>
      <w:r>
        <w:rPr>
          <w:rFonts w:hint="eastAsia" w:eastAsia="仿宋_GB2312"/>
          <w:sz w:val="32"/>
          <w:szCs w:val="32"/>
        </w:rPr>
        <w:t>工程由水库枢纽工程（含梅子箐水库扩建工程、三洞桥水库工程和高涧沟水库扩建工程）、充水渠工程、灌区工程组成</w:t>
      </w:r>
      <w:r>
        <w:rPr>
          <w:rFonts w:hint="eastAsia"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梅子箐水库扩建工程总体完成</w:t>
      </w:r>
      <w:r>
        <w:rPr>
          <w:rFonts w:eastAsia="仿宋_GB2312"/>
          <w:sz w:val="32"/>
          <w:szCs w:val="32"/>
        </w:rPr>
        <w:t>94%</w:t>
      </w:r>
      <w:r>
        <w:rPr>
          <w:rFonts w:hint="eastAsia" w:eastAsia="仿宋_GB2312"/>
          <w:sz w:val="32"/>
          <w:szCs w:val="32"/>
        </w:rPr>
        <w:t>，其中梅子箐水库枢纽工程（</w:t>
      </w:r>
      <w:r>
        <w:rPr>
          <w:rFonts w:hint="eastAsia" w:ascii="宋体" w:hAnsi="宋体" w:cs="宋体"/>
          <w:sz w:val="32"/>
          <w:szCs w:val="32"/>
        </w:rPr>
        <w:t>Ⅰ</w:t>
      </w:r>
      <w:r>
        <w:rPr>
          <w:rFonts w:hint="eastAsia" w:eastAsia="仿宋_GB2312"/>
          <w:sz w:val="32"/>
          <w:szCs w:val="32"/>
        </w:rPr>
        <w:t>标段）、充水渠工程（</w:t>
      </w:r>
      <w:r>
        <w:rPr>
          <w:rFonts w:hint="eastAsia" w:ascii="宋体" w:hAnsi="宋体" w:cs="宋体"/>
          <w:sz w:val="32"/>
          <w:szCs w:val="32"/>
        </w:rPr>
        <w:t>Ⅱ</w:t>
      </w:r>
      <w:r>
        <w:rPr>
          <w:rFonts w:hint="eastAsia" w:eastAsia="仿宋_GB2312"/>
          <w:sz w:val="32"/>
          <w:szCs w:val="32"/>
        </w:rPr>
        <w:t>标段）、三洞桥水库工程（</w:t>
      </w:r>
      <w:r>
        <w:rPr>
          <w:rFonts w:hint="eastAsia" w:ascii="宋体" w:hAnsi="宋体" w:cs="宋体"/>
          <w:sz w:val="32"/>
          <w:szCs w:val="32"/>
        </w:rPr>
        <w:t>Ⅲ</w:t>
      </w:r>
      <w:r>
        <w:rPr>
          <w:rFonts w:hint="eastAsia" w:eastAsia="仿宋_GB2312"/>
          <w:sz w:val="32"/>
          <w:szCs w:val="32"/>
        </w:rPr>
        <w:t>标段）、高涧沟水库扩建工程（</w:t>
      </w:r>
      <w:r>
        <w:rPr>
          <w:rFonts w:hint="eastAsia" w:ascii="宋体" w:hAnsi="宋体" w:cs="宋体"/>
          <w:sz w:val="32"/>
          <w:szCs w:val="32"/>
        </w:rPr>
        <w:t>Ⅳ</w:t>
      </w:r>
      <w:r>
        <w:rPr>
          <w:rFonts w:hint="eastAsia" w:eastAsia="仿宋_GB2312"/>
          <w:sz w:val="32"/>
          <w:szCs w:val="32"/>
        </w:rPr>
        <w:t>标段）、机电设备及金属结构（</w:t>
      </w:r>
      <w:r>
        <w:rPr>
          <w:rFonts w:hint="eastAsia" w:ascii="宋体" w:hAnsi="宋体" w:cs="宋体"/>
          <w:sz w:val="32"/>
          <w:szCs w:val="32"/>
        </w:rPr>
        <w:t>Ⅵ</w:t>
      </w:r>
      <w:r>
        <w:rPr>
          <w:rFonts w:hint="eastAsia" w:eastAsia="仿宋_GB2312"/>
          <w:sz w:val="32"/>
          <w:szCs w:val="32"/>
        </w:rPr>
        <w:t>标段）、管理房（</w:t>
      </w:r>
      <w:r>
        <w:rPr>
          <w:rFonts w:hint="eastAsia" w:ascii="宋体" w:hAnsi="宋体" w:cs="宋体"/>
          <w:sz w:val="32"/>
          <w:szCs w:val="32"/>
        </w:rPr>
        <w:t>Ⅶ</w:t>
      </w:r>
      <w:r>
        <w:rPr>
          <w:rFonts w:hint="eastAsia" w:eastAsia="仿宋_GB2312"/>
          <w:sz w:val="32"/>
          <w:szCs w:val="32"/>
        </w:rPr>
        <w:t>标段）、大坝监控、检测及水情测报（</w:t>
      </w:r>
      <w:r>
        <w:rPr>
          <w:rFonts w:hint="eastAsia" w:ascii="宋体" w:hAnsi="宋体" w:cs="宋体"/>
          <w:sz w:val="32"/>
          <w:szCs w:val="32"/>
        </w:rPr>
        <w:t>Ⅷ</w:t>
      </w:r>
      <w:r>
        <w:rPr>
          <w:rFonts w:hint="eastAsia" w:eastAsia="仿宋_GB2312"/>
          <w:sz w:val="32"/>
          <w:szCs w:val="32"/>
        </w:rPr>
        <w:t>标段）已经基本完成</w:t>
      </w:r>
      <w:r>
        <w:rPr>
          <w:rFonts w:hint="eastAsia" w:eastAsia="仿宋_GB2312"/>
          <w:b/>
          <w:sz w:val="32"/>
          <w:szCs w:val="32"/>
        </w:rPr>
        <w:t>；</w:t>
      </w:r>
      <w:r>
        <w:rPr>
          <w:rFonts w:hint="eastAsia" w:eastAsia="仿宋_GB2312"/>
          <w:sz w:val="32"/>
          <w:szCs w:val="32"/>
        </w:rPr>
        <w:t>灌区工程含提灌站（</w:t>
      </w:r>
      <w:r>
        <w:rPr>
          <w:rFonts w:hint="eastAsia" w:ascii="宋体" w:hAnsi="宋体" w:cs="宋体"/>
          <w:sz w:val="32"/>
          <w:szCs w:val="32"/>
        </w:rPr>
        <w:t>Ⅴ</w:t>
      </w:r>
      <w:r>
        <w:rPr>
          <w:rFonts w:hint="eastAsia" w:eastAsia="仿宋_GB2312"/>
          <w:sz w:val="32"/>
          <w:szCs w:val="32"/>
        </w:rPr>
        <w:t>标段）因林业手续问题正在加快推进。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ascii="仿宋_GB2312" w:hAnsi="宋体" w:eastAsia="仿宋_GB2312"/>
          <w:sz w:val="32"/>
          <w:szCs w:val="32"/>
          <w:lang w:val="zh-CN"/>
        </w:rPr>
      </w:pPr>
      <w:r>
        <w:rPr>
          <w:rFonts w:hint="eastAsia"/>
          <w:sz w:val="32"/>
          <w:szCs w:val="32"/>
          <w:lang w:val="en-US" w:eastAsia="zh-CN"/>
        </w:rPr>
        <w:t>3.</w:t>
      </w:r>
      <w:r>
        <w:rPr>
          <w:rFonts w:hint="eastAsia" w:eastAsia="仿宋_GB2312"/>
          <w:sz w:val="32"/>
          <w:szCs w:val="32"/>
        </w:rPr>
        <w:t>基本完成梅子箐水库扩建工程全线的征地移民补偿工作及西区范围内的移民搬迁安置工作；完成了专业项目中的交通设施、输变电设施、福田水电站、渠道及文物古迹的迁建和补偿工作；仁和区域临时用地复垦工作已完成；移民重大设计变更已上报省扶贫开发局。</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项目采取自评方式，按照财政下达的项目支出绩效评价指标体系，从项目决策、项目管理、项目绩效等方面做出评价。</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梅子箐水库原为小（一）型水库，扩建成中型水库，为攀枝花市西区、仁和区</w:t>
      </w:r>
      <w:r>
        <w:rPr>
          <w:rFonts w:ascii="Times New Roman" w:hAnsi="Times New Roman" w:eastAsia="仿宋_GB2312"/>
          <w:sz w:val="32"/>
          <w:szCs w:val="32"/>
        </w:rPr>
        <w:t>5</w:t>
      </w:r>
      <w:r>
        <w:rPr>
          <w:rFonts w:hint="eastAsia" w:ascii="Times New Roman" w:hAnsi="Times New Roman" w:eastAsia="仿宋_GB2312"/>
          <w:sz w:val="32"/>
          <w:szCs w:val="32"/>
        </w:rPr>
        <w:t>万亩耕地和</w:t>
      </w:r>
      <w:r>
        <w:rPr>
          <w:rFonts w:ascii="Times New Roman" w:hAnsi="Times New Roman" w:eastAsia="仿宋_GB2312"/>
          <w:sz w:val="32"/>
          <w:szCs w:val="32"/>
        </w:rPr>
        <w:t>1.3</w:t>
      </w:r>
      <w:r>
        <w:rPr>
          <w:rFonts w:hint="eastAsia" w:ascii="Times New Roman" w:hAnsi="Times New Roman" w:eastAsia="仿宋_GB2312"/>
          <w:sz w:val="32"/>
          <w:szCs w:val="32"/>
        </w:rPr>
        <w:t>万余人提供灌溉用水和生活用水，对改善群众生活条件，促进经济社会发展具有重要作用。根据《四川省发改委关于攀枝花市西区梅子箐水库扩建工程可行性研究报告的批复》（川发改农</w:t>
      </w:r>
      <w:r>
        <w:rPr>
          <w:rFonts w:hint="eastAsia" w:ascii="宋体" w:hAnsi="宋体"/>
          <w:sz w:val="32"/>
          <w:szCs w:val="32"/>
        </w:rPr>
        <w:t>〔</w:t>
      </w:r>
      <w:r>
        <w:rPr>
          <w:rFonts w:ascii="Times New Roman" w:hAnsi="Times New Roman" w:eastAsia="仿宋_GB2312"/>
          <w:sz w:val="32"/>
          <w:szCs w:val="32"/>
        </w:rPr>
        <w:t>2012</w:t>
      </w:r>
      <w:r>
        <w:rPr>
          <w:rFonts w:hint="eastAsia" w:ascii="宋体" w:hAnsi="宋体"/>
          <w:sz w:val="32"/>
          <w:szCs w:val="32"/>
        </w:rPr>
        <w:t>〕</w:t>
      </w:r>
      <w:r>
        <w:rPr>
          <w:rFonts w:ascii="Times New Roman" w:hAnsi="Times New Roman" w:eastAsia="仿宋_GB2312"/>
          <w:sz w:val="32"/>
          <w:szCs w:val="32"/>
        </w:rPr>
        <w:t>1026</w:t>
      </w:r>
      <w:r>
        <w:rPr>
          <w:rFonts w:hint="eastAsia" w:ascii="Times New Roman" w:hAnsi="Times New Roman" w:eastAsia="仿宋_GB2312"/>
          <w:sz w:val="32"/>
          <w:szCs w:val="32"/>
        </w:rPr>
        <w:t>号）和《四川省水利厅关于攀枝花市西区梅子箐水库扩建工程初步设计报告的批复》（川水函</w:t>
      </w:r>
      <w:r>
        <w:rPr>
          <w:rFonts w:hint="eastAsia" w:ascii="宋体" w:hAnsi="宋体"/>
          <w:sz w:val="32"/>
          <w:szCs w:val="32"/>
        </w:rPr>
        <w:t>〔</w:t>
      </w:r>
      <w:r>
        <w:rPr>
          <w:rFonts w:ascii="Times New Roman" w:hAnsi="Times New Roman" w:eastAsia="仿宋_GB2312"/>
          <w:sz w:val="32"/>
          <w:szCs w:val="32"/>
        </w:rPr>
        <w:t>2012</w:t>
      </w:r>
      <w:r>
        <w:rPr>
          <w:rFonts w:hint="eastAsia" w:ascii="宋体" w:hAnsi="宋体"/>
          <w:sz w:val="32"/>
          <w:szCs w:val="32"/>
        </w:rPr>
        <w:t>〕</w:t>
      </w:r>
      <w:r>
        <w:rPr>
          <w:rFonts w:ascii="Times New Roman" w:hAnsi="Times New Roman" w:eastAsia="仿宋_GB2312"/>
          <w:sz w:val="32"/>
          <w:szCs w:val="32"/>
        </w:rPr>
        <w:t>2700</w:t>
      </w:r>
      <w:r>
        <w:rPr>
          <w:rFonts w:hint="eastAsia" w:ascii="Times New Roman" w:hAnsi="Times New Roman" w:eastAsia="仿宋_GB2312"/>
          <w:sz w:val="32"/>
          <w:szCs w:val="32"/>
        </w:rPr>
        <w:t>号）文件，项目业主为梅子箐水库扩建工程管理局，项目估算投资</w:t>
      </w:r>
      <w:r>
        <w:rPr>
          <w:rFonts w:ascii="Times New Roman" w:hAnsi="Times New Roman" w:eastAsia="仿宋_GB2312"/>
          <w:sz w:val="32"/>
          <w:szCs w:val="32"/>
        </w:rPr>
        <w:t>41340</w:t>
      </w:r>
      <w:r>
        <w:rPr>
          <w:rFonts w:hint="eastAsia" w:ascii="Times New Roman" w:hAnsi="Times New Roman" w:eastAsia="仿宋_GB2312"/>
          <w:sz w:val="32"/>
          <w:szCs w:val="32"/>
        </w:rPr>
        <w:t>万元，资金来源为中央资金</w:t>
      </w:r>
      <w:r>
        <w:rPr>
          <w:rFonts w:ascii="Times New Roman" w:hAnsi="Times New Roman" w:eastAsia="仿宋_GB2312"/>
          <w:sz w:val="32"/>
          <w:szCs w:val="32"/>
        </w:rPr>
        <w:t>20000</w:t>
      </w:r>
      <w:r>
        <w:rPr>
          <w:rFonts w:hint="eastAsia" w:ascii="Times New Roman" w:hAnsi="Times New Roman" w:eastAsia="仿宋_GB2312"/>
          <w:sz w:val="32"/>
          <w:szCs w:val="32"/>
        </w:rPr>
        <w:t>万元，省级资金</w:t>
      </w:r>
      <w:r>
        <w:rPr>
          <w:rFonts w:ascii="Times New Roman" w:hAnsi="Times New Roman" w:eastAsia="仿宋_GB2312"/>
          <w:sz w:val="32"/>
          <w:szCs w:val="32"/>
        </w:rPr>
        <w:t>8012</w:t>
      </w:r>
      <w:r>
        <w:rPr>
          <w:rFonts w:hint="eastAsia" w:ascii="Times New Roman" w:hAnsi="Times New Roman" w:eastAsia="仿宋_GB2312"/>
          <w:sz w:val="32"/>
          <w:szCs w:val="32"/>
        </w:rPr>
        <w:t>万元，市、区级资金各</w:t>
      </w:r>
      <w:r>
        <w:rPr>
          <w:rFonts w:ascii="Times New Roman" w:hAnsi="Times New Roman" w:eastAsia="仿宋_GB2312"/>
          <w:sz w:val="32"/>
          <w:szCs w:val="32"/>
        </w:rPr>
        <w:t>6664</w:t>
      </w:r>
      <w:r>
        <w:rPr>
          <w:rFonts w:hint="eastAsia" w:ascii="Times New Roman" w:hAnsi="Times New Roman"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宋体" w:eastAsia="仿宋_GB2312"/>
          <w:sz w:val="32"/>
          <w:szCs w:val="32"/>
          <w:lang w:val="zh-CN"/>
        </w:rPr>
      </w:pPr>
      <w:r>
        <w:rPr>
          <w:rFonts w:hint="eastAsia" w:ascii="楷体_GB2312" w:hAnsi="宋体" w:eastAsia="楷体_GB2312"/>
          <w:b w:val="0"/>
          <w:bCs/>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宋体" w:eastAsia="楷体_GB2312"/>
          <w:sz w:val="32"/>
          <w:szCs w:val="32"/>
          <w:lang w:val="zh-CN"/>
        </w:rPr>
      </w:pPr>
      <w:r>
        <w:rPr>
          <w:rFonts w:hint="eastAsia" w:ascii="楷体_GB2312" w:hAnsi="宋体" w:eastAsia="楷体_GB2312"/>
          <w:sz w:val="32"/>
          <w:szCs w:val="32"/>
          <w:lang w:val="zh-CN"/>
        </w:rPr>
        <w:t>1</w:t>
      </w:r>
      <w:r>
        <w:rPr>
          <w:rFonts w:hint="eastAsia" w:ascii="楷体_GB2312" w:hAnsi="宋体" w:eastAsia="楷体_GB2312"/>
          <w:sz w:val="32"/>
          <w:szCs w:val="32"/>
          <w:lang w:val="en-US" w:eastAsia="zh-CN"/>
        </w:rPr>
        <w:t>.</w:t>
      </w:r>
      <w:r>
        <w:rPr>
          <w:rFonts w:hint="eastAsia" w:ascii="楷体_GB2312" w:hAnsi="宋体" w:eastAsia="楷体_GB2312"/>
          <w:sz w:val="32"/>
          <w:szCs w:val="32"/>
          <w:lang w:val="zh-CN"/>
        </w:rPr>
        <w:t>资金计划。</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宋体" w:eastAsia="楷体_GB2312"/>
          <w:sz w:val="32"/>
          <w:szCs w:val="32"/>
          <w:lang w:val="zh-CN"/>
        </w:rPr>
      </w:pPr>
      <w:r>
        <w:rPr>
          <w:rFonts w:hint="eastAsia" w:ascii="仿宋_GB2312" w:hAnsi="宋体" w:eastAsia="仿宋_GB2312"/>
          <w:sz w:val="32"/>
          <w:szCs w:val="32"/>
          <w:lang w:val="zh-CN"/>
        </w:rPr>
        <w:t>工程资金到位</w:t>
      </w:r>
      <w:r>
        <w:rPr>
          <w:rFonts w:hint="eastAsia" w:ascii="仿宋_GB2312" w:hAnsi="宋体" w:eastAsia="仿宋_GB2312"/>
          <w:sz w:val="32"/>
          <w:szCs w:val="32"/>
          <w:lang w:val="en-US" w:eastAsia="zh-CN"/>
        </w:rPr>
        <w:t>39753.39万</w:t>
      </w:r>
      <w:r>
        <w:rPr>
          <w:rFonts w:hint="eastAsia" w:ascii="仿宋_GB2312" w:hAnsi="宋体" w:eastAsia="仿宋_GB2312"/>
          <w:sz w:val="32"/>
          <w:szCs w:val="32"/>
          <w:lang w:val="zh-CN"/>
        </w:rPr>
        <w:t>元，计划中央资金</w:t>
      </w:r>
      <w:r>
        <w:rPr>
          <w:rFonts w:hint="eastAsia" w:ascii="仿宋_GB2312" w:hAnsi="宋体" w:eastAsia="仿宋_GB2312"/>
          <w:sz w:val="32"/>
          <w:szCs w:val="32"/>
          <w:lang w:val="en-US" w:eastAsia="zh-CN"/>
        </w:rPr>
        <w:t>20000万</w:t>
      </w:r>
      <w:r>
        <w:rPr>
          <w:rFonts w:hint="eastAsia" w:ascii="仿宋_GB2312" w:hAnsi="宋体" w:eastAsia="仿宋_GB2312"/>
          <w:sz w:val="32"/>
          <w:szCs w:val="32"/>
          <w:lang w:val="zh-CN"/>
        </w:rPr>
        <w:t>元，省级</w:t>
      </w:r>
      <w:r>
        <w:rPr>
          <w:rFonts w:hint="eastAsia" w:ascii="仿宋_GB2312" w:hAnsi="宋体" w:eastAsia="仿宋_GB2312"/>
          <w:sz w:val="32"/>
          <w:szCs w:val="32"/>
          <w:lang w:val="en-US" w:eastAsia="zh-CN"/>
        </w:rPr>
        <w:t>8012</w:t>
      </w:r>
      <w:r>
        <w:rPr>
          <w:rFonts w:hint="eastAsia" w:ascii="仿宋_GB2312" w:hAnsi="宋体" w:eastAsia="仿宋_GB2312"/>
          <w:sz w:val="32"/>
          <w:szCs w:val="32"/>
          <w:lang w:val="zh-CN"/>
        </w:rPr>
        <w:t>万元，市级</w:t>
      </w:r>
      <w:r>
        <w:rPr>
          <w:rFonts w:hint="eastAsia" w:ascii="仿宋_GB2312" w:hAnsi="宋体" w:eastAsia="仿宋_GB2312"/>
          <w:sz w:val="32"/>
          <w:szCs w:val="32"/>
          <w:lang w:val="en-US" w:eastAsia="zh-CN"/>
        </w:rPr>
        <w:t>3000</w:t>
      </w:r>
      <w:r>
        <w:rPr>
          <w:rFonts w:hint="eastAsia" w:ascii="仿宋_GB2312" w:hAnsi="宋体" w:eastAsia="仿宋_GB2312"/>
          <w:sz w:val="32"/>
          <w:szCs w:val="32"/>
          <w:lang w:val="zh-CN"/>
        </w:rPr>
        <w:t>万元，区级配套</w:t>
      </w:r>
      <w:r>
        <w:rPr>
          <w:rFonts w:hint="eastAsia" w:ascii="仿宋_GB2312" w:hAnsi="宋体" w:eastAsia="仿宋_GB2312"/>
          <w:sz w:val="32"/>
          <w:szCs w:val="32"/>
          <w:lang w:val="en-US" w:eastAsia="zh-CN"/>
        </w:rPr>
        <w:t>4241.39</w:t>
      </w:r>
      <w:r>
        <w:rPr>
          <w:rFonts w:hint="eastAsia" w:ascii="仿宋_GB2312" w:hAnsi="宋体" w:eastAsia="仿宋_GB2312"/>
          <w:sz w:val="32"/>
          <w:szCs w:val="32"/>
          <w:lang w:val="zh-CN"/>
        </w:rPr>
        <w:t>万元，专项债券</w:t>
      </w:r>
      <w:r>
        <w:rPr>
          <w:rFonts w:hint="eastAsia" w:ascii="仿宋_GB2312" w:hAnsi="宋体" w:eastAsia="仿宋_GB2312"/>
          <w:sz w:val="32"/>
          <w:szCs w:val="32"/>
          <w:lang w:val="en-US" w:eastAsia="zh-CN"/>
        </w:rPr>
        <w:t>4500</w:t>
      </w:r>
      <w:r>
        <w:rPr>
          <w:rFonts w:hint="eastAsia" w:ascii="仿宋_GB2312" w:hAnsi="宋体" w:eastAsia="仿宋_GB2312"/>
          <w:sz w:val="32"/>
          <w:szCs w:val="32"/>
          <w:lang w:val="zh-CN"/>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宋体" w:eastAsia="楷体_GB2312"/>
          <w:sz w:val="32"/>
          <w:szCs w:val="32"/>
          <w:lang w:val="zh-CN"/>
        </w:rPr>
      </w:pPr>
      <w:r>
        <w:rPr>
          <w:rFonts w:hint="eastAsia" w:ascii="楷体_GB2312" w:hAnsi="宋体" w:eastAsia="楷体_GB2312"/>
          <w:sz w:val="32"/>
          <w:szCs w:val="32"/>
          <w:lang w:val="en-US" w:eastAsia="zh-CN"/>
        </w:rPr>
        <w:t>2.</w:t>
      </w:r>
      <w:r>
        <w:rPr>
          <w:rFonts w:hint="eastAsia" w:ascii="楷体_GB2312" w:hAnsi="宋体" w:eastAsia="楷体_GB2312"/>
          <w:sz w:val="32"/>
          <w:szCs w:val="32"/>
          <w:lang w:val="zh-CN"/>
        </w:rPr>
        <w:t>资金到位。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宋体" w:eastAsia="楷体_GB2312"/>
          <w:sz w:val="32"/>
          <w:szCs w:val="32"/>
          <w:lang w:val="zh-CN"/>
        </w:rPr>
      </w:pPr>
      <w:r>
        <w:rPr>
          <w:rFonts w:hint="eastAsia" w:ascii="楷体_GB2312" w:hAnsi="宋体" w:eastAsia="楷体_GB2312"/>
          <w:sz w:val="32"/>
          <w:szCs w:val="32"/>
          <w:lang w:val="zh-CN"/>
        </w:rPr>
        <w:t>2021年该项目资金到位1278.70万元。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0" w:leftChars="0"/>
        <w:textAlignment w:val="auto"/>
        <w:rPr>
          <w:rFonts w:hint="eastAsia" w:ascii="楷体_GB2312" w:hAnsi="宋体" w:eastAsia="楷体_GB2312"/>
          <w:sz w:val="32"/>
          <w:szCs w:val="32"/>
          <w:lang w:val="zh-CN"/>
        </w:rPr>
      </w:pPr>
      <w:r>
        <w:rPr>
          <w:rFonts w:hint="eastAsia" w:ascii="楷体_GB2312" w:hAnsi="宋体" w:eastAsia="楷体_GB2312"/>
          <w:sz w:val="32"/>
          <w:szCs w:val="32"/>
          <w:lang w:val="en-US" w:eastAsia="zh-CN"/>
        </w:rPr>
        <w:t>3.</w:t>
      </w:r>
      <w:r>
        <w:rPr>
          <w:rFonts w:hint="eastAsia" w:ascii="楷体_GB2312" w:hAnsi="宋体" w:eastAsia="楷体_GB2312"/>
          <w:sz w:val="32"/>
          <w:szCs w:val="32"/>
          <w:lang w:val="zh-CN"/>
        </w:rPr>
        <w:t>资金使用。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该项目2021年1-12月完成资金支付1278.70万元，执行率100%。该项目资金支付范围、支付标准、支付进度、支付依据合规合法，与预算相符。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720" w:leftChars="0"/>
        <w:textAlignment w:val="auto"/>
        <w:rPr>
          <w:rFonts w:hint="eastAsia" w:ascii="楷体_GB2312" w:hAnsi="宋体" w:eastAsia="楷体_GB2312"/>
          <w:b w:val="0"/>
          <w:bCs/>
          <w:sz w:val="32"/>
          <w:szCs w:val="32"/>
          <w:lang w:val="zh-CN"/>
        </w:rPr>
      </w:pP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zh-CN"/>
        </w:rPr>
        <w:t>）</w:t>
      </w:r>
      <w:r>
        <w:rPr>
          <w:rFonts w:hint="eastAsia" w:ascii="楷体_GB2312" w:hAnsi="宋体" w:eastAsia="楷体_GB2312"/>
          <w:b w:val="0"/>
          <w:bCs/>
          <w:sz w:val="32"/>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楷体_GB2312" w:hAnsi="楷体_GB2312" w:eastAsia="楷体_GB2312" w:cs="楷体_GB2312"/>
          <w:sz w:val="32"/>
          <w:szCs w:val="32"/>
          <w:lang w:val="zh-CN"/>
        </w:rPr>
        <w:t>（一）项目组织架构及实施流程</w:t>
      </w:r>
      <w:r>
        <w:rPr>
          <w:rFonts w:hint="eastAsia" w:ascii="仿宋_GB2312" w:hAnsi="宋体" w:eastAsia="仿宋_GB2312"/>
          <w:sz w:val="32"/>
          <w:szCs w:val="32"/>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楷体_GB2312" w:hAnsi="楷体_GB2312" w:eastAsia="楷体_GB2312" w:cs="楷体_GB2312"/>
          <w:sz w:val="32"/>
          <w:szCs w:val="32"/>
          <w:lang w:val="zh-CN"/>
        </w:rPr>
        <w:t>（二）项目管理情况。</w:t>
      </w:r>
      <w:r>
        <w:rPr>
          <w:rFonts w:hint="eastAsia" w:ascii="仿宋_GB2312" w:hAnsi="宋体" w:eastAsia="仿宋_GB2312"/>
          <w:sz w:val="32"/>
          <w:szCs w:val="32"/>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eastAsia="仿宋_GB2312"/>
          <w:sz w:val="32"/>
          <w:szCs w:val="32"/>
          <w:lang w:val="zh-CN"/>
        </w:rPr>
      </w:pPr>
      <w:r>
        <w:rPr>
          <w:rFonts w:hint="eastAsia" w:ascii="楷体_GB2312" w:hAnsi="楷体_GB2312" w:eastAsia="楷体_GB2312" w:cs="楷体_GB2312"/>
          <w:sz w:val="32"/>
          <w:szCs w:val="32"/>
          <w:lang w:val="zh-CN"/>
        </w:rPr>
        <w:t>（三）项目监管情况。</w:t>
      </w:r>
      <w:r>
        <w:rPr>
          <w:rFonts w:hint="eastAsia" w:ascii="仿宋_GB2312" w:hAnsi="宋体" w:eastAsia="仿宋_GB2312"/>
          <w:sz w:val="32"/>
          <w:szCs w:val="32"/>
          <w:lang w:val="zh-CN"/>
        </w:rPr>
        <w:t>加强对项目资金支付工作的审核与监督，资金实行专款专用，严格按工程进度情况进行支付，确保工程有序推进。</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（一）项目完成情况。</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b w:val="0"/>
          <w:bCs/>
          <w:lang w:val="zh-CN"/>
        </w:rPr>
      </w:pPr>
      <w:r>
        <w:rPr>
          <w:rFonts w:hint="eastAsia" w:ascii="楷体_GB2312" w:hAnsi="宋体" w:eastAsia="楷体_GB2312"/>
          <w:b w:val="0"/>
          <w:bCs/>
          <w:sz w:val="32"/>
          <w:szCs w:val="32"/>
          <w:lang w:val="zh-CN"/>
        </w:rPr>
        <w:t>工程方面：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1.</w:t>
      </w:r>
      <w:r>
        <w:rPr>
          <w:rFonts w:hint="eastAsia" w:ascii="Times New Roman" w:hAnsi="Times New Roman" w:eastAsia="仿宋_GB2312"/>
          <w:sz w:val="32"/>
          <w:szCs w:val="32"/>
        </w:rPr>
        <w:t>工程施工方面计划完成施工</w:t>
      </w:r>
      <w:r>
        <w:rPr>
          <w:rFonts w:ascii="Times New Roman" w:hAnsi="Times New Roman" w:eastAsia="仿宋_GB2312"/>
          <w:sz w:val="32"/>
          <w:szCs w:val="32"/>
        </w:rPr>
        <w:t>V</w:t>
      </w:r>
      <w:r>
        <w:rPr>
          <w:rFonts w:hint="eastAsia" w:ascii="Times New Roman" w:hAnsi="Times New Roman" w:eastAsia="仿宋_GB2312"/>
          <w:sz w:val="32"/>
          <w:szCs w:val="32"/>
        </w:rPr>
        <w:t>标段库提灌站</w:t>
      </w:r>
      <w:r>
        <w:rPr>
          <w:rFonts w:ascii="Times New Roman" w:hAnsi="Times New Roman" w:eastAsia="仿宋_GB2312"/>
          <w:sz w:val="32"/>
          <w:szCs w:val="32"/>
        </w:rPr>
        <w:t>2</w:t>
      </w:r>
      <w:r>
        <w:rPr>
          <w:rFonts w:hint="eastAsia" w:ascii="Times New Roman" w:hAnsi="Times New Roman" w:eastAsia="仿宋_GB2312"/>
          <w:sz w:val="32"/>
          <w:szCs w:val="32"/>
        </w:rPr>
        <w:t>座、渠道</w:t>
      </w:r>
      <w:r>
        <w:rPr>
          <w:rFonts w:ascii="Times New Roman" w:hAnsi="Times New Roman" w:eastAsia="仿宋_GB2312"/>
          <w:sz w:val="32"/>
          <w:szCs w:val="32"/>
        </w:rPr>
        <w:t>3.5km</w:t>
      </w:r>
      <w:r>
        <w:rPr>
          <w:rFonts w:hint="eastAsia" w:ascii="Times New Roman" w:hAnsi="Times New Roman" w:eastAsia="仿宋_GB2312"/>
          <w:sz w:val="32"/>
          <w:szCs w:val="32"/>
        </w:rPr>
        <w:t>、隧洞衬砌</w:t>
      </w:r>
      <w:r>
        <w:rPr>
          <w:rFonts w:ascii="Times New Roman" w:hAnsi="Times New Roman" w:eastAsia="仿宋_GB2312"/>
          <w:sz w:val="32"/>
          <w:szCs w:val="32"/>
        </w:rPr>
        <w:t>1.5km</w:t>
      </w:r>
      <w:r>
        <w:rPr>
          <w:rFonts w:hint="eastAsia" w:ascii="Times New Roman" w:hAnsi="Times New Roman" w:eastAsia="仿宋_GB2312"/>
          <w:sz w:val="32"/>
          <w:szCs w:val="32"/>
        </w:rPr>
        <w:t>和</w:t>
      </w:r>
      <w:r>
        <w:rPr>
          <w:rFonts w:ascii="Times New Roman" w:hAnsi="Times New Roman" w:eastAsia="仿宋_GB2312"/>
          <w:sz w:val="32"/>
          <w:szCs w:val="32"/>
        </w:rPr>
        <w:t>3</w:t>
      </w:r>
      <w:r>
        <w:rPr>
          <w:rFonts w:hint="eastAsia" w:ascii="Times New Roman" w:hAnsi="Times New Roman" w:eastAsia="仿宋_GB2312"/>
          <w:sz w:val="32"/>
          <w:szCs w:val="32"/>
        </w:rPr>
        <w:t>座渡槽施工任务；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2.</w:t>
      </w:r>
      <w:r>
        <w:rPr>
          <w:rFonts w:hint="eastAsia" w:ascii="Times New Roman" w:hAnsi="Times New Roman" w:eastAsia="仿宋_GB2312"/>
          <w:sz w:val="32"/>
          <w:szCs w:val="32"/>
        </w:rPr>
        <w:t>完成</w:t>
      </w:r>
      <w:r>
        <w:rPr>
          <w:rFonts w:ascii="Times New Roman" w:hAnsi="Times New Roman" w:eastAsia="仿宋_GB2312"/>
          <w:sz w:val="32"/>
          <w:szCs w:val="32"/>
        </w:rPr>
        <w:t>VI</w:t>
      </w:r>
      <w:r>
        <w:rPr>
          <w:rFonts w:hint="eastAsia" w:ascii="Times New Roman" w:hAnsi="Times New Roman" w:eastAsia="仿宋_GB2312"/>
          <w:sz w:val="32"/>
          <w:szCs w:val="32"/>
        </w:rPr>
        <w:t>标段提灌站和渠道等金属结构制安任务；完成</w:t>
      </w:r>
      <w:r>
        <w:rPr>
          <w:rFonts w:ascii="Times New Roman" w:hAnsi="Times New Roman" w:eastAsia="仿宋_GB2312"/>
          <w:sz w:val="32"/>
          <w:szCs w:val="32"/>
        </w:rPr>
        <w:t>VIII</w:t>
      </w:r>
      <w:r>
        <w:rPr>
          <w:rFonts w:hint="eastAsia" w:ascii="Times New Roman" w:hAnsi="Times New Roman" w:eastAsia="仿宋_GB2312"/>
          <w:sz w:val="32"/>
          <w:szCs w:val="32"/>
        </w:rPr>
        <w:t>标段监测设备安装任务；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3.按</w:t>
      </w:r>
      <w:r>
        <w:rPr>
          <w:rFonts w:hint="eastAsia" w:ascii="Times New Roman" w:hAnsi="Times New Roman" w:eastAsia="仿宋_GB2312"/>
          <w:sz w:val="32"/>
          <w:szCs w:val="32"/>
        </w:rPr>
        <w:t>合同约定，退还已完工标段工程保留金。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移民方面：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lang w:val="en-US" w:eastAsia="zh-CN"/>
        </w:rPr>
        <w:t>.</w:t>
      </w:r>
      <w:r>
        <w:rPr>
          <w:rFonts w:hint="eastAsia" w:ascii="Times New Roman" w:hAnsi="Times New Roman" w:eastAsia="仿宋_GB2312"/>
          <w:sz w:val="32"/>
          <w:szCs w:val="32"/>
        </w:rPr>
        <w:t>完成西区段临时用地复垦报告编制、西区段临时用地用地报批和西区段林地使用报批、按时支付森林植被恢复费；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lang w:val="en-US" w:eastAsia="zh-CN"/>
        </w:rPr>
        <w:t>.</w:t>
      </w:r>
      <w:r>
        <w:rPr>
          <w:rFonts w:hint="eastAsia" w:ascii="Times New Roman" w:hAnsi="Times New Roman" w:eastAsia="仿宋_GB2312"/>
          <w:sz w:val="32"/>
          <w:szCs w:val="32"/>
        </w:rPr>
        <w:t>按照省扶贫开发局审定批复的移民重大设计报告和省、市移民开发部门统一要求开展相关工作，完成移民重大设计变更并支付变更相关费用；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eastAsia="仿宋_GB2312"/>
          <w:sz w:val="32"/>
          <w:szCs w:val="32"/>
          <w:lang w:val="en-US" w:eastAsia="zh-CN"/>
        </w:rPr>
        <w:t>.</w:t>
      </w:r>
      <w:r>
        <w:rPr>
          <w:rFonts w:hint="eastAsia" w:ascii="Times New Roman" w:hAnsi="Times New Roman" w:eastAsia="仿宋_GB2312"/>
          <w:sz w:val="32"/>
          <w:szCs w:val="32"/>
        </w:rPr>
        <w:t>落实项目验收第三方服务机构，完成省扶贫开发局、省水利厅下达的各项验收任务。</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楷体_GB2312" w:hAnsi="宋体" w:eastAsia="楷体_GB2312"/>
          <w:b w:val="0"/>
          <w:bCs/>
          <w:color w:val="auto"/>
          <w:sz w:val="32"/>
          <w:szCs w:val="32"/>
          <w:lang w:val="zh-CN"/>
        </w:rPr>
      </w:pPr>
      <w:r>
        <w:rPr>
          <w:rFonts w:hint="eastAsia" w:ascii="楷体_GB2312" w:hAnsi="宋体" w:eastAsia="楷体_GB2312"/>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可解决西区格里坪镇和仁和区福田镇</w:t>
      </w:r>
      <w:r>
        <w:rPr>
          <w:rFonts w:ascii="Times New Roman" w:hAnsi="Times New Roman" w:eastAsia="仿宋_GB2312"/>
          <w:sz w:val="32"/>
          <w:szCs w:val="32"/>
        </w:rPr>
        <w:t>5.81</w:t>
      </w:r>
      <w:r>
        <w:rPr>
          <w:rFonts w:hint="eastAsia" w:ascii="Times New Roman" w:hAnsi="Times New Roman" w:eastAsia="仿宋_GB2312"/>
          <w:sz w:val="32"/>
          <w:szCs w:val="32"/>
        </w:rPr>
        <w:t>万亩耕地灌溉用水问题，保障灌区乡村</w:t>
      </w:r>
      <w:r>
        <w:rPr>
          <w:rFonts w:ascii="Times New Roman" w:hAnsi="Times New Roman" w:eastAsia="仿宋_GB2312"/>
          <w:sz w:val="32"/>
          <w:szCs w:val="32"/>
        </w:rPr>
        <w:t>1.3</w:t>
      </w:r>
      <w:r>
        <w:rPr>
          <w:rFonts w:hint="eastAsia" w:ascii="Times New Roman" w:hAnsi="Times New Roman" w:eastAsia="仿宋_GB2312"/>
          <w:sz w:val="32"/>
          <w:szCs w:val="32"/>
        </w:rPr>
        <w:t>万余人的饮水安全，对加快攀枝花市优质高效农业发展，促进项目区经济社会可持续发展具有重要意义。</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宋体" w:eastAsia="楷体_GB2312"/>
          <w:b w:val="0"/>
          <w:bCs/>
          <w:color w:val="auto"/>
          <w:sz w:val="32"/>
          <w:szCs w:val="32"/>
          <w:lang w:val="zh-CN"/>
        </w:rPr>
      </w:pPr>
      <w:r>
        <w:rPr>
          <w:rFonts w:hint="eastAsia" w:ascii="楷体_GB2312" w:hAnsi="宋体" w:eastAsia="楷体_GB2312"/>
          <w:b w:val="0"/>
          <w:bCs/>
          <w:color w:val="auto"/>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sz w:val="32"/>
          <w:szCs w:val="32"/>
          <w:bdr w:val="single" w:color="auto" w:sz="4" w:space="0"/>
          <w:lang w:val="zh-CN"/>
        </w:rPr>
      </w:pPr>
      <w:r>
        <w:rPr>
          <w:rFonts w:hint="eastAsia" w:ascii="仿宋_GB2312" w:hAnsi="仿宋_GB2312" w:eastAsia="仿宋_GB2312" w:cs="仿宋_GB2312"/>
          <w:sz w:val="32"/>
          <w:szCs w:val="32"/>
        </w:rPr>
        <w:t>本项目依照区财政部门要求，依据充分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目标明确，程序合理；项目资金到位及时，实际使用资金</w:t>
      </w:r>
      <w:r>
        <w:rPr>
          <w:rFonts w:hint="eastAsia" w:ascii="仿宋_GB2312" w:hAnsi="仿宋_GB2312" w:eastAsia="仿宋_GB2312" w:cs="仿宋_GB2312"/>
          <w:sz w:val="32"/>
          <w:szCs w:val="32"/>
          <w:lang w:val="en-US" w:eastAsia="zh-CN"/>
        </w:rPr>
        <w:t>1278.70万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项目的组织管理符合项目的特殊性要求，项目的产出基本达到目标，项目效果良好，项目的绩效基本实现。</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宋体" w:eastAsia="楷体_GB2312"/>
          <w:b w:val="0"/>
          <w:bCs/>
          <w:color w:val="auto"/>
          <w:sz w:val="32"/>
          <w:szCs w:val="32"/>
          <w:lang w:val="zh-CN"/>
        </w:rPr>
      </w:pPr>
      <w:r>
        <w:rPr>
          <w:rFonts w:hint="eastAsia" w:ascii="楷体_GB2312" w:hAnsi="宋体" w:eastAsia="楷体_GB2312"/>
          <w:b w:val="0"/>
          <w:bCs/>
          <w:color w:val="auto"/>
          <w:sz w:val="32"/>
          <w:szCs w:val="32"/>
          <w:lang w:val="zh-CN"/>
        </w:rPr>
        <w:t>（二）存在的问题。</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梅子箐水库扩建工程因设计变更的影响，导致工程进度滞后。</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楷体_GB2312" w:hAnsi="宋体" w:eastAsia="楷体_GB2312"/>
          <w:b w:val="0"/>
          <w:bCs/>
          <w:color w:val="auto"/>
          <w:sz w:val="32"/>
          <w:szCs w:val="32"/>
          <w:lang w:val="zh-CN"/>
        </w:rPr>
      </w:pPr>
      <w:r>
        <w:rPr>
          <w:rFonts w:hint="eastAsia" w:ascii="楷体_GB2312" w:hAnsi="宋体" w:eastAsia="楷体_GB2312"/>
          <w:b w:val="0"/>
          <w:bCs/>
          <w:color w:val="auto"/>
          <w:sz w:val="32"/>
          <w:szCs w:val="32"/>
          <w:lang w:val="zh-CN"/>
        </w:rPr>
        <w:t>（三）相关建议。</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项目因重大设计变更的影响，导致的工程进度滞后问题，后期项目业主将倒排工期，加快推进项目的后续建设，尽快实现梅子箐水库的各项功能及效益。</w:t>
      </w: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eastAsia" w:ascii="仿宋_GB2312" w:hAnsi="仿宋_GB2312" w:eastAsia="仿宋_GB2312" w:cs="仿宋_GB2312"/>
          <w:b w:val="0"/>
          <w:bCs/>
          <w:sz w:val="32"/>
          <w:szCs w:val="32"/>
          <w:lang w:val="zh-CN"/>
        </w:rPr>
      </w:pP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eastAsia" w:ascii="仿宋_GB2312" w:hAnsi="仿宋_GB2312" w:eastAsia="仿宋_GB2312" w:cs="仿宋_GB2312"/>
          <w:b w:val="0"/>
          <w:bCs/>
          <w:sz w:val="32"/>
          <w:szCs w:val="32"/>
          <w:lang w:val="zh-CN"/>
        </w:rPr>
      </w:pPr>
    </w:p>
    <w:p>
      <w:pPr>
        <w:pStyle w:val="2"/>
        <w:keepNext w:val="0"/>
        <w:keepLines w:val="0"/>
        <w:pageBreakBefore w:val="0"/>
        <w:widowControl w:val="0"/>
        <w:numPr>
          <w:ilvl w:val="0"/>
          <w:numId w:val="0"/>
        </w:numPr>
        <w:kinsoku/>
        <w:wordWrap/>
        <w:overflowPunct/>
        <w:topLinePunct w:val="0"/>
        <w:autoSpaceDE/>
        <w:autoSpaceDN/>
        <w:bidi w:val="0"/>
        <w:spacing w:after="0" w:line="540" w:lineRule="exact"/>
        <w:ind w:leftChars="0" w:firstLine="640" w:firstLineChars="200"/>
        <w:textAlignment w:val="auto"/>
        <w:rPr>
          <w:rFonts w:hint="eastAsia" w:ascii="仿宋_GB2312" w:hAnsi="仿宋_GB2312" w:eastAsia="仿宋_GB2312" w:cs="仿宋_GB2312"/>
          <w:b w:val="0"/>
          <w:bCs/>
          <w:sz w:val="32"/>
          <w:szCs w:val="32"/>
          <w:lang w:val="zh-CN"/>
        </w:rPr>
      </w:pPr>
    </w:p>
    <w:bookmarkEnd w:id="51"/>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668"/>
        <w:gridCol w:w="1275"/>
        <w:gridCol w:w="1560"/>
        <w:gridCol w:w="250"/>
        <w:gridCol w:w="1189"/>
        <w:gridCol w:w="1224"/>
        <w:gridCol w:w="313"/>
        <w:gridCol w:w="209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jc w:val="center"/>
              <w:textAlignment w:val="center"/>
              <w:rPr>
                <w:rFonts w:hint="eastAsia" w:ascii="宋体" w:hAnsi="宋体" w:eastAsia="宋体" w:cs="宋体"/>
                <w:b/>
                <w:bCs/>
                <w:sz w:val="32"/>
                <w:szCs w:val="32"/>
              </w:rPr>
            </w:pPr>
            <w:r>
              <w:rPr>
                <w:rFonts w:hint="eastAsia" w:ascii="宋体" w:hAnsi="宋体" w:eastAsia="宋体" w:cs="宋体"/>
                <w:b/>
                <w:bCs/>
                <w:sz w:val="32"/>
                <w:szCs w:val="32"/>
              </w:rPr>
              <w:t>2021年部门预算项目绩效目标自评</w:t>
            </w:r>
          </w:p>
          <w:p>
            <w:pPr>
              <w:pStyle w:val="2"/>
              <w:jc w:val="center"/>
              <w:rPr>
                <w:rFonts w:hint="eastAsia" w:eastAsia="仿宋_GB2312"/>
                <w:lang w:eastAsia="zh-CN"/>
              </w:rPr>
            </w:pPr>
            <w:r>
              <w:rPr>
                <w:rFonts w:hint="eastAsia" w:ascii="宋体" w:hAnsi="宋体" w:eastAsia="宋体" w:cs="宋体"/>
                <w:b/>
                <w:bCs/>
                <w:sz w:val="32"/>
                <w:szCs w:val="32"/>
                <w:lang w:eastAsia="zh-CN"/>
              </w:rPr>
              <w:t>梅子箐水库扩建工程项目</w:t>
            </w:r>
          </w:p>
        </w:tc>
      </w:tr>
      <w:tr>
        <w:tblPrEx>
          <w:tblCellMar>
            <w:top w:w="0" w:type="dxa"/>
            <w:left w:w="108" w:type="dxa"/>
            <w:bottom w:w="0" w:type="dxa"/>
            <w:right w:w="108" w:type="dxa"/>
          </w:tblCellMar>
        </w:tblPrEx>
        <w:trPr>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主管部门及代码</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攀枝花市西区</w:t>
            </w:r>
            <w:r>
              <w:rPr>
                <w:rFonts w:hint="eastAsia" w:ascii="仿宋_GB2312" w:hAnsi="仿宋_GB2312" w:eastAsia="仿宋_GB2312" w:cs="仿宋_GB2312"/>
                <w:sz w:val="24"/>
                <w:szCs w:val="24"/>
                <w:lang w:eastAsia="zh-CN"/>
              </w:rPr>
              <w:t>水利工程运行中心</w:t>
            </w:r>
          </w:p>
        </w:tc>
      </w:tr>
      <w:tr>
        <w:tblPrEx>
          <w:tblCellMar>
            <w:top w:w="0" w:type="dxa"/>
            <w:left w:w="108" w:type="dxa"/>
            <w:bottom w:w="0" w:type="dxa"/>
            <w:right w:w="108" w:type="dxa"/>
          </w:tblCellMar>
        </w:tblPrEx>
        <w:trPr>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项目预算</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执行情况</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（万元）</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1278.70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r>
      <w:tr>
        <w:tblPrEx>
          <w:tblCellMar>
            <w:top w:w="0" w:type="dxa"/>
            <w:left w:w="108" w:type="dxa"/>
            <w:bottom w:w="0" w:type="dxa"/>
            <w:right w:w="108" w:type="dxa"/>
          </w:tblCellMar>
        </w:tblPrEx>
        <w:trPr>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p>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1278.70</w:t>
            </w:r>
          </w:p>
        </w:tc>
      </w:tr>
      <w:tr>
        <w:tblPrEx>
          <w:tblCellMar>
            <w:top w:w="0" w:type="dxa"/>
            <w:left w:w="108" w:type="dxa"/>
            <w:bottom w:w="0" w:type="dxa"/>
            <w:right w:w="108" w:type="dxa"/>
          </w:tblCellMar>
        </w:tblPrEx>
        <w:trPr>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年度总体目标</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完成情况</w:t>
            </w: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目标实际完成情况</w:t>
            </w:r>
          </w:p>
        </w:tc>
      </w:tr>
      <w:tr>
        <w:tblPrEx>
          <w:tblCellMar>
            <w:top w:w="0" w:type="dxa"/>
            <w:left w:w="108" w:type="dxa"/>
            <w:bottom w:w="0" w:type="dxa"/>
            <w:right w:w="108" w:type="dxa"/>
          </w:tblCellMar>
        </w:tblPrEx>
        <w:trPr>
          <w:trHeight w:val="797"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427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开展灌区提灌站、渡槽等主干渠建设，与灌区工程相关的机电和监控等设备，根据灌区工程进度进行安装。</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w:t>
            </w:r>
          </w:p>
        </w:tc>
      </w:tr>
      <w:tr>
        <w:tblPrEx>
          <w:tblCellMar>
            <w:top w:w="0" w:type="dxa"/>
            <w:left w:w="108" w:type="dxa"/>
            <w:bottom w:w="0" w:type="dxa"/>
            <w:right w:w="108" w:type="dxa"/>
          </w:tblCellMar>
        </w:tblPrEx>
        <w:trPr>
          <w:trHeight w:val="693"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年度绩效指标完成情况</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三级</w:t>
            </w:r>
          </w:p>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预期指标值</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实际完成指标值</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涉及对象覆盖率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补助资金到位</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完成时间</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2021年底</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2021年12月</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补助资金</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1278.7</w:t>
            </w:r>
            <w:r>
              <w:rPr>
                <w:rFonts w:hint="eastAsia" w:ascii="仿宋_GB2312" w:hAnsi="仿宋_GB2312" w:eastAsia="仿宋_GB2312" w:cs="仿宋_GB2312"/>
                <w:kern w:val="0"/>
                <w:sz w:val="24"/>
                <w:szCs w:val="24"/>
              </w:rPr>
              <w:t>万元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1278.7</w:t>
            </w:r>
            <w:r>
              <w:rPr>
                <w:rFonts w:hint="eastAsia" w:ascii="仿宋_GB2312" w:hAnsi="仿宋_GB2312" w:eastAsia="仿宋_GB2312" w:cs="仿宋_GB2312"/>
                <w:kern w:val="0"/>
                <w:sz w:val="24"/>
                <w:szCs w:val="24"/>
              </w:rPr>
              <w:t>万元</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效益</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经济效益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提高粮食产量、提高灌区农作物和经济作物产量</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民生工程促进社会和谐稳定</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r>
        <w:tblPrEx>
          <w:tblCellMar>
            <w:top w:w="0" w:type="dxa"/>
            <w:left w:w="108" w:type="dxa"/>
            <w:bottom w:w="0" w:type="dxa"/>
            <w:right w:w="108" w:type="dxa"/>
          </w:tblCellMar>
        </w:tblPrEx>
        <w:trPr>
          <w:trHeight w:val="577"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23" w:leftChars="87" w:hanging="240" w:hangingChars="10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生态效益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可持续影响 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30"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4"/>
                <w:szCs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满意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群众满意度</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w:t>
            </w:r>
          </w:p>
        </w:tc>
      </w:tr>
    </w:tbl>
    <w:p>
      <w:pPr>
        <w:rPr>
          <w:rFonts w:hint="eastAsia" w:ascii="仿宋_GB2312" w:hAnsi="仿宋_GB2312" w:eastAsia="仿宋_GB2312" w:cs="仿宋_GB2312"/>
          <w:color w:val="auto"/>
          <w:sz w:val="24"/>
          <w:szCs w:val="24"/>
          <w:highlight w:val="none"/>
        </w:rPr>
      </w:pPr>
    </w:p>
    <w:p>
      <w:pPr>
        <w:pStyle w:val="6"/>
      </w:pPr>
    </w:p>
    <w:p>
      <w:pPr>
        <w:rPr>
          <w:rFonts w:hint="eastAsia" w:ascii="仿宋_GB2312" w:hAnsi="仿宋_GB2312" w:eastAsia="仿宋_GB2312" w:cs="仿宋_GB2312"/>
          <w:color w:val="auto"/>
          <w:sz w:val="24"/>
          <w:szCs w:val="24"/>
          <w:highlight w:val="none"/>
        </w:rPr>
      </w:pPr>
      <w:bookmarkStart w:id="53"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方正小标宋_GBK" w:hAnsi="方正小标宋_GBK" w:eastAsia="方正小标宋_GBK" w:cs="方正小标宋_GBK"/>
          <w:b w:val="0"/>
          <w:color w:val="auto"/>
          <w:sz w:val="44"/>
          <w:szCs w:val="44"/>
          <w:highlight w:val="none"/>
        </w:rPr>
      </w:pPr>
      <w:r>
        <w:rPr>
          <w:rFonts w:hint="eastAsia" w:ascii="方正小标宋_GBK" w:hAnsi="方正小标宋_GBK" w:eastAsia="方正小标宋_GBK" w:cs="方正小标宋_GBK"/>
          <w:color w:val="auto"/>
          <w:sz w:val="44"/>
          <w:szCs w:val="44"/>
          <w:highlight w:val="none"/>
        </w:rPr>
        <w:t>第</w:t>
      </w:r>
      <w:r>
        <w:rPr>
          <w:rStyle w:val="25"/>
          <w:rFonts w:hint="eastAsia" w:ascii="方正小标宋_GBK" w:hAnsi="方正小标宋_GBK" w:eastAsia="方正小标宋_GBK" w:cs="方正小标宋_GBK"/>
          <w:b w:val="0"/>
          <w:color w:val="auto"/>
          <w:sz w:val="44"/>
          <w:szCs w:val="44"/>
          <w:highlight w:val="none"/>
        </w:rPr>
        <w:t>五部分 附表</w:t>
      </w:r>
      <w:bookmarkEnd w:id="52"/>
      <w:bookmarkEnd w:id="53"/>
      <w:bookmarkStart w:id="54" w:name="_Toc15396619"/>
    </w:p>
    <w:p>
      <w:pPr>
        <w:pStyle w:val="4"/>
        <w:pageBreakBefore w:val="0"/>
        <w:widowControl w:val="0"/>
        <w:kinsoku/>
        <w:wordWrap/>
        <w:overflowPunct/>
        <w:topLinePunct w:val="0"/>
        <w:autoSpaceDE/>
        <w:autoSpaceDN/>
        <w:bidi w:val="0"/>
        <w:adjustRightInd/>
        <w:snapToGrid/>
        <w:spacing w:before="0" w:after="0" w:line="540" w:lineRule="exact"/>
        <w:textAlignment w:val="auto"/>
        <w:rPr>
          <w:rFonts w:hint="eastAsia" w:ascii="仿宋" w:hAnsi="仿宋" w:eastAsia="仿宋"/>
          <w:b w:val="0"/>
          <w:color w:val="auto"/>
          <w:highlight w:val="none"/>
        </w:rPr>
      </w:pPr>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pageBreakBefore w:val="0"/>
        <w:widowControl w:val="0"/>
        <w:kinsoku/>
        <w:wordWrap/>
        <w:overflowPunct/>
        <w:topLinePunct w:val="0"/>
        <w:autoSpaceDE/>
        <w:autoSpaceDN/>
        <w:bidi w:val="0"/>
        <w:adjustRightInd/>
        <w:snapToGrid/>
        <w:spacing w:before="0" w:after="0" w:line="540" w:lineRule="exact"/>
        <w:textAlignment w:val="auto"/>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4"/>
        <w:pageBreakBefore w:val="0"/>
        <w:widowControl w:val="0"/>
        <w:kinsoku/>
        <w:wordWrap/>
        <w:overflowPunct/>
        <w:topLinePunct w:val="0"/>
        <w:autoSpaceDE/>
        <w:autoSpaceDN/>
        <w:bidi w:val="0"/>
        <w:adjustRightInd/>
        <w:snapToGrid/>
        <w:spacing w:before="0" w:after="0" w:line="540" w:lineRule="exact"/>
        <w:textAlignment w:val="auto"/>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pPr>
        <w:pStyle w:val="4"/>
        <w:pageBreakBefore w:val="0"/>
        <w:widowControl w:val="0"/>
        <w:kinsoku/>
        <w:wordWrap/>
        <w:overflowPunct/>
        <w:topLinePunct w:val="0"/>
        <w:autoSpaceDE/>
        <w:autoSpaceDN/>
        <w:bidi w:val="0"/>
        <w:adjustRightInd/>
        <w:snapToGrid/>
        <w:spacing w:before="0" w:after="0" w:line="540" w:lineRule="exact"/>
        <w:textAlignment w:val="auto"/>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pageBreakBefore w:val="0"/>
        <w:widowControl w:val="0"/>
        <w:kinsoku/>
        <w:wordWrap/>
        <w:overflowPunct/>
        <w:topLinePunct w:val="0"/>
        <w:autoSpaceDE/>
        <w:autoSpaceDN/>
        <w:bidi w:val="0"/>
        <w:adjustRightInd/>
        <w:snapToGrid/>
        <w:spacing w:line="540" w:lineRule="exact"/>
        <w:textAlignment w:val="auto"/>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02428"/>
    <w:multiLevelType w:val="singleLevel"/>
    <w:tmpl w:val="B050242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F23E89"/>
    <w:rsid w:val="07AA6816"/>
    <w:rsid w:val="07EE6AD1"/>
    <w:rsid w:val="08F422A9"/>
    <w:rsid w:val="0A2032A3"/>
    <w:rsid w:val="0B8A37D8"/>
    <w:rsid w:val="0B95021D"/>
    <w:rsid w:val="0E8155FA"/>
    <w:rsid w:val="10C055FF"/>
    <w:rsid w:val="118107EC"/>
    <w:rsid w:val="11DD6519"/>
    <w:rsid w:val="16BB723D"/>
    <w:rsid w:val="18015F3F"/>
    <w:rsid w:val="1BE07E6A"/>
    <w:rsid w:val="1BE8440E"/>
    <w:rsid w:val="1D155CEE"/>
    <w:rsid w:val="20F57F95"/>
    <w:rsid w:val="21317389"/>
    <w:rsid w:val="240371BF"/>
    <w:rsid w:val="25C741E6"/>
    <w:rsid w:val="25D5769F"/>
    <w:rsid w:val="27842671"/>
    <w:rsid w:val="29FD04D3"/>
    <w:rsid w:val="2ABE7A3E"/>
    <w:rsid w:val="2C197F5F"/>
    <w:rsid w:val="2EFA178C"/>
    <w:rsid w:val="30B46D73"/>
    <w:rsid w:val="319F7F4E"/>
    <w:rsid w:val="34A011A3"/>
    <w:rsid w:val="34E7112C"/>
    <w:rsid w:val="358F0D9A"/>
    <w:rsid w:val="39AE70AB"/>
    <w:rsid w:val="3C0C0783"/>
    <w:rsid w:val="3F9F3A96"/>
    <w:rsid w:val="464A44E3"/>
    <w:rsid w:val="493C27E9"/>
    <w:rsid w:val="496F39ED"/>
    <w:rsid w:val="49FF41D3"/>
    <w:rsid w:val="4B1A3444"/>
    <w:rsid w:val="4BE068DB"/>
    <w:rsid w:val="4BF6002B"/>
    <w:rsid w:val="4ECE2238"/>
    <w:rsid w:val="51DB4B86"/>
    <w:rsid w:val="53E12436"/>
    <w:rsid w:val="55333C3E"/>
    <w:rsid w:val="55EF3608"/>
    <w:rsid w:val="58501BFA"/>
    <w:rsid w:val="590D06F5"/>
    <w:rsid w:val="5BD45C00"/>
    <w:rsid w:val="64CA39A1"/>
    <w:rsid w:val="6C4A05C8"/>
    <w:rsid w:val="71A61C84"/>
    <w:rsid w:val="72734D90"/>
    <w:rsid w:val="79E7B28D"/>
    <w:rsid w:val="7B84284C"/>
    <w:rsid w:val="7D0B23A9"/>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Salutation"/>
    <w:basedOn w:val="1"/>
    <w:next w:val="1"/>
    <w:unhideWhenUsed/>
    <w:qFormat/>
    <w:uiPriority w:val="99"/>
    <w:rPr>
      <w:rFonts w:ascii="Times New Roman" w:hAnsi="Times New Roman"/>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7" Type="http://schemas.microsoft.com/office/2011/relationships/chartColorStyle" Target="colors3.xml"/><Relationship Id="rId6" Type="http://schemas.microsoft.com/office/2011/relationships/chartStyle" Target="style3.xml"/><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收入支出总计变动图</a:t>
            </a:r>
          </a:p>
          <a:p>
            <a:pPr defTabSz="914400">
              <a:defRPr lang="zh-CN" sz="1800" b="1" i="0" u="none" strike="noStrike" kern="1200" cap="all" spc="150" baseline="0">
                <a:solidFill>
                  <a:schemeClr val="tx1">
                    <a:lumMod val="50000"/>
                    <a:lumOff val="50000"/>
                  </a:schemeClr>
                </a:solidFill>
                <a:latin typeface="+mn-lt"/>
                <a:ea typeface="+mn-ea"/>
                <a:cs typeface="+mn-cs"/>
              </a:defRPr>
            </a:pPr>
            <a:r>
              <a:t>单位：万元</a:t>
            </a:r>
          </a:p>
        </c:rich>
      </c:tx>
      <c:layout>
        <c:manualLayout>
          <c:xMode val="edge"/>
          <c:yMode val="edge"/>
          <c:x val="0.292222222222222"/>
          <c:y val="0.00694444444444444"/>
        </c:manualLayout>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[工作簿1]Sheet1!$B$8:$C$8</c:f>
              <c:strCache>
                <c:ptCount val="2"/>
                <c:pt idx="0">
                  <c:v>2021年</c:v>
                </c:pt>
                <c:pt idx="1">
                  <c:v>2020年</c:v>
                </c:pt>
              </c:strCache>
            </c:strRef>
          </c:cat>
          <c:val>
            <c:numRef>
              <c:f>[工作簿1]Sheet1!$B$9:$C$9</c:f>
              <c:numCache>
                <c:formatCode>General</c:formatCode>
                <c:ptCount val="2"/>
                <c:pt idx="0">
                  <c:v>1437.07</c:v>
                </c:pt>
                <c:pt idx="1">
                  <c:v>4713.84</c:v>
                </c:pt>
              </c:numCache>
            </c:numRef>
          </c:val>
        </c:ser>
        <c:dLbls>
          <c:showLegendKey val="0"/>
          <c:showVal val="1"/>
          <c:showCatName val="0"/>
          <c:showSerName val="0"/>
          <c:showPercent val="0"/>
          <c:showBubbleSize val="0"/>
        </c:dLbls>
        <c:gapWidth val="164"/>
        <c:overlap val="-22"/>
        <c:axId val="570409031"/>
        <c:axId val="349564750"/>
      </c:barChart>
      <c:catAx>
        <c:axId val="570409031"/>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564750"/>
        <c:crosses val="autoZero"/>
        <c:auto val="1"/>
        <c:lblAlgn val="ctr"/>
        <c:lblOffset val="100"/>
        <c:noMultiLvlLbl val="0"/>
      </c:catAx>
      <c:valAx>
        <c:axId val="349564750"/>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409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t>收入决算结构图</a:t>
            </a:r>
          </a:p>
        </c:rich>
      </c:tx>
      <c:layout/>
      <c:overlay val="0"/>
      <c:spPr>
        <a:noFill/>
        <a:ln>
          <a:noFill/>
        </a:ln>
        <a:effectLst/>
      </c:spPr>
    </c:title>
    <c:autoTitleDeleted val="0"/>
    <c:view3D>
      <c:rotX val="50"/>
      <c:rotY val="28"/>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[工作簿1]Sheet1!$A$29:$A$30</c:f>
              <c:strCache>
                <c:ptCount val="2"/>
                <c:pt idx="0">
                  <c:v>一般公共预算财政拨款收入</c:v>
                </c:pt>
                <c:pt idx="1">
                  <c:v>政府性基金预算财政拨款收入</c:v>
                </c:pt>
              </c:strCache>
            </c:strRef>
          </c:cat>
          <c:val>
            <c:numRef>
              <c:f>[工作簿1]Sheet1!$B$29:$B$30</c:f>
              <c:numCache>
                <c:formatCode>General</c:formatCode>
                <c:ptCount val="2"/>
                <c:pt idx="0">
                  <c:v>145.97</c:v>
                </c:pt>
                <c:pt idx="1">
                  <c:v>12.4</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支出结算结构图</a:t>
            </a:r>
          </a:p>
        </c:rich>
      </c:tx>
      <c:layout/>
      <c:overlay val="0"/>
      <c:spPr>
        <a:noFill/>
        <a:ln>
          <a:noFill/>
        </a:ln>
        <a:effectLst/>
      </c:spPr>
    </c:title>
    <c:autoTitleDeleted val="0"/>
    <c:view3D>
      <c:rotX val="50"/>
      <c:rotY val="28"/>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ln w="9525">
              <a:solidFill>
                <a:schemeClr val="bg1"/>
              </a:solidFill>
            </a:ln>
            <a:scene3d>
              <a:camera prst="orthographicFront"/>
              <a:lightRig rig="threePt" dir="t"/>
            </a:scene3d>
            <a:sp3d contourW="9525"/>
          </c:spPr>
          <c:explosion val="0"/>
          <c:dPt>
            <c:idx val="0"/>
            <c:bubble3D val="0"/>
            <c:spPr>
              <a:blipFill>
                <a:blip xmlns:r="http://schemas.openxmlformats.org/officeDocument/2006/relationships" r:embed="rId3"/>
                <a:stretch>
                  <a:fillRect/>
                </a:stretch>
              </a:blipFill>
              <a:ln w="9525">
                <a:solidFill>
                  <a:schemeClr val="bg1"/>
                </a:solidFill>
              </a:ln>
              <a:effectLst/>
              <a:scene3d>
                <a:camera prst="orthographicFront"/>
                <a:lightRig rig="threePt" dir="t"/>
              </a:scene3d>
              <a:sp3d contourW="9525">
                <a:contourClr>
                  <a:schemeClr val="lt1"/>
                </a:contourClr>
              </a:sp3d>
            </c:spPr>
          </c:dPt>
          <c:dPt>
            <c:idx val="1"/>
            <c:bubble3D val="0"/>
            <c:spPr>
              <a:blipFill>
                <a:blip xmlns:r="http://schemas.openxmlformats.org/officeDocument/2006/relationships" r:embed="rId4"/>
                <a:stretch>
                  <a:fillRect/>
                </a:stretch>
              </a:blipFill>
              <a:ln w="9525">
                <a:solidFill>
                  <a:schemeClr val="bg1"/>
                </a:solidFill>
              </a:ln>
              <a:effectLst/>
              <a:scene3d>
                <a:camera prst="orthographicFront"/>
                <a:lightRig rig="threePt" dir="t"/>
              </a:scene3d>
              <a:sp3d contourW="9525">
                <a:contourClr>
                  <a:schemeClr val="lt1"/>
                </a:contourClr>
              </a:sp3d>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[工作簿1]Sheet1!$A$49:$A$50</c:f>
              <c:strCache>
                <c:ptCount val="2"/>
                <c:pt idx="0">
                  <c:v>基本支出</c:v>
                </c:pt>
                <c:pt idx="1">
                  <c:v>项目支出</c:v>
                </c:pt>
              </c:strCache>
            </c:strRef>
          </c:cat>
          <c:val>
            <c:numRef>
              <c:f>[工作簿1]Sheet1!$B$49:$B$50</c:f>
              <c:numCache>
                <c:formatCode>General</c:formatCode>
                <c:ptCount val="2"/>
                <c:pt idx="0">
                  <c:v>145.97</c:v>
                </c:pt>
                <c:pt idx="1">
                  <c:v>1291.1</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blipFill>
      <a:blip xmlns:r="http://schemas.openxmlformats.org/officeDocument/2006/relationships" r:embed="rId5"/>
      <a:stretch>
        <a:fillRect/>
      </a:stretch>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[工作簿1]Sheet1!$A$11:$A$12</c:f>
              <c:strCache>
                <c:ptCount val="2"/>
                <c:pt idx="0">
                  <c:v>2020年</c:v>
                </c:pt>
                <c:pt idx="1">
                  <c:v>2021年</c:v>
                </c:pt>
              </c:strCache>
            </c:strRef>
          </c:cat>
          <c:val>
            <c:numRef>
              <c:f>[工作簿1]Sheet1!$B$11:$B$12</c:f>
              <c:numCache>
                <c:formatCode>General</c:formatCode>
                <c:ptCount val="2"/>
                <c:pt idx="0">
                  <c:v>4713.84</c:v>
                </c:pt>
                <c:pt idx="1">
                  <c:v>1437.07</c:v>
                </c:pt>
              </c:numCache>
            </c:numRef>
          </c:val>
        </c:ser>
        <c:dLbls>
          <c:showLegendKey val="0"/>
          <c:showVal val="0"/>
          <c:showCatName val="0"/>
          <c:showSerName val="0"/>
          <c:showPercent val="0"/>
          <c:showBubbleSize val="0"/>
        </c:dLbls>
        <c:gapWidth val="150"/>
        <c:overlap val="0"/>
        <c:axId val="257403285"/>
        <c:axId val="132015215"/>
      </c:barChart>
      <c:catAx>
        <c:axId val="2574032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015215"/>
        <c:crosses val="autoZero"/>
        <c:auto val="1"/>
        <c:lblAlgn val="ctr"/>
        <c:lblOffset val="100"/>
        <c:noMultiLvlLbl val="0"/>
      </c:catAx>
      <c:valAx>
        <c:axId val="132015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740328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p>
        </c:rich>
      </c:tx>
      <c:layout>
        <c:manualLayout>
          <c:xMode val="edge"/>
          <c:yMode val="edge"/>
          <c:x val="0.256805555555556"/>
          <c:y val="0.02430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[工作簿1]Sheet1!$A$68:$A$69</c:f>
              <c:strCache>
                <c:ptCount val="2"/>
                <c:pt idx="0">
                  <c:v>2020年</c:v>
                </c:pt>
                <c:pt idx="1">
                  <c:v>2021年</c:v>
                </c:pt>
              </c:strCache>
            </c:strRef>
          </c:cat>
          <c:val>
            <c:numRef>
              <c:f>[工作簿1]Sheet1!$B$68:$B$69</c:f>
              <c:numCache>
                <c:formatCode>General</c:formatCode>
                <c:ptCount val="2"/>
                <c:pt idx="0">
                  <c:v>151.74</c:v>
                </c:pt>
                <c:pt idx="1">
                  <c:v>145.97</c:v>
                </c:pt>
              </c:numCache>
            </c:numRef>
          </c:val>
        </c:ser>
        <c:dLbls>
          <c:showLegendKey val="0"/>
          <c:showVal val="1"/>
          <c:showCatName val="0"/>
          <c:showSerName val="0"/>
          <c:showPercent val="0"/>
          <c:showBubbleSize val="0"/>
        </c:dLbls>
        <c:gapWidth val="75"/>
        <c:overlap val="40"/>
        <c:axId val="223022417"/>
        <c:axId val="379020211"/>
      </c:barChart>
      <c:catAx>
        <c:axId val="2230224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020211"/>
        <c:crosses val="autoZero"/>
        <c:auto val="1"/>
        <c:lblAlgn val="ctr"/>
        <c:lblOffset val="100"/>
        <c:noMultiLvlLbl val="0"/>
      </c:catAx>
      <c:valAx>
        <c:axId val="3790202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30224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t>一般公共预算财政拨款支出结算结构图</a:t>
            </a:r>
          </a:p>
        </c:rich>
      </c:tx>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[工作簿1]Sheet1!$A$87:$A$90</c:f>
              <c:strCache>
                <c:ptCount val="4"/>
                <c:pt idx="0">
                  <c:v>社会保障和就业支出</c:v>
                </c:pt>
                <c:pt idx="1">
                  <c:v>卫生健康支出</c:v>
                </c:pt>
                <c:pt idx="2">
                  <c:v>农林水支出</c:v>
                </c:pt>
                <c:pt idx="3">
                  <c:v>住房保障支出</c:v>
                </c:pt>
              </c:strCache>
            </c:strRef>
          </c:cat>
          <c:val>
            <c:numRef>
              <c:f>[工作簿1]Sheet1!$B$87:$B$90</c:f>
              <c:numCache>
                <c:formatCode>General</c:formatCode>
                <c:ptCount val="4"/>
                <c:pt idx="0">
                  <c:v>9.24</c:v>
                </c:pt>
                <c:pt idx="1">
                  <c:v>7.1</c:v>
                </c:pt>
                <c:pt idx="2">
                  <c:v>117.55</c:v>
                </c:pt>
                <c:pt idx="3">
                  <c:v>12.08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t>三公经费财政拨款支出结构图</a:t>
            </a: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rich>
      </c:tx>
      <c:layout/>
      <c:overlay val="0"/>
      <c:spPr>
        <a:noFill/>
        <a:ln>
          <a:noFill/>
        </a:ln>
        <a:effectLst/>
      </c:spPr>
    </c:title>
    <c:autoTitleDeleted val="0"/>
    <c:plotArea>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[工作簿1]Sheet1!$A$106:$A$107</c:f>
              <c:strCache>
                <c:ptCount val="2"/>
                <c:pt idx="0">
                  <c:v>接待费</c:v>
                </c:pt>
                <c:pt idx="1">
                  <c:v>公务用车购置及运行维护费</c:v>
                </c:pt>
              </c:strCache>
            </c:strRef>
          </c:cat>
          <c:val>
            <c:numRef>
              <c:f>[工作簿1]Sheet1!$B$106:$B$107</c:f>
              <c:numCache>
                <c:formatCode>General</c:formatCode>
                <c:ptCount val="2"/>
                <c:pt idx="0">
                  <c:v>0.15</c:v>
                </c:pt>
                <c:pt idx="1">
                  <c:v>7.5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12372</Words>
  <Characters>13865</Characters>
  <Lines>61</Lines>
  <Paragraphs>17</Paragraphs>
  <TotalTime>13</TotalTime>
  <ScaleCrop>false</ScaleCrop>
  <LinksUpToDate>false</LinksUpToDate>
  <CharactersWithSpaces>13934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李付兵</cp:lastModifiedBy>
  <cp:lastPrinted>2023-10-07T09:16:00Z</cp:lastPrinted>
  <dcterms:modified xsi:type="dcterms:W3CDTF">2023-10-17T02:08:50Z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9561A64D0F3944C8960FFD4E8731E3BE</vt:lpwstr>
  </property>
</Properties>
</file>