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96475"/>
      <w:bookmarkStart w:id="2" w:name="_Toc15378441"/>
      <w:bookmarkStart w:id="3" w:name="_Toc15377193"/>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598"/>
      <w:bookmarkStart w:id="8" w:name="_Toc15378442"/>
      <w:bookmarkStart w:id="9" w:name="_Toc15396476"/>
      <w:bookmarkStart w:id="10" w:name="_Toc15377194"/>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攀枝花市西区科学技术协会部门决算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公开时间：2022年10月9日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2"/>
        <w:numPr>
          <w:ilvl w:val="0"/>
          <w:numId w:val="1"/>
        </w:numPr>
        <w:adjustRightInd w:val="0"/>
        <w:snapToGrid w:val="0"/>
        <w:spacing w:line="440" w:lineRule="exact"/>
        <w:ind w:leftChars="0"/>
        <w:jc w:val="left"/>
        <w:rPr>
          <w:sz w:val="24"/>
        </w:rPr>
      </w:pPr>
      <w:r>
        <w:rPr>
          <w:rFonts w:hint="eastAsia"/>
          <w:sz w:val="24"/>
        </w:rPr>
        <w:t>职能简介</w:t>
      </w:r>
    </w:p>
    <w:p>
      <w:pPr>
        <w:pStyle w:val="12"/>
        <w:numPr>
          <w:ilvl w:val="0"/>
          <w:numId w:val="1"/>
        </w:numPr>
        <w:adjustRightInd w:val="0"/>
        <w:snapToGrid w:val="0"/>
        <w:spacing w:line="440" w:lineRule="exact"/>
        <w:ind w:leftChars="0"/>
        <w:jc w:val="left"/>
        <w:rPr>
          <w:rFonts w:ascii="仿宋" w:hAnsi="仿宋" w:eastAsia="仿宋"/>
          <w:sz w:val="24"/>
        </w:rPr>
      </w:pPr>
      <w:r>
        <w:rPr>
          <w:rFonts w:hint="eastAsia"/>
          <w:sz w:val="24"/>
        </w:rPr>
        <w:t>2021年</w:t>
      </w:r>
      <w:r>
        <w:rPr>
          <w:sz w:val="24"/>
        </w:rPr>
        <w:t>重点</w:t>
      </w:r>
      <w:r>
        <w:rPr>
          <w:rFonts w:hint="eastAsia"/>
          <w:sz w:val="24"/>
        </w:rPr>
        <w:t>工作完成情况</w:t>
      </w:r>
    </w:p>
    <w:p>
      <w:pPr>
        <w:pStyle w:val="12"/>
        <w:adjustRightInd w:val="0"/>
        <w:snapToGrid w:val="0"/>
        <w:spacing w:line="440" w:lineRule="exact"/>
        <w:jc w:val="left"/>
        <w:rPr>
          <w:rFonts w:ascii="仿宋" w:hAnsi="仿宋" w:eastAsia="仿宋" w:cstheme="minorBidi"/>
          <w:sz w:val="24"/>
        </w:rPr>
      </w:pPr>
      <w:r>
        <w:rPr>
          <w:rFonts w:hint="eastAsia"/>
          <w:sz w:val="24"/>
        </w:rPr>
        <w:t>三、机构设置情况</w:t>
      </w:r>
    </w:p>
    <w:p>
      <w:pPr>
        <w:pStyle w:val="11"/>
        <w:adjustRightInd w:val="0"/>
        <w:snapToGrid w:val="0"/>
        <w:spacing w:before="0" w:line="440" w:lineRule="exact"/>
        <w:jc w:val="left"/>
        <w:rPr>
          <w:sz w:val="24"/>
          <w:szCs w:val="24"/>
        </w:rPr>
      </w:pPr>
      <w:r>
        <w:rPr>
          <w:rFonts w:hint="eastAsia"/>
          <w:sz w:val="24"/>
        </w:rPr>
        <w:t>第二部分 2021年度部门决算情况说明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6"/>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Fonts w:hint="eastAsia" w:ascii="仿宋" w:hAnsi="仿宋" w:eastAsia="仿宋"/>
          <w:b w:val="0"/>
          <w:bCs w:val="0"/>
        </w:rPr>
      </w:pPr>
      <w:bookmarkStart w:id="14" w:name="_Toc15377197"/>
      <w:bookmarkStart w:id="15" w:name="_Toc15396600"/>
      <w:r>
        <w:rPr>
          <w:rFonts w:hint="eastAsia" w:ascii="黑体" w:hAnsi="黑体" w:eastAsia="黑体"/>
          <w:b w:val="0"/>
        </w:rPr>
        <w:t>一、</w:t>
      </w:r>
      <w:bookmarkEnd w:id="14"/>
      <w:bookmarkEnd w:id="15"/>
      <w:r>
        <w:rPr>
          <w:rStyle w:val="26"/>
          <w:rFonts w:hint="eastAsia" w:ascii="黑体" w:hAnsi="黑体" w:eastAsia="黑体"/>
          <w:b w:val="0"/>
          <w:bCs w:val="0"/>
        </w:rPr>
        <w:t>职能简介</w:t>
      </w:r>
    </w:p>
    <w:p>
      <w:pPr>
        <w:ind w:firstLine="640" w:firstLineChars="200"/>
      </w:pPr>
      <w:r>
        <w:rPr>
          <w:rFonts w:eastAsia="仿宋_GB2312"/>
          <w:color w:val="000000"/>
          <w:sz w:val="32"/>
          <w:szCs w:val="32"/>
        </w:rPr>
        <w:t>一是密切联系科学技术工作者，宣传党的路线方针政策，反映科学技术工作者的建议、意见和诉求，维护科学技术工作者的合法权益，建设科技工作者之家；二是开展学术交流，活跃学术思想，倡导学术民主，优化学术环境，促进学科发展,推进国家创新体系建设；三是组织科学技术工作者创新争先，加快科学技术成果转化应用，推动产学研深度融合；四是弘扬科学精神，普及科学知识，推广先进技术，传播科学思想和科学方法，捍卫科学尊严，提高全民科学素质；五是弘扬科学家精神，健全科学共同体的自律功能，推动建立和完善科学研究诚信监督机制，促进科学道德建设和学风建设，宣传优秀科学技术工作者，培育科学文化，践行社会主义核心价值观；六是组织科学技术工作者参与国家科技战略、规划、布局、政策、法律法规的咨询制定和国家事务的政治协商、科学决策、民主监督工作，建设中国特色高水平科技创新智库；七是组织所属学会有序承接科技评估、工程技术领域职业资格认定、技术标准研制、国家科技奖励推荐等政府委托工作；八是注重激发青少年科技兴趣，发现培养杰出青年科学家和创新团队，表彰奖励优秀科学技术工作者，举荐科学技术人才；九是开展民间国际科学技术交流活动，促进国际科学技术合作，发展同国(境)外科学技术团体和科学技术工作者的友好交往，为海外科技人才来华创新创业提供服务；十是兴办符合中国科学技术协会宗旨的社会公益性事业。</w:t>
      </w:r>
    </w:p>
    <w:p>
      <w:pPr>
        <w:pStyle w:val="2"/>
        <w:adjustRightInd w:val="0"/>
        <w:snapToGrid w:val="0"/>
        <w:spacing w:before="93" w:line="600" w:lineRule="exact"/>
        <w:outlineLvl w:val="2"/>
        <w:rPr>
          <w:rFonts w:hint="eastAsia" w:ascii="方正黑体_GBK" w:hAnsi="仿宋" w:eastAsia="方正黑体_GBK"/>
          <w:bCs/>
          <w:sz w:val="32"/>
          <w:szCs w:val="32"/>
        </w:rPr>
      </w:pPr>
      <w:bookmarkStart w:id="16" w:name="_Toc15378446"/>
      <w:bookmarkStart w:id="17" w:name="_Toc15377199"/>
      <w:r>
        <w:rPr>
          <w:rFonts w:hint="eastAsia" w:ascii="方正黑体_GBK" w:hAnsi="仿宋" w:eastAsia="方正黑体_GBK"/>
          <w:bCs/>
          <w:sz w:val="32"/>
          <w:szCs w:val="32"/>
        </w:rPr>
        <w:t>二、2021年重点工作完成情况</w:t>
      </w:r>
      <w:bookmarkEnd w:id="16"/>
      <w:bookmarkEnd w:id="17"/>
    </w:p>
    <w:p>
      <w:pPr>
        <w:widowControl/>
        <w:snapToGrid w:val="0"/>
        <w:spacing w:line="353" w:lineRule="auto"/>
        <w:ind w:firstLine="640" w:firstLineChars="200"/>
        <w:rPr>
          <w:rFonts w:eastAsia="方正仿宋_GBK"/>
          <w:bCs/>
          <w:sz w:val="32"/>
          <w:szCs w:val="32"/>
        </w:rPr>
      </w:pPr>
      <w:r>
        <w:rPr>
          <w:rFonts w:ascii="方正楷体_GBK" w:hAnsi="方正楷体_GBK" w:eastAsia="方正楷体_GBK" w:cs="方正楷体_GBK"/>
          <w:bCs/>
          <w:sz w:val="32"/>
          <w:szCs w:val="32"/>
        </w:rPr>
        <w:t>1.以保姆式服务推进西区天府科技云服务高质量发展</w:t>
      </w:r>
    </w:p>
    <w:p>
      <w:pPr>
        <w:widowControl/>
        <w:snapToGrid w:val="0"/>
        <w:spacing w:line="353" w:lineRule="auto"/>
        <w:ind w:firstLine="640" w:firstLineChars="200"/>
        <w:rPr>
          <w:rFonts w:eastAsia="方正仿宋_GBK"/>
          <w:bCs/>
          <w:sz w:val="32"/>
          <w:szCs w:val="32"/>
        </w:rPr>
      </w:pPr>
      <w:r>
        <w:rPr>
          <w:rFonts w:eastAsia="方正仿宋_GBK"/>
          <w:bCs/>
          <w:sz w:val="32"/>
          <w:szCs w:val="32"/>
        </w:rPr>
        <w:t>从天府科技云平台建设工作开展以来，西区科协深入机关、企事业单位和农技协会，积极联系广大科技工作者面对面开展天府科技云服务工作。2021年，指导科技工作者和企事业单位规范开设和美化科创工作室，重点对川煤华荣能源有限责任公司旗下的大宝鼎、小宝鼎、花山矿、太平矿和精煤公司、机制公司等多次进行工作室装修指导服务。将工作重心放在西区68家规上企业，尤其是攀煤集团等国有企业和科技型民营企业的天府科技云建设上，按照省科协要求重点培育示范科创企业，着重关注各工作室的交易情况，引导规上企业使用天府科技云平台开展科技服务、发布科技成果和科研项目，开展线上、线下科技交易。组织召开“天府科技云”服务工作推进会，</w:t>
      </w:r>
      <w:r>
        <w:rPr>
          <w:rFonts w:eastAsia="方正仿宋_GBK"/>
          <w:bCs/>
          <w:color w:val="000000"/>
          <w:kern w:val="0"/>
          <w:sz w:val="32"/>
          <w:szCs w:val="32"/>
        </w:rPr>
        <w:t>依托攀西商界网、科普微信群、QQ 工作群及科技工作者日、科技活动周、全国科普日等活动广泛开展宣传动员。注重深入企业、村（社区）开展面对面的指导，强化宣传发动。</w:t>
      </w:r>
      <w:r>
        <w:rPr>
          <w:rFonts w:eastAsia="方正仿宋_GBK"/>
          <w:bCs/>
          <w:sz w:val="32"/>
          <w:szCs w:val="32"/>
        </w:rPr>
        <w:t>截至今年11月，西区天府科技云平台上科技服务成交216笔，成交金额9270.8万元；科技成果转化1笔，成交金额150万元；科研项目发布30项，成交12笔，成交金额41790万元，</w:t>
      </w:r>
      <w:r>
        <w:rPr>
          <w:rFonts w:eastAsia="方正仿宋_GBK"/>
          <w:sz w:val="32"/>
          <w:szCs w:val="32"/>
        </w:rPr>
        <w:t>注册用户7</w:t>
      </w:r>
      <w:r>
        <w:rPr>
          <w:rFonts w:hint="eastAsia" w:eastAsia="方正仿宋_GBK"/>
          <w:sz w:val="32"/>
          <w:szCs w:val="32"/>
        </w:rPr>
        <w:t>5</w:t>
      </w:r>
      <w:r>
        <w:rPr>
          <w:rFonts w:eastAsia="方正仿宋_GBK"/>
          <w:sz w:val="32"/>
          <w:szCs w:val="32"/>
        </w:rPr>
        <w:t>8</w:t>
      </w:r>
      <w:r>
        <w:rPr>
          <w:rFonts w:hint="eastAsia" w:eastAsia="方正仿宋_GBK"/>
          <w:sz w:val="32"/>
          <w:szCs w:val="32"/>
        </w:rPr>
        <w:t>5</w:t>
      </w:r>
      <w:r>
        <w:rPr>
          <w:rFonts w:eastAsia="方正仿宋_GBK"/>
          <w:sz w:val="32"/>
          <w:szCs w:val="32"/>
        </w:rPr>
        <w:t>户，累计实现交易额2.3</w:t>
      </w:r>
      <w:r>
        <w:rPr>
          <w:rFonts w:hint="eastAsia" w:eastAsia="方正仿宋_GBK"/>
          <w:sz w:val="32"/>
          <w:szCs w:val="32"/>
        </w:rPr>
        <w:t>2</w:t>
      </w:r>
      <w:r>
        <w:rPr>
          <w:rFonts w:eastAsia="方正仿宋_GBK"/>
          <w:sz w:val="32"/>
          <w:szCs w:val="32"/>
        </w:rPr>
        <w:t>亿元，精准科普服务群众数1</w:t>
      </w:r>
      <w:r>
        <w:rPr>
          <w:rFonts w:hint="eastAsia" w:eastAsia="方正仿宋_GBK"/>
          <w:sz w:val="32"/>
          <w:szCs w:val="32"/>
        </w:rPr>
        <w:t>723</w:t>
      </w:r>
      <w:r>
        <w:rPr>
          <w:rFonts w:eastAsia="方正仿宋_GBK"/>
          <w:sz w:val="32"/>
          <w:szCs w:val="32"/>
        </w:rPr>
        <w:t>户，精准科普服务量6</w:t>
      </w:r>
      <w:r>
        <w:rPr>
          <w:rFonts w:hint="eastAsia" w:eastAsia="方正仿宋_GBK"/>
          <w:sz w:val="32"/>
          <w:szCs w:val="32"/>
        </w:rPr>
        <w:t>9.12</w:t>
      </w:r>
      <w:r>
        <w:rPr>
          <w:rFonts w:eastAsia="方正仿宋_GBK"/>
          <w:sz w:val="32"/>
          <w:szCs w:val="32"/>
        </w:rPr>
        <w:t>万人次</w:t>
      </w:r>
      <w:r>
        <w:rPr>
          <w:rFonts w:hint="eastAsia" w:eastAsia="方正仿宋_GBK"/>
          <w:sz w:val="32"/>
          <w:szCs w:val="32"/>
        </w:rPr>
        <w:t>，</w:t>
      </w:r>
      <w:r>
        <w:rPr>
          <w:rFonts w:eastAsia="方正仿宋_GBK"/>
          <w:bCs/>
          <w:sz w:val="32"/>
          <w:szCs w:val="32"/>
        </w:rPr>
        <w:t>推广使用工作态势良好。</w:t>
      </w:r>
      <w:r>
        <w:rPr>
          <w:rFonts w:eastAsia="方正仿宋_GBK"/>
          <w:sz w:val="32"/>
          <w:szCs w:val="32"/>
        </w:rPr>
        <w:t>截止今年1</w:t>
      </w:r>
      <w:r>
        <w:rPr>
          <w:rFonts w:hint="eastAsia" w:eastAsia="方正仿宋_GBK"/>
          <w:sz w:val="32"/>
          <w:szCs w:val="32"/>
        </w:rPr>
        <w:t>1</w:t>
      </w:r>
      <w:r>
        <w:rPr>
          <w:rFonts w:eastAsia="方正仿宋_GBK"/>
          <w:sz w:val="32"/>
          <w:szCs w:val="32"/>
        </w:rPr>
        <w:t>月，西区天府科技云服务综合绩效排名位列全市第1。</w:t>
      </w:r>
    </w:p>
    <w:p>
      <w:pPr>
        <w:widowControl/>
        <w:snapToGrid w:val="0"/>
        <w:spacing w:line="353" w:lineRule="auto"/>
        <w:ind w:left="851"/>
        <w:rPr>
          <w:rFonts w:eastAsia="方正仿宋_GBK"/>
          <w:bCs/>
          <w:sz w:val="32"/>
          <w:szCs w:val="32"/>
        </w:rPr>
      </w:pPr>
      <w:r>
        <w:rPr>
          <w:rFonts w:ascii="方正楷体_GBK" w:hAnsi="方正楷体_GBK" w:eastAsia="方正楷体_GBK" w:cs="方正楷体_GBK"/>
          <w:bCs/>
          <w:sz w:val="32"/>
          <w:szCs w:val="32"/>
        </w:rPr>
        <w:t>2.汇聚人才智力资源，助力创新驱动发展和乡村振兴</w:t>
      </w:r>
    </w:p>
    <w:p>
      <w:pPr>
        <w:widowControl/>
        <w:shd w:val="clear" w:color="auto" w:fill="FFFFFF"/>
        <w:snapToGrid w:val="0"/>
        <w:spacing w:line="353" w:lineRule="auto"/>
        <w:ind w:firstLine="800" w:firstLineChars="250"/>
        <w:rPr>
          <w:rFonts w:eastAsia="方正仿宋_GBK"/>
          <w:bCs/>
          <w:i/>
          <w:iCs/>
          <w:kern w:val="0"/>
          <w:sz w:val="32"/>
          <w:szCs w:val="32"/>
        </w:rPr>
      </w:pPr>
      <w:r>
        <w:rPr>
          <w:rFonts w:eastAsia="方正仿宋_GBK"/>
          <w:bCs/>
          <w:kern w:val="0"/>
          <w:sz w:val="32"/>
          <w:szCs w:val="32"/>
        </w:rPr>
        <w:t>(1)</w:t>
      </w:r>
      <w:r>
        <w:rPr>
          <w:rFonts w:eastAsia="方正仿宋_GBK"/>
          <w:bCs/>
          <w:sz w:val="32"/>
          <w:szCs w:val="32"/>
        </w:rPr>
        <w:t>加强青少年创新教育</w:t>
      </w:r>
      <w:r>
        <w:rPr>
          <w:rFonts w:eastAsia="方正仿宋_GBK"/>
          <w:bCs/>
          <w:kern w:val="0"/>
          <w:sz w:val="32"/>
          <w:szCs w:val="32"/>
        </w:rPr>
        <w:t>。协同区教体局组织辖区青少年参加市第</w:t>
      </w:r>
      <w:r>
        <w:rPr>
          <w:rFonts w:eastAsia="方正仿宋_GBK"/>
          <w:bCs/>
          <w:sz w:val="32"/>
          <w:szCs w:val="32"/>
        </w:rPr>
        <w:t>37</w:t>
      </w:r>
      <w:r>
        <w:rPr>
          <w:rFonts w:eastAsia="方正仿宋_GBK"/>
          <w:bCs/>
          <w:kern w:val="0"/>
          <w:sz w:val="32"/>
          <w:szCs w:val="32"/>
        </w:rPr>
        <w:t>届青少年科技创新大赛，培养青少年的创新精神和创新意识。同时，借助科普显示屏和科普中国、天府科技云等新媒介，</w:t>
      </w:r>
      <w:r>
        <w:rPr>
          <w:rFonts w:hint="eastAsia" w:eastAsia="方正仿宋_GBK"/>
          <w:bCs/>
          <w:kern w:val="0"/>
          <w:sz w:val="32"/>
          <w:szCs w:val="32"/>
        </w:rPr>
        <w:t>鼓励</w:t>
      </w:r>
      <w:r>
        <w:rPr>
          <w:rFonts w:eastAsia="方正仿宋_GBK"/>
          <w:bCs/>
          <w:kern w:val="0"/>
          <w:sz w:val="32"/>
          <w:szCs w:val="32"/>
        </w:rPr>
        <w:t>青少年</w:t>
      </w:r>
      <w:r>
        <w:rPr>
          <w:rFonts w:hint="eastAsia" w:eastAsia="方正仿宋_GBK"/>
          <w:bCs/>
          <w:kern w:val="0"/>
          <w:sz w:val="32"/>
          <w:szCs w:val="32"/>
        </w:rPr>
        <w:t>线上浏览科普知识，参加科普小游戏</w:t>
      </w:r>
      <w:r>
        <w:rPr>
          <w:rFonts w:eastAsia="方正仿宋_GBK"/>
          <w:bCs/>
          <w:kern w:val="0"/>
          <w:sz w:val="32"/>
          <w:szCs w:val="32"/>
        </w:rPr>
        <w:t>，寓教于乐,帮助他们树立科学思想、科学观念和道德意识。</w:t>
      </w:r>
    </w:p>
    <w:p>
      <w:pPr>
        <w:autoSpaceDE w:val="0"/>
        <w:snapToGrid w:val="0"/>
        <w:spacing w:line="353" w:lineRule="auto"/>
        <w:ind w:right="-92" w:rightChars="-44" w:firstLine="723" w:firstLineChars="226"/>
        <w:rPr>
          <w:rFonts w:eastAsia="方正仿宋_GBK"/>
          <w:bCs/>
          <w:sz w:val="32"/>
          <w:szCs w:val="32"/>
        </w:rPr>
      </w:pPr>
      <w:r>
        <w:rPr>
          <w:rFonts w:eastAsia="方正仿宋_GBK"/>
          <w:bCs/>
          <w:sz w:val="32"/>
          <w:szCs w:val="32"/>
        </w:rPr>
        <w:t>(2)抓实科普益民工作</w:t>
      </w:r>
      <w:r>
        <w:rPr>
          <w:rFonts w:eastAsia="方正仿宋_GBK"/>
          <w:bCs/>
          <w:kern w:val="0"/>
          <w:sz w:val="32"/>
          <w:szCs w:val="32"/>
        </w:rPr>
        <w:t>。</w:t>
      </w:r>
      <w:r>
        <w:rPr>
          <w:rFonts w:eastAsia="方正仿宋_GBK"/>
          <w:bCs/>
          <w:color w:val="000000"/>
          <w:kern w:val="0"/>
          <w:sz w:val="32"/>
          <w:szCs w:val="32"/>
        </w:rPr>
        <w:t>推动农技协转型升级发展，助力基层科普阵地建设。发挥农技协的示范引领作用，积极组织农村乡土创新人才参赛</w:t>
      </w:r>
      <w:r>
        <w:rPr>
          <w:rFonts w:hint="eastAsia" w:eastAsia="方正仿宋_GBK"/>
          <w:bCs/>
          <w:color w:val="000000"/>
          <w:kern w:val="0"/>
          <w:sz w:val="32"/>
          <w:szCs w:val="32"/>
        </w:rPr>
        <w:t>。</w:t>
      </w:r>
      <w:r>
        <w:rPr>
          <w:rFonts w:eastAsia="方正仿宋_GBK"/>
          <w:bCs/>
          <w:color w:val="000000"/>
          <w:kern w:val="0"/>
          <w:sz w:val="32"/>
          <w:szCs w:val="32"/>
        </w:rPr>
        <w:t>在</w:t>
      </w:r>
      <w:r>
        <w:rPr>
          <w:rFonts w:hint="eastAsia" w:eastAsia="方正仿宋_GBK"/>
          <w:bCs/>
          <w:color w:val="000000"/>
          <w:kern w:val="0"/>
          <w:sz w:val="32"/>
          <w:szCs w:val="32"/>
        </w:rPr>
        <w:t>四川省</w:t>
      </w:r>
      <w:r>
        <w:rPr>
          <w:rFonts w:eastAsia="方正仿宋_GBK"/>
          <w:bCs/>
          <w:color w:val="000000"/>
          <w:kern w:val="0"/>
          <w:sz w:val="32"/>
          <w:szCs w:val="32"/>
        </w:rPr>
        <w:t>第五届农村乡土人才创新创业大赛中，西区嘉骅生态农业开发有限公司获得</w:t>
      </w:r>
      <w:r>
        <w:rPr>
          <w:rFonts w:hint="eastAsia" w:eastAsia="方正仿宋_GBK"/>
          <w:bCs/>
          <w:color w:val="000000"/>
          <w:kern w:val="0"/>
          <w:sz w:val="32"/>
          <w:szCs w:val="32"/>
        </w:rPr>
        <w:t>省决赛铜奖，该公司的“蚯蚓规模化养殖和产业循环”项目获评大赛“最受欢迎成果奖”</w:t>
      </w:r>
      <w:r>
        <w:rPr>
          <w:rFonts w:eastAsia="方正仿宋_GBK"/>
          <w:bCs/>
          <w:color w:val="000000"/>
          <w:kern w:val="0"/>
          <w:sz w:val="32"/>
          <w:szCs w:val="32"/>
        </w:rPr>
        <w:t>。</w:t>
      </w:r>
      <w:r>
        <w:rPr>
          <w:rFonts w:eastAsia="方正仿宋_GBK"/>
          <w:bCs/>
          <w:sz w:val="32"/>
          <w:szCs w:val="32"/>
        </w:rPr>
        <w:t>组织农技协骨干和农村乡土人才开展技术培训，并入驻“天府科技云”服务平台，开展线上科技服务，推动产业发展。</w:t>
      </w:r>
    </w:p>
    <w:p>
      <w:pPr>
        <w:widowControl/>
        <w:snapToGrid w:val="0"/>
        <w:spacing w:line="353" w:lineRule="auto"/>
        <w:ind w:firstLine="640" w:firstLineChars="200"/>
        <w:rPr>
          <w:rFonts w:ascii="方正楷体_GBK" w:hAnsi="方正楷体_GBK" w:eastAsia="方正楷体_GBK" w:cs="方正楷体_GBK"/>
          <w:bCs/>
          <w:sz w:val="32"/>
          <w:szCs w:val="32"/>
        </w:rPr>
      </w:pPr>
      <w:r>
        <w:rPr>
          <w:rFonts w:ascii="方正楷体_GBK" w:hAnsi="方正楷体_GBK" w:eastAsia="方正楷体_GBK" w:cs="方正楷体_GBK"/>
          <w:bCs/>
          <w:sz w:val="32"/>
          <w:szCs w:val="32"/>
        </w:rPr>
        <w:t>3.深入实施《全民科学素质纲要》，促进辖区居民素质提升</w:t>
      </w:r>
    </w:p>
    <w:p>
      <w:pPr>
        <w:widowControl/>
        <w:snapToGrid w:val="0"/>
        <w:spacing w:line="353" w:lineRule="auto"/>
        <w:ind w:firstLine="640" w:firstLineChars="200"/>
        <w:rPr>
          <w:rFonts w:eastAsia="方正仿宋_GBK"/>
          <w:bCs/>
          <w:sz w:val="32"/>
          <w:szCs w:val="32"/>
        </w:rPr>
      </w:pPr>
      <w:r>
        <w:rPr>
          <w:rFonts w:eastAsia="方正仿宋_GBK"/>
          <w:bCs/>
          <w:color w:val="000000"/>
          <w:kern w:val="0"/>
          <w:sz w:val="32"/>
          <w:szCs w:val="32"/>
        </w:rPr>
        <w:t>充分发挥全民科学素质成员单位、农技协、社区科普组织作用，积极组织开展“科普活动月”“科技活动周”“科技工作者日”“全国科普日”等主题科普活动，着力营造学科学、讲科学、用科学的浓厚氛围，促进公众科学文化素质提升。</w:t>
      </w:r>
    </w:p>
    <w:p>
      <w:pPr>
        <w:ind w:firstLine="640" w:firstLineChars="200"/>
        <w:rPr>
          <w:rFonts w:eastAsia="方正仿宋_GBK"/>
          <w:bCs/>
          <w:sz w:val="32"/>
          <w:szCs w:val="32"/>
        </w:rPr>
      </w:pPr>
      <w:r>
        <w:rPr>
          <w:rFonts w:eastAsia="方正仿宋_GBK"/>
          <w:bCs/>
          <w:sz w:val="32"/>
          <w:szCs w:val="32"/>
        </w:rPr>
        <w:t>(1)依托“天府科技云”服务平台开展精准科普服务。组织动员科技工作者、农村乡土人才等科普工作者（团队）、农技协和科普共享基地等基层科普组织入驻“天府科技云”平台，上架7个科普共享基地，为群众提供精准科普服务</w:t>
      </w:r>
      <w:r>
        <w:rPr>
          <w:rFonts w:hint="eastAsia" w:eastAsia="方正仿宋_GBK"/>
          <w:bCs/>
          <w:sz w:val="32"/>
          <w:szCs w:val="32"/>
        </w:rPr>
        <w:t>，其中，攀枝花·中国航天智能机器人科技城基地获评全省“最受欢迎的100家科普共享基地”称号</w:t>
      </w:r>
      <w:r>
        <w:rPr>
          <w:rFonts w:eastAsia="方正仿宋_GBK"/>
          <w:bCs/>
          <w:sz w:val="32"/>
          <w:szCs w:val="32"/>
        </w:rPr>
        <w:t>。深入实施“互联网+科普”工程，充分运用信息化手段，创新推动传统科普活动和科普资源转型升级。深入推广“科普中国”“科普四川”“科普攀枝花”“天府科技云”新媒体注册应用，促进传统科普与信息化科普深度融合。</w:t>
      </w:r>
    </w:p>
    <w:p>
      <w:pPr>
        <w:snapToGrid w:val="0"/>
        <w:spacing w:line="353" w:lineRule="auto"/>
        <w:ind w:firstLine="640" w:firstLineChars="200"/>
        <w:rPr>
          <w:rFonts w:eastAsia="方正仿宋_GBK"/>
          <w:bCs/>
          <w:sz w:val="32"/>
          <w:szCs w:val="32"/>
        </w:rPr>
      </w:pPr>
      <w:r>
        <w:rPr>
          <w:rFonts w:eastAsia="方正仿宋_GBK"/>
          <w:bCs/>
          <w:sz w:val="32"/>
          <w:szCs w:val="32"/>
        </w:rPr>
        <w:t>(2)广泛开展群众性科普活动，积极组织“科普大篷车”、全国科普日等宣传活动。结合“科普七进”活动，依托攀西商界网、科普微信群、QQ 工作群等结合科技工作者日、科技活动周、全国科普日、科普大篷车进社区等活动广泛开展宣传动员。认真开展贴近农村、贴近生活、贴近实际的科普宣传活动，把科普知识送进企业职工和辖区居民手中，共发放各类科普宣传资料4000余份，充分发挥社区科普组织和科普阵地作用，广泛开展反邪教、安全、健康教育等系列知识宣传，积极营造学科学、讲科学、用科学的浓厚氛围，促进公众科学文化素质提升。</w:t>
      </w:r>
    </w:p>
    <w:p>
      <w:pPr>
        <w:snapToGrid w:val="0"/>
        <w:spacing w:line="353" w:lineRule="auto"/>
        <w:ind w:firstLine="640" w:firstLineChars="200"/>
        <w:rPr>
          <w:rFonts w:eastAsia="方正仿宋_GBK"/>
          <w:bCs/>
          <w:sz w:val="32"/>
          <w:szCs w:val="32"/>
        </w:rPr>
      </w:pPr>
      <w:r>
        <w:rPr>
          <w:rFonts w:eastAsia="方正仿宋_GBK"/>
          <w:bCs/>
          <w:sz w:val="32"/>
          <w:szCs w:val="32"/>
        </w:rPr>
        <w:t>(3)科普益民，为改善民生发挥科协作用。不断加强“双创”科技信息服务应用典型的培育，发挥农技协的示范引领作用，组织农技协骨干和农村乡土人才开展技术培训，并入驻“天府科技云”服务平台，开展线上科技服务，推动产业发展。同时，强化基层社区的科普辐射带动效应。指导攀枝花市西区航天科技城、攀枝花市西区林坡花椒种植协会及丽新园艺做好专项资金的使用，大力促进社区科普基地建设，实施科技助力乡村振兴。</w:t>
      </w:r>
    </w:p>
    <w:p>
      <w:pPr>
        <w:snapToGrid w:val="0"/>
        <w:spacing w:line="353" w:lineRule="auto"/>
        <w:ind w:firstLine="640" w:firstLineChars="200"/>
        <w:rPr>
          <w:rFonts w:eastAsia="方正仿宋_GBK"/>
          <w:bCs/>
          <w:sz w:val="32"/>
          <w:szCs w:val="32"/>
        </w:rPr>
      </w:pPr>
      <w:r>
        <w:rPr>
          <w:rFonts w:eastAsia="方正仿宋_GBK"/>
          <w:bCs/>
          <w:sz w:val="32"/>
          <w:szCs w:val="32"/>
        </w:rPr>
        <w:t>(4)</w:t>
      </w:r>
      <w:r>
        <w:rPr>
          <w:rFonts w:hint="eastAsia" w:eastAsia="方正仿宋_GBK"/>
          <w:bCs/>
          <w:sz w:val="32"/>
          <w:szCs w:val="32"/>
        </w:rPr>
        <w:t>进社区开展健康知识科普和</w:t>
      </w:r>
      <w:r>
        <w:rPr>
          <w:rFonts w:eastAsia="方正仿宋_GBK"/>
          <w:bCs/>
          <w:sz w:val="32"/>
          <w:szCs w:val="32"/>
        </w:rPr>
        <w:t>反邪教警示教育宣讲。区科协</w:t>
      </w:r>
      <w:r>
        <w:rPr>
          <w:rFonts w:hint="eastAsia" w:eastAsia="方正仿宋_GBK"/>
          <w:bCs/>
          <w:sz w:val="32"/>
          <w:szCs w:val="32"/>
        </w:rPr>
        <w:t>充分利用市级资源，组织健康专家到</w:t>
      </w:r>
      <w:r>
        <w:rPr>
          <w:rFonts w:eastAsia="方正仿宋_GBK"/>
          <w:bCs/>
          <w:sz w:val="32"/>
          <w:szCs w:val="32"/>
        </w:rPr>
        <w:t>清香坪街道</w:t>
      </w:r>
      <w:r>
        <w:rPr>
          <w:rFonts w:hint="eastAsia" w:eastAsia="方正仿宋_GBK"/>
          <w:bCs/>
          <w:sz w:val="32"/>
          <w:szCs w:val="32"/>
        </w:rPr>
        <w:t>路北社区开展老年健康知识宣传，受到社区居民的热情欢迎。</w:t>
      </w:r>
      <w:r>
        <w:rPr>
          <w:rFonts w:eastAsia="方正仿宋_GBK"/>
          <w:bCs/>
          <w:sz w:val="32"/>
          <w:szCs w:val="32"/>
        </w:rPr>
        <w:t>联合清香坪街道杨家坪社区组织开展反邪教警示教育</w:t>
      </w:r>
      <w:r>
        <w:rPr>
          <w:rFonts w:hint="eastAsia" w:eastAsia="方正仿宋_GBK"/>
          <w:bCs/>
          <w:sz w:val="32"/>
          <w:szCs w:val="32"/>
        </w:rPr>
        <w:t>，</w:t>
      </w:r>
      <w:r>
        <w:rPr>
          <w:rFonts w:eastAsia="方正仿宋_GBK"/>
          <w:bCs/>
          <w:sz w:val="32"/>
          <w:szCs w:val="32"/>
        </w:rPr>
        <w:t>进社区</w:t>
      </w:r>
      <w:r>
        <w:rPr>
          <w:rFonts w:hint="eastAsia" w:eastAsia="方正仿宋_GBK"/>
          <w:bCs/>
          <w:sz w:val="32"/>
          <w:szCs w:val="32"/>
        </w:rPr>
        <w:t>开展</w:t>
      </w:r>
      <w:r>
        <w:rPr>
          <w:rFonts w:eastAsia="方正仿宋_GBK"/>
          <w:bCs/>
          <w:sz w:val="32"/>
          <w:szCs w:val="32"/>
        </w:rPr>
        <w:t>宣传</w:t>
      </w:r>
      <w:r>
        <w:rPr>
          <w:rFonts w:hint="eastAsia" w:eastAsia="方正仿宋_GBK"/>
          <w:bCs/>
          <w:sz w:val="32"/>
          <w:szCs w:val="32"/>
        </w:rPr>
        <w:t>，</w:t>
      </w:r>
      <w:r>
        <w:rPr>
          <w:rFonts w:eastAsia="方正仿宋_GBK"/>
          <w:bCs/>
          <w:sz w:val="32"/>
          <w:szCs w:val="32"/>
        </w:rPr>
        <w:t>引导和教育辖区居民掌握反邪教知识，增强识别邪教、防范邪教和抵制邪教侵蚀的能力，</w:t>
      </w:r>
      <w:r>
        <w:rPr>
          <w:rFonts w:eastAsia="方正仿宋_GBK"/>
          <w:bCs/>
          <w:color w:val="000000"/>
          <w:kern w:val="0"/>
          <w:sz w:val="32"/>
          <w:szCs w:val="32"/>
        </w:rPr>
        <w:t>有效提升了大家思想上的“免疫力”及识邪、防邪、拒邪的意识和能力。</w:t>
      </w:r>
    </w:p>
    <w:p>
      <w:pPr>
        <w:widowControl/>
        <w:snapToGrid w:val="0"/>
        <w:spacing w:line="353" w:lineRule="auto"/>
        <w:ind w:firstLine="560" w:firstLineChars="200"/>
        <w:rPr>
          <w:rFonts w:ascii="方正楷体_GBK" w:hAnsi="方正楷体_GBK" w:eastAsia="方正楷体_GBK" w:cs="方正楷体_GBK"/>
          <w:bCs/>
          <w:spacing w:val="-20"/>
          <w:sz w:val="32"/>
          <w:szCs w:val="32"/>
        </w:rPr>
      </w:pPr>
      <w:r>
        <w:rPr>
          <w:rFonts w:ascii="方正楷体_GBK" w:hAnsi="方正楷体_GBK" w:eastAsia="方正楷体_GBK" w:cs="方正楷体_GBK"/>
          <w:bCs/>
          <w:spacing w:val="-20"/>
          <w:sz w:val="32"/>
          <w:szCs w:val="32"/>
        </w:rPr>
        <w:t>4.</w:t>
      </w:r>
      <w:r>
        <w:rPr>
          <w:rFonts w:hint="eastAsia" w:ascii="方正楷体_GBK" w:hAnsi="方正楷体_GBK" w:eastAsia="方正楷体_GBK" w:cs="方正楷体_GBK"/>
          <w:bCs/>
          <w:spacing w:val="-20"/>
          <w:sz w:val="32"/>
          <w:szCs w:val="32"/>
        </w:rPr>
        <w:t>精心筹划，积极参与首届“科创中国</w:t>
      </w:r>
      <w:r>
        <w:rPr>
          <w:rFonts w:hint="eastAsia" w:ascii="宋体" w:hAnsi="宋体" w:cs="宋体"/>
          <w:bCs/>
          <w:spacing w:val="-20"/>
          <w:sz w:val="32"/>
          <w:szCs w:val="32"/>
        </w:rPr>
        <w:t>•</w:t>
      </w:r>
      <w:r>
        <w:rPr>
          <w:rFonts w:hint="eastAsia" w:ascii="方正楷体_GBK" w:hAnsi="方正楷体_GBK" w:eastAsia="方正楷体_GBK" w:cs="方正楷体_GBK"/>
          <w:bCs/>
          <w:spacing w:val="-20"/>
          <w:sz w:val="32"/>
          <w:szCs w:val="32"/>
        </w:rPr>
        <w:t>天府科技云服务大会”</w:t>
      </w:r>
    </w:p>
    <w:p>
      <w:pPr>
        <w:widowControl/>
        <w:shd w:val="clear" w:color="auto" w:fill="FFFFFF"/>
        <w:ind w:firstLine="640" w:firstLineChars="200"/>
        <w:rPr>
          <w:rFonts w:eastAsia="方正仿宋_GBK"/>
          <w:bCs/>
          <w:kern w:val="0"/>
          <w:sz w:val="32"/>
          <w:szCs w:val="32"/>
        </w:rPr>
      </w:pPr>
      <w:r>
        <w:rPr>
          <w:rFonts w:eastAsia="方正仿宋_GBK"/>
          <w:bCs/>
          <w:kern w:val="0"/>
          <w:sz w:val="32"/>
          <w:szCs w:val="32"/>
        </w:rPr>
        <w:t>在市科协做好首届“科创中国•天府科技云服务大会”（以下简称“科创会”）项目征集要求提出后，西区科协积极谋划，在西区区委的支持下，明确“科创会”项目征集要求，以“天府科技云建设领导小组办公室”点对点向机关、企、事业单位发出项目推荐通知，人盯人的开展“科创会”项目征集工作。</w:t>
      </w:r>
      <w:r>
        <w:rPr>
          <w:rFonts w:hint="eastAsia" w:eastAsia="方正仿宋_GBK"/>
          <w:bCs/>
          <w:kern w:val="0"/>
          <w:sz w:val="32"/>
          <w:szCs w:val="32"/>
        </w:rPr>
        <w:t>本次科创会，区科协成功推介了代表西区科技创新实力的大倾角煤层工作面智能化开采、大倾角煤层工作面的高安全可靠迈步式转载设备、全重介选煤技术在选煤厂的应用、高强韧钛合金产业化应用、高炉除尘灰环保治理及资源化利用、蚯蚓规模化养殖及产业循环等6个项目，1个项目现场签约，签约金额9521万元。近日，四川省</w:t>
      </w:r>
      <w:r>
        <w:rPr>
          <w:rFonts w:eastAsia="方正仿宋_GBK"/>
          <w:bCs/>
          <w:kern w:val="0"/>
          <w:sz w:val="32"/>
          <w:szCs w:val="32"/>
        </w:rPr>
        <w:t>科协对在</w:t>
      </w:r>
      <w:r>
        <w:rPr>
          <w:rFonts w:hint="eastAsia" w:eastAsia="方正仿宋_GBK"/>
          <w:bCs/>
          <w:kern w:val="0"/>
          <w:sz w:val="32"/>
          <w:szCs w:val="32"/>
        </w:rPr>
        <w:t>2021年首届“科创中国·天府科技云服务大会”（科创会）中涌现出的团结协作、执行有力、务实高效的优秀组织单位进行通报表扬，西区</w:t>
      </w:r>
      <w:r>
        <w:rPr>
          <w:rFonts w:eastAsia="方正仿宋_GBK"/>
          <w:bCs/>
          <w:kern w:val="0"/>
          <w:sz w:val="32"/>
          <w:szCs w:val="32"/>
        </w:rPr>
        <w:t>科协被评为优秀组织单位。</w:t>
      </w:r>
    </w:p>
    <w:p>
      <w:pPr>
        <w:widowControl/>
        <w:snapToGrid w:val="0"/>
        <w:spacing w:line="353" w:lineRule="auto"/>
        <w:ind w:left="851"/>
        <w:rPr>
          <w:rFonts w:eastAsia="方正仿宋_GBK"/>
          <w:bCs/>
          <w:spacing w:val="-20"/>
          <w:sz w:val="32"/>
          <w:szCs w:val="32"/>
        </w:rPr>
      </w:pPr>
      <w:r>
        <w:rPr>
          <w:rFonts w:ascii="方正楷体_GBK" w:hAnsi="方正楷体_GBK" w:eastAsia="方正楷体_GBK" w:cs="方正楷体_GBK"/>
          <w:bCs/>
          <w:spacing w:val="-20"/>
          <w:sz w:val="32"/>
          <w:szCs w:val="32"/>
        </w:rPr>
        <w:t>5.强化科协自身建设，推动科协治理现代化</w:t>
      </w:r>
    </w:p>
    <w:p>
      <w:pPr>
        <w:autoSpaceDE w:val="0"/>
        <w:snapToGrid w:val="0"/>
        <w:spacing w:line="353" w:lineRule="auto"/>
        <w:ind w:firstLine="800" w:firstLineChars="250"/>
        <w:rPr>
          <w:rFonts w:eastAsia="方正仿宋_GBK"/>
          <w:bCs/>
          <w:sz w:val="32"/>
          <w:szCs w:val="32"/>
        </w:rPr>
      </w:pPr>
      <w:r>
        <w:rPr>
          <w:rFonts w:eastAsia="方正仿宋_GBK"/>
          <w:bCs/>
          <w:sz w:val="32"/>
          <w:szCs w:val="32"/>
        </w:rPr>
        <w:t>(1)突出政治引领。一是认真学习领会和贯彻落实党的十九大、省委十一届九次全会、市委十届十次全会和区委十届九次全会精神，紧密结合实际，组织开展形式多样、内容丰富、务实有效的学习宣传活动；二是认真学习贯彻中央、省、市、区委关于加强和改进党的群团工作的文件和会议精神，特别是习近平总书记在“科技三会”上的重要讲话精神；三是教育引导科协系统各级组织和党员干部坚定理想信念，团结带领广大科技工作者听党话、跟党走。</w:t>
      </w:r>
    </w:p>
    <w:p>
      <w:pPr>
        <w:autoSpaceDE w:val="0"/>
        <w:snapToGrid w:val="0"/>
        <w:spacing w:line="353" w:lineRule="auto"/>
        <w:ind w:firstLine="800" w:firstLineChars="250"/>
        <w:rPr>
          <w:rFonts w:eastAsia="方正仿宋_GBK"/>
          <w:bCs/>
          <w:sz w:val="32"/>
          <w:szCs w:val="32"/>
        </w:rPr>
      </w:pPr>
      <w:r>
        <w:rPr>
          <w:rFonts w:eastAsia="方正仿宋_GBK"/>
          <w:bCs/>
          <w:sz w:val="32"/>
          <w:szCs w:val="32"/>
        </w:rPr>
        <w:t>(2)加强党的建设。认真贯彻落实中央八项规定和省市“十项规定”精神及实施细则。深入开展党风廉政警示教</w:t>
      </w:r>
      <w:bookmarkStart w:id="71" w:name="_GoBack"/>
      <w:bookmarkEnd w:id="71"/>
      <w:r>
        <w:rPr>
          <w:rFonts w:eastAsia="方正仿宋_GBK"/>
          <w:bCs/>
          <w:sz w:val="32"/>
          <w:szCs w:val="32"/>
        </w:rPr>
        <w:t>育，始终把加强学习，增强党员党性意识放在首位。定期组织全体干部职工开展廉政教育，突出抓好党员干部的职业道德教育和全心全意为人民服务的宗旨教育，增强公仆意识，持续加强纪律作风建设，确保全面从严治党和党风廉政建设各项工作落到实处。</w:t>
      </w:r>
    </w:p>
    <w:p>
      <w:pPr>
        <w:pStyle w:val="2"/>
        <w:adjustRightInd w:val="0"/>
        <w:snapToGrid w:val="0"/>
        <w:spacing w:beforeLines="0" w:line="600" w:lineRule="exact"/>
        <w:ind w:firstLine="672" w:firstLineChars="210"/>
        <w:outlineLvl w:val="2"/>
        <w:rPr>
          <w:rFonts w:ascii="仿宋" w:hAnsi="仿宋" w:eastAsia="仿宋"/>
          <w:bCs/>
          <w:sz w:val="32"/>
          <w:szCs w:val="32"/>
        </w:rPr>
      </w:pPr>
      <w:r>
        <w:rPr>
          <w:rFonts w:ascii="Times New Roman" w:eastAsia="方正仿宋_GBK"/>
          <w:bCs/>
          <w:kern w:val="2"/>
          <w:sz w:val="32"/>
          <w:szCs w:val="32"/>
        </w:rPr>
        <w:t>(3)加强干部队伍建设。扎实开展“学党史办实事”活动，</w:t>
      </w:r>
      <w:r>
        <w:rPr>
          <w:rFonts w:hint="eastAsia" w:ascii="Times New Roman" w:eastAsia="方正仿宋_GBK"/>
          <w:bCs/>
          <w:kern w:val="2"/>
          <w:sz w:val="32"/>
          <w:szCs w:val="32"/>
        </w:rPr>
        <w:t>到农技协开展党史宣传教育，调查了解辖区农技协和企业科技发展中的困难和问题，多渠道反馈，尽力协调解决；</w:t>
      </w:r>
      <w:r>
        <w:rPr>
          <w:rFonts w:ascii="Times New Roman" w:eastAsia="方正仿宋_GBK"/>
          <w:bCs/>
          <w:kern w:val="2"/>
          <w:sz w:val="32"/>
          <w:szCs w:val="32"/>
        </w:rPr>
        <w:t>深入河门口社区开展慰问</w:t>
      </w:r>
      <w:r>
        <w:rPr>
          <w:rFonts w:hint="eastAsia" w:ascii="Times New Roman" w:eastAsia="方正仿宋_GBK"/>
          <w:bCs/>
          <w:kern w:val="2"/>
          <w:sz w:val="32"/>
          <w:szCs w:val="32"/>
        </w:rPr>
        <w:t>帮扶</w:t>
      </w:r>
      <w:r>
        <w:rPr>
          <w:rFonts w:ascii="Times New Roman" w:eastAsia="方正仿宋_GBK"/>
          <w:bCs/>
          <w:kern w:val="2"/>
          <w:sz w:val="32"/>
          <w:szCs w:val="32"/>
        </w:rPr>
        <w:t>活动</w:t>
      </w:r>
      <w:r>
        <w:rPr>
          <w:rFonts w:hint="eastAsia" w:ascii="Times New Roman" w:eastAsia="方正仿宋_GBK"/>
          <w:bCs/>
          <w:kern w:val="2"/>
          <w:sz w:val="32"/>
          <w:szCs w:val="32"/>
        </w:rPr>
        <w:t>；根据科协自身工作特点，</w:t>
      </w:r>
      <w:r>
        <w:rPr>
          <w:rFonts w:ascii="Times New Roman" w:eastAsia="方正仿宋_GBK"/>
          <w:bCs/>
          <w:kern w:val="2"/>
          <w:sz w:val="32"/>
          <w:szCs w:val="32"/>
        </w:rPr>
        <w:t>强化应急科普，借助科普微信群、QQ群、“天府科技云”APP等新媒体，及时宣传我区疫情防控措施和工作开展情况，转发权威科普知识，</w:t>
      </w:r>
      <w:r>
        <w:rPr>
          <w:rFonts w:hint="eastAsia" w:ascii="Times New Roman" w:eastAsia="方正仿宋_GBK"/>
          <w:bCs/>
          <w:kern w:val="2"/>
          <w:sz w:val="32"/>
          <w:szCs w:val="32"/>
        </w:rPr>
        <w:t>并</w:t>
      </w:r>
      <w:r>
        <w:rPr>
          <w:rFonts w:ascii="Times New Roman" w:eastAsia="方正仿宋_GBK"/>
          <w:bCs/>
          <w:kern w:val="2"/>
          <w:sz w:val="32"/>
          <w:szCs w:val="32"/>
        </w:rPr>
        <w:t>派出干部职工参与疫苗接种志愿服务等工作</w:t>
      </w:r>
      <w:r>
        <w:rPr>
          <w:rFonts w:hint="eastAsia" w:ascii="Times New Roman" w:eastAsia="方正仿宋_GBK"/>
          <w:bCs/>
          <w:kern w:val="2"/>
          <w:sz w:val="32"/>
          <w:szCs w:val="32"/>
        </w:rPr>
        <w:t>，积极助力疫情防控。结合党史学习教育办实事的要求，不断</w:t>
      </w:r>
      <w:r>
        <w:rPr>
          <w:rFonts w:ascii="Times New Roman" w:eastAsia="方正仿宋_GBK"/>
          <w:bCs/>
          <w:kern w:val="2"/>
          <w:sz w:val="32"/>
          <w:szCs w:val="32"/>
        </w:rPr>
        <w:t>改进工作作风，提升服务效能，着力打造一支政治坚定、作风过硬、业务精良、勇于担当的高素质干部队伍，为科协事业创新发展提供可靠保障。</w:t>
      </w:r>
    </w:p>
    <w:p>
      <w:pPr>
        <w:pStyle w:val="4"/>
        <w:rPr>
          <w:rStyle w:val="26"/>
          <w:b w:val="0"/>
          <w:bCs w:val="0"/>
        </w:rPr>
      </w:pPr>
      <w:bookmarkStart w:id="18" w:name="_Toc15377200"/>
      <w:bookmarkStart w:id="19" w:name="_Toc15396601"/>
      <w:r>
        <w:rPr>
          <w:rFonts w:hint="eastAsia" w:ascii="黑体" w:eastAsia="黑体"/>
          <w:b w:val="0"/>
        </w:rPr>
        <w:t>三、</w:t>
      </w:r>
      <w:r>
        <w:rPr>
          <w:rFonts w:hint="eastAsia" w:ascii="黑体" w:hAnsi="黑体" w:eastAsia="黑体"/>
          <w:b w:val="0"/>
        </w:rPr>
        <w:t>机</w:t>
      </w:r>
      <w:r>
        <w:rPr>
          <w:rStyle w:val="26"/>
          <w:rFonts w:hint="eastAsia" w:ascii="黑体" w:hAnsi="黑体" w:eastAsia="黑体"/>
          <w:b w:val="0"/>
          <w:bCs w:val="0"/>
        </w:rPr>
        <w:t>构设置</w:t>
      </w:r>
      <w:bookmarkEnd w:id="18"/>
      <w:bookmarkEnd w:id="19"/>
      <w:r>
        <w:rPr>
          <w:rStyle w:val="26"/>
          <w:rFonts w:hint="eastAsia" w:ascii="黑体" w:hAnsi="黑体" w:eastAsia="黑体"/>
          <w:b w:val="0"/>
          <w:bCs w:val="0"/>
        </w:rPr>
        <w:t>情况</w:t>
      </w:r>
    </w:p>
    <w:p>
      <w:pPr>
        <w:spacing w:line="353" w:lineRule="auto"/>
        <w:ind w:firstLine="640" w:firstLineChars="200"/>
        <w:rPr>
          <w:rFonts w:ascii="仿宋" w:hAnsi="仿宋" w:eastAsia="仿宋"/>
          <w:sz w:val="32"/>
          <w:szCs w:val="32"/>
        </w:rPr>
      </w:pPr>
      <w:r>
        <w:rPr>
          <w:rFonts w:hint="eastAsia" w:ascii="仿宋" w:hAnsi="仿宋" w:eastAsia="仿宋"/>
          <w:sz w:val="32"/>
          <w:szCs w:val="32"/>
        </w:rPr>
        <w:t>攀枝花市西区科学技术协会下属预算二级单位</w:t>
      </w:r>
      <w:r>
        <w:rPr>
          <w:rFonts w:ascii="仿宋" w:hAnsi="仿宋" w:eastAsia="仿宋"/>
          <w:sz w:val="32"/>
          <w:szCs w:val="32"/>
        </w:rPr>
        <w:t>0</w:t>
      </w:r>
      <w:r>
        <w:rPr>
          <w:rFonts w:hint="eastAsia" w:ascii="仿宋" w:hAnsi="仿宋" w:eastAsia="仿宋"/>
          <w:sz w:val="32"/>
          <w:szCs w:val="32"/>
        </w:rPr>
        <w:t>个，</w:t>
      </w:r>
      <w:r>
        <w:rPr>
          <w:rFonts w:ascii="仿宋" w:hAnsi="仿宋" w:eastAsia="仿宋"/>
          <w:sz w:val="32"/>
          <w:szCs w:val="32"/>
        </w:rPr>
        <w:t>内设股室</w:t>
      </w:r>
      <w:r>
        <w:rPr>
          <w:rFonts w:hint="eastAsia" w:ascii="仿宋" w:hAnsi="仿宋" w:eastAsia="仿宋"/>
          <w:sz w:val="32"/>
          <w:szCs w:val="32"/>
        </w:rPr>
        <w:t>1</w:t>
      </w:r>
      <w:r>
        <w:rPr>
          <w:rFonts w:ascii="仿宋" w:hAnsi="仿宋" w:eastAsia="仿宋"/>
          <w:sz w:val="32"/>
          <w:szCs w:val="32"/>
        </w:rPr>
        <w:t>个。</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20" w:name="_Toc15377204"/>
      <w:bookmarkStart w:id="21" w:name="_Toc15396602"/>
      <w:r>
        <w:rPr>
          <w:rFonts w:hint="eastAsia" w:ascii="黑体" w:hAnsi="黑体" w:eastAsia="黑体"/>
          <w:b w:val="0"/>
        </w:rPr>
        <w:t>第二部分 2021年度</w:t>
      </w:r>
      <w:r>
        <w:rPr>
          <w:rStyle w:val="25"/>
          <w:rFonts w:hint="eastAsia" w:ascii="黑体" w:hAnsi="黑体" w:eastAsia="黑体"/>
          <w:b w:val="0"/>
          <w:bCs/>
        </w:rPr>
        <w:t>部门决算情况说明</w:t>
      </w:r>
      <w:bookmarkEnd w:id="20"/>
      <w:bookmarkEnd w:id="21"/>
    </w:p>
    <w:p/>
    <w:p>
      <w:pPr>
        <w:pStyle w:val="24"/>
        <w:numPr>
          <w:ilvl w:val="0"/>
          <w:numId w:val="2"/>
        </w:numPr>
        <w:spacing w:line="600" w:lineRule="exact"/>
        <w:ind w:firstLineChars="0"/>
        <w:outlineLvl w:val="1"/>
        <w:rPr>
          <w:rStyle w:val="26"/>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2"/>
      <w:bookmarkEnd w:id="23"/>
    </w:p>
    <w:p>
      <w:pPr>
        <w:ind w:firstLine="640" w:firstLineChars="200"/>
        <w:rPr>
          <w:rFonts w:ascii="仿宋_GB2312" w:eastAsia="仿宋_GB2312"/>
          <w:sz w:val="32"/>
          <w:szCs w:val="32"/>
        </w:rPr>
      </w:pPr>
      <w:bookmarkStart w:id="24" w:name="_Toc15396604"/>
      <w:bookmarkStart w:id="25" w:name="_Toc15377206"/>
      <w:r>
        <w:rPr>
          <w:rFonts w:hint="eastAsia" w:ascii="仿宋" w:hAnsi="仿宋" w:eastAsia="仿宋"/>
          <w:sz w:val="32"/>
          <w:szCs w:val="32"/>
        </w:rPr>
        <w:t>2021年度收、支总计74.44万元。与2020年相比，收、支总计各减少30.11万元，主要变动原因是年初结转结余减少</w:t>
      </w:r>
      <w:r>
        <w:rPr>
          <w:rFonts w:hint="eastAsia"/>
          <w:sz w:val="24"/>
        </w:rPr>
        <w:t>。</w:t>
      </w:r>
    </w:p>
    <w:p>
      <w:pPr>
        <w:pStyle w:val="24"/>
        <w:numPr>
          <w:ilvl w:val="0"/>
          <w:numId w:val="2"/>
        </w:numPr>
        <w:spacing w:line="600" w:lineRule="exact"/>
        <w:ind w:firstLineChars="0"/>
        <w:outlineLvl w:val="1"/>
        <w:rPr>
          <w:rStyle w:val="26"/>
          <w:rFonts w:ascii="黑体" w:hAnsi="黑体" w:eastAsia="黑体"/>
          <w:b w:val="0"/>
        </w:rPr>
      </w:pPr>
      <w:r>
        <w:rPr>
          <w:rFonts w:hint="eastAsia" w:ascii="黑体" w:hAnsi="黑体" w:eastAsia="黑体"/>
          <w:sz w:val="32"/>
          <w:szCs w:val="32"/>
        </w:rPr>
        <w:t>收</w:t>
      </w:r>
      <w:r>
        <w:rPr>
          <w:rStyle w:val="26"/>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2021年本年收入合计74.44万元，其中，一般公共预算财政拨款收入58.27万元，占78%；政府性基金预算财政拨款收入0.5万元，占0.6%；年初结转结余15.67万元，占21%。</w:t>
      </w:r>
    </w:p>
    <w:p>
      <w:pPr>
        <w:pStyle w:val="24"/>
        <w:numPr>
          <w:ilvl w:val="0"/>
          <w:numId w:val="2"/>
        </w:numPr>
        <w:spacing w:line="600" w:lineRule="exact"/>
        <w:ind w:firstLineChars="0"/>
        <w:outlineLvl w:val="1"/>
        <w:rPr>
          <w:rStyle w:val="26"/>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26"/>
          <w:rFonts w:hint="eastAsia" w:ascii="黑体" w:hAnsi="黑体" w:eastAsia="黑体"/>
          <w:b w:val="0"/>
        </w:rPr>
        <w:t>出决算情况说明</w:t>
      </w:r>
      <w:bookmarkEnd w:id="26"/>
      <w:bookmarkEnd w:id="27"/>
    </w:p>
    <w:p>
      <w:pPr>
        <w:spacing w:line="600" w:lineRule="exact"/>
        <w:ind w:firstLine="640" w:firstLineChars="200"/>
        <w:rPr>
          <w:rFonts w:ascii="仿宋_GB2312" w:eastAsia="仿宋_GB2312"/>
          <w:sz w:val="32"/>
          <w:szCs w:val="32"/>
        </w:rPr>
      </w:pPr>
      <w:r>
        <w:rPr>
          <w:rFonts w:hint="eastAsia" w:ascii="仿宋" w:hAnsi="仿宋" w:eastAsia="仿宋"/>
          <w:sz w:val="32"/>
          <w:szCs w:val="32"/>
        </w:rPr>
        <w:t>2021年本年支出合计74.44万元，其中，基本支出57.27万元，占77%；项目支出17.17万元，占23%。</w:t>
      </w:r>
    </w:p>
    <w:p>
      <w:pPr>
        <w:spacing w:line="600" w:lineRule="exact"/>
        <w:ind w:firstLine="640" w:firstLineChars="200"/>
        <w:outlineLvl w:val="1"/>
        <w:rPr>
          <w:rStyle w:val="26"/>
          <w:rFonts w:ascii="黑体" w:hAnsi="黑体" w:eastAsia="黑体"/>
          <w:b w:val="0"/>
        </w:rPr>
      </w:pPr>
      <w:bookmarkStart w:id="28" w:name="_Toc15377208"/>
      <w:bookmarkStart w:id="29"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2021年财政拨款收、支总计74.44万元。与2020年相比，财政拨款收、支总计各减少</w:t>
      </w:r>
      <w:r>
        <w:rPr>
          <w:rFonts w:ascii="仿宋" w:hAnsi="仿宋" w:eastAsia="仿宋"/>
          <w:sz w:val="32"/>
          <w:szCs w:val="32"/>
        </w:rPr>
        <w:t>29.81</w:t>
      </w:r>
      <w:r>
        <w:rPr>
          <w:rFonts w:hint="eastAsia" w:ascii="仿宋" w:hAnsi="仿宋" w:eastAsia="仿宋"/>
          <w:sz w:val="32"/>
          <w:szCs w:val="32"/>
        </w:rPr>
        <w:t>万元，主要原因是年初结转结余减少。</w:t>
      </w:r>
    </w:p>
    <w:p>
      <w:pPr>
        <w:spacing w:line="600" w:lineRule="exact"/>
        <w:ind w:firstLine="640" w:firstLineChars="200"/>
        <w:outlineLvl w:val="1"/>
        <w:rPr>
          <w:rStyle w:val="26"/>
          <w:rFonts w:ascii="黑体" w:hAnsi="黑体" w:eastAsia="黑体"/>
          <w:b w:val="0"/>
        </w:rPr>
      </w:pPr>
      <w:bookmarkStart w:id="30" w:name="_Toc15377209"/>
      <w:bookmarkStart w:id="31"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2021年一般公共预算财政拨款支出73.94万元，占本年支出的99%，其中，基本支出57.27万元，占77%，项目支出16.67万元，占23%。</w:t>
      </w:r>
    </w:p>
    <w:p>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sz w:val="32"/>
          <w:szCs w:val="32"/>
        </w:rPr>
      </w:pPr>
      <w:r>
        <w:rPr>
          <w:rFonts w:hint="eastAsia" w:ascii="仿宋" w:hAnsi="仿宋" w:eastAsia="仿宋"/>
          <w:sz w:val="32"/>
          <w:szCs w:val="32"/>
        </w:rPr>
        <w:t>2021年一般公共预算财政拨款支出73.94万元，其中，基本支出57.27万元，占77%，主要用于以下几方面：科学技术支出45.3万元，占79%；社会保障和就业支出3.68万元，占6%；卫生健康支出3.43万元，占6%；住房保障支出4.86万元，占8%。项目支出16.67万元，占23%。</w:t>
      </w:r>
    </w:p>
    <w:p>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3" w:firstLineChars="200"/>
        <w:outlineLvl w:val="2"/>
        <w:rPr>
          <w:rFonts w:ascii="仿宋" w:hAnsi="仿宋" w:eastAsia="仿宋"/>
          <w:sz w:val="32"/>
          <w:szCs w:val="32"/>
        </w:rPr>
      </w:pPr>
      <w:bookmarkStart w:id="35" w:name="_Toc15377213"/>
      <w:bookmarkStart w:id="36" w:name="_Toc15378460"/>
      <w:bookmarkStart w:id="37" w:name="_Toc15377444"/>
      <w:r>
        <w:rPr>
          <w:rFonts w:hint="eastAsia" w:ascii="仿宋" w:hAnsi="仿宋" w:eastAsia="仿宋"/>
          <w:b/>
          <w:sz w:val="32"/>
          <w:szCs w:val="32"/>
        </w:rPr>
        <w:t>2021年一般公共预算支出决算数为73.44万元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5"/>
      <w:bookmarkEnd w:id="36"/>
      <w:bookmarkEnd w:id="37"/>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科学技术支出206</w:t>
      </w:r>
      <w:r>
        <w:rPr>
          <w:rStyle w:val="15"/>
          <w:rFonts w:ascii="仿宋" w:hAnsi="仿宋" w:eastAsia="仿宋"/>
          <w:bCs/>
          <w:sz w:val="32"/>
          <w:szCs w:val="32"/>
        </w:rPr>
        <w:t>:</w:t>
      </w:r>
      <w:r>
        <w:rPr>
          <w:rStyle w:val="15"/>
          <w:rFonts w:hint="eastAsia" w:ascii="仿宋" w:hAnsi="仿宋" w:eastAsia="仿宋"/>
          <w:bCs/>
          <w:sz w:val="32"/>
          <w:szCs w:val="32"/>
        </w:rPr>
        <w:t>支出决算为61.96万元，完成预算100</w:t>
      </w:r>
      <w:r>
        <w:rPr>
          <w:rStyle w:val="15"/>
          <w:rFonts w:ascii="仿宋" w:hAnsi="仿宋" w:eastAsia="仿宋"/>
          <w:bCs/>
          <w:sz w:val="32"/>
          <w:szCs w:val="32"/>
        </w:rPr>
        <w:t>%</w:t>
      </w:r>
      <w:r>
        <w:rPr>
          <w:rStyle w:val="15"/>
          <w:rFonts w:hint="eastAsia" w:ascii="仿宋" w:hAnsi="仿宋" w:eastAsia="仿宋"/>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Style w:val="15"/>
          <w:rFonts w:hint="eastAsia" w:ascii="仿宋" w:hAnsi="仿宋" w:eastAsia="仿宋"/>
          <w:bCs/>
          <w:sz w:val="32"/>
          <w:szCs w:val="32"/>
        </w:rPr>
        <w:t>社会保障房和就业支出208</w:t>
      </w:r>
      <w:r>
        <w:rPr>
          <w:rStyle w:val="15"/>
          <w:rFonts w:ascii="仿宋" w:hAnsi="仿宋" w:eastAsia="仿宋"/>
          <w:bCs/>
          <w:sz w:val="32"/>
          <w:szCs w:val="32"/>
        </w:rPr>
        <w:t>:</w:t>
      </w:r>
      <w:r>
        <w:rPr>
          <w:rStyle w:val="15"/>
          <w:rFonts w:hint="eastAsia" w:ascii="仿宋" w:hAnsi="仿宋" w:eastAsia="仿宋"/>
          <w:bCs/>
          <w:sz w:val="32"/>
          <w:szCs w:val="32"/>
        </w:rPr>
        <w:t>支出决算为3.68万元，完成预算100</w:t>
      </w:r>
      <w:r>
        <w:rPr>
          <w:rStyle w:val="15"/>
          <w:rFonts w:ascii="仿宋" w:hAnsi="仿宋" w:eastAsia="仿宋"/>
          <w:bCs/>
          <w:sz w:val="32"/>
          <w:szCs w:val="32"/>
        </w:rPr>
        <w:t>%</w:t>
      </w:r>
      <w:r>
        <w:rPr>
          <w:rStyle w:val="15"/>
          <w:rFonts w:hint="eastAsia" w:ascii="仿宋" w:hAnsi="仿宋" w:eastAsia="仿宋"/>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卫生健康支出210</w:t>
      </w:r>
      <w:r>
        <w:rPr>
          <w:rStyle w:val="15"/>
          <w:rFonts w:ascii="仿宋" w:hAnsi="仿宋" w:eastAsia="仿宋"/>
          <w:bCs/>
          <w:sz w:val="32"/>
          <w:szCs w:val="32"/>
        </w:rPr>
        <w:t>:</w:t>
      </w:r>
      <w:r>
        <w:rPr>
          <w:rStyle w:val="15"/>
          <w:rFonts w:hint="eastAsia" w:ascii="仿宋" w:hAnsi="仿宋" w:eastAsia="仿宋"/>
          <w:bCs/>
          <w:sz w:val="32"/>
          <w:szCs w:val="32"/>
        </w:rPr>
        <w:t>支出决算为3.43万元，完成预算100</w:t>
      </w:r>
      <w:r>
        <w:rPr>
          <w:rStyle w:val="15"/>
          <w:rFonts w:ascii="仿宋" w:hAnsi="仿宋" w:eastAsia="仿宋"/>
          <w:bCs/>
          <w:sz w:val="32"/>
          <w:szCs w:val="32"/>
        </w:rPr>
        <w:t>%</w:t>
      </w:r>
      <w:r>
        <w:rPr>
          <w:rStyle w:val="15"/>
          <w:rFonts w:hint="eastAsia" w:ascii="仿宋" w:hAnsi="仿宋" w:eastAsia="仿宋"/>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sz w:val="32"/>
          <w:szCs w:val="32"/>
        </w:rPr>
        <w:t>住房保障支出</w:t>
      </w:r>
      <w:r>
        <w:rPr>
          <w:rStyle w:val="15"/>
          <w:rFonts w:ascii="仿宋" w:hAnsi="仿宋" w:eastAsia="仿宋"/>
          <w:bCs/>
          <w:sz w:val="32"/>
          <w:szCs w:val="32"/>
        </w:rPr>
        <w:t>:</w:t>
      </w:r>
      <w:r>
        <w:rPr>
          <w:rStyle w:val="15"/>
          <w:rFonts w:hint="eastAsia" w:ascii="仿宋" w:hAnsi="仿宋" w:eastAsia="仿宋"/>
          <w:bCs/>
          <w:sz w:val="32"/>
          <w:szCs w:val="32"/>
        </w:rPr>
        <w:t>支出决算为4.86万元，完成预算100</w:t>
      </w:r>
      <w:r>
        <w:rPr>
          <w:rStyle w:val="15"/>
          <w:rFonts w:ascii="仿宋" w:hAnsi="仿宋" w:eastAsia="仿宋"/>
          <w:bCs/>
          <w:sz w:val="32"/>
          <w:szCs w:val="32"/>
        </w:rPr>
        <w:t>%</w:t>
      </w:r>
      <w:r>
        <w:rPr>
          <w:rStyle w:val="15"/>
          <w:rFonts w:hint="eastAsia" w:ascii="仿宋" w:hAnsi="仿宋" w:eastAsia="仿宋"/>
          <w:bCs/>
          <w:sz w:val="32"/>
          <w:szCs w:val="32"/>
        </w:rPr>
        <w:t>。</w:t>
      </w:r>
    </w:p>
    <w:p>
      <w:pPr>
        <w:tabs>
          <w:tab w:val="right" w:pos="8306"/>
        </w:tabs>
        <w:spacing w:line="600" w:lineRule="exact"/>
        <w:ind w:firstLine="640"/>
        <w:outlineLvl w:val="1"/>
        <w:rPr>
          <w:rStyle w:val="26"/>
        </w:rPr>
      </w:pPr>
      <w:bookmarkStart w:id="38" w:name="_Toc15377214"/>
      <w:bookmarkStart w:id="3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8"/>
      <w:bookmarkEnd w:id="39"/>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21年一般公共预算财政拨款基本支出57.27万元，其中：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52.12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xml:space="preserve">    公用经费5.15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0" w:name="_Toc15377215"/>
      <w:bookmarkStart w:id="41"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bookmarkStart w:id="43" w:name="_Toc15377218"/>
      <w:bookmarkStart w:id="44" w:name="_Toc15396610"/>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21年“三公”经费财政拨款支出决算为0万元。与上年持平。</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21年“三公”经费财政拨款支出决算中，因公出国（境）费支出决算0万元；公务用车购置及运行维护费支出决算0万元；公务接待费支出决算0万元。具体情况如下：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5"/>
          <w:rFonts w:hint="eastAsia" w:ascii="仿宋" w:hAnsi="仿宋" w:eastAsia="仿宋"/>
          <w:bCs/>
          <w:sz w:val="32"/>
          <w:szCs w:val="32"/>
        </w:rPr>
        <w:t>。</w:t>
      </w:r>
      <w:r>
        <w:rPr>
          <w:rFonts w:hint="eastAsia" w:ascii="仿宋_GB2312" w:eastAsia="仿宋_GB2312"/>
          <w:sz w:val="32"/>
          <w:szCs w:val="32"/>
        </w:rPr>
        <w:t>全年安排因公出国（境）团组0次，出国（境）0人。</w:t>
      </w:r>
      <w:r>
        <w:rPr>
          <w:rFonts w:hint="eastAsia" w:ascii="仿宋" w:hAnsi="仿宋" w:eastAsia="仿宋"/>
          <w:sz w:val="32"/>
          <w:szCs w:val="32"/>
        </w:rPr>
        <w:t>与上年持平。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Cs/>
          <w:sz w:val="32"/>
          <w:szCs w:val="32"/>
        </w:rPr>
        <w:t>。</w:t>
      </w:r>
      <w:r>
        <w:rPr>
          <w:rFonts w:hint="eastAsia" w:ascii="仿宋" w:hAnsi="仿宋" w:eastAsia="仿宋"/>
          <w:sz w:val="32"/>
          <w:szCs w:val="32"/>
        </w:rPr>
        <w:t>与上年持平。</w:t>
      </w:r>
    </w:p>
    <w:p>
      <w:pPr>
        <w:spacing w:line="600" w:lineRule="exact"/>
        <w:ind w:firstLine="640"/>
        <w:outlineLvl w:val="1"/>
        <w:rPr>
          <w:rFonts w:ascii="仿宋" w:hAnsi="仿宋" w:eastAsia="仿宋"/>
          <w:sz w:val="32"/>
          <w:szCs w:val="32"/>
        </w:rPr>
      </w:pPr>
      <w:r>
        <w:rPr>
          <w:rFonts w:ascii="仿宋_GB2312" w:eastAsia="仿宋_GB2312"/>
          <w:b/>
          <w:sz w:val="32"/>
          <w:szCs w:val="32"/>
        </w:rPr>
        <w:t>3.</w:t>
      </w:r>
      <w:r>
        <w:rPr>
          <w:rFonts w:hint="eastAsia" w:ascii="仿宋_GB2312" w:eastAsia="仿宋_GB2312"/>
          <w:b/>
          <w:sz w:val="32"/>
          <w:szCs w:val="32"/>
        </w:rPr>
        <w:t>公务接待费支出0</w:t>
      </w:r>
      <w:r>
        <w:rPr>
          <w:rFonts w:hint="eastAsia" w:ascii="仿宋_GB2312" w:eastAsia="仿宋_GB2312"/>
          <w:sz w:val="32"/>
          <w:szCs w:val="32"/>
        </w:rPr>
        <w:t>万元。</w:t>
      </w:r>
      <w:r>
        <w:rPr>
          <w:rFonts w:hint="eastAsia" w:ascii="仿宋" w:hAnsi="仿宋" w:eastAsia="仿宋"/>
          <w:sz w:val="32"/>
          <w:szCs w:val="32"/>
        </w:rPr>
        <w:t>与上年持平。</w:t>
      </w:r>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3"/>
      <w:bookmarkEnd w:id="44"/>
    </w:p>
    <w:p>
      <w:pPr>
        <w:spacing w:line="600" w:lineRule="exact"/>
        <w:ind w:firstLine="640"/>
        <w:rPr>
          <w:rFonts w:ascii="仿宋_GB2312" w:eastAsia="仿宋_GB2312"/>
          <w:sz w:val="32"/>
          <w:szCs w:val="32"/>
        </w:rPr>
      </w:pPr>
      <w:r>
        <w:rPr>
          <w:rFonts w:hint="eastAsia" w:ascii="仿宋" w:hAnsi="仿宋" w:eastAsia="仿宋"/>
          <w:sz w:val="32"/>
          <w:szCs w:val="32"/>
        </w:rPr>
        <w:t>2021年政府性基金预算支出0.5万元，全部为项目支出，用于开展全民科学素质行动计划工作</w:t>
      </w:r>
      <w:r>
        <w:rPr>
          <w:rFonts w:hint="eastAsia" w:ascii="仿宋_GB2312" w:eastAsia="仿宋_GB2312"/>
          <w:sz w:val="32"/>
          <w:szCs w:val="32"/>
        </w:rPr>
        <w:t>。</w:t>
      </w:r>
    </w:p>
    <w:p>
      <w:pPr>
        <w:numPr>
          <w:ilvl w:val="0"/>
          <w:numId w:val="3"/>
        </w:numPr>
        <w:spacing w:line="600" w:lineRule="exact"/>
        <w:ind w:firstLine="640"/>
        <w:outlineLvl w:val="1"/>
        <w:rPr>
          <w:rStyle w:val="26"/>
          <w:rFonts w:ascii="黑体" w:hAnsi="黑体" w:eastAsia="黑体"/>
          <w:b w:val="0"/>
        </w:rPr>
      </w:pPr>
      <w:bookmarkStart w:id="46" w:name="_Toc15396611"/>
      <w:bookmarkStart w:id="47" w:name="_Toc15377219"/>
      <w:r>
        <w:rPr>
          <w:rStyle w:val="26"/>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6"/>
          <w:rFonts w:ascii="黑体" w:hAnsi="黑体" w:eastAsia="黑体"/>
          <w:b w:val="0"/>
        </w:rPr>
      </w:pPr>
      <w:bookmarkStart w:id="48" w:name="_Toc15377221"/>
      <w:bookmarkStart w:id="49" w:name="_Toc15396612"/>
      <w:r>
        <w:rPr>
          <w:rStyle w:val="26"/>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2021年，本单位机关运行经费支出5.15万元，比2020年减少了0.59万元，下降10%，原因是办公费、差旅费支出减少。</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2021年，本单位政府采购支出总额0万元</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日，攀枝花市西区科学技术协会共有车辆</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科普经费项目、全民科学素质行动计划项目、天府科技云运维项目3个项目开展了预算事前绩效评估，对3个项目编制了绩效目标，预算执行过程中，选取3个项目开展绩效监控，年终执行完毕后，对3个项目开展了绩效自评，2021年特定目标类部门预算项目绩效目标自评表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53" w:name="_Toc15377225"/>
      <w:bookmarkStart w:id="54" w:name="_Toc15396613"/>
      <w:r>
        <w:rPr>
          <w:rFonts w:hint="eastAsia" w:ascii="黑体" w:hAnsi="黑体" w:eastAsia="黑体"/>
          <w:sz w:val="44"/>
          <w:szCs w:val="44"/>
        </w:rPr>
        <w:t>名</w:t>
      </w:r>
      <w:r>
        <w:rPr>
          <w:rStyle w:val="25"/>
          <w:rFonts w:hint="eastAsia" w:ascii="黑体" w:hAnsi="黑体" w:eastAsia="黑体"/>
          <w:b w:val="0"/>
        </w:rPr>
        <w:t>词解释</w:t>
      </w:r>
      <w:bookmarkEnd w:id="53"/>
      <w:bookmarkEnd w:id="54"/>
    </w:p>
    <w:p>
      <w:pPr>
        <w:spacing w:line="600" w:lineRule="exact"/>
        <w:jc w:val="left"/>
        <w:rPr>
          <w:rFonts w:ascii="宋体"/>
          <w:b/>
          <w:sz w:val="44"/>
          <w:szCs w:val="44"/>
        </w:rPr>
      </w:pPr>
    </w:p>
    <w:p>
      <w:pPr>
        <w:autoSpaceDE w:val="0"/>
        <w:autoSpaceDN w:val="0"/>
        <w:adjustRightInd w:val="0"/>
        <w:spacing w:line="600" w:lineRule="exact"/>
        <w:ind w:firstLine="640" w:firstLineChars="200"/>
        <w:rPr>
          <w:rFonts w:ascii="仿宋_GB2312" w:eastAsia="仿宋_GB2312"/>
          <w:sz w:val="32"/>
          <w:szCs w:val="32"/>
        </w:rPr>
      </w:pPr>
      <w:bookmarkStart w:id="55" w:name="_Toc15396614"/>
      <w:bookmarkStart w:id="56"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一般公共预算：包括公共财政拨款（补助）资金、专项收入。</w:t>
      </w:r>
    </w:p>
    <w:p>
      <w:pPr>
        <w:autoSpaceDE w:val="0"/>
        <w:autoSpaceDN w:val="0"/>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autoSpaceDE w:val="0"/>
        <w:autoSpaceDN w:val="0"/>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基本支出：包括人员经费、商品和服务支出（定额）。其中，人员经费包括工资福利支出、对个人和家庭的补助。</w:t>
      </w:r>
    </w:p>
    <w:p>
      <w:pPr>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项目支出：项目支出：指在基本支出之外为完成特定行政任务和事业发展目标所发生的支出。</w:t>
      </w:r>
    </w:p>
    <w:p>
      <w:pPr>
        <w:pStyle w:val="23"/>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三公</w:t>
      </w:r>
      <w:r>
        <w:rPr>
          <w:rFonts w:ascii="仿宋_GB2312" w:eastAsia="仿宋_GB2312"/>
          <w:color w:val="auto"/>
          <w:sz w:val="32"/>
          <w:szCs w:val="32"/>
        </w:rPr>
        <w:t>”</w:t>
      </w:r>
      <w:r>
        <w:rPr>
          <w:rFonts w:hint="eastAsia" w:ascii="仿宋_GB2312" w:eastAsia="仿宋_GB2312"/>
          <w:color w:val="auto"/>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outlineLvl w:val="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Fonts w:ascii="仿宋_GB2312" w:eastAsia="仿宋_GB2312"/>
          <w:sz w:val="32"/>
          <w:szCs w:val="32"/>
        </w:rPr>
      </w:pPr>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四部分 附件</w:t>
      </w:r>
      <w:bookmarkEnd w:id="55"/>
    </w:p>
    <w:p>
      <w:pPr>
        <w:spacing w:line="572" w:lineRule="exact"/>
        <w:jc w:val="left"/>
        <w:outlineLvl w:val="0"/>
        <w:rPr>
          <w:rFonts w:ascii="黑体" w:hAnsi="黑体" w:eastAsia="黑体" w:cs="黑体"/>
          <w:sz w:val="32"/>
          <w:szCs w:val="32"/>
        </w:rPr>
      </w:pPr>
      <w:r>
        <w:rPr>
          <w:rFonts w:hint="eastAsia" w:ascii="黑体" w:hAnsi="黑体" w:eastAsia="黑体" w:cs="黑体"/>
          <w:sz w:val="32"/>
          <w:szCs w:val="32"/>
        </w:rPr>
        <w:t>附件1</w:t>
      </w:r>
    </w:p>
    <w:p>
      <w:pPr>
        <w:ind w:firstLine="420"/>
      </w:pPr>
    </w:p>
    <w:p>
      <w:pPr>
        <w:spacing w:line="353" w:lineRule="auto"/>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2021年攀枝花市西区科学技术协会部门</w:t>
      </w:r>
    </w:p>
    <w:p>
      <w:pPr>
        <w:spacing w:line="353" w:lineRule="auto"/>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spacing w:line="353" w:lineRule="auto"/>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353" w:lineRule="auto"/>
        <w:ind w:firstLine="480" w:firstLineChars="200"/>
        <w:contextualSpacing/>
        <w:jc w:val="left"/>
        <w:rPr>
          <w:rFonts w:ascii="黑体" w:hAnsi="宋体" w:eastAsia="黑体"/>
          <w:kern w:val="0"/>
          <w:sz w:val="24"/>
          <w:szCs w:val="32"/>
          <w:shd w:val="clear" w:color="auto" w:fill="FFFFFF"/>
        </w:rPr>
      </w:pPr>
    </w:p>
    <w:p>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lang w:val="zh-CN"/>
        </w:rPr>
      </w:pPr>
      <w:r>
        <w:rPr>
          <w:rFonts w:hint="eastAsia" w:ascii="黑体" w:hAnsi="宋体" w:eastAsia="黑体"/>
          <w:kern w:val="0"/>
          <w:sz w:val="32"/>
          <w:szCs w:val="32"/>
          <w:shd w:val="clear" w:color="auto" w:fill="FFFFFF"/>
        </w:rPr>
        <w:t>一、</w:t>
      </w:r>
      <w:r>
        <w:rPr>
          <w:rFonts w:hint="eastAsia" w:ascii="黑体" w:hAnsi="宋体" w:eastAsia="黑体"/>
          <w:kern w:val="0"/>
          <w:sz w:val="32"/>
          <w:szCs w:val="32"/>
          <w:shd w:val="clear" w:color="auto" w:fill="FFFFFF"/>
          <w:lang w:val="zh-CN"/>
        </w:rPr>
        <w:t>部门（单位）概况</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（一）机构组成。</w:t>
      </w:r>
    </w:p>
    <w:p>
      <w:pPr>
        <w:spacing w:before="93" w:beforeLines="30" w:line="353" w:lineRule="auto"/>
        <w:ind w:firstLine="960" w:firstLineChars="300"/>
        <w:rPr>
          <w:rFonts w:ascii="仿宋_GB2312" w:eastAsia="仿宋_GB2312"/>
          <w:kern w:val="0"/>
          <w:sz w:val="30"/>
          <w:lang w:val="zh-CN"/>
        </w:rPr>
      </w:pPr>
      <w:r>
        <w:rPr>
          <w:rFonts w:eastAsia="仿宋_GB2312"/>
          <w:color w:val="000000"/>
          <w:kern w:val="0"/>
          <w:sz w:val="32"/>
          <w:szCs w:val="32"/>
        </w:rPr>
        <w:t>内设股室</w:t>
      </w:r>
      <w:r>
        <w:rPr>
          <w:rFonts w:hint="eastAsia" w:eastAsia="仿宋_GB2312"/>
          <w:color w:val="000000"/>
          <w:kern w:val="0"/>
          <w:sz w:val="32"/>
          <w:szCs w:val="32"/>
        </w:rPr>
        <w:t>1</w:t>
      </w:r>
      <w:r>
        <w:rPr>
          <w:rFonts w:eastAsia="仿宋_GB2312"/>
          <w:color w:val="000000"/>
          <w:kern w:val="0"/>
          <w:sz w:val="32"/>
          <w:szCs w:val="32"/>
        </w:rPr>
        <w:t>个，下属二级单位</w:t>
      </w:r>
      <w:r>
        <w:rPr>
          <w:rFonts w:hint="eastAsia" w:eastAsia="仿宋_GB2312"/>
          <w:color w:val="000000"/>
          <w:kern w:val="0"/>
          <w:sz w:val="32"/>
          <w:szCs w:val="32"/>
        </w:rPr>
        <w:t>0</w:t>
      </w:r>
      <w:r>
        <w:rPr>
          <w:rFonts w:eastAsia="仿宋_GB2312"/>
          <w:color w:val="000000"/>
          <w:kern w:val="0"/>
          <w:sz w:val="32"/>
          <w:szCs w:val="32"/>
        </w:rPr>
        <w:t>个，其中行政单位</w:t>
      </w:r>
      <w:r>
        <w:rPr>
          <w:rFonts w:hint="eastAsia" w:eastAsia="仿宋_GB2312"/>
          <w:color w:val="000000"/>
          <w:kern w:val="0"/>
          <w:sz w:val="32"/>
          <w:szCs w:val="32"/>
        </w:rPr>
        <w:t>0</w:t>
      </w:r>
      <w:r>
        <w:rPr>
          <w:rFonts w:eastAsia="仿宋_GB2312"/>
          <w:color w:val="000000"/>
          <w:kern w:val="0"/>
          <w:sz w:val="32"/>
          <w:szCs w:val="32"/>
        </w:rPr>
        <w:t>个，参照公务员法管理的事业单位</w:t>
      </w:r>
      <w:r>
        <w:rPr>
          <w:rFonts w:hint="eastAsia" w:eastAsia="仿宋_GB2312"/>
          <w:bCs/>
          <w:color w:val="000000"/>
          <w:kern w:val="0"/>
          <w:sz w:val="32"/>
          <w:szCs w:val="32"/>
        </w:rPr>
        <w:t>0</w:t>
      </w:r>
      <w:r>
        <w:rPr>
          <w:rFonts w:eastAsia="仿宋_GB2312"/>
          <w:color w:val="000000"/>
          <w:kern w:val="0"/>
          <w:sz w:val="32"/>
          <w:szCs w:val="32"/>
        </w:rPr>
        <w:t>个，其他事业单位</w:t>
      </w:r>
      <w:r>
        <w:rPr>
          <w:rFonts w:hint="eastAsia" w:eastAsia="仿宋_GB2312"/>
          <w:color w:val="000000"/>
          <w:kern w:val="0"/>
          <w:sz w:val="32"/>
          <w:szCs w:val="32"/>
        </w:rPr>
        <w:t>0</w:t>
      </w:r>
      <w:r>
        <w:rPr>
          <w:rFonts w:eastAsia="仿宋_GB2312"/>
          <w:color w:val="000000"/>
          <w:kern w:val="0"/>
          <w:sz w:val="32"/>
          <w:szCs w:val="32"/>
        </w:rPr>
        <w:t>个。</w:t>
      </w:r>
    </w:p>
    <w:p>
      <w:pPr>
        <w:widowControl/>
        <w:numPr>
          <w:ilvl w:val="0"/>
          <w:numId w:val="5"/>
        </w:numPr>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机构职能。</w:t>
      </w:r>
    </w:p>
    <w:p>
      <w:pPr>
        <w:spacing w:before="93" w:beforeLines="30" w:line="353" w:lineRule="auto"/>
        <w:ind w:firstLine="960" w:firstLineChars="300"/>
        <w:rPr>
          <w:rFonts w:ascii="仿宋_GB2312" w:eastAsia="仿宋_GB2312"/>
          <w:kern w:val="0"/>
          <w:sz w:val="30"/>
          <w:lang w:val="zh-CN"/>
        </w:rPr>
      </w:pPr>
      <w:r>
        <w:rPr>
          <w:rFonts w:eastAsia="仿宋_GB2312"/>
          <w:color w:val="000000"/>
          <w:kern w:val="0"/>
          <w:sz w:val="32"/>
          <w:szCs w:val="32"/>
        </w:rPr>
        <w:t>一是密切联系科学技术工作者，宣传党的路线方针政策，反映科学技术工作者的建议、意见和诉求，维护科学技术工作者的合法权益，建设科技工作者之家；二是开展学术交流，活跃学术思想，倡导学术民主，优化学术环境，促进学科发展,推进国家创新体系建设；三是组织科学技术工作者创新争先，加快科学技术成果转化应用，推动产学研深度融合；四是弘扬科学精神，普及科学知识，推广先进技术，传播科学思想和科学方法，捍卫科学尊严，提高全民科学素质；五是弘扬科学家精神，健全科学共同体的自律功能，推动建立和完善科学研究诚信监督机制，促进科学道德建设和学风建设，宣传优秀科学技术工作者，培育科学文化，践行社会主义核心价值观；六是组织科学技术工作者参与国家科技战略、规划、布局、政策、法律法规的咨询制定和国家事务的政治协商、科学决策、民主监督工作，建设中国特色高水平科技创新智库；七是组织所属学会有序承接科技评估、工程技术领域职业资格认定、技术标准研制、国家科技奖励推荐等政府委托工作；八是注重激发青少年科技兴趣，发现培养杰出青年科学家和创新团队，表彰奖励优秀科学技术工作者，举荐科学技术人才；九是开展民间国际科学技术交流活动，促进国际科学技术合作，发展同国(境)外科学技术团体和科学技术工作者的友好交往，为海外科技人才来华创新创业提供服务；十是兴办符合中国科学技术协会宗旨的社会公益性事业。</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（三）人员概况。</w:t>
      </w:r>
    </w:p>
    <w:p>
      <w:pPr>
        <w:spacing w:before="93" w:beforeLines="30" w:line="353" w:lineRule="auto"/>
        <w:ind w:firstLine="640" w:firstLineChars="200"/>
        <w:rPr>
          <w:rFonts w:ascii="仿宋_GB2312" w:eastAsia="仿宋_GB2312"/>
          <w:kern w:val="0"/>
          <w:sz w:val="30"/>
          <w:lang w:val="zh-CN"/>
        </w:rPr>
      </w:pPr>
      <w:r>
        <w:rPr>
          <w:rFonts w:hint="eastAsia" w:eastAsia="仿宋_GB2312"/>
          <w:color w:val="000000"/>
          <w:kern w:val="0"/>
          <w:sz w:val="32"/>
          <w:szCs w:val="32"/>
        </w:rPr>
        <w:t>我单位共有职工4人，其中，参公</w:t>
      </w:r>
      <w:r>
        <w:rPr>
          <w:rFonts w:hint="eastAsia" w:ascii="仿宋_GB2312" w:eastAsia="仿宋_GB2312"/>
          <w:color w:val="000000"/>
          <w:kern w:val="0"/>
          <w:sz w:val="32"/>
          <w:szCs w:val="32"/>
        </w:rPr>
        <w:t>3</w:t>
      </w:r>
      <w:r>
        <w:rPr>
          <w:rFonts w:hint="eastAsia" w:eastAsia="仿宋_GB2312"/>
          <w:color w:val="000000"/>
          <w:kern w:val="0"/>
          <w:sz w:val="32"/>
          <w:szCs w:val="32"/>
        </w:rPr>
        <w:t>人，辅助管理1人。</w:t>
      </w:r>
    </w:p>
    <w:p>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rPr>
      </w:pPr>
      <w:r>
        <w:rPr>
          <w:rFonts w:hint="eastAsia" w:ascii="黑体" w:hAnsi="宋体" w:eastAsia="黑体"/>
          <w:kern w:val="0"/>
          <w:sz w:val="32"/>
          <w:szCs w:val="32"/>
          <w:shd w:val="clear" w:color="auto" w:fill="FFFFFF"/>
        </w:rPr>
        <w:t>二、部门财政资金收支情况</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（一）部门财政资金收入情况。</w:t>
      </w:r>
    </w:p>
    <w:p>
      <w:pPr>
        <w:spacing w:before="93" w:beforeLines="30" w:line="353" w:lineRule="auto"/>
        <w:ind w:firstLine="960" w:firstLineChars="300"/>
        <w:rPr>
          <w:rFonts w:ascii="仿宋_GB2312" w:eastAsia="仿宋_GB2312"/>
          <w:kern w:val="0"/>
          <w:sz w:val="30"/>
          <w:lang w:val="zh-CN"/>
        </w:rPr>
      </w:pPr>
      <w:r>
        <w:rPr>
          <w:rFonts w:hint="eastAsia" w:ascii="仿宋" w:hAnsi="仿宋" w:eastAsia="仿宋"/>
          <w:kern w:val="0"/>
          <w:sz w:val="32"/>
          <w:szCs w:val="32"/>
        </w:rPr>
        <w:t>2021年本年收入合计74.44万元，其中，一般公共预算财政拨款收入58.27万元，占78%；政府性基金预算财政拨款收入0.5万元，占0.6%；年初结转结余15.67万元，占21%。</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（二）部门财政资金支出情况。</w:t>
      </w:r>
    </w:p>
    <w:p>
      <w:pPr>
        <w:spacing w:before="93" w:beforeLines="30" w:line="353" w:lineRule="auto"/>
        <w:ind w:firstLine="640" w:firstLineChars="200"/>
        <w:rPr>
          <w:rFonts w:ascii="仿宋_GB2312" w:eastAsia="仿宋_GB2312"/>
          <w:kern w:val="0"/>
          <w:sz w:val="30"/>
          <w:lang w:val="zh-CN"/>
        </w:rPr>
      </w:pPr>
      <w:r>
        <w:rPr>
          <w:rFonts w:hint="eastAsia" w:ascii="仿宋" w:hAnsi="仿宋" w:eastAsia="仿宋"/>
          <w:kern w:val="0"/>
          <w:sz w:val="32"/>
          <w:szCs w:val="32"/>
        </w:rPr>
        <w:t>2021年本年支出合计74.44万元，其中，基本支出57.27万元，占77%；项目支出17.17万元，占23%。</w:t>
      </w:r>
    </w:p>
    <w:p>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rPr>
      </w:pPr>
      <w:r>
        <w:rPr>
          <w:rFonts w:hint="eastAsia" w:ascii="黑体" w:hAnsi="宋体" w:eastAsia="黑体"/>
          <w:kern w:val="0"/>
          <w:sz w:val="32"/>
          <w:szCs w:val="32"/>
          <w:shd w:val="clear" w:color="auto" w:fill="FFFFFF"/>
        </w:rPr>
        <w:t>三、部门整体预算绩效管理情况</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（一）部门预算项目绩效管理。</w:t>
      </w:r>
    </w:p>
    <w:p>
      <w:pPr>
        <w:spacing w:line="353" w:lineRule="auto"/>
        <w:ind w:firstLine="800" w:firstLineChars="250"/>
        <w:jc w:val="left"/>
        <w:rPr>
          <w:rFonts w:ascii="宋体" w:hAnsi="Courier New"/>
          <w:lang w:val="zh-CN"/>
        </w:rPr>
      </w:pPr>
      <w:r>
        <w:rPr>
          <w:rFonts w:eastAsia="黑体"/>
          <w:sz w:val="32"/>
          <w:szCs w:val="32"/>
        </w:rPr>
        <w:t>1.</w:t>
      </w:r>
      <w:r>
        <w:rPr>
          <w:rFonts w:hint="eastAsia" w:eastAsia="仿宋_GB2312" w:cs="仿宋_GB2312"/>
          <w:sz w:val="32"/>
          <w:szCs w:val="32"/>
        </w:rPr>
        <w:t>基本支出预算绩效目标完成情况</w:t>
      </w:r>
    </w:p>
    <w:p>
      <w:pPr>
        <w:spacing w:line="353" w:lineRule="auto"/>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攀枝花市西区天府科技云服务中心建设及运维服务项目：2021年区级下达资金</w:t>
      </w:r>
      <w:r>
        <w:rPr>
          <w:rFonts w:hint="eastAsia" w:eastAsia="方正仿宋_GBK"/>
          <w:sz w:val="32"/>
          <w:szCs w:val="32"/>
        </w:rPr>
        <w:t>15.67</w:t>
      </w:r>
      <w:r>
        <w:rPr>
          <w:rFonts w:eastAsia="方正仿宋_GBK"/>
          <w:sz w:val="32"/>
          <w:szCs w:val="32"/>
        </w:rPr>
        <w:t>万元</w:t>
      </w:r>
      <w:r>
        <w:rPr>
          <w:rFonts w:hint="eastAsia" w:eastAsia="方正仿宋_GBK"/>
          <w:sz w:val="32"/>
          <w:szCs w:val="32"/>
        </w:rPr>
        <w:t>，</w:t>
      </w:r>
      <w:r>
        <w:rPr>
          <w:rFonts w:eastAsia="方正仿宋_GBK"/>
          <w:sz w:val="32"/>
          <w:szCs w:val="32"/>
        </w:rPr>
        <w:t>已支付</w:t>
      </w:r>
      <w:r>
        <w:rPr>
          <w:rFonts w:hint="eastAsia" w:eastAsia="方正仿宋_GBK"/>
          <w:sz w:val="32"/>
          <w:szCs w:val="32"/>
        </w:rPr>
        <w:t>15.67万元。</w:t>
      </w:r>
    </w:p>
    <w:p>
      <w:pPr>
        <w:spacing w:line="353" w:lineRule="auto"/>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全民科学素质行动计划项目：2021年区级下达资金0.5万元，已支出</w:t>
      </w:r>
      <w:r>
        <w:rPr>
          <w:rFonts w:hint="eastAsia" w:eastAsia="方正仿宋_GBK"/>
          <w:sz w:val="32"/>
          <w:szCs w:val="32"/>
        </w:rPr>
        <w:t>0.5</w:t>
      </w:r>
      <w:r>
        <w:rPr>
          <w:rFonts w:eastAsia="方正仿宋_GBK"/>
          <w:sz w:val="32"/>
          <w:szCs w:val="32"/>
        </w:rPr>
        <w:t>万元。</w:t>
      </w:r>
    </w:p>
    <w:p>
      <w:pPr>
        <w:spacing w:line="353" w:lineRule="auto"/>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科普经费项目：2021年区级下达资金1万元</w:t>
      </w:r>
      <w:r>
        <w:rPr>
          <w:rFonts w:hint="eastAsia" w:eastAsia="方正仿宋_GBK"/>
          <w:sz w:val="32"/>
          <w:szCs w:val="32"/>
        </w:rPr>
        <w:t>，已支出1万元</w:t>
      </w:r>
      <w:r>
        <w:rPr>
          <w:rFonts w:eastAsia="方正仿宋_GBK"/>
          <w:sz w:val="32"/>
          <w:szCs w:val="32"/>
        </w:rPr>
        <w:t>。</w:t>
      </w:r>
    </w:p>
    <w:p>
      <w:pPr>
        <w:spacing w:line="353" w:lineRule="auto"/>
        <w:ind w:firstLine="640" w:firstLineChars="200"/>
        <w:jc w:val="left"/>
        <w:rPr>
          <w:rFonts w:eastAsia="仿宋_GB2312"/>
          <w:sz w:val="32"/>
          <w:szCs w:val="32"/>
        </w:rPr>
      </w:pPr>
      <w:r>
        <w:rPr>
          <w:rFonts w:hint="eastAsia" w:eastAsia="仿宋_GB2312" w:cs="仿宋_GB2312"/>
          <w:sz w:val="32"/>
          <w:szCs w:val="32"/>
        </w:rPr>
        <w:t>2.效益指标完成情况分析。包括经济效益、社会效益、生态效益和可持续影响。</w:t>
      </w:r>
    </w:p>
    <w:p>
      <w:pPr>
        <w:spacing w:line="353" w:lineRule="auto"/>
        <w:ind w:firstLine="640" w:firstLineChars="200"/>
        <w:rPr>
          <w:rFonts w:eastAsia="仿宋_GB2312"/>
          <w:sz w:val="32"/>
          <w:szCs w:val="32"/>
        </w:rPr>
      </w:pPr>
      <w:r>
        <w:rPr>
          <w:rFonts w:hint="eastAsia" w:eastAsia="仿宋_GB2312" w:cs="仿宋_GB2312"/>
          <w:sz w:val="32"/>
          <w:szCs w:val="32"/>
        </w:rPr>
        <w:t>无。</w:t>
      </w:r>
    </w:p>
    <w:p>
      <w:pPr>
        <w:spacing w:line="353" w:lineRule="auto"/>
        <w:ind w:firstLine="640" w:firstLineChars="200"/>
        <w:jc w:val="left"/>
        <w:rPr>
          <w:rFonts w:eastAsia="仿宋_GB2312"/>
          <w:sz w:val="32"/>
          <w:szCs w:val="32"/>
        </w:rPr>
      </w:pPr>
      <w:r>
        <w:rPr>
          <w:rFonts w:hint="eastAsia" w:eastAsia="仿宋_GB2312" w:cs="仿宋_GB2312"/>
          <w:sz w:val="32"/>
          <w:szCs w:val="32"/>
        </w:rPr>
        <w:t>3.满意度指标完成情况分析。</w:t>
      </w:r>
    </w:p>
    <w:p>
      <w:pPr>
        <w:spacing w:line="353" w:lineRule="auto"/>
        <w:ind w:firstLine="480" w:firstLineChars="150"/>
        <w:jc w:val="left"/>
        <w:rPr>
          <w:rFonts w:eastAsia="仿宋_GB2312"/>
          <w:sz w:val="32"/>
          <w:szCs w:val="32"/>
        </w:rPr>
      </w:pPr>
      <w:r>
        <w:rPr>
          <w:rFonts w:ascii="仿宋_GB2312" w:hAnsi="宋体" w:eastAsia="仿宋_GB2312" w:cs="仿宋_GB2312"/>
          <w:color w:val="333333"/>
          <w:sz w:val="32"/>
          <w:szCs w:val="32"/>
          <w:shd w:val="clear" w:color="auto" w:fill="FFFFFF"/>
        </w:rPr>
        <w:t>专项经费为</w:t>
      </w:r>
      <w:r>
        <w:rPr>
          <w:rFonts w:hint="eastAsia" w:ascii="仿宋_GB2312" w:hAnsi="宋体" w:eastAsia="仿宋_GB2312" w:cs="仿宋_GB2312"/>
          <w:color w:val="333333"/>
          <w:sz w:val="32"/>
          <w:szCs w:val="32"/>
          <w:shd w:val="clear" w:color="auto" w:fill="FFFFFF"/>
        </w:rPr>
        <w:t>全区科技事业</w:t>
      </w:r>
      <w:r>
        <w:rPr>
          <w:rFonts w:ascii="仿宋_GB2312" w:hAnsi="宋体" w:eastAsia="仿宋_GB2312" w:cs="仿宋_GB2312"/>
          <w:color w:val="333333"/>
          <w:sz w:val="32"/>
          <w:szCs w:val="32"/>
          <w:shd w:val="clear" w:color="auto" w:fill="FFFFFF"/>
        </w:rPr>
        <w:t>发展提供有效资金保障，受益群众满意度达100%，评论结论为“好”</w:t>
      </w:r>
      <w:r>
        <w:rPr>
          <w:rFonts w:hint="eastAsia" w:eastAsia="仿宋_GB2312" w:cs="仿宋_GB2312"/>
          <w:sz w:val="32"/>
          <w:szCs w:val="32"/>
        </w:rPr>
        <w:t>。</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（二）结果应用情况。</w:t>
      </w:r>
    </w:p>
    <w:p>
      <w:pPr>
        <w:widowControl/>
        <w:adjustRightInd w:val="0"/>
        <w:snapToGrid w:val="0"/>
        <w:spacing w:line="353" w:lineRule="auto"/>
        <w:ind w:firstLine="640" w:firstLineChars="200"/>
        <w:contextualSpacing/>
        <w:jc w:val="left"/>
        <w:rPr>
          <w:rFonts w:ascii="仿宋_GB2312" w:hAnsi="宋体" w:eastAsia="仿宋_GB2312"/>
          <w:kern w:val="0"/>
          <w:sz w:val="32"/>
          <w:szCs w:val="32"/>
          <w:shd w:val="clear" w:color="auto" w:fill="FFFFFF"/>
          <w:lang w:val="zh-CN"/>
        </w:rPr>
      </w:pPr>
      <w:r>
        <w:rPr>
          <w:rFonts w:eastAsia="仿宋_GB2312"/>
          <w:color w:val="000000"/>
          <w:sz w:val="32"/>
          <w:szCs w:val="32"/>
        </w:rPr>
        <w:t>从整体情况来看，</w:t>
      </w:r>
      <w:r>
        <w:rPr>
          <w:rFonts w:hint="eastAsia" w:eastAsia="仿宋_GB2312"/>
          <w:color w:val="000000"/>
          <w:sz w:val="32"/>
          <w:szCs w:val="32"/>
        </w:rPr>
        <w:t>我单位高</w:t>
      </w:r>
      <w:r>
        <w:rPr>
          <w:rFonts w:eastAsia="仿宋_GB2312"/>
          <w:color w:val="000000"/>
          <w:sz w:val="32"/>
          <w:szCs w:val="32"/>
        </w:rPr>
        <w:t>度重视财政资金的支出绩效，从预算、执行、验收、资金支付等流程层层把关，严格按照部门预算进行部门整体支出</w:t>
      </w:r>
      <w:r>
        <w:rPr>
          <w:rFonts w:hint="eastAsia" w:eastAsia="仿宋_GB2312"/>
          <w:color w:val="000000"/>
          <w:sz w:val="32"/>
          <w:szCs w:val="32"/>
        </w:rPr>
        <w:t>。所有项目资金严格按照项目申报的实施方案组织实施，并责成办公室加强日常监督，依据相应的资金管理办法切实做到项目资金专项专用，无截留、无挪用等现象。</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rPr>
        <w:t>（三）</w:t>
      </w:r>
      <w:r>
        <w:rPr>
          <w:rFonts w:hint="eastAsia" w:ascii="楷体_GB2312" w:hAnsi="楷体_GB2312" w:eastAsia="楷体_GB2312" w:cs="楷体_GB2312"/>
          <w:kern w:val="0"/>
          <w:sz w:val="32"/>
          <w:szCs w:val="32"/>
          <w:shd w:val="clear" w:color="auto" w:fill="FFFFFF"/>
          <w:lang w:val="zh-CN"/>
        </w:rPr>
        <w:t>自评质量。</w:t>
      </w:r>
    </w:p>
    <w:p>
      <w:pPr>
        <w:snapToGrid w:val="0"/>
        <w:spacing w:line="353" w:lineRule="auto"/>
        <w:ind w:firstLine="640" w:firstLineChars="200"/>
        <w:rPr>
          <w:rFonts w:eastAsia="仿宋_GB2312"/>
          <w:sz w:val="32"/>
          <w:szCs w:val="32"/>
        </w:rPr>
      </w:pPr>
      <w:r>
        <w:rPr>
          <w:rFonts w:ascii="仿宋_GB2312" w:hAnsi="宋体" w:eastAsia="仿宋_GB2312" w:cs="仿宋_GB2312"/>
          <w:color w:val="333333"/>
          <w:sz w:val="32"/>
          <w:szCs w:val="32"/>
          <w:shd w:val="clear" w:color="auto" w:fill="FFFFFF"/>
        </w:rPr>
        <w:t>通过对20</w:t>
      </w:r>
      <w:r>
        <w:rPr>
          <w:rFonts w:hint="eastAsia" w:ascii="仿宋_GB2312" w:hAnsi="宋体" w:eastAsia="仿宋_GB2312" w:cs="仿宋_GB2312"/>
          <w:color w:val="333333"/>
          <w:sz w:val="32"/>
          <w:szCs w:val="32"/>
          <w:shd w:val="clear" w:color="auto" w:fill="FFFFFF"/>
        </w:rPr>
        <w:t>21</w:t>
      </w:r>
      <w:r>
        <w:rPr>
          <w:rFonts w:ascii="仿宋_GB2312" w:hAnsi="宋体" w:eastAsia="仿宋_GB2312" w:cs="仿宋_GB2312"/>
          <w:color w:val="333333"/>
          <w:sz w:val="32"/>
          <w:szCs w:val="32"/>
          <w:shd w:val="clear" w:color="auto" w:fill="FFFFFF"/>
        </w:rPr>
        <w:t>年度</w:t>
      </w:r>
      <w:r>
        <w:rPr>
          <w:rFonts w:hint="eastAsia" w:ascii="楷体_GB2312" w:hAnsi="楷体_GB2312" w:eastAsia="楷体_GB2312" w:cs="楷体_GB2312"/>
          <w:kern w:val="0"/>
          <w:sz w:val="32"/>
          <w:szCs w:val="32"/>
          <w:shd w:val="clear" w:color="auto" w:fill="FFFFFF"/>
          <w:lang w:val="zh-CN"/>
        </w:rPr>
        <w:t>部门</w:t>
      </w:r>
      <w:r>
        <w:rPr>
          <w:rFonts w:ascii="仿宋_GB2312" w:hAnsi="宋体" w:eastAsia="仿宋_GB2312" w:cs="仿宋_GB2312"/>
          <w:color w:val="333333"/>
          <w:sz w:val="32"/>
          <w:szCs w:val="32"/>
          <w:shd w:val="clear" w:color="auto" w:fill="FFFFFF"/>
        </w:rPr>
        <w:t>工作经费的使用，实施绩效进行了指标评价，该专项经费为</w:t>
      </w:r>
      <w:r>
        <w:rPr>
          <w:rFonts w:hint="eastAsia" w:ascii="仿宋_GB2312" w:hAnsi="宋体" w:eastAsia="仿宋_GB2312" w:cs="仿宋_GB2312"/>
          <w:color w:val="333333"/>
          <w:sz w:val="32"/>
          <w:szCs w:val="32"/>
          <w:shd w:val="clear" w:color="auto" w:fill="FFFFFF"/>
        </w:rPr>
        <w:t>全区科技事业</w:t>
      </w:r>
      <w:r>
        <w:rPr>
          <w:rFonts w:ascii="仿宋_GB2312" w:hAnsi="宋体" w:eastAsia="仿宋_GB2312" w:cs="仿宋_GB2312"/>
          <w:color w:val="333333"/>
          <w:sz w:val="32"/>
          <w:szCs w:val="32"/>
          <w:shd w:val="clear" w:color="auto" w:fill="FFFFFF"/>
        </w:rPr>
        <w:t>发展提供有效资金保障，受益群众满意度达100%，评论结论为“好”。</w:t>
      </w:r>
    </w:p>
    <w:p>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rPr>
      </w:pPr>
      <w:r>
        <w:rPr>
          <w:rFonts w:hint="eastAsia" w:ascii="黑体" w:hAnsi="宋体" w:eastAsia="黑体"/>
          <w:kern w:val="0"/>
          <w:sz w:val="32"/>
          <w:szCs w:val="32"/>
          <w:shd w:val="clear" w:color="auto" w:fill="FFFFFF"/>
        </w:rPr>
        <w:t>四、评价结论及建议</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（一）评价结论。</w:t>
      </w:r>
    </w:p>
    <w:p>
      <w:pPr>
        <w:snapToGrid w:val="0"/>
        <w:spacing w:line="353" w:lineRule="auto"/>
        <w:ind w:firstLine="640" w:firstLineChars="200"/>
        <w:rPr>
          <w:lang w:val="zh-CN"/>
        </w:rPr>
      </w:pPr>
      <w:r>
        <w:rPr>
          <w:rFonts w:hint="eastAsia" w:eastAsia="仿宋_GB2312"/>
          <w:color w:val="000000"/>
          <w:sz w:val="32"/>
          <w:szCs w:val="32"/>
        </w:rPr>
        <w:t>2021年度严格预算收支管理，做到预算编制有目标、预算执行有监控，部门预算整体绩效评价良好。</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（二）存在问题。</w:t>
      </w:r>
    </w:p>
    <w:p>
      <w:pPr>
        <w:spacing w:before="93" w:line="353" w:lineRule="auto"/>
        <w:ind w:firstLine="320" w:firstLineChars="100"/>
        <w:rPr>
          <w:rFonts w:eastAsia="仿宋_GB2312"/>
          <w:color w:val="000000"/>
          <w:sz w:val="32"/>
          <w:szCs w:val="32"/>
        </w:rPr>
      </w:pPr>
      <w:r>
        <w:rPr>
          <w:rFonts w:hint="eastAsia" w:eastAsia="仿宋_GB2312"/>
          <w:color w:val="000000"/>
          <w:sz w:val="32"/>
          <w:szCs w:val="32"/>
        </w:rPr>
        <w:t>无。</w:t>
      </w:r>
    </w:p>
    <w:p>
      <w:pPr>
        <w:widowControl/>
        <w:numPr>
          <w:ilvl w:val="0"/>
          <w:numId w:val="5"/>
        </w:numPr>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改进建议。</w:t>
      </w:r>
    </w:p>
    <w:p>
      <w:pPr>
        <w:spacing w:before="93" w:beforeLines="30" w:line="353" w:lineRule="auto"/>
        <w:ind w:firstLine="640" w:firstLineChars="200"/>
        <w:rPr>
          <w:rFonts w:ascii="仿宋_GB2312" w:hAnsi="宋体" w:eastAsia="仿宋_GB2312" w:cs="宋体"/>
          <w:kern w:val="0"/>
          <w:sz w:val="32"/>
          <w:szCs w:val="32"/>
          <w:shd w:val="clear" w:color="auto" w:fill="FFFFFF"/>
          <w:lang w:val="zh-CN"/>
        </w:rPr>
      </w:pPr>
      <w:r>
        <w:rPr>
          <w:rFonts w:hint="eastAsia" w:ascii="仿宋_GB2312" w:hAnsi="仿宋_GB2312" w:eastAsia="仿宋_GB2312" w:cs="仿宋_GB2312"/>
          <w:kern w:val="0"/>
          <w:sz w:val="32"/>
          <w:szCs w:val="32"/>
        </w:rPr>
        <w:t>本单位无偏离绩效目标的情况，不存在改进建议。</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spacing w:before="93"/>
      </w:pPr>
    </w:p>
    <w:p>
      <w:pPr>
        <w:pStyle w:val="2"/>
        <w:spacing w:before="93"/>
      </w:pPr>
    </w:p>
    <w:tbl>
      <w:tblPr>
        <w:tblStyle w:val="13"/>
        <w:tblpPr w:leftFromText="180" w:rightFromText="180" w:vertAnchor="text" w:horzAnchor="page" w:tblpX="1204" w:tblpY="704"/>
        <w:tblOverlap w:val="never"/>
        <w:tblW w:w="9811" w:type="dxa"/>
        <w:tblInd w:w="0" w:type="dxa"/>
        <w:tblLayout w:type="fixed"/>
        <w:tblCellMar>
          <w:top w:w="0" w:type="dxa"/>
          <w:left w:w="108" w:type="dxa"/>
          <w:bottom w:w="0" w:type="dxa"/>
          <w:right w:w="108" w:type="dxa"/>
        </w:tblCellMar>
      </w:tblPr>
      <w:tblGrid>
        <w:gridCol w:w="1976"/>
        <w:gridCol w:w="1142"/>
        <w:gridCol w:w="1505"/>
        <w:gridCol w:w="130"/>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olor w:val="FF0000"/>
                <w:sz w:val="18"/>
                <w:szCs w:val="18"/>
              </w:rPr>
            </w:pPr>
            <w:r>
              <w:rPr>
                <w:rFonts w:hint="eastAsia" w:ascii="宋体" w:hAnsi="宋体" w:cs="宋体"/>
                <w:color w:val="000000"/>
                <w:kern w:val="0"/>
                <w:sz w:val="24"/>
              </w:rPr>
              <w:t>中共攀枝花市西区区委</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olor w:val="FF0000"/>
                <w:sz w:val="18"/>
                <w:szCs w:val="18"/>
              </w:rPr>
            </w:pPr>
            <w:r>
              <w:rPr>
                <w:rFonts w:hint="eastAsia" w:ascii="宋体" w:hAnsi="宋体" w:cs="宋体"/>
                <w:color w:val="000000"/>
                <w:kern w:val="0"/>
                <w:sz w:val="24"/>
              </w:rPr>
              <w:t>攀枝花市西区科学技术协会</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项目预算</w:t>
            </w:r>
            <w:r>
              <w:rPr>
                <w:rFonts w:ascii="宋体"/>
                <w:kern w:val="0"/>
                <w:sz w:val="24"/>
              </w:rPr>
              <w:br w:type="textWrapping"/>
            </w:r>
            <w:r>
              <w:rPr>
                <w:rFonts w:hint="eastAsia" w:ascii="宋体" w:hAnsi="宋体" w:cs="宋体"/>
                <w:kern w:val="0"/>
                <w:sz w:val="24"/>
              </w:rPr>
              <w:t>执行情况</w:t>
            </w:r>
            <w:r>
              <w:rPr>
                <w:rFonts w:ascii="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color w:val="000000"/>
                <w:kern w:val="0"/>
                <w:sz w:val="24"/>
              </w:rPr>
              <w:t>72.87</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color w:val="000000"/>
                <w:kern w:val="0"/>
                <w:sz w:val="24"/>
              </w:rPr>
              <w:t>74.44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rPr>
            </w:pP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rPr>
            </w:pPr>
            <w:r>
              <w:rPr>
                <w:rFonts w:hint="eastAsia" w:ascii="宋体" w:hAnsi="宋体" w:cs="宋体"/>
                <w:kern w:val="0"/>
                <w:sz w:val="24"/>
              </w:rPr>
              <w:t>其中：</w:t>
            </w:r>
          </w:p>
          <w:p>
            <w:pPr>
              <w:widowControl/>
              <w:spacing w:line="320" w:lineRule="exact"/>
              <w:jc w:val="left"/>
              <w:textAlignment w:val="center"/>
              <w:rPr>
                <w:rFonts w:ascii="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color w:val="000000"/>
                <w:kern w:val="0"/>
                <w:sz w:val="24"/>
              </w:rPr>
              <w:t>72.87</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rPr>
            </w:pPr>
            <w:r>
              <w:rPr>
                <w:rFonts w:hint="eastAsia" w:ascii="宋体" w:hAnsi="宋体" w:cs="宋体"/>
                <w:kern w:val="0"/>
                <w:sz w:val="24"/>
              </w:rPr>
              <w:t>其中：</w:t>
            </w:r>
          </w:p>
          <w:p>
            <w:pPr>
              <w:widowControl/>
              <w:spacing w:line="320" w:lineRule="exact"/>
              <w:jc w:val="left"/>
              <w:textAlignment w:val="center"/>
              <w:rPr>
                <w:rFonts w:ascii="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color w:val="000000"/>
                <w:kern w:val="0"/>
                <w:sz w:val="24"/>
              </w:rPr>
              <w:t>74.44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rPr>
            </w:pP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rPr>
            </w:pPr>
            <w:r>
              <w:rPr>
                <w:rFonts w:ascii="宋体" w:cs="宋体"/>
                <w:sz w:val="24"/>
              </w:rPr>
              <w:t xml:space="preserve">    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ascii="宋体" w:cs="宋体"/>
                <w:sz w:val="24"/>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sz w:val="24"/>
              </w:rPr>
            </w:pPr>
            <w:r>
              <w:rPr>
                <w:rFonts w:hint="eastAsia" w:ascii="宋体" w:hAnsi="宋体" w:cs="宋体"/>
                <w:kern w:val="0"/>
                <w:sz w:val="24"/>
              </w:rPr>
              <w:t>完成情况</w:t>
            </w:r>
          </w:p>
        </w:tc>
        <w:tc>
          <w:tcPr>
            <w:tcW w:w="396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rPr>
            </w:pPr>
          </w:p>
        </w:tc>
        <w:tc>
          <w:tcPr>
            <w:tcW w:w="3966" w:type="dxa"/>
            <w:gridSpan w:val="4"/>
            <w:tcBorders>
              <w:top w:val="single" w:color="000000" w:sz="4" w:space="0"/>
              <w:left w:val="single" w:color="000000" w:sz="4" w:space="0"/>
              <w:bottom w:val="single" w:color="000000" w:sz="4" w:space="0"/>
              <w:right w:val="single" w:color="000000" w:sz="4" w:space="0"/>
            </w:tcBorders>
          </w:tcPr>
          <w:p>
            <w:pPr>
              <w:widowControl/>
              <w:spacing w:line="320" w:lineRule="exact"/>
              <w:ind w:firstLine="480" w:firstLineChars="200"/>
              <w:jc w:val="left"/>
              <w:textAlignment w:val="top"/>
              <w:rPr>
                <w:rFonts w:ascii="宋体"/>
                <w:color w:val="000000"/>
                <w:sz w:val="24"/>
              </w:rPr>
            </w:pPr>
            <w:r>
              <w:rPr>
                <w:rFonts w:hint="eastAsia" w:ascii="宋体" w:hAnsi="宋体" w:cs="宋体"/>
                <w:color w:val="000000"/>
                <w:kern w:val="0"/>
                <w:sz w:val="24"/>
              </w:rPr>
              <w:t>保证人员工资、奖金、社保、住房公积金等近期足额上缴，保证正常的公用支出、保证科协工作圆满完成。</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ind w:firstLine="480" w:firstLineChars="200"/>
              <w:jc w:val="left"/>
              <w:textAlignment w:val="top"/>
              <w:rPr>
                <w:rFonts w:ascii="宋体"/>
                <w:kern w:val="0"/>
                <w:sz w:val="24"/>
              </w:rPr>
            </w:pPr>
            <w:r>
              <w:rPr>
                <w:rFonts w:hint="eastAsia" w:ascii="宋体" w:hAnsi="宋体" w:cs="宋体"/>
                <w:color w:val="000000"/>
                <w:kern w:val="0"/>
                <w:sz w:val="24"/>
              </w:rPr>
              <w:t>人员工资、奖金、社保、住房公积金等足额上缴，科协工作圆满完成。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完成</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数量指标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jc w:val="left"/>
              <w:rPr>
                <w:color w:val="000000"/>
                <w:kern w:val="0"/>
                <w:sz w:val="24"/>
              </w:rPr>
            </w:pPr>
            <w:r>
              <w:rPr>
                <w:rFonts w:hint="eastAsia" w:ascii="宋体" w:hAnsi="宋体" w:cs="宋体"/>
                <w:color w:val="000000"/>
                <w:kern w:val="0"/>
                <w:sz w:val="24"/>
              </w:rPr>
              <w:t>工资3人/年，3个项目</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宋体" w:hAnsi="宋体" w:cs="宋体"/>
                <w:color w:val="000000"/>
                <w:kern w:val="0"/>
                <w:sz w:val="24"/>
              </w:rPr>
              <w:t>工资3人/年，3个项目</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eastAsia="仿宋_GB2312"/>
                <w:color w:val="000000"/>
                <w:kern w:val="0"/>
                <w:sz w:val="24"/>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质量指标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 w:val="24"/>
              </w:rPr>
            </w:pPr>
            <w:r>
              <w:rPr>
                <w:rFonts w:hint="eastAsia" w:ascii="宋体" w:hAnsi="宋体" w:cs="宋体"/>
                <w:color w:val="000000"/>
                <w:kern w:val="0"/>
                <w:sz w:val="24"/>
              </w:rPr>
              <w:t>保证科协工作按标准、按要求完成。</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100%</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时效指标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rPr>
              <w:t>检查时限</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≤1</w:t>
            </w:r>
            <w:r>
              <w:rPr>
                <w:rFonts w:hint="eastAsia" w:cs="宋体"/>
                <w:color w:val="000000"/>
                <w:kern w:val="0"/>
                <w:sz w:val="24"/>
              </w:rPr>
              <w:t>年</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1</w:t>
            </w:r>
            <w:r>
              <w:rPr>
                <w:rFonts w:hint="eastAsia" w:cs="宋体"/>
                <w:color w:val="000000"/>
                <w:kern w:val="0"/>
                <w:sz w:val="24"/>
              </w:rPr>
              <w:t>年内</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成本指标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ascii="仿宋_GB2312" w:hAnsi="仿宋_GB2312"/>
                <w:color w:val="000000"/>
                <w:sz w:val="18"/>
                <w:szCs w:val="18"/>
              </w:rPr>
            </w:pPr>
            <w:r>
              <w:rPr>
                <w:rFonts w:hint="eastAsia" w:cs="宋体"/>
                <w:color w:val="000000"/>
                <w:kern w:val="0"/>
                <w:sz w:val="18"/>
                <w:szCs w:val="18"/>
              </w:rPr>
              <w:t>全年工作经费</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w:t>
            </w:r>
            <w:r>
              <w:rPr>
                <w:rFonts w:hint="eastAsia"/>
                <w:color w:val="000000"/>
                <w:kern w:val="0"/>
                <w:sz w:val="24"/>
              </w:rPr>
              <w:t>72.87</w:t>
            </w:r>
            <w:r>
              <w:rPr>
                <w:rFonts w:hint="eastAsia" w:cs="宋体"/>
                <w:color w:val="000000"/>
                <w:kern w:val="0"/>
                <w:sz w:val="24"/>
              </w:rPr>
              <w:t>万</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rPr>
              <w:t>74.44万</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社会效益指标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olor w:val="000000"/>
                <w:sz w:val="18"/>
                <w:szCs w:val="18"/>
              </w:rPr>
            </w:pPr>
            <w:r>
              <w:rPr>
                <w:rFonts w:hint="eastAsia" w:ascii="宋体" w:hAnsi="宋体" w:cs="宋体"/>
                <w:color w:val="000000"/>
                <w:kern w:val="0"/>
                <w:sz w:val="24"/>
              </w:rPr>
              <w:t>保证高效完成科普工作</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color w:val="000000"/>
                <w:sz w:val="28"/>
                <w:szCs w:val="28"/>
              </w:rPr>
            </w:pPr>
            <w:r>
              <w:rPr>
                <w:rFonts w:hint="eastAsia" w:cs="宋体"/>
                <w:color w:val="000000"/>
                <w:kern w:val="0"/>
                <w:sz w:val="24"/>
              </w:rPr>
              <w:t>更加高效</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color w:val="000000"/>
                <w:sz w:val="28"/>
                <w:szCs w:val="28"/>
              </w:rPr>
            </w:pPr>
            <w:r>
              <w:rPr>
                <w:rFonts w:hint="eastAsia" w:cs="宋体"/>
                <w:color w:val="000000"/>
                <w:kern w:val="0"/>
                <w:sz w:val="24"/>
              </w:rPr>
              <w:t>更加高效</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可持续影响指标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ascii="仿宋_GB2312" w:hAnsi="仿宋_GB2312" w:eastAsia="仿宋_GB2312"/>
                <w:color w:val="000000"/>
                <w:sz w:val="18"/>
                <w:szCs w:val="18"/>
              </w:rPr>
            </w:pPr>
            <w:r>
              <w:rPr>
                <w:rFonts w:hint="eastAsia" w:cs="宋体"/>
                <w:color w:val="000000"/>
                <w:kern w:val="0"/>
                <w:sz w:val="18"/>
                <w:szCs w:val="18"/>
              </w:rPr>
              <w:t>加大科普力度</w:t>
            </w:r>
            <w:r>
              <w:rPr>
                <w:color w:val="000000"/>
                <w:kern w:val="0"/>
                <w:sz w:val="18"/>
                <w:szCs w:val="18"/>
              </w:rPr>
              <w:t>,</w:t>
            </w:r>
            <w:r>
              <w:rPr>
                <w:rFonts w:hint="eastAsia" w:cs="宋体"/>
                <w:color w:val="000000"/>
                <w:kern w:val="0"/>
                <w:sz w:val="18"/>
                <w:szCs w:val="18"/>
              </w:rPr>
              <w:t>营造爱科学、讲科学氛围。</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rPr>
              <w:t>长效</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rPr>
              <w:t>长效</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满意</w:t>
            </w:r>
            <w:r>
              <w:rPr>
                <w:rFonts w:ascii="仿宋_GB2312" w:hAnsi="仿宋_GB2312" w:eastAsia="仿宋_GB2312"/>
                <w:color w:val="000000"/>
                <w:kern w:val="0"/>
                <w:sz w:val="28"/>
                <w:szCs w:val="28"/>
              </w:rPr>
              <w:br w:type="textWrapping"/>
            </w:r>
            <w:r>
              <w:rPr>
                <w:rFonts w:hint="eastAsia" w:ascii="仿宋_GB2312" w:hAnsi="仿宋_GB2312" w:eastAsia="仿宋_GB2312" w:cs="仿宋_GB2312"/>
                <w:color w:val="000000"/>
                <w:kern w:val="0"/>
                <w:sz w:val="28"/>
                <w:szCs w:val="28"/>
              </w:rPr>
              <w:t>度指标</w:t>
            </w: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满意度</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宋体" w:hAnsi="宋体" w:cs="宋体"/>
                <w:color w:val="000000"/>
                <w:kern w:val="0"/>
                <w:sz w:val="24"/>
              </w:rPr>
              <w:t>职工满意度100%</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宋体" w:hAnsi="宋体" w:cs="宋体"/>
                <w:color w:val="000000"/>
                <w:kern w:val="0"/>
                <w:sz w:val="24"/>
              </w:rPr>
              <w:t>职工满意度100%</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olor w:val="000000"/>
                <w:sz w:val="28"/>
                <w:szCs w:val="28"/>
              </w:rPr>
              <w:t>100%</w:t>
            </w:r>
          </w:p>
        </w:tc>
      </w:tr>
    </w:tbl>
    <w:p/>
    <w:p>
      <w:pPr>
        <w:spacing w:line="0" w:lineRule="atLeast"/>
        <w:jc w:val="center"/>
        <w:rPr>
          <w:rFonts w:ascii="黑体" w:hAnsi="黑体" w:eastAsia="黑体"/>
          <w:sz w:val="44"/>
          <w:szCs w:val="44"/>
        </w:rPr>
      </w:pPr>
    </w:p>
    <w:p>
      <w:pPr>
        <w:pStyle w:val="2"/>
        <w:spacing w:before="93"/>
      </w:pPr>
    </w:p>
    <w:p>
      <w:pPr>
        <w:pStyle w:val="2"/>
        <w:spacing w:before="93"/>
      </w:pPr>
    </w:p>
    <w:p>
      <w:pPr>
        <w:spacing w:line="600" w:lineRule="exact"/>
        <w:jc w:val="left"/>
        <w:rPr>
          <w:rFonts w:ascii="方正黑体_GBK" w:hAnsi="方正小标宋简体" w:eastAsia="方正黑体_GBK" w:cs="方正小标宋简体"/>
          <w:sz w:val="32"/>
          <w:szCs w:val="32"/>
        </w:rPr>
      </w:pPr>
      <w:r>
        <w:rPr>
          <w:rFonts w:hint="eastAsia" w:ascii="方正黑体_GBK" w:hAnsi="方正小标宋简体" w:eastAsia="方正黑体_GBK" w:cs="方正小标宋简体"/>
          <w:sz w:val="32"/>
          <w:szCs w:val="32"/>
        </w:rPr>
        <w:t>附件2</w:t>
      </w:r>
    </w:p>
    <w:p>
      <w:pPr>
        <w:ind w:firstLine="420"/>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天府科技云项目支出绩效自评报告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ind w:firstLine="624" w:firstLineChars="200"/>
        <w:rPr>
          <w:lang w:val="zh-CN"/>
        </w:rPr>
      </w:pPr>
      <w:r>
        <w:rPr>
          <w:rFonts w:hint="eastAsia" w:eastAsia="仿宋_GB2312" w:cstheme="minorBidi"/>
          <w:snapToGrid w:val="0"/>
          <w:spacing w:val="-4"/>
          <w:kern w:val="0"/>
          <w:sz w:val="32"/>
          <w:szCs w:val="32"/>
          <w:shd w:val="clear" w:color="auto" w:fill="FFFFFF"/>
        </w:rPr>
        <w:t>贯彻党的群众路线和知识分子政策、国家科学技术工作者基本方针，开展科学知识、科学思想、科学精神、科学方法的宣传和普及工作；开展技术开发、技术转让、技术咨询、技术服务活动；反映科技工作的意见和要求，维护科技工作者的合法权益、举荐科技人才、表彰奖励优秀科普工作者；指导乡镇科协、农村专业技术协会工作；承办区委、区政府交办的其它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ind w:firstLine="420"/>
        <w:rPr>
          <w:lang w:val="zh-CN"/>
        </w:rPr>
      </w:pPr>
      <w:r>
        <w:rPr>
          <w:rFonts w:hint="eastAsia" w:eastAsia="方正仿宋_GBK"/>
          <w:sz w:val="32"/>
          <w:szCs w:val="32"/>
        </w:rPr>
        <w:t>为深入贯彻落实省科协“天府科技云服务”工作的安排部署，全力推进“天府科技云服务”平台建设，按照《四川省科学技术协会关于再次开展2020年天府科技云服务中心标准化建设项目申报工作的紧急通知》（川科协发〔2020〕22号）要求，结合西区实际，利用攀枝花市西区天府科技云服务中心，服务于广大科技工作者、企事业单位和人民群众，使之成为西区精准科技服务、创新驱动发展服务、全民科普服务的重要窗口和服务阵地，有效推动西区科协事业取得新突破，推动科协工作再上新台阶。</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3．资金分配的原则及考虑因素。</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项目运维经费根据天府科技云服务中心开展培训、</w:t>
      </w:r>
      <w:r>
        <w:rPr>
          <w:rFonts w:eastAsia="仿宋_GB2312"/>
          <w:sz w:val="32"/>
          <w:szCs w:val="32"/>
        </w:rPr>
        <w:t>推广、科普</w:t>
      </w:r>
      <w:r>
        <w:rPr>
          <w:rFonts w:hint="eastAsia" w:eastAsia="仿宋_GB2312"/>
          <w:sz w:val="32"/>
          <w:szCs w:val="32"/>
        </w:rPr>
        <w:t>讲座内容及方案需根据工作需要适时调整，购买相关书籍、宣传资料需根据工作需要及科普工作所需进行。综上，开展活动所需经费依据实际发生情况进行使用。</w:t>
      </w:r>
    </w:p>
    <w:p>
      <w:pPr>
        <w:ind w:firstLine="420"/>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353" w:lineRule="auto"/>
        <w:ind w:firstLine="640" w:firstLineChars="200"/>
        <w:rPr>
          <w:rFonts w:eastAsia="方正仿宋_GBK"/>
          <w:sz w:val="32"/>
          <w:szCs w:val="32"/>
        </w:rPr>
      </w:pPr>
      <w:r>
        <w:rPr>
          <w:rFonts w:hint="eastAsia" w:eastAsia="方正仿宋_GBK"/>
          <w:sz w:val="32"/>
          <w:szCs w:val="32"/>
        </w:rPr>
        <w:t>利用攀枝花市西区天府科技云服务中心并依托“天府科技云”服务平台，以市场机制为根本办法、以互利共赢为根本驱动力、以现代信息技术为根本保障的精准科技服务模式，开展科技服务相关信息对接。通过电脑、手机等，使每个科技工作者（团队）都可自主、便捷地向“天府科技云”服务平台上传其“科技所能”，每个企事业单位都可自主、便捷地上传其“科技所需”，每个城乡群众都可自主、便捷地上传其“科普所需”，运用大数据、云计算、人工智能等技术，实现科技服务智能精准供给。借助科技需求对接通道，积极帮助每个科技工作者（团队）实现其社会价值和经济价值，调动广大科技工作者的积极性；通过积极掌握全省科技人才（团队）、科研成果等，将有科研成果潜在需求的企事业单位与有科研承接能力的科技工作者（团队）进行科研成果、人才、技术的精准匹配，推进有意愿的供需双方进行对接洽谈，促进合作，实现科研成果智能精准对接；通过广泛、智能、精准共享全省乃至全国科普资源，实现优质科普资源和城乡群众个性化科普需求智能精准匹配，畅通科普资源精准直达群众的传播渠道，促进公民科学素质整体提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353" w:lineRule="auto"/>
        <w:ind w:firstLine="624" w:firstLineChars="200"/>
        <w:rPr>
          <w:rFonts w:eastAsia="方正仿宋_GBK"/>
          <w:sz w:val="32"/>
          <w:szCs w:val="32"/>
        </w:rPr>
      </w:pPr>
      <w:r>
        <w:rPr>
          <w:rFonts w:hint="eastAsia" w:eastAsia="仿宋_GB2312" w:cstheme="minorBidi"/>
          <w:snapToGrid w:val="0"/>
          <w:spacing w:val="-4"/>
          <w:kern w:val="0"/>
          <w:sz w:val="32"/>
          <w:szCs w:val="32"/>
          <w:shd w:val="clear" w:color="auto" w:fill="FFFFFF"/>
        </w:rPr>
        <w:t>结合西区实际，利用攀枝花市西区天府科技云服务中心，服务于广大科技工作者、企事业单位和人民群众，使之成为西区精准科技服务、创新驱动发展服务、全民科普服务的重要窗口和服务阵地，有效推动西区科协事业取得新突破，推动科协工作再上新台阶。</w:t>
      </w:r>
      <w:r>
        <w:rPr>
          <w:rFonts w:hint="eastAsia" w:eastAsia="方正仿宋_GBK"/>
          <w:sz w:val="32"/>
          <w:szCs w:val="32"/>
        </w:rPr>
        <w:t>精准组织本地用户在平台注册认证；精准指导本地科技工作者（团队）正确发布“科技所能”；精准组织本地企事业单位正确发布“科技所需”；指导有科技服务、科研成果、科研项目需求的供需双方进行交易；组织本地企事业单位、科技工作者（团队）、农技协、基层干部、科普信息员及城乡群众向平台上传科普资源，精准反映生产生活状况；引导本地用户通过回复短信、下载APP、登录网站、关注微信公众号等多种渠道积极获取科普知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ind w:firstLine="420"/>
        <w:rPr>
          <w:lang w:val="zh-CN"/>
        </w:rPr>
      </w:pPr>
      <w:r>
        <w:rPr>
          <w:rFonts w:hint="eastAsia" w:ascii="仿宋_GB2312" w:hAnsi="宋体" w:eastAsia="仿宋_GB2312"/>
          <w:sz w:val="32"/>
          <w:szCs w:val="32"/>
          <w:lang w:val="zh-CN"/>
        </w:rPr>
        <w:t>分析评价申报内容与实际相符，申报目标合理可行。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eastAsia="方正仿宋_GBK"/>
          <w:spacing w:val="-4"/>
          <w:kern w:val="0"/>
          <w:sz w:val="33"/>
          <w:szCs w:val="33"/>
        </w:rPr>
        <w:t>202</w:t>
      </w:r>
      <w:r>
        <w:rPr>
          <w:rFonts w:eastAsia="方正仿宋_GBK"/>
          <w:spacing w:val="-4"/>
          <w:kern w:val="0"/>
          <w:sz w:val="33"/>
          <w:szCs w:val="33"/>
        </w:rPr>
        <w:t>1</w:t>
      </w:r>
      <w:r>
        <w:rPr>
          <w:rFonts w:hint="eastAsia" w:eastAsia="方正仿宋_GBK"/>
          <w:spacing w:val="-4"/>
          <w:kern w:val="0"/>
          <w:sz w:val="33"/>
          <w:szCs w:val="33"/>
        </w:rPr>
        <w:t>年安排区级专项</w:t>
      </w:r>
      <w:r>
        <w:rPr>
          <w:rFonts w:eastAsia="方正仿宋_GBK"/>
          <w:spacing w:val="-4"/>
          <w:kern w:val="0"/>
          <w:sz w:val="33"/>
          <w:szCs w:val="33"/>
        </w:rPr>
        <w:t>预算支出</w:t>
      </w:r>
      <w:r>
        <w:rPr>
          <w:rFonts w:hint="eastAsia" w:eastAsia="方正仿宋_GBK"/>
          <w:spacing w:val="-4"/>
          <w:kern w:val="0"/>
          <w:sz w:val="33"/>
          <w:szCs w:val="33"/>
        </w:rPr>
        <w:t>16.47</w:t>
      </w:r>
      <w:r>
        <w:rPr>
          <w:rFonts w:eastAsia="方正仿宋_GBK"/>
          <w:spacing w:val="-4"/>
          <w:kern w:val="0"/>
          <w:sz w:val="33"/>
          <w:szCs w:val="33"/>
        </w:rPr>
        <w:t>万元</w:t>
      </w:r>
      <w:r>
        <w:rPr>
          <w:rFonts w:hint="eastAsia" w:eastAsia="方正仿宋_GBK"/>
          <w:spacing w:val="-4"/>
          <w:kern w:val="0"/>
          <w:sz w:val="33"/>
          <w:szCs w:val="33"/>
        </w:rPr>
        <w:t>。专项资金按项目推进进度提前申报用款计划，严格按资金计划、财经纪律和项目进度开支。</w:t>
      </w:r>
    </w:p>
    <w:p>
      <w:pPr>
        <w:autoSpaceDE w:val="0"/>
        <w:autoSpaceDN w:val="0"/>
        <w:adjustRightInd w:val="0"/>
        <w:spacing w:line="560" w:lineRule="exact"/>
        <w:ind w:firstLine="640" w:firstLineChars="200"/>
        <w:jc w:val="left"/>
        <w:rPr>
          <w:rFonts w:eastAsia="方正仿宋_GBK"/>
          <w:spacing w:val="-4"/>
          <w:kern w:val="0"/>
          <w:sz w:val="33"/>
          <w:szCs w:val="33"/>
        </w:rPr>
      </w:pPr>
      <w:r>
        <w:rPr>
          <w:rFonts w:hint="eastAsia" w:ascii="楷体_GB2312" w:hAnsi="宋体" w:eastAsia="楷体_GB2312"/>
          <w:sz w:val="32"/>
          <w:szCs w:val="32"/>
          <w:lang w:val="zh-CN"/>
        </w:rPr>
        <w:t>2．资金到位。</w:t>
      </w:r>
      <w:r>
        <w:rPr>
          <w:rFonts w:eastAsia="方正仿宋_GBK"/>
          <w:spacing w:val="-4"/>
          <w:kern w:val="0"/>
          <w:sz w:val="33"/>
          <w:szCs w:val="33"/>
        </w:rPr>
        <w:t>以上</w:t>
      </w:r>
      <w:r>
        <w:rPr>
          <w:rFonts w:hint="eastAsia" w:eastAsia="方正仿宋_GBK"/>
          <w:spacing w:val="-4"/>
          <w:kern w:val="0"/>
          <w:sz w:val="33"/>
          <w:szCs w:val="33"/>
        </w:rPr>
        <w:t>资金</w:t>
      </w:r>
      <w:r>
        <w:rPr>
          <w:rFonts w:eastAsia="方正仿宋_GBK"/>
          <w:spacing w:val="-4"/>
          <w:kern w:val="0"/>
          <w:sz w:val="33"/>
          <w:szCs w:val="33"/>
        </w:rPr>
        <w:t>计划按照资金管理权限由</w:t>
      </w:r>
      <w:r>
        <w:rPr>
          <w:rFonts w:hint="eastAsia" w:eastAsia="方正仿宋_GBK"/>
          <w:spacing w:val="-4"/>
          <w:kern w:val="0"/>
          <w:sz w:val="33"/>
          <w:szCs w:val="33"/>
        </w:rPr>
        <w:t>区</w:t>
      </w:r>
      <w:r>
        <w:rPr>
          <w:rFonts w:eastAsia="方正仿宋_GBK"/>
          <w:spacing w:val="-4"/>
          <w:kern w:val="0"/>
          <w:sz w:val="33"/>
          <w:szCs w:val="33"/>
        </w:rPr>
        <w:t>级财政按时批复</w:t>
      </w:r>
      <w:r>
        <w:rPr>
          <w:rFonts w:hint="eastAsia" w:eastAsia="方正仿宋_GBK"/>
          <w:spacing w:val="-4"/>
          <w:kern w:val="0"/>
          <w:sz w:val="33"/>
          <w:szCs w:val="33"/>
        </w:rPr>
        <w:t>于2021年</w:t>
      </w:r>
      <w:r>
        <w:rPr>
          <w:rFonts w:eastAsia="方正仿宋_GBK"/>
          <w:spacing w:val="-4"/>
          <w:kern w:val="0"/>
          <w:sz w:val="33"/>
          <w:szCs w:val="33"/>
        </w:rPr>
        <w:t>下达</w:t>
      </w:r>
      <w:r>
        <w:rPr>
          <w:rFonts w:hint="eastAsia" w:eastAsia="方正仿宋_GBK"/>
          <w:spacing w:val="-4"/>
          <w:kern w:val="0"/>
          <w:sz w:val="33"/>
          <w:szCs w:val="33"/>
        </w:rPr>
        <w:t>和</w:t>
      </w:r>
      <w:r>
        <w:rPr>
          <w:rFonts w:eastAsia="方正仿宋_GBK"/>
          <w:spacing w:val="-4"/>
          <w:kern w:val="0"/>
          <w:sz w:val="33"/>
          <w:szCs w:val="33"/>
        </w:rPr>
        <w:t>支付，资金到位</w:t>
      </w:r>
      <w:r>
        <w:rPr>
          <w:rFonts w:hint="eastAsia" w:eastAsia="方正仿宋_GBK"/>
          <w:spacing w:val="-4"/>
          <w:kern w:val="0"/>
          <w:sz w:val="33"/>
          <w:szCs w:val="33"/>
        </w:rPr>
        <w:t>情况</w:t>
      </w:r>
      <w:r>
        <w:rPr>
          <w:rFonts w:eastAsia="方正仿宋_GBK"/>
          <w:spacing w:val="-4"/>
          <w:kern w:val="0"/>
          <w:sz w:val="33"/>
          <w:szCs w:val="33"/>
        </w:rPr>
        <w:t>与资金计划相符。</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因天府科技云服务</w:t>
      </w:r>
      <w:r>
        <w:rPr>
          <w:rFonts w:ascii="仿宋_GB2312" w:hAnsi="宋体" w:eastAsia="仿宋_GB2312"/>
          <w:sz w:val="32"/>
          <w:szCs w:val="32"/>
          <w:lang w:val="zh-CN"/>
        </w:rPr>
        <w:t>中心</w:t>
      </w:r>
      <w:r>
        <w:rPr>
          <w:rFonts w:hint="eastAsia" w:ascii="仿宋_GB2312" w:hAnsi="宋体" w:eastAsia="仿宋_GB2312"/>
          <w:sz w:val="32"/>
          <w:szCs w:val="32"/>
          <w:lang w:val="zh-CN"/>
        </w:rPr>
        <w:t>运行</w:t>
      </w:r>
      <w:r>
        <w:rPr>
          <w:rFonts w:ascii="仿宋_GB2312" w:hAnsi="宋体" w:eastAsia="仿宋_GB2312"/>
          <w:sz w:val="32"/>
          <w:szCs w:val="32"/>
          <w:lang w:val="zh-CN"/>
        </w:rPr>
        <w:t>优先使用</w:t>
      </w:r>
      <w:r>
        <w:rPr>
          <w:rFonts w:hint="eastAsia" w:ascii="仿宋_GB2312" w:hAnsi="宋体" w:eastAsia="仿宋_GB2312"/>
          <w:sz w:val="32"/>
          <w:szCs w:val="32"/>
          <w:lang w:val="zh-CN"/>
        </w:rPr>
        <w:t>省级</w:t>
      </w:r>
      <w:r>
        <w:rPr>
          <w:rFonts w:ascii="仿宋_GB2312" w:hAnsi="宋体" w:eastAsia="仿宋_GB2312"/>
          <w:sz w:val="32"/>
          <w:szCs w:val="32"/>
          <w:lang w:val="zh-CN"/>
        </w:rPr>
        <w:t>专项资金，故</w:t>
      </w:r>
      <w:r>
        <w:rPr>
          <w:rFonts w:hint="eastAsia" w:ascii="仿宋_GB2312" w:hAnsi="宋体" w:eastAsia="仿宋_GB2312"/>
          <w:sz w:val="32"/>
          <w:szCs w:val="32"/>
          <w:lang w:val="zh-CN"/>
        </w:rPr>
        <w:t>未使用</w:t>
      </w:r>
      <w:r>
        <w:rPr>
          <w:rFonts w:ascii="仿宋_GB2312" w:hAnsi="宋体" w:eastAsia="仿宋_GB2312"/>
          <w:sz w:val="32"/>
          <w:szCs w:val="32"/>
          <w:lang w:val="zh-CN"/>
        </w:rPr>
        <w:t>区级专项资金。</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utoSpaceDE w:val="0"/>
        <w:autoSpaceDN w:val="0"/>
        <w:adjustRightInd w:val="0"/>
        <w:spacing w:line="560" w:lineRule="exact"/>
        <w:ind w:firstLine="643" w:firstLineChars="200"/>
        <w:jc w:val="left"/>
        <w:rPr>
          <w:rFonts w:eastAsia="方正仿宋_GBK"/>
          <w:spacing w:val="-4"/>
          <w:kern w:val="0"/>
          <w:sz w:val="33"/>
          <w:szCs w:val="33"/>
        </w:rPr>
      </w:pPr>
      <w:r>
        <w:rPr>
          <w:rFonts w:hint="eastAsia" w:ascii="楷体_GB2312" w:hAnsi="宋体" w:eastAsia="楷体_GB2312"/>
          <w:b/>
          <w:sz w:val="32"/>
          <w:szCs w:val="32"/>
          <w:lang w:val="zh-CN"/>
        </w:rPr>
        <w:t>（一）项目管理情况。</w:t>
      </w:r>
      <w:r>
        <w:rPr>
          <w:rFonts w:hint="eastAsia" w:eastAsia="方正仿宋_GBK"/>
          <w:spacing w:val="-4"/>
          <w:kern w:val="0"/>
          <w:sz w:val="33"/>
          <w:szCs w:val="33"/>
        </w:rPr>
        <w:t>西区</w:t>
      </w:r>
      <w:r>
        <w:rPr>
          <w:rFonts w:eastAsia="方正仿宋_GBK"/>
          <w:spacing w:val="-4"/>
          <w:kern w:val="0"/>
          <w:sz w:val="33"/>
          <w:szCs w:val="33"/>
        </w:rPr>
        <w:t>科协坚持</w:t>
      </w:r>
      <w:r>
        <w:rPr>
          <w:rFonts w:hint="eastAsia" w:eastAsia="方正仿宋_GBK"/>
          <w:spacing w:val="-4"/>
          <w:kern w:val="0"/>
          <w:sz w:val="33"/>
          <w:szCs w:val="33"/>
        </w:rPr>
        <w:t>目标</w:t>
      </w:r>
      <w:r>
        <w:rPr>
          <w:rFonts w:eastAsia="方正仿宋_GBK"/>
          <w:spacing w:val="-4"/>
          <w:kern w:val="0"/>
          <w:sz w:val="33"/>
          <w:szCs w:val="33"/>
        </w:rPr>
        <w:t>导向，强化</w:t>
      </w:r>
      <w:r>
        <w:rPr>
          <w:rFonts w:hint="eastAsia" w:eastAsia="方正仿宋_GBK"/>
          <w:spacing w:val="-4"/>
          <w:kern w:val="0"/>
          <w:sz w:val="33"/>
          <w:szCs w:val="33"/>
        </w:rPr>
        <w:t>科普活动资金进度监控和全流程绩效评价，跟踪加强项目执行的监督检查</w:t>
      </w:r>
      <w:r>
        <w:rPr>
          <w:rFonts w:eastAsia="方正仿宋_GBK"/>
          <w:spacing w:val="-4"/>
          <w:kern w:val="0"/>
          <w:sz w:val="33"/>
          <w:szCs w:val="33"/>
        </w:rPr>
        <w:t>，有针对性地</w:t>
      </w:r>
      <w:r>
        <w:rPr>
          <w:rFonts w:hint="eastAsia" w:eastAsia="方正仿宋_GBK"/>
          <w:spacing w:val="-4"/>
          <w:kern w:val="0"/>
          <w:sz w:val="33"/>
          <w:szCs w:val="33"/>
        </w:rPr>
        <w:t>优化</w:t>
      </w:r>
      <w:r>
        <w:rPr>
          <w:rFonts w:eastAsia="方正仿宋_GBK"/>
          <w:spacing w:val="-4"/>
          <w:kern w:val="0"/>
          <w:sz w:val="33"/>
          <w:szCs w:val="33"/>
        </w:rPr>
        <w:t>财务</w:t>
      </w:r>
      <w:r>
        <w:rPr>
          <w:rFonts w:hint="eastAsia" w:eastAsia="方正仿宋_GBK"/>
          <w:spacing w:val="-4"/>
          <w:kern w:val="0"/>
          <w:sz w:val="33"/>
          <w:szCs w:val="33"/>
        </w:rPr>
        <w:t>工作流程</w:t>
      </w:r>
      <w:r>
        <w:rPr>
          <w:rFonts w:eastAsia="方正仿宋_GBK"/>
          <w:spacing w:val="-4"/>
          <w:kern w:val="0"/>
          <w:sz w:val="33"/>
          <w:szCs w:val="33"/>
        </w:rPr>
        <w:t>，不断健全集体决策制度，加强内控建设，</w:t>
      </w:r>
      <w:r>
        <w:rPr>
          <w:rFonts w:hint="eastAsia" w:eastAsia="方正仿宋_GBK"/>
          <w:spacing w:val="-4"/>
          <w:kern w:val="0"/>
          <w:sz w:val="33"/>
          <w:szCs w:val="33"/>
        </w:rPr>
        <w:t>做到专项资金专项管理，</w:t>
      </w:r>
      <w:r>
        <w:rPr>
          <w:rFonts w:eastAsia="方正仿宋_GBK"/>
          <w:spacing w:val="-4"/>
          <w:kern w:val="0"/>
          <w:sz w:val="33"/>
          <w:szCs w:val="33"/>
        </w:rPr>
        <w:t>夯实会计基础工作，完善资金报账签批程序，依法公开财务报表报告，主动接受社会监督，切实提升部门财务管理水平，做到了严格执行财务管理制度，账务处理及时，会计核算规范。</w:t>
      </w:r>
    </w:p>
    <w:p>
      <w:pPr>
        <w:adjustRightInd w:val="0"/>
        <w:snapToGrid w:val="0"/>
        <w:spacing w:line="600" w:lineRule="exact"/>
        <w:ind w:firstLine="720"/>
        <w:rPr>
          <w:rFonts w:eastAsia="方正仿宋_GBK"/>
          <w:spacing w:val="-4"/>
          <w:kern w:val="0"/>
          <w:sz w:val="33"/>
          <w:szCs w:val="33"/>
        </w:rPr>
      </w:pPr>
      <w:r>
        <w:rPr>
          <w:rFonts w:hint="eastAsia" w:ascii="楷体_GB2312" w:hAnsi="宋体" w:eastAsia="楷体_GB2312"/>
          <w:b/>
          <w:sz w:val="32"/>
          <w:szCs w:val="32"/>
          <w:lang w:val="zh-CN"/>
        </w:rPr>
        <w:t>（二）项目监管情况。</w:t>
      </w:r>
      <w:r>
        <w:rPr>
          <w:rFonts w:hint="eastAsia" w:eastAsia="方正仿宋_GBK"/>
          <w:spacing w:val="-4"/>
          <w:kern w:val="0"/>
          <w:sz w:val="33"/>
          <w:szCs w:val="33"/>
        </w:rPr>
        <w:t>专项资金严格执行资金报账制度。认真执行科普专项资金管理规定，做到了专款专用。专项资金支付根据项目完成进度，经验收合格后，按照合同约定据实支付，支付流程合规合法，管理规范有效。</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西区天府科技云平台上科技服务成交216笔，成交金额9270.8万元；科技成果转化1笔，成交金额150万元；科研项目发布30项，成交12笔，成交金额41790万元，注册用户7</w:t>
      </w:r>
      <w:r>
        <w:rPr>
          <w:rFonts w:hint="eastAsia" w:ascii="仿宋_GB2312" w:hAnsi="宋体" w:eastAsia="仿宋_GB2312"/>
          <w:sz w:val="32"/>
          <w:szCs w:val="32"/>
          <w:lang w:val="zh-CN"/>
        </w:rPr>
        <w:t>5</w:t>
      </w:r>
      <w:r>
        <w:rPr>
          <w:rFonts w:ascii="仿宋_GB2312" w:hAnsi="宋体" w:eastAsia="仿宋_GB2312"/>
          <w:sz w:val="32"/>
          <w:szCs w:val="32"/>
          <w:lang w:val="zh-CN"/>
        </w:rPr>
        <w:t>8</w:t>
      </w:r>
      <w:r>
        <w:rPr>
          <w:rFonts w:hint="eastAsia" w:ascii="仿宋_GB2312" w:hAnsi="宋体" w:eastAsia="仿宋_GB2312"/>
          <w:sz w:val="32"/>
          <w:szCs w:val="32"/>
          <w:lang w:val="zh-CN"/>
        </w:rPr>
        <w:t>5</w:t>
      </w:r>
      <w:r>
        <w:rPr>
          <w:rFonts w:ascii="仿宋_GB2312" w:hAnsi="宋体" w:eastAsia="仿宋_GB2312"/>
          <w:sz w:val="32"/>
          <w:szCs w:val="32"/>
          <w:lang w:val="zh-CN"/>
        </w:rPr>
        <w:t>户，累计实现交易额2.3</w:t>
      </w:r>
      <w:r>
        <w:rPr>
          <w:rFonts w:hint="eastAsia" w:ascii="仿宋_GB2312" w:hAnsi="宋体" w:eastAsia="仿宋_GB2312"/>
          <w:sz w:val="32"/>
          <w:szCs w:val="32"/>
          <w:lang w:val="zh-CN"/>
        </w:rPr>
        <w:t>2</w:t>
      </w:r>
      <w:r>
        <w:rPr>
          <w:rFonts w:ascii="仿宋_GB2312" w:hAnsi="宋体" w:eastAsia="仿宋_GB2312"/>
          <w:sz w:val="32"/>
          <w:szCs w:val="32"/>
          <w:lang w:val="zh-CN"/>
        </w:rPr>
        <w:t>亿元，精准科普服务群众数1</w:t>
      </w:r>
      <w:r>
        <w:rPr>
          <w:rFonts w:hint="eastAsia" w:ascii="仿宋_GB2312" w:hAnsi="宋体" w:eastAsia="仿宋_GB2312"/>
          <w:sz w:val="32"/>
          <w:szCs w:val="32"/>
          <w:lang w:val="zh-CN"/>
        </w:rPr>
        <w:t>723</w:t>
      </w:r>
      <w:r>
        <w:rPr>
          <w:rFonts w:ascii="仿宋_GB2312" w:hAnsi="宋体" w:eastAsia="仿宋_GB2312"/>
          <w:sz w:val="32"/>
          <w:szCs w:val="32"/>
          <w:lang w:val="zh-CN"/>
        </w:rPr>
        <w:t>户，精准科普服务量6</w:t>
      </w:r>
      <w:r>
        <w:rPr>
          <w:rFonts w:hint="eastAsia" w:ascii="仿宋_GB2312" w:hAnsi="宋体" w:eastAsia="仿宋_GB2312"/>
          <w:sz w:val="32"/>
          <w:szCs w:val="32"/>
          <w:lang w:val="zh-CN"/>
        </w:rPr>
        <w:t>9.12</w:t>
      </w:r>
      <w:r>
        <w:rPr>
          <w:rFonts w:ascii="仿宋_GB2312" w:hAnsi="宋体" w:eastAsia="仿宋_GB2312"/>
          <w:sz w:val="32"/>
          <w:szCs w:val="32"/>
          <w:lang w:val="zh-CN"/>
        </w:rPr>
        <w:t>万人次</w:t>
      </w:r>
      <w:r>
        <w:rPr>
          <w:rFonts w:hint="eastAsia" w:ascii="仿宋_GB2312" w:hAnsi="宋体" w:eastAsia="仿宋_GB2312"/>
          <w:sz w:val="32"/>
          <w:szCs w:val="32"/>
          <w:lang w:val="zh-CN"/>
        </w:rPr>
        <w:t>，</w:t>
      </w:r>
      <w:r>
        <w:rPr>
          <w:rFonts w:ascii="仿宋_GB2312" w:hAnsi="宋体" w:eastAsia="仿宋_GB2312"/>
          <w:sz w:val="32"/>
          <w:szCs w:val="32"/>
          <w:lang w:val="zh-CN"/>
        </w:rPr>
        <w:t>推广使用工作态势良好。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60" w:lineRule="exact"/>
        <w:ind w:firstLine="640" w:firstLineChars="200"/>
        <w:contextualSpacing/>
        <w:rPr>
          <w:rFonts w:ascii="仿宋_GB2312" w:hAnsi="宋体" w:eastAsia="仿宋_GB2312"/>
          <w:sz w:val="32"/>
          <w:szCs w:val="32"/>
          <w:lang w:val="zh-CN"/>
        </w:rPr>
      </w:pPr>
      <w:r>
        <w:rPr>
          <w:rFonts w:hint="eastAsia" w:ascii="仿宋_GB2312" w:hAnsi="宋体" w:eastAsia="仿宋_GB2312"/>
          <w:sz w:val="32"/>
          <w:szCs w:val="32"/>
          <w:lang w:val="zh-CN"/>
        </w:rPr>
        <w:t>经济效益方面，</w:t>
      </w:r>
      <w:r>
        <w:rPr>
          <w:rFonts w:ascii="仿宋_GB2312" w:hAnsi="宋体" w:eastAsia="仿宋_GB2312"/>
          <w:sz w:val="32"/>
          <w:szCs w:val="32"/>
          <w:lang w:val="zh-CN"/>
        </w:rPr>
        <w:t>依托“天府科技云”服务平台开展精准科普服务。组织动员科技工作者、农村乡土人才等科普工作者（团队）、农技协和科普共享基地等基层科普组织入驻“天府科技云”平台，上架7个科普共享基地，为群众提供精准科普服务</w:t>
      </w:r>
      <w:r>
        <w:rPr>
          <w:rFonts w:hint="eastAsia" w:ascii="仿宋_GB2312" w:hAnsi="宋体" w:eastAsia="仿宋_GB2312"/>
          <w:sz w:val="32"/>
          <w:szCs w:val="32"/>
          <w:lang w:val="zh-CN"/>
        </w:rPr>
        <w:t>，其中，攀枝花·中国航天智能机器人科技城基地获评全省“最受欢迎的100家科普共享基地”称号</w:t>
      </w:r>
      <w:r>
        <w:rPr>
          <w:rFonts w:ascii="仿宋_GB2312" w:hAnsi="宋体" w:eastAsia="仿宋_GB2312"/>
          <w:sz w:val="32"/>
          <w:szCs w:val="32"/>
          <w:lang w:val="zh-CN"/>
        </w:rPr>
        <w:t>。深入实施“互联网+科普”工程，充分运用信息化手段，创新推动传统科普活动和科普资源转型升级。深入推广“科普中国”“科普四川”“科普攀枝花”“天府科技云”新媒体注册应用，促进传统科普与信息化科普深度融合。</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4" w:firstLineChars="200"/>
        <w:rPr>
          <w:rFonts w:eastAsia="方正仿宋_GBK"/>
          <w:spacing w:val="-4"/>
          <w:kern w:val="0"/>
          <w:sz w:val="33"/>
          <w:szCs w:val="33"/>
        </w:rPr>
      </w:pPr>
      <w:r>
        <w:rPr>
          <w:rFonts w:eastAsia="方正仿宋_GBK"/>
          <w:spacing w:val="-4"/>
          <w:kern w:val="0"/>
          <w:sz w:val="33"/>
          <w:szCs w:val="33"/>
        </w:rPr>
        <w:t>总的来说，</w:t>
      </w:r>
      <w:r>
        <w:rPr>
          <w:rFonts w:hint="eastAsia" w:eastAsia="方正仿宋_GBK"/>
          <w:spacing w:val="-4"/>
          <w:kern w:val="0"/>
          <w:sz w:val="33"/>
          <w:szCs w:val="33"/>
        </w:rPr>
        <w:t>区</w:t>
      </w:r>
      <w:r>
        <w:rPr>
          <w:rFonts w:eastAsia="方正仿宋_GBK"/>
          <w:spacing w:val="-4"/>
          <w:kern w:val="0"/>
          <w:sz w:val="33"/>
          <w:szCs w:val="33"/>
        </w:rPr>
        <w:t>科协202</w:t>
      </w:r>
      <w:r>
        <w:rPr>
          <w:rFonts w:hint="eastAsia" w:eastAsia="方正仿宋_GBK"/>
          <w:spacing w:val="-4"/>
          <w:kern w:val="0"/>
          <w:sz w:val="33"/>
          <w:szCs w:val="33"/>
        </w:rPr>
        <w:t>1</w:t>
      </w:r>
      <w:r>
        <w:rPr>
          <w:rFonts w:eastAsia="方正仿宋_GBK"/>
          <w:spacing w:val="-4"/>
          <w:kern w:val="0"/>
          <w:sz w:val="33"/>
          <w:szCs w:val="33"/>
        </w:rPr>
        <w:t>年度</w:t>
      </w:r>
      <w:r>
        <w:rPr>
          <w:rFonts w:hint="eastAsia" w:eastAsia="方正仿宋_GBK"/>
          <w:spacing w:val="-4"/>
          <w:kern w:val="0"/>
          <w:sz w:val="33"/>
          <w:szCs w:val="33"/>
        </w:rPr>
        <w:t>专项项目</w:t>
      </w:r>
      <w:r>
        <w:rPr>
          <w:rFonts w:eastAsia="方正仿宋_GBK"/>
          <w:spacing w:val="-4"/>
          <w:kern w:val="0"/>
          <w:sz w:val="33"/>
          <w:szCs w:val="33"/>
        </w:rPr>
        <w:t>绩效评价良好，</w:t>
      </w:r>
      <w:r>
        <w:rPr>
          <w:rFonts w:hint="eastAsia" w:eastAsia="方正仿宋_GBK"/>
          <w:spacing w:val="-4"/>
          <w:kern w:val="0"/>
          <w:sz w:val="33"/>
          <w:szCs w:val="33"/>
        </w:rPr>
        <w:t>在财政库款紧张的情况下基本完成了年初既定的目标任务，中心工作取得优异成绩，总体项目</w:t>
      </w:r>
      <w:r>
        <w:rPr>
          <w:rFonts w:eastAsia="方正仿宋_GBK"/>
          <w:spacing w:val="-4"/>
          <w:kern w:val="0"/>
          <w:sz w:val="33"/>
          <w:szCs w:val="33"/>
        </w:rPr>
        <w:t>绩效目标</w:t>
      </w:r>
      <w:r>
        <w:rPr>
          <w:rFonts w:hint="eastAsia" w:eastAsia="方正仿宋_GBK"/>
          <w:spacing w:val="-4"/>
          <w:kern w:val="0"/>
          <w:sz w:val="33"/>
          <w:szCs w:val="33"/>
        </w:rPr>
        <w:t>得以实现</w:t>
      </w:r>
      <w:r>
        <w:rPr>
          <w:rFonts w:eastAsia="方正仿宋_GBK"/>
          <w:spacing w:val="-4"/>
          <w:kern w:val="0"/>
          <w:sz w:val="33"/>
          <w:szCs w:val="33"/>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
      <w:pPr>
        <w:ind w:firstLine="420"/>
      </w:pPr>
    </w:p>
    <w:p>
      <w:pPr>
        <w:ind w:firstLine="420"/>
      </w:pPr>
    </w:p>
    <w:p>
      <w:pPr>
        <w:ind w:firstLine="420"/>
      </w:pPr>
    </w:p>
    <w:p>
      <w:pPr>
        <w:ind w:firstLine="420"/>
      </w:pPr>
    </w:p>
    <w:p>
      <w:pPr>
        <w:ind w:firstLine="420"/>
      </w:pPr>
    </w:p>
    <w:p>
      <w:pPr>
        <w:ind w:firstLine="420"/>
      </w:pPr>
    </w:p>
    <w:p>
      <w:pPr>
        <w:ind w:firstLine="420"/>
      </w:pPr>
    </w:p>
    <w:p>
      <w:pPr>
        <w:pStyle w:val="2"/>
        <w:spacing w:before="93"/>
      </w:pPr>
    </w:p>
    <w:p>
      <w:pPr>
        <w:pStyle w:val="2"/>
        <w:spacing w:before="93"/>
      </w:pPr>
    </w:p>
    <w:p>
      <w:pPr>
        <w:pStyle w:val="2"/>
        <w:spacing w:before="93"/>
      </w:pPr>
    </w:p>
    <w:p>
      <w:pPr>
        <w:pStyle w:val="2"/>
        <w:spacing w:before="93"/>
      </w:pPr>
    </w:p>
    <w:p>
      <w:pPr>
        <w:pStyle w:val="2"/>
        <w:spacing w:before="93"/>
      </w:pPr>
    </w:p>
    <w:p>
      <w:pPr>
        <w:ind w:firstLine="420"/>
      </w:pPr>
    </w:p>
    <w:p>
      <w:pPr>
        <w:ind w:firstLine="420"/>
      </w:pPr>
    </w:p>
    <w:p>
      <w:pPr>
        <w:ind w:firstLine="420"/>
      </w:pPr>
    </w:p>
    <w:p>
      <w:pPr>
        <w:ind w:firstLine="420"/>
      </w:pPr>
    </w:p>
    <w:p>
      <w:pPr>
        <w:ind w:firstLine="420"/>
      </w:pPr>
    </w:p>
    <w:p>
      <w:pPr>
        <w:ind w:firstLine="420"/>
      </w:pPr>
    </w:p>
    <w:p>
      <w:pPr>
        <w:ind w:firstLine="420"/>
      </w:pPr>
    </w:p>
    <w:tbl>
      <w:tblPr>
        <w:tblStyle w:val="13"/>
        <w:tblW w:w="5000" w:type="pct"/>
        <w:tblInd w:w="0" w:type="dxa"/>
        <w:tblLayout w:type="autofit"/>
        <w:tblCellMar>
          <w:top w:w="0" w:type="dxa"/>
          <w:left w:w="108" w:type="dxa"/>
          <w:bottom w:w="0" w:type="dxa"/>
          <w:right w:w="108" w:type="dxa"/>
        </w:tblCellMar>
      </w:tblPr>
      <w:tblGrid>
        <w:gridCol w:w="537"/>
        <w:gridCol w:w="537"/>
        <w:gridCol w:w="746"/>
        <w:gridCol w:w="2600"/>
        <w:gridCol w:w="1046"/>
        <w:gridCol w:w="1176"/>
        <w:gridCol w:w="836"/>
        <w:gridCol w:w="1044"/>
      </w:tblGrid>
      <w:tr>
        <w:tblPrEx>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2021年项目资金绩效自评表</w:t>
            </w:r>
          </w:p>
        </w:tc>
      </w:tr>
      <w:tr>
        <w:tblPrEx>
          <w:tblCellMar>
            <w:top w:w="0" w:type="dxa"/>
            <w:left w:w="108" w:type="dxa"/>
            <w:bottom w:w="0" w:type="dxa"/>
            <w:right w:w="108" w:type="dxa"/>
          </w:tblCellMar>
        </w:tblPrEx>
        <w:trPr>
          <w:trHeight w:val="285" w:hRule="atLeast"/>
        </w:trPr>
        <w:tc>
          <w:tcPr>
            <w:tcW w:w="5000" w:type="pct"/>
            <w:gridSpan w:val="8"/>
            <w:tcBorders>
              <w:top w:val="nil"/>
              <w:left w:val="nil"/>
              <w:bottom w:val="nil"/>
              <w:right w:val="nil"/>
            </w:tcBorders>
            <w:shd w:val="clear" w:color="auto" w:fill="auto"/>
            <w:vAlign w:val="center"/>
          </w:tcPr>
          <w:p>
            <w:pPr>
              <w:widowControl/>
              <w:rPr>
                <w:rFonts w:ascii="宋体" w:hAnsi="宋体" w:cs="宋体"/>
                <w:kern w:val="0"/>
                <w:sz w:val="24"/>
              </w:rPr>
            </w:pPr>
            <w:r>
              <w:rPr>
                <w:rFonts w:ascii="宋体" w:hAnsi="宋体" w:cs="宋体"/>
                <w:kern w:val="0"/>
                <w:sz w:val="24"/>
              </w:rPr>
              <w:t>(</w:t>
            </w:r>
            <w:r>
              <w:rPr>
                <w:rFonts w:hint="eastAsia" w:ascii="宋体" w:hAnsi="宋体" w:cs="宋体"/>
                <w:kern w:val="0"/>
                <w:sz w:val="24"/>
              </w:rPr>
              <w:t>天府科技云</w:t>
            </w:r>
            <w:r>
              <w:rPr>
                <w:rFonts w:ascii="宋体" w:hAnsi="宋体" w:cs="宋体"/>
                <w:kern w:val="0"/>
                <w:sz w:val="24"/>
              </w:rPr>
              <w:t>运维项目)</w:t>
            </w:r>
          </w:p>
        </w:tc>
      </w:tr>
      <w:tr>
        <w:tblPrEx>
          <w:tblCellMar>
            <w:top w:w="0" w:type="dxa"/>
            <w:left w:w="108" w:type="dxa"/>
            <w:bottom w:w="0" w:type="dxa"/>
            <w:right w:w="108" w:type="dxa"/>
          </w:tblCellMar>
        </w:tblPrEx>
        <w:trPr>
          <w:trHeight w:val="435" w:hRule="atLeast"/>
        </w:trPr>
        <w:tc>
          <w:tcPr>
            <w:tcW w:w="325" w:type="pct"/>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p>
        </w:tc>
        <w:tc>
          <w:tcPr>
            <w:tcW w:w="325" w:type="pct"/>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447" w:type="pct"/>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535"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23"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23"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00"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23" w:type="pct"/>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39"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专项（项目）名称</w:t>
            </w:r>
          </w:p>
        </w:tc>
        <w:tc>
          <w:tcPr>
            <w:tcW w:w="3904"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攀枝花市西区天府科技云服务中心运维服务项目</w:t>
            </w:r>
          </w:p>
        </w:tc>
      </w:tr>
      <w:tr>
        <w:tblPrEx>
          <w:tblCellMar>
            <w:top w:w="0" w:type="dxa"/>
            <w:left w:w="108" w:type="dxa"/>
            <w:bottom w:w="0" w:type="dxa"/>
            <w:right w:w="108" w:type="dxa"/>
          </w:tblCellMar>
        </w:tblPrEx>
        <w:trPr>
          <w:trHeight w:val="439" w:hRule="atLeast"/>
        </w:trPr>
        <w:tc>
          <w:tcPr>
            <w:tcW w:w="10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项目主管单位</w:t>
            </w:r>
          </w:p>
        </w:tc>
        <w:tc>
          <w:tcPr>
            <w:tcW w:w="3904"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攀枝花市西区财政局</w:t>
            </w:r>
          </w:p>
        </w:tc>
      </w:tr>
      <w:tr>
        <w:tblPrEx>
          <w:tblCellMar>
            <w:top w:w="0" w:type="dxa"/>
            <w:left w:w="108" w:type="dxa"/>
            <w:bottom w:w="0" w:type="dxa"/>
            <w:right w:w="108" w:type="dxa"/>
          </w:tblCellMar>
        </w:tblPrEx>
        <w:trPr>
          <w:trHeight w:val="439" w:hRule="atLeast"/>
        </w:trPr>
        <w:tc>
          <w:tcPr>
            <w:tcW w:w="1096"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项目实施单位</w:t>
            </w:r>
          </w:p>
        </w:tc>
        <w:tc>
          <w:tcPr>
            <w:tcW w:w="3904"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攀枝花市西区科学技术协会</w:t>
            </w:r>
          </w:p>
        </w:tc>
      </w:tr>
      <w:tr>
        <w:tblPrEx>
          <w:tblCellMar>
            <w:top w:w="0" w:type="dxa"/>
            <w:left w:w="108" w:type="dxa"/>
            <w:bottom w:w="0" w:type="dxa"/>
            <w:right w:w="108" w:type="dxa"/>
          </w:tblCellMar>
        </w:tblPrEx>
        <w:trPr>
          <w:trHeight w:val="439" w:hRule="atLeast"/>
        </w:trPr>
        <w:tc>
          <w:tcPr>
            <w:tcW w:w="1096"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5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12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trHeight w:val="439" w:hRule="atLeast"/>
        </w:trPr>
        <w:tc>
          <w:tcPr>
            <w:tcW w:w="109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年度资金总额：</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344702</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2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109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其中：上级财政资金</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180000</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156688.3</w:t>
            </w:r>
          </w:p>
        </w:tc>
        <w:tc>
          <w:tcPr>
            <w:tcW w:w="112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87.05</w:t>
            </w:r>
          </w:p>
        </w:tc>
      </w:tr>
      <w:tr>
        <w:tblPrEx>
          <w:tblCellMar>
            <w:top w:w="0" w:type="dxa"/>
            <w:left w:w="108" w:type="dxa"/>
            <w:bottom w:w="0" w:type="dxa"/>
            <w:right w:w="108" w:type="dxa"/>
          </w:tblCellMar>
        </w:tblPrEx>
        <w:trPr>
          <w:trHeight w:val="439" w:hRule="atLeast"/>
        </w:trPr>
        <w:tc>
          <w:tcPr>
            <w:tcW w:w="109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本级财政资金</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164702</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112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108" w:type="dxa"/>
            <w:bottom w:w="0" w:type="dxa"/>
            <w:right w:w="108" w:type="dxa"/>
          </w:tblCellMar>
        </w:tblPrEx>
        <w:trPr>
          <w:trHeight w:val="439" w:hRule="atLeast"/>
        </w:trPr>
        <w:tc>
          <w:tcPr>
            <w:tcW w:w="109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其他资金</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2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32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230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236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590"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307" w:type="pct"/>
            <w:gridSpan w:val="3"/>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保障科协“天府科技云”相关工作顺利开展</w:t>
            </w:r>
          </w:p>
        </w:tc>
        <w:tc>
          <w:tcPr>
            <w:tcW w:w="2368" w:type="pct"/>
            <w:gridSpan w:val="4"/>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西区“天府科技云”工作绩效排名靠前</w:t>
            </w:r>
          </w:p>
        </w:tc>
      </w:tr>
      <w:tr>
        <w:tblPrEx>
          <w:tblCellMar>
            <w:top w:w="0" w:type="dxa"/>
            <w:left w:w="108" w:type="dxa"/>
            <w:bottom w:w="0" w:type="dxa"/>
            <w:right w:w="108" w:type="dxa"/>
          </w:tblCellMar>
        </w:tblPrEx>
        <w:trPr>
          <w:trHeight w:val="570" w:hRule="atLeast"/>
        </w:trPr>
        <w:tc>
          <w:tcPr>
            <w:tcW w:w="32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3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5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trHeight w:val="43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城乡群众可获取平台精准科普信息服务</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城乡群众可获取平台精准科普信息服务</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服务人数占比达到城乡群众人数的30%</w:t>
            </w:r>
          </w:p>
        </w:tc>
        <w:tc>
          <w:tcPr>
            <w:tcW w:w="500"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科技服务更加精准、便捷</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科技服务更加精准、便捷</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平台智能匹配“科技所需”与“科技所能”</w:t>
            </w:r>
          </w:p>
        </w:tc>
        <w:tc>
          <w:tcPr>
            <w:tcW w:w="500"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2021年全年</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2021年全年</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“天府科技云服务”平台建立推广</w:t>
            </w:r>
          </w:p>
        </w:tc>
        <w:tc>
          <w:tcPr>
            <w:tcW w:w="500"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344702元经费</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344702元经费</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156688.3元</w:t>
            </w:r>
          </w:p>
        </w:tc>
        <w:tc>
          <w:tcPr>
            <w:tcW w:w="500"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45.45</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164702元为本级财政补助经费，未使用</w:t>
            </w:r>
          </w:p>
        </w:tc>
      </w:tr>
      <w:tr>
        <w:tblPrEx>
          <w:tblCellMar>
            <w:top w:w="0" w:type="dxa"/>
            <w:left w:w="108" w:type="dxa"/>
            <w:bottom w:w="0" w:type="dxa"/>
            <w:right w:w="108" w:type="dxa"/>
          </w:tblCellMar>
        </w:tblPrEx>
        <w:trPr>
          <w:trHeight w:val="112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项目效益</w:t>
            </w: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经济效益</w:t>
            </w:r>
            <w:r>
              <w:rPr>
                <w:rFonts w:hint="eastAsia" w:ascii="宋体" w:hAnsi="宋体" w:cs="宋体"/>
                <w:kern w:val="0"/>
                <w:sz w:val="24"/>
              </w:rPr>
              <w:br w:type="textWrapping"/>
            </w:r>
            <w:r>
              <w:rPr>
                <w:rFonts w:hint="eastAsia" w:ascii="宋体" w:hAnsi="宋体" w:cs="宋体"/>
                <w:kern w:val="0"/>
                <w:sz w:val="24"/>
              </w:rPr>
              <w:t>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通过“天府科技云服务”平台，为科技供需双方建立规范化的信息平台</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通过“天府科技云服务”平台，为科技供需双方建立规范化的信息平台</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实现科技服务的市场化、精准化、便捷化、智能化</w:t>
            </w:r>
          </w:p>
        </w:tc>
        <w:tc>
          <w:tcPr>
            <w:tcW w:w="500"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5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科普服务更加智能精准畅达</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科普服务更加智能精准畅达</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实现“智慧科普、精准科普、直通科普”</w:t>
            </w:r>
          </w:p>
        </w:tc>
        <w:tc>
          <w:tcPr>
            <w:tcW w:w="500"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ind w:firstLine="420"/>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pStyle w:val="2"/>
        <w:spacing w:before="93"/>
      </w:pPr>
    </w:p>
    <w:p>
      <w:pPr>
        <w:pStyle w:val="2"/>
        <w:spacing w:before="93"/>
      </w:pPr>
    </w:p>
    <w:p>
      <w:pPr>
        <w:pStyle w:val="2"/>
        <w:spacing w:before="93"/>
      </w:pPr>
    </w:p>
    <w:p>
      <w:pPr>
        <w:spacing w:line="600" w:lineRule="exact"/>
        <w:rPr>
          <w:rFonts w:ascii="方正小标宋简体" w:hAnsi="方正小标宋简体" w:eastAsia="方正小标宋简体" w:cs="方正小标宋简体"/>
          <w:sz w:val="40"/>
          <w:szCs w:val="40"/>
        </w:rPr>
      </w:pPr>
    </w:p>
    <w:p>
      <w:pPr>
        <w:spacing w:line="600" w:lineRule="exact"/>
        <w:jc w:val="left"/>
        <w:rPr>
          <w:rFonts w:ascii="方正黑体_GBK" w:hAnsi="方正小标宋简体" w:eastAsia="方正黑体_GBK" w:cs="方正小标宋简体"/>
          <w:sz w:val="32"/>
          <w:szCs w:val="32"/>
        </w:rPr>
      </w:pPr>
      <w:r>
        <w:rPr>
          <w:rFonts w:hint="eastAsia" w:ascii="方正黑体_GBK" w:hAnsi="方正小标宋简体" w:eastAsia="方正黑体_GBK" w:cs="方正小标宋简体"/>
          <w:sz w:val="32"/>
          <w:szCs w:val="32"/>
        </w:rPr>
        <w:t>附件3</w:t>
      </w: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全民科学素质项目支出绩效自评报告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widowControl/>
        <w:ind w:firstLine="624" w:firstLineChars="200"/>
        <w:jc w:val="left"/>
      </w:pPr>
      <w:r>
        <w:rPr>
          <w:rFonts w:hint="eastAsia" w:eastAsia="仿宋_GB2312" w:cstheme="minorBidi"/>
          <w:snapToGrid w:val="0"/>
          <w:spacing w:val="-4"/>
          <w:kern w:val="0"/>
          <w:sz w:val="32"/>
          <w:szCs w:val="32"/>
          <w:shd w:val="clear" w:color="auto" w:fill="FFFFFF"/>
        </w:rPr>
        <w:t>贯彻党的群众路线和知识分子政策、国家科学技术工作者基本方针，开展科学知识、科学思想、科学精神、科学方法的宣传和普及工作；开展技术开发、技术转让、技术咨询、技术服务活动；反映科技工作的意见和要求，维护科技工作者的合法权益、举荐科技人才、表彰奖励优秀科普工作者；指导乡镇科协、农村专业技术协会工作；承办区委、区政府交办的其它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ind w:firstLine="640" w:firstLineChars="200"/>
        <w:rPr>
          <w:rFonts w:ascii="仿宋_GB2312" w:eastAsia="仿宋_GB2312"/>
          <w:kern w:val="0"/>
          <w:sz w:val="30"/>
          <w:lang w:val="zh-CN"/>
        </w:rPr>
      </w:pPr>
      <w:r>
        <w:rPr>
          <w:rFonts w:hint="eastAsia" w:ascii="仿宋_GB2312" w:eastAsia="仿宋_GB2312"/>
          <w:kern w:val="0"/>
          <w:sz w:val="32"/>
          <w:szCs w:val="32"/>
        </w:rPr>
        <w:t>按照《攀枝花市西区</w:t>
      </w:r>
      <w:r>
        <w:rPr>
          <w:rFonts w:ascii="仿宋_GB2312" w:eastAsia="仿宋_GB2312"/>
          <w:kern w:val="0"/>
          <w:sz w:val="32"/>
          <w:szCs w:val="32"/>
        </w:rPr>
        <w:t>全民科学素质行动计划纲要实施方案(2016-2020年)》</w:t>
      </w:r>
      <w:r>
        <w:rPr>
          <w:rFonts w:hint="eastAsia" w:ascii="仿宋_GB2312" w:eastAsia="仿宋_GB2312"/>
          <w:kern w:val="0"/>
          <w:sz w:val="32"/>
          <w:szCs w:val="32"/>
        </w:rPr>
        <w:t>要求实施。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353" w:lineRule="auto"/>
        <w:ind w:firstLine="640" w:firstLineChars="200"/>
        <w:rPr>
          <w:rFonts w:eastAsia="仿宋_GB2312"/>
          <w:b/>
          <w:bCs/>
          <w:snapToGrid w:val="0"/>
          <w:spacing w:val="-4"/>
          <w:kern w:val="0"/>
          <w:sz w:val="32"/>
          <w:szCs w:val="32"/>
          <w:shd w:val="clear" w:color="auto" w:fill="FFFFFF"/>
        </w:rPr>
      </w:pPr>
      <w:r>
        <w:rPr>
          <w:rFonts w:hint="eastAsia" w:eastAsia="仿宋_GB2312"/>
          <w:sz w:val="32"/>
          <w:szCs w:val="32"/>
        </w:rPr>
        <w:t>全面贯彻党的十八大、十九大及历次全会和习近平总书记在中国科协“九大”会议上的重要讲话精神，落实国务院、省政府、市政府有关工作部署，坚持“政府推动、全民参与、提升素质、促进和谐”工作方针，以促进科普公共服务均等化和公平普惠为原则，以提升科普公共服务能力为核心，以科普信息化建设为重点，以构建社会化科普格局为保障，创新工作载体，推动科技教育、传播与普及，扎实推进全民科学素质工作，激发大众创业创新热情和潜力，为推动科技发展，全面建成小康社会做出新的贡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353" w:lineRule="auto"/>
        <w:ind w:firstLine="640" w:firstLineChars="200"/>
        <w:rPr>
          <w:rFonts w:eastAsia="仿宋_GB2312"/>
          <w:sz w:val="32"/>
          <w:szCs w:val="32"/>
        </w:rPr>
      </w:pPr>
      <w:r>
        <w:rPr>
          <w:rFonts w:hint="eastAsia" w:eastAsia="仿宋_GB2312"/>
          <w:sz w:val="32"/>
          <w:szCs w:val="32"/>
        </w:rPr>
        <w:t>科技教育、传播与普及长足发展，配合上级部门建设适应创新型国家建设需求的现代公民科学素质组织实施、基础设施、条件保障、监测评估等体系，公民科学素质建设的公共服务能力显著增强，公民具备科学素质的比例达到8%以上。</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ind w:firstLine="420"/>
        <w:rPr>
          <w:lang w:val="zh-CN"/>
        </w:rPr>
      </w:pPr>
      <w:r>
        <w:rPr>
          <w:rFonts w:hint="eastAsia" w:ascii="仿宋_GB2312" w:hAnsi="宋体" w:eastAsia="仿宋_GB2312"/>
          <w:sz w:val="32"/>
          <w:szCs w:val="32"/>
          <w:lang w:val="zh-CN"/>
        </w:rPr>
        <w:t>分析评价申报内容与实际相符，申报目标合理可行。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353" w:lineRule="auto"/>
        <w:ind w:firstLine="640" w:firstLineChars="200"/>
        <w:rPr>
          <w:rFonts w:eastAsia="仿宋_GB2312"/>
          <w:sz w:val="32"/>
          <w:szCs w:val="32"/>
        </w:rPr>
      </w:pPr>
      <w:r>
        <w:rPr>
          <w:rFonts w:hint="eastAsia" w:eastAsia="仿宋_GB2312"/>
          <w:sz w:val="32"/>
          <w:szCs w:val="32"/>
        </w:rPr>
        <w:t>为有效提高市民科学素质，需加大以贯彻科教兴国战略、崇尚科学为主要内容的相关宣传，主要用于各新闻媒体进行广泛的宣传，并同时用于宣传标语、牌板、横幅、宣传资料、宣传品印制，进一步营造全社会尊重科学的良好氛围。按人均科普经费投入不少于一元的标准，西区14.9万人，共计申报14.9万元，最终批复下达0.5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353" w:lineRule="auto"/>
        <w:ind w:firstLine="640" w:firstLineChars="200"/>
        <w:rPr>
          <w:rFonts w:eastAsia="仿宋_GB2312"/>
          <w:sz w:val="32"/>
          <w:szCs w:val="32"/>
        </w:rPr>
      </w:pPr>
      <w:r>
        <w:rPr>
          <w:rFonts w:hint="eastAsia" w:ascii="楷体_GB2312" w:hAnsi="宋体" w:eastAsia="楷体_GB2312"/>
          <w:sz w:val="32"/>
          <w:szCs w:val="32"/>
          <w:lang w:val="zh-CN"/>
        </w:rPr>
        <w:t>1．资金计划。</w:t>
      </w:r>
      <w:r>
        <w:rPr>
          <w:rFonts w:hint="eastAsia" w:eastAsia="仿宋_GB2312"/>
          <w:sz w:val="32"/>
          <w:szCs w:val="32"/>
        </w:rPr>
        <w:t>制作宣传标语、牌板、横幅、宣传资料、宣传品等0.25万元。开展科普宣传培训活动0.25万元。</w:t>
      </w:r>
    </w:p>
    <w:p>
      <w:pPr>
        <w:adjustRightInd w:val="0"/>
        <w:snapToGrid w:val="0"/>
        <w:spacing w:line="600" w:lineRule="exact"/>
        <w:ind w:firstLine="720"/>
        <w:rPr>
          <w:rFonts w:eastAsia="方正仿宋_GBK"/>
          <w:spacing w:val="-4"/>
          <w:kern w:val="0"/>
          <w:sz w:val="33"/>
          <w:szCs w:val="33"/>
        </w:rPr>
      </w:pPr>
      <w:r>
        <w:rPr>
          <w:rFonts w:hint="eastAsia" w:ascii="楷体_GB2312" w:hAnsi="宋体" w:eastAsia="楷体_GB2312"/>
          <w:sz w:val="32"/>
          <w:szCs w:val="32"/>
          <w:lang w:val="zh-CN"/>
        </w:rPr>
        <w:t>2．资金到位。</w:t>
      </w:r>
      <w:r>
        <w:rPr>
          <w:rFonts w:eastAsia="方正仿宋_GBK"/>
          <w:spacing w:val="-4"/>
          <w:kern w:val="0"/>
          <w:sz w:val="33"/>
          <w:szCs w:val="33"/>
        </w:rPr>
        <w:t>以上</w:t>
      </w:r>
      <w:r>
        <w:rPr>
          <w:rFonts w:hint="eastAsia" w:eastAsia="方正仿宋_GBK"/>
          <w:spacing w:val="-4"/>
          <w:kern w:val="0"/>
          <w:sz w:val="33"/>
          <w:szCs w:val="33"/>
        </w:rPr>
        <w:t>资金</w:t>
      </w:r>
      <w:r>
        <w:rPr>
          <w:rFonts w:eastAsia="方正仿宋_GBK"/>
          <w:spacing w:val="-4"/>
          <w:kern w:val="0"/>
          <w:sz w:val="33"/>
          <w:szCs w:val="33"/>
        </w:rPr>
        <w:t>计划按照资金管理权限由</w:t>
      </w:r>
      <w:r>
        <w:rPr>
          <w:rFonts w:hint="eastAsia" w:eastAsia="方正仿宋_GBK"/>
          <w:spacing w:val="-4"/>
          <w:kern w:val="0"/>
          <w:sz w:val="33"/>
          <w:szCs w:val="33"/>
        </w:rPr>
        <w:t>区</w:t>
      </w:r>
      <w:r>
        <w:rPr>
          <w:rFonts w:eastAsia="方正仿宋_GBK"/>
          <w:spacing w:val="-4"/>
          <w:kern w:val="0"/>
          <w:sz w:val="33"/>
          <w:szCs w:val="33"/>
        </w:rPr>
        <w:t>级财政按时批复</w:t>
      </w:r>
      <w:r>
        <w:rPr>
          <w:rFonts w:hint="eastAsia" w:eastAsia="方正仿宋_GBK"/>
          <w:spacing w:val="-4"/>
          <w:kern w:val="0"/>
          <w:sz w:val="33"/>
          <w:szCs w:val="33"/>
        </w:rPr>
        <w:t>于2021年</w:t>
      </w:r>
      <w:r>
        <w:rPr>
          <w:rFonts w:eastAsia="方正仿宋_GBK"/>
          <w:spacing w:val="-4"/>
          <w:kern w:val="0"/>
          <w:sz w:val="33"/>
          <w:szCs w:val="33"/>
        </w:rPr>
        <w:t>下达</w:t>
      </w:r>
      <w:r>
        <w:rPr>
          <w:rFonts w:hint="eastAsia" w:eastAsia="方正仿宋_GBK"/>
          <w:spacing w:val="-4"/>
          <w:kern w:val="0"/>
          <w:sz w:val="33"/>
          <w:szCs w:val="33"/>
        </w:rPr>
        <w:t>和</w:t>
      </w:r>
      <w:r>
        <w:rPr>
          <w:rFonts w:eastAsia="方正仿宋_GBK"/>
          <w:spacing w:val="-4"/>
          <w:kern w:val="0"/>
          <w:sz w:val="33"/>
          <w:szCs w:val="33"/>
        </w:rPr>
        <w:t>支付，资金到位</w:t>
      </w:r>
      <w:r>
        <w:rPr>
          <w:rFonts w:hint="eastAsia" w:eastAsia="方正仿宋_GBK"/>
          <w:spacing w:val="-4"/>
          <w:kern w:val="0"/>
          <w:sz w:val="33"/>
          <w:szCs w:val="33"/>
        </w:rPr>
        <w:t>情况</w:t>
      </w:r>
      <w:r>
        <w:rPr>
          <w:rFonts w:eastAsia="方正仿宋_GBK"/>
          <w:spacing w:val="-4"/>
          <w:kern w:val="0"/>
          <w:sz w:val="33"/>
          <w:szCs w:val="33"/>
        </w:rPr>
        <w:t>与资金计划相符。</w:t>
      </w:r>
    </w:p>
    <w:p>
      <w:pPr>
        <w:adjustRightInd w:val="0"/>
        <w:snapToGrid w:val="0"/>
        <w:spacing w:line="353" w:lineRule="auto"/>
        <w:ind w:firstLine="640" w:firstLineChars="200"/>
        <w:rPr>
          <w:rFonts w:eastAsia="仿宋_GB2312"/>
          <w:sz w:val="32"/>
          <w:szCs w:val="32"/>
        </w:rPr>
      </w:pPr>
      <w:r>
        <w:rPr>
          <w:rFonts w:hint="eastAsia" w:ascii="楷体_GB2312" w:hAnsi="宋体" w:eastAsia="楷体_GB2312"/>
          <w:sz w:val="32"/>
          <w:szCs w:val="32"/>
          <w:lang w:val="zh-CN"/>
        </w:rPr>
        <w:t>3．资金使用。</w:t>
      </w:r>
      <w:r>
        <w:rPr>
          <w:rFonts w:hint="eastAsia" w:eastAsia="仿宋_GB2312"/>
          <w:sz w:val="32"/>
          <w:szCs w:val="32"/>
        </w:rPr>
        <w:t>制作宣传标语、牌板、横幅、宣传资料、宣传品等。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utoSpaceDE w:val="0"/>
        <w:autoSpaceDN w:val="0"/>
        <w:adjustRightInd w:val="0"/>
        <w:spacing w:line="560" w:lineRule="exact"/>
        <w:ind w:firstLine="643" w:firstLineChars="200"/>
        <w:jc w:val="left"/>
        <w:rPr>
          <w:rFonts w:eastAsia="方正仿宋_GBK"/>
          <w:spacing w:val="-4"/>
          <w:kern w:val="0"/>
          <w:sz w:val="33"/>
          <w:szCs w:val="33"/>
        </w:rPr>
      </w:pPr>
      <w:r>
        <w:rPr>
          <w:rFonts w:hint="eastAsia" w:ascii="楷体_GB2312" w:hAnsi="宋体" w:eastAsia="楷体_GB2312"/>
          <w:b/>
          <w:sz w:val="32"/>
          <w:szCs w:val="32"/>
          <w:lang w:val="zh-CN"/>
        </w:rPr>
        <w:t>（一）项目管理情况。</w:t>
      </w:r>
      <w:r>
        <w:rPr>
          <w:rFonts w:hint="eastAsia" w:eastAsia="方正仿宋_GBK"/>
          <w:spacing w:val="-4"/>
          <w:kern w:val="0"/>
          <w:sz w:val="33"/>
          <w:szCs w:val="33"/>
        </w:rPr>
        <w:t>西区</w:t>
      </w:r>
      <w:r>
        <w:rPr>
          <w:rFonts w:eastAsia="方正仿宋_GBK"/>
          <w:spacing w:val="-4"/>
          <w:kern w:val="0"/>
          <w:sz w:val="33"/>
          <w:szCs w:val="33"/>
        </w:rPr>
        <w:t>科协坚持</w:t>
      </w:r>
      <w:r>
        <w:rPr>
          <w:rFonts w:hint="eastAsia" w:eastAsia="方正仿宋_GBK"/>
          <w:spacing w:val="-4"/>
          <w:kern w:val="0"/>
          <w:sz w:val="33"/>
          <w:szCs w:val="33"/>
        </w:rPr>
        <w:t>目标</w:t>
      </w:r>
      <w:r>
        <w:rPr>
          <w:rFonts w:eastAsia="方正仿宋_GBK"/>
          <w:spacing w:val="-4"/>
          <w:kern w:val="0"/>
          <w:sz w:val="33"/>
          <w:szCs w:val="33"/>
        </w:rPr>
        <w:t>导向，强化</w:t>
      </w:r>
      <w:r>
        <w:rPr>
          <w:rFonts w:hint="eastAsia" w:eastAsia="方正仿宋_GBK"/>
          <w:spacing w:val="-4"/>
          <w:kern w:val="0"/>
          <w:sz w:val="33"/>
          <w:szCs w:val="33"/>
        </w:rPr>
        <w:t>科普活动资金进度监控和全流程绩效评价，跟踪加强项目执行的监督检查</w:t>
      </w:r>
      <w:r>
        <w:rPr>
          <w:rFonts w:eastAsia="方正仿宋_GBK"/>
          <w:spacing w:val="-4"/>
          <w:kern w:val="0"/>
          <w:sz w:val="33"/>
          <w:szCs w:val="33"/>
        </w:rPr>
        <w:t>，有针对性地</w:t>
      </w:r>
      <w:r>
        <w:rPr>
          <w:rFonts w:hint="eastAsia" w:eastAsia="方正仿宋_GBK"/>
          <w:spacing w:val="-4"/>
          <w:kern w:val="0"/>
          <w:sz w:val="33"/>
          <w:szCs w:val="33"/>
        </w:rPr>
        <w:t>优化</w:t>
      </w:r>
      <w:r>
        <w:rPr>
          <w:rFonts w:eastAsia="方正仿宋_GBK"/>
          <w:spacing w:val="-4"/>
          <w:kern w:val="0"/>
          <w:sz w:val="33"/>
          <w:szCs w:val="33"/>
        </w:rPr>
        <w:t>财务</w:t>
      </w:r>
      <w:r>
        <w:rPr>
          <w:rFonts w:hint="eastAsia" w:eastAsia="方正仿宋_GBK"/>
          <w:spacing w:val="-4"/>
          <w:kern w:val="0"/>
          <w:sz w:val="33"/>
          <w:szCs w:val="33"/>
        </w:rPr>
        <w:t>工作流程</w:t>
      </w:r>
      <w:r>
        <w:rPr>
          <w:rFonts w:eastAsia="方正仿宋_GBK"/>
          <w:spacing w:val="-4"/>
          <w:kern w:val="0"/>
          <w:sz w:val="33"/>
          <w:szCs w:val="33"/>
        </w:rPr>
        <w:t>，不断健全集体决策制度，加强内控建设，</w:t>
      </w:r>
      <w:r>
        <w:rPr>
          <w:rFonts w:hint="eastAsia" w:eastAsia="方正仿宋_GBK"/>
          <w:spacing w:val="-4"/>
          <w:kern w:val="0"/>
          <w:sz w:val="33"/>
          <w:szCs w:val="33"/>
        </w:rPr>
        <w:t>做到专项资金专项管理，</w:t>
      </w:r>
      <w:r>
        <w:rPr>
          <w:rFonts w:eastAsia="方正仿宋_GBK"/>
          <w:spacing w:val="-4"/>
          <w:kern w:val="0"/>
          <w:sz w:val="33"/>
          <w:szCs w:val="33"/>
        </w:rPr>
        <w:t>夯实会计基础工作，完善资金报账签批程序，依法公开财务报表报告，主动接受社会监督，切实提升部门财务管理水平，做到了严格执行财务管理制度，账务处理及时，会计核算规范。</w:t>
      </w:r>
    </w:p>
    <w:p>
      <w:pPr>
        <w:adjustRightInd w:val="0"/>
        <w:snapToGrid w:val="0"/>
        <w:spacing w:line="600" w:lineRule="exact"/>
        <w:ind w:firstLine="720"/>
        <w:rPr>
          <w:rFonts w:eastAsia="方正仿宋_GBK"/>
          <w:spacing w:val="-4"/>
          <w:kern w:val="0"/>
          <w:sz w:val="33"/>
          <w:szCs w:val="33"/>
        </w:rPr>
      </w:pPr>
      <w:r>
        <w:rPr>
          <w:rFonts w:hint="eastAsia" w:ascii="楷体_GB2312" w:hAnsi="宋体" w:eastAsia="楷体_GB2312"/>
          <w:b/>
          <w:sz w:val="32"/>
          <w:szCs w:val="32"/>
          <w:lang w:val="zh-CN"/>
        </w:rPr>
        <w:t>（二）项目监管情况。</w:t>
      </w:r>
      <w:r>
        <w:rPr>
          <w:rFonts w:hint="eastAsia" w:eastAsia="方正仿宋_GBK"/>
          <w:spacing w:val="-4"/>
          <w:kern w:val="0"/>
          <w:sz w:val="33"/>
          <w:szCs w:val="33"/>
        </w:rPr>
        <w:t>专项资金严格执行资金报账制度。认真执行科普专项资金管理规定，做到了专款专用。专项资金支付根据项目完成进度，经验收合格后，按照合同约定据实支付，支付流程合规合法，管理规范有效。</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eastAsia="仿宋_GB2312"/>
          <w:sz w:val="32"/>
          <w:szCs w:val="32"/>
        </w:rPr>
        <w:t>以重点人群科学素质行动带动全民科学素质的整体提高。未成年人对科学的兴趣明显提高，创新意识和实践能力有较大增强；农民和城镇劳动人口的科学素质有显著提高，城乡居民科学素质水平差距逐步缩小；领导干部和公务员的科学素质在各类职业人群中位居前列</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353" w:lineRule="auto"/>
        <w:ind w:firstLine="640" w:firstLineChars="200"/>
        <w:rPr>
          <w:rFonts w:eastAsia="仿宋_GB2312"/>
          <w:sz w:val="32"/>
          <w:szCs w:val="32"/>
        </w:rPr>
      </w:pPr>
      <w:r>
        <w:rPr>
          <w:rFonts w:hint="eastAsia" w:eastAsia="仿宋_GB2312"/>
          <w:sz w:val="32"/>
          <w:szCs w:val="32"/>
        </w:rPr>
        <w:t>1.通过开展科普相关活动，进一步提升市民科学素质。</w:t>
      </w:r>
    </w:p>
    <w:p>
      <w:pPr>
        <w:adjustRightInd w:val="0"/>
        <w:snapToGrid w:val="0"/>
        <w:spacing w:line="353" w:lineRule="auto"/>
        <w:ind w:firstLine="640" w:firstLineChars="200"/>
        <w:rPr>
          <w:rFonts w:eastAsia="仿宋_GB2312"/>
          <w:sz w:val="32"/>
          <w:szCs w:val="32"/>
        </w:rPr>
      </w:pPr>
      <w:r>
        <w:rPr>
          <w:rFonts w:hint="eastAsia" w:eastAsia="仿宋_GB2312"/>
          <w:sz w:val="32"/>
          <w:szCs w:val="32"/>
        </w:rPr>
        <w:t>2.通过开展科普相关宣传，营造</w:t>
      </w:r>
      <w:r>
        <w:rPr>
          <w:rFonts w:eastAsia="仿宋_GB2312"/>
          <w:bCs/>
          <w:spacing w:val="-4"/>
          <w:sz w:val="32"/>
          <w:szCs w:val="32"/>
          <w:shd w:val="clear" w:color="auto" w:fill="FFFFFF"/>
        </w:rPr>
        <w:t>全社会尊重</w:t>
      </w:r>
      <w:r>
        <w:rPr>
          <w:rFonts w:hint="eastAsia" w:eastAsia="仿宋_GB2312"/>
          <w:bCs/>
          <w:spacing w:val="-4"/>
          <w:sz w:val="32"/>
          <w:szCs w:val="32"/>
          <w:shd w:val="clear" w:color="auto" w:fill="FFFFFF"/>
        </w:rPr>
        <w:t>科学，崇尚科学</w:t>
      </w:r>
      <w:r>
        <w:rPr>
          <w:rFonts w:eastAsia="仿宋_GB2312"/>
          <w:bCs/>
          <w:spacing w:val="-4"/>
          <w:sz w:val="32"/>
          <w:szCs w:val="32"/>
          <w:shd w:val="clear" w:color="auto" w:fill="FFFFFF"/>
        </w:rPr>
        <w:t>的良好氛围</w:t>
      </w:r>
      <w:r>
        <w:rPr>
          <w:rFonts w:hint="eastAsia" w:eastAsia="仿宋_GB2312"/>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4" w:firstLineChars="200"/>
        <w:rPr>
          <w:rFonts w:eastAsia="方正仿宋_GBK"/>
          <w:spacing w:val="-4"/>
          <w:kern w:val="0"/>
          <w:sz w:val="33"/>
          <w:szCs w:val="33"/>
        </w:rPr>
      </w:pPr>
      <w:r>
        <w:rPr>
          <w:rFonts w:eastAsia="方正仿宋_GBK"/>
          <w:spacing w:val="-4"/>
          <w:kern w:val="0"/>
          <w:sz w:val="33"/>
          <w:szCs w:val="33"/>
        </w:rPr>
        <w:t>总的来说，</w:t>
      </w:r>
      <w:r>
        <w:rPr>
          <w:rFonts w:hint="eastAsia" w:eastAsia="方正仿宋_GBK"/>
          <w:spacing w:val="-4"/>
          <w:kern w:val="0"/>
          <w:sz w:val="33"/>
          <w:szCs w:val="33"/>
        </w:rPr>
        <w:t>区</w:t>
      </w:r>
      <w:r>
        <w:rPr>
          <w:rFonts w:eastAsia="方正仿宋_GBK"/>
          <w:spacing w:val="-4"/>
          <w:kern w:val="0"/>
          <w:sz w:val="33"/>
          <w:szCs w:val="33"/>
        </w:rPr>
        <w:t>科协202</w:t>
      </w:r>
      <w:r>
        <w:rPr>
          <w:rFonts w:hint="eastAsia" w:eastAsia="方正仿宋_GBK"/>
          <w:spacing w:val="-4"/>
          <w:kern w:val="0"/>
          <w:sz w:val="33"/>
          <w:szCs w:val="33"/>
        </w:rPr>
        <w:t>1</w:t>
      </w:r>
      <w:r>
        <w:rPr>
          <w:rFonts w:eastAsia="方正仿宋_GBK"/>
          <w:spacing w:val="-4"/>
          <w:kern w:val="0"/>
          <w:sz w:val="33"/>
          <w:szCs w:val="33"/>
        </w:rPr>
        <w:t>年度</w:t>
      </w:r>
      <w:r>
        <w:rPr>
          <w:rFonts w:hint="eastAsia" w:eastAsia="方正仿宋_GBK"/>
          <w:spacing w:val="-4"/>
          <w:kern w:val="0"/>
          <w:sz w:val="33"/>
          <w:szCs w:val="33"/>
        </w:rPr>
        <w:t>专项项目</w:t>
      </w:r>
      <w:r>
        <w:rPr>
          <w:rFonts w:eastAsia="方正仿宋_GBK"/>
          <w:spacing w:val="-4"/>
          <w:kern w:val="0"/>
          <w:sz w:val="33"/>
          <w:szCs w:val="33"/>
        </w:rPr>
        <w:t>绩效评价良好，</w:t>
      </w:r>
      <w:r>
        <w:rPr>
          <w:rFonts w:hint="eastAsia" w:eastAsia="方正仿宋_GBK"/>
          <w:spacing w:val="-4"/>
          <w:kern w:val="0"/>
          <w:sz w:val="33"/>
          <w:szCs w:val="33"/>
        </w:rPr>
        <w:t>在财政库款紧张的情况下基本完成了年初既定的目标任务，中心工作取得优异成绩，总体项目</w:t>
      </w:r>
      <w:r>
        <w:rPr>
          <w:rFonts w:eastAsia="方正仿宋_GBK"/>
          <w:spacing w:val="-4"/>
          <w:kern w:val="0"/>
          <w:sz w:val="33"/>
          <w:szCs w:val="33"/>
        </w:rPr>
        <w:t>绩效目标</w:t>
      </w:r>
      <w:r>
        <w:rPr>
          <w:rFonts w:hint="eastAsia" w:eastAsia="方正仿宋_GBK"/>
          <w:spacing w:val="-4"/>
          <w:kern w:val="0"/>
          <w:sz w:val="33"/>
          <w:szCs w:val="33"/>
        </w:rPr>
        <w:t>得以实现</w:t>
      </w:r>
      <w:r>
        <w:rPr>
          <w:rFonts w:eastAsia="方正仿宋_GBK"/>
          <w:spacing w:val="-4"/>
          <w:kern w:val="0"/>
          <w:sz w:val="33"/>
          <w:szCs w:val="33"/>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spacing w:line="0" w:lineRule="atLeast"/>
        <w:jc w:val="center"/>
        <w:rPr>
          <w:rFonts w:eastAsia="方正小标宋_GBK"/>
          <w:color w:val="000000"/>
          <w:sz w:val="44"/>
          <w:szCs w:val="44"/>
        </w:rPr>
      </w:pPr>
    </w:p>
    <w:tbl>
      <w:tblPr>
        <w:tblStyle w:val="13"/>
        <w:tblW w:w="5000" w:type="pct"/>
        <w:tblInd w:w="0" w:type="dxa"/>
        <w:tblLayout w:type="autofit"/>
        <w:tblCellMar>
          <w:top w:w="0" w:type="dxa"/>
          <w:left w:w="108" w:type="dxa"/>
          <w:bottom w:w="0" w:type="dxa"/>
          <w:right w:w="108" w:type="dxa"/>
        </w:tblCellMar>
      </w:tblPr>
      <w:tblGrid>
        <w:gridCol w:w="554"/>
        <w:gridCol w:w="554"/>
        <w:gridCol w:w="762"/>
        <w:gridCol w:w="2616"/>
        <w:gridCol w:w="1062"/>
        <w:gridCol w:w="1062"/>
        <w:gridCol w:w="852"/>
        <w:gridCol w:w="1060"/>
      </w:tblGrid>
      <w:tr>
        <w:tblPrEx>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2021年项目资金绩效自评表</w:t>
            </w:r>
          </w:p>
        </w:tc>
      </w:tr>
      <w:tr>
        <w:tblPrEx>
          <w:tblCellMar>
            <w:top w:w="0" w:type="dxa"/>
            <w:left w:w="108" w:type="dxa"/>
            <w:bottom w:w="0" w:type="dxa"/>
            <w:right w:w="108" w:type="dxa"/>
          </w:tblCellMar>
        </w:tblPrEx>
        <w:trPr>
          <w:trHeight w:val="285" w:hRule="atLeast"/>
        </w:trPr>
        <w:tc>
          <w:tcPr>
            <w:tcW w:w="5000" w:type="pct"/>
            <w:gridSpan w:val="8"/>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rFonts w:hint="eastAsia"/>
                <w:kern w:val="0"/>
                <w:sz w:val="24"/>
              </w:rPr>
              <w:t>全民科学素质行动计划项目</w:t>
            </w:r>
            <w:r>
              <w:rPr>
                <w:rFonts w:hint="eastAsia" w:ascii="宋体" w:hAnsi="宋体" w:cs="宋体"/>
                <w:kern w:val="0"/>
                <w:sz w:val="24"/>
              </w:rPr>
              <w:t>）</w:t>
            </w:r>
          </w:p>
        </w:tc>
      </w:tr>
      <w:tr>
        <w:tblPrEx>
          <w:tblCellMar>
            <w:top w:w="0" w:type="dxa"/>
            <w:left w:w="108" w:type="dxa"/>
            <w:bottom w:w="0" w:type="dxa"/>
            <w:right w:w="108" w:type="dxa"/>
          </w:tblCellMar>
        </w:tblPrEx>
        <w:trPr>
          <w:trHeight w:val="435" w:hRule="atLeast"/>
        </w:trPr>
        <w:tc>
          <w:tcPr>
            <w:tcW w:w="325" w:type="pct"/>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325" w:type="pct"/>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447" w:type="pct"/>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535"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23"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23"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00"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22" w:type="pct"/>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39" w:hRule="atLeast"/>
        </w:trPr>
        <w:tc>
          <w:tcPr>
            <w:tcW w:w="109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专项（项目）名称</w:t>
            </w:r>
          </w:p>
        </w:tc>
        <w:tc>
          <w:tcPr>
            <w:tcW w:w="3903"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全民科学素质行动计划</w:t>
            </w:r>
          </w:p>
        </w:tc>
      </w:tr>
      <w:tr>
        <w:tblPrEx>
          <w:tblCellMar>
            <w:top w:w="0" w:type="dxa"/>
            <w:left w:w="108" w:type="dxa"/>
            <w:bottom w:w="0" w:type="dxa"/>
            <w:right w:w="108" w:type="dxa"/>
          </w:tblCellMar>
        </w:tblPrEx>
        <w:trPr>
          <w:trHeight w:val="439" w:hRule="atLeast"/>
        </w:trPr>
        <w:tc>
          <w:tcPr>
            <w:tcW w:w="109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项目主管单位</w:t>
            </w:r>
          </w:p>
        </w:tc>
        <w:tc>
          <w:tcPr>
            <w:tcW w:w="3903"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攀枝花市西区财政局</w:t>
            </w:r>
          </w:p>
        </w:tc>
      </w:tr>
      <w:tr>
        <w:tblPrEx>
          <w:tblCellMar>
            <w:top w:w="0" w:type="dxa"/>
            <w:left w:w="108" w:type="dxa"/>
            <w:bottom w:w="0" w:type="dxa"/>
            <w:right w:w="108" w:type="dxa"/>
          </w:tblCellMar>
        </w:tblPrEx>
        <w:trPr>
          <w:trHeight w:val="439" w:hRule="atLeast"/>
        </w:trPr>
        <w:tc>
          <w:tcPr>
            <w:tcW w:w="1097"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项目实施单位</w:t>
            </w:r>
          </w:p>
        </w:tc>
        <w:tc>
          <w:tcPr>
            <w:tcW w:w="3903"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攀枝花市西区科学技术协会</w:t>
            </w:r>
          </w:p>
        </w:tc>
      </w:tr>
      <w:tr>
        <w:tblPrEx>
          <w:tblCellMar>
            <w:top w:w="0" w:type="dxa"/>
            <w:left w:w="108" w:type="dxa"/>
            <w:bottom w:w="0" w:type="dxa"/>
            <w:right w:w="108" w:type="dxa"/>
          </w:tblCellMar>
        </w:tblPrEx>
        <w:trPr>
          <w:trHeight w:val="439" w:hRule="atLeast"/>
        </w:trPr>
        <w:tc>
          <w:tcPr>
            <w:tcW w:w="1097"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5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12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trHeight w:val="439" w:hRule="atLeast"/>
        </w:trPr>
        <w:tc>
          <w:tcPr>
            <w:tcW w:w="109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年度资金总额：</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2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109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其中：上级财政资金</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2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109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本级财政资金</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0.5</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0.5</w:t>
            </w:r>
          </w:p>
        </w:tc>
        <w:tc>
          <w:tcPr>
            <w:tcW w:w="112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439" w:hRule="atLeast"/>
        </w:trPr>
        <w:tc>
          <w:tcPr>
            <w:tcW w:w="109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其他资金</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2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32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230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236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590"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30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实施全民科学素质行动，提高全区居民科学素质</w:t>
            </w:r>
          </w:p>
        </w:tc>
        <w:tc>
          <w:tcPr>
            <w:tcW w:w="236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成功开展了多次科普宣传活动</w:t>
            </w:r>
          </w:p>
        </w:tc>
      </w:tr>
      <w:tr>
        <w:tblPrEx>
          <w:tblCellMar>
            <w:top w:w="0" w:type="dxa"/>
            <w:left w:w="108" w:type="dxa"/>
            <w:bottom w:w="0" w:type="dxa"/>
            <w:right w:w="108" w:type="dxa"/>
          </w:tblCellMar>
        </w:tblPrEx>
        <w:trPr>
          <w:trHeight w:val="570" w:hRule="atLeast"/>
        </w:trPr>
        <w:tc>
          <w:tcPr>
            <w:tcW w:w="32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3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5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6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trHeight w:val="43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开展全民科学素质计划行动</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全区具备科学素质比例达到8%</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w:t>
            </w:r>
          </w:p>
        </w:tc>
        <w:tc>
          <w:tcPr>
            <w:tcW w:w="5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6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促进全民科学素质整体提升</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全民科学素质显著提升</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w:t>
            </w:r>
          </w:p>
        </w:tc>
        <w:tc>
          <w:tcPr>
            <w:tcW w:w="5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6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到2021年公民科学素质在整体上有较大幅度的提高</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全区公民具备科学素质的比例达到8%</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w:t>
            </w:r>
          </w:p>
        </w:tc>
        <w:tc>
          <w:tcPr>
            <w:tcW w:w="5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6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5000元</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5000元</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5000元</w:t>
            </w:r>
          </w:p>
        </w:tc>
        <w:tc>
          <w:tcPr>
            <w:tcW w:w="5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6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5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到2020年公民科学素质在整体上有较大幅度的提高</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全区公民具备科学素质的比例达到8%</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w:t>
            </w:r>
          </w:p>
        </w:tc>
        <w:tc>
          <w:tcPr>
            <w:tcW w:w="5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6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55" w:hRule="atLeast"/>
        </w:trPr>
        <w:tc>
          <w:tcPr>
            <w:tcW w:w="3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4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15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科学技术教育、传播与普及长足发展，公民科学素质在整体上有较大幅度的提高</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全区公民具备科学素质的比例达到8%</w:t>
            </w:r>
          </w:p>
        </w:tc>
        <w:tc>
          <w:tcPr>
            <w:tcW w:w="6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w:t>
            </w:r>
          </w:p>
        </w:tc>
        <w:tc>
          <w:tcPr>
            <w:tcW w:w="5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c>
          <w:tcPr>
            <w:tcW w:w="6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jc w:val="center"/>
        <w:rPr>
          <w:rFonts w:ascii="方正小标宋简体" w:hAnsi="方正小标宋简体" w:eastAsia="方正小标宋简体" w:cs="方正小标宋简体"/>
          <w:sz w:val="40"/>
          <w:szCs w:val="40"/>
        </w:rPr>
      </w:pPr>
    </w:p>
    <w:p>
      <w:pPr>
        <w:spacing w:line="600" w:lineRule="exact"/>
        <w:jc w:val="left"/>
        <w:rPr>
          <w:rFonts w:ascii="方正黑体_GBK" w:hAnsi="方正小标宋简体" w:eastAsia="方正黑体_GBK" w:cs="方正小标宋简体"/>
          <w:sz w:val="32"/>
          <w:szCs w:val="32"/>
        </w:rPr>
      </w:pPr>
      <w:r>
        <w:rPr>
          <w:rFonts w:hint="eastAsia" w:ascii="方正黑体_GBK" w:hAnsi="方正小标宋简体" w:eastAsia="方正黑体_GBK" w:cs="方正小标宋简体"/>
          <w:sz w:val="32"/>
          <w:szCs w:val="32"/>
        </w:rPr>
        <w:t>附件4</w:t>
      </w:r>
    </w:p>
    <w:p>
      <w:pPr>
        <w:ind w:firstLine="420"/>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科普经费项目支出绩效自评报告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widowControl/>
        <w:ind w:firstLine="624" w:firstLineChars="200"/>
        <w:jc w:val="left"/>
      </w:pPr>
      <w:r>
        <w:rPr>
          <w:rFonts w:hint="eastAsia" w:eastAsia="仿宋_GB2312" w:cstheme="minorBidi"/>
          <w:snapToGrid w:val="0"/>
          <w:spacing w:val="-4"/>
          <w:kern w:val="0"/>
          <w:sz w:val="32"/>
          <w:szCs w:val="32"/>
          <w:shd w:val="clear" w:color="auto" w:fill="FFFFFF"/>
        </w:rPr>
        <w:t>贯彻党的群众路线和知识分子政策、国家科学技术工作者基本方针，开展科学知识、科学思想、科学精神、科学方法的宣传和普及工作；开展技术开发、技术转让、技术咨询、技术服务活动；反映科技工作的意见和要求，维护科技工作者的合法权益、举荐科技人才、表彰奖励优秀科普工作者；指导乡镇科协、农村专业技术协会工作；承办区委、区政府交办的其它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spacing w:before="93" w:beforeLines="30"/>
        <w:ind w:firstLine="640" w:firstLineChars="200"/>
        <w:rPr>
          <w:rFonts w:ascii="仿宋_GB2312" w:eastAsia="仿宋_GB2312"/>
          <w:kern w:val="0"/>
          <w:sz w:val="30"/>
          <w:lang w:val="zh-CN"/>
        </w:rPr>
      </w:pPr>
      <w:r>
        <w:rPr>
          <w:rFonts w:hint="eastAsia" w:ascii="仿宋_GB2312" w:eastAsia="仿宋_GB2312"/>
          <w:kern w:val="0"/>
          <w:sz w:val="32"/>
          <w:szCs w:val="32"/>
        </w:rPr>
        <w:t>关于审定印发《攀枝花市西区科协系统改革方案》的请示（攀西科协</w:t>
      </w:r>
      <w:r>
        <w:rPr>
          <w:rFonts w:hint="eastAsia" w:ascii="仿宋_GB2312" w:eastAsia="方正仿宋_GBK"/>
          <w:kern w:val="0"/>
          <w:sz w:val="32"/>
          <w:szCs w:val="32"/>
        </w:rPr>
        <w:t>〔</w:t>
      </w:r>
      <w:r>
        <w:rPr>
          <w:rFonts w:hint="eastAsia" w:ascii="仿宋_GB2312" w:eastAsia="仿宋_GB2312"/>
          <w:kern w:val="0"/>
          <w:sz w:val="32"/>
          <w:szCs w:val="32"/>
        </w:rPr>
        <w:t>2019</w:t>
      </w:r>
      <w:r>
        <w:rPr>
          <w:rFonts w:hint="eastAsia" w:ascii="仿宋_GB2312" w:eastAsia="方正仿宋_GBK"/>
          <w:kern w:val="0"/>
          <w:sz w:val="32"/>
          <w:szCs w:val="32"/>
        </w:rPr>
        <w:t>〕</w:t>
      </w:r>
      <w:r>
        <w:rPr>
          <w:rFonts w:hint="eastAsia" w:ascii="仿宋_GB2312" w:eastAsia="仿宋_GB2312"/>
          <w:kern w:val="0"/>
          <w:sz w:val="32"/>
          <w:szCs w:val="32"/>
        </w:rPr>
        <w:t>2号）。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after="120" w:line="353" w:lineRule="auto"/>
        <w:ind w:left="420" w:leftChars="200" w:firstLine="312" w:firstLineChars="100"/>
        <w:rPr>
          <w:rFonts w:eastAsia="仿宋_GB2312"/>
          <w:b/>
          <w:bCs/>
          <w:snapToGrid w:val="0"/>
          <w:spacing w:val="-4"/>
          <w:kern w:val="0"/>
          <w:sz w:val="32"/>
          <w:szCs w:val="32"/>
          <w:shd w:val="clear" w:color="auto" w:fill="FFFFFF"/>
        </w:rPr>
      </w:pPr>
      <w:r>
        <w:rPr>
          <w:rFonts w:hint="eastAsia" w:eastAsia="仿宋_GB2312"/>
          <w:snapToGrid w:val="0"/>
          <w:spacing w:val="-4"/>
          <w:kern w:val="0"/>
          <w:sz w:val="32"/>
          <w:szCs w:val="32"/>
          <w:shd w:val="clear" w:color="auto" w:fill="FFFFFF"/>
        </w:rPr>
        <w:t>通过对服务对象开展宣传、培训等活动，</w:t>
      </w:r>
      <w:r>
        <w:rPr>
          <w:rFonts w:eastAsia="仿宋_GB2312"/>
          <w:snapToGrid w:val="0"/>
          <w:spacing w:val="-4"/>
          <w:kern w:val="0"/>
          <w:sz w:val="32"/>
          <w:szCs w:val="32"/>
          <w:shd w:val="clear" w:color="auto" w:fill="FFFFFF"/>
        </w:rPr>
        <w:t>不断</w:t>
      </w:r>
      <w:r>
        <w:rPr>
          <w:rFonts w:hint="eastAsia" w:eastAsia="仿宋_GB2312"/>
          <w:snapToGrid w:val="0"/>
          <w:spacing w:val="-4"/>
          <w:kern w:val="0"/>
          <w:sz w:val="32"/>
          <w:szCs w:val="32"/>
          <w:shd w:val="clear" w:color="auto" w:fill="FFFFFF"/>
        </w:rPr>
        <w:t>社会科普</w:t>
      </w:r>
      <w:r>
        <w:rPr>
          <w:rFonts w:eastAsia="仿宋_GB2312"/>
          <w:snapToGrid w:val="0"/>
          <w:spacing w:val="-4"/>
          <w:kern w:val="0"/>
          <w:sz w:val="32"/>
          <w:szCs w:val="32"/>
          <w:shd w:val="clear" w:color="auto" w:fill="FFFFFF"/>
        </w:rPr>
        <w:t>发展环境，全力提升</w:t>
      </w:r>
      <w:r>
        <w:rPr>
          <w:rFonts w:hint="eastAsia" w:eastAsia="仿宋_GB2312"/>
          <w:snapToGrid w:val="0"/>
          <w:spacing w:val="-4"/>
          <w:kern w:val="0"/>
          <w:sz w:val="32"/>
          <w:szCs w:val="32"/>
          <w:shd w:val="clear" w:color="auto" w:fill="FFFFFF"/>
        </w:rPr>
        <w:t>市民科学</w:t>
      </w:r>
      <w:r>
        <w:rPr>
          <w:rFonts w:eastAsia="仿宋_GB2312"/>
          <w:snapToGrid w:val="0"/>
          <w:spacing w:val="-4"/>
          <w:kern w:val="0"/>
          <w:sz w:val="32"/>
          <w:szCs w:val="32"/>
          <w:shd w:val="clear" w:color="auto" w:fill="FFFFFF"/>
        </w:rPr>
        <w:t>综合素质，</w:t>
      </w:r>
      <w:r>
        <w:rPr>
          <w:rFonts w:hint="eastAsia" w:eastAsia="仿宋_GB2312"/>
          <w:sz w:val="32"/>
          <w:szCs w:val="32"/>
        </w:rPr>
        <w:t>营造</w:t>
      </w:r>
      <w:r>
        <w:rPr>
          <w:rFonts w:eastAsia="仿宋_GB2312"/>
          <w:spacing w:val="-4"/>
          <w:sz w:val="32"/>
          <w:szCs w:val="32"/>
          <w:shd w:val="clear" w:color="auto" w:fill="FFFFFF"/>
        </w:rPr>
        <w:t>全社会尊重</w:t>
      </w:r>
      <w:r>
        <w:rPr>
          <w:rFonts w:hint="eastAsia" w:eastAsia="仿宋_GB2312"/>
          <w:spacing w:val="-4"/>
          <w:sz w:val="32"/>
          <w:szCs w:val="32"/>
          <w:shd w:val="clear" w:color="auto" w:fill="FFFFFF"/>
        </w:rPr>
        <w:t>科学</w:t>
      </w:r>
      <w:r>
        <w:rPr>
          <w:rFonts w:eastAsia="仿宋_GB2312"/>
          <w:spacing w:val="-4"/>
          <w:sz w:val="32"/>
          <w:szCs w:val="32"/>
          <w:shd w:val="clear" w:color="auto" w:fill="FFFFFF"/>
        </w:rPr>
        <w:t>的良好氛围</w:t>
      </w:r>
      <w:r>
        <w:rPr>
          <w:rFonts w:hint="eastAsia" w:eastAsia="仿宋_GB2312"/>
          <w:spacing w:val="-4"/>
          <w:sz w:val="32"/>
          <w:szCs w:val="32"/>
          <w:shd w:val="clear" w:color="auto" w:fill="FFFFFF"/>
        </w:rPr>
        <w:t>，推动</w:t>
      </w:r>
      <w:r>
        <w:rPr>
          <w:rFonts w:eastAsia="仿宋_GB2312"/>
          <w:snapToGrid w:val="0"/>
          <w:spacing w:val="-4"/>
          <w:kern w:val="0"/>
          <w:sz w:val="32"/>
          <w:szCs w:val="32"/>
          <w:shd w:val="clear" w:color="auto" w:fill="FFFFFF"/>
        </w:rPr>
        <w:t>西区</w:t>
      </w:r>
      <w:r>
        <w:rPr>
          <w:rFonts w:hint="eastAsia" w:eastAsia="仿宋_GB2312"/>
          <w:snapToGrid w:val="0"/>
          <w:spacing w:val="-4"/>
          <w:kern w:val="0"/>
          <w:sz w:val="32"/>
          <w:szCs w:val="32"/>
          <w:shd w:val="clear" w:color="auto" w:fill="FFFFFF"/>
        </w:rPr>
        <w:t>科普</w:t>
      </w:r>
      <w:r>
        <w:rPr>
          <w:rFonts w:eastAsia="仿宋_GB2312"/>
          <w:snapToGrid w:val="0"/>
          <w:spacing w:val="-4"/>
          <w:kern w:val="0"/>
          <w:sz w:val="32"/>
          <w:szCs w:val="32"/>
          <w:shd w:val="clear" w:color="auto" w:fill="FFFFFF"/>
        </w:rPr>
        <w:t>事业持续、健康、快速发展。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353" w:lineRule="auto"/>
        <w:ind w:firstLine="640" w:firstLineChars="200"/>
        <w:rPr>
          <w:rFonts w:eastAsia="仿宋_GB2312"/>
          <w:sz w:val="32"/>
          <w:szCs w:val="32"/>
        </w:rPr>
      </w:pPr>
      <w:r>
        <w:rPr>
          <w:rFonts w:hint="eastAsia" w:eastAsia="仿宋_GB2312"/>
          <w:sz w:val="32"/>
          <w:szCs w:val="32"/>
        </w:rPr>
        <w:t>（1）科普活动经费：开展5次科普活动，如全国科技工作者日，全国科普日活动等。</w:t>
      </w:r>
    </w:p>
    <w:p>
      <w:pPr>
        <w:adjustRightInd w:val="0"/>
        <w:snapToGrid w:val="0"/>
        <w:spacing w:line="353" w:lineRule="auto"/>
        <w:ind w:firstLine="640" w:firstLineChars="200"/>
        <w:rPr>
          <w:rFonts w:eastAsia="仿宋_GB2312"/>
          <w:sz w:val="32"/>
          <w:szCs w:val="32"/>
        </w:rPr>
      </w:pPr>
      <w:r>
        <w:rPr>
          <w:rFonts w:hint="eastAsia" w:eastAsia="仿宋_GB2312"/>
          <w:sz w:val="32"/>
          <w:szCs w:val="32"/>
        </w:rPr>
        <w:t>（2）宣传经费：为有效开展科普工作，需加大</w:t>
      </w:r>
      <w:r>
        <w:rPr>
          <w:rFonts w:eastAsia="仿宋_GB2312"/>
          <w:bCs/>
          <w:spacing w:val="-4"/>
          <w:sz w:val="32"/>
          <w:szCs w:val="32"/>
          <w:shd w:val="clear" w:color="auto" w:fill="FFFFFF"/>
        </w:rPr>
        <w:t>以</w:t>
      </w:r>
      <w:r>
        <w:rPr>
          <w:rFonts w:hint="eastAsia" w:eastAsia="仿宋_GB2312"/>
          <w:bCs/>
          <w:spacing w:val="-4"/>
          <w:sz w:val="32"/>
          <w:szCs w:val="32"/>
          <w:shd w:val="clear" w:color="auto" w:fill="FFFFFF"/>
        </w:rPr>
        <w:t>全民科普</w:t>
      </w:r>
      <w:r>
        <w:rPr>
          <w:rFonts w:eastAsia="仿宋_GB2312"/>
          <w:bCs/>
          <w:spacing w:val="-4"/>
          <w:sz w:val="32"/>
          <w:szCs w:val="32"/>
          <w:shd w:val="clear" w:color="auto" w:fill="FFFFFF"/>
        </w:rPr>
        <w:t>为主要内容</w:t>
      </w:r>
      <w:r>
        <w:rPr>
          <w:rFonts w:hint="eastAsia" w:eastAsia="仿宋_GB2312"/>
          <w:bCs/>
          <w:spacing w:val="-4"/>
          <w:sz w:val="32"/>
          <w:szCs w:val="32"/>
          <w:shd w:val="clear" w:color="auto" w:fill="FFFFFF"/>
        </w:rPr>
        <w:t>的</w:t>
      </w:r>
      <w:r>
        <w:rPr>
          <w:rFonts w:hint="eastAsia" w:eastAsia="仿宋_GB2312"/>
          <w:sz w:val="32"/>
          <w:szCs w:val="32"/>
        </w:rPr>
        <w:t>相关法律法规宣传，主要用于各新闻媒体进行广泛的宣传，并同时用于宣传标语、牌板、横幅、宣传资料、宣传品印制，</w:t>
      </w:r>
      <w:r>
        <w:rPr>
          <w:rFonts w:eastAsia="仿宋_GB2312"/>
          <w:bCs/>
          <w:spacing w:val="-4"/>
          <w:sz w:val="32"/>
          <w:szCs w:val="32"/>
          <w:shd w:val="clear" w:color="auto" w:fill="FFFFFF"/>
        </w:rPr>
        <w:t>进一步营造全社会尊重</w:t>
      </w:r>
      <w:r>
        <w:rPr>
          <w:rFonts w:hint="eastAsia" w:eastAsia="仿宋_GB2312"/>
          <w:bCs/>
          <w:spacing w:val="-4"/>
          <w:sz w:val="32"/>
          <w:szCs w:val="32"/>
          <w:shd w:val="clear" w:color="auto" w:fill="FFFFFF"/>
        </w:rPr>
        <w:t>科学，崇尚科学</w:t>
      </w:r>
      <w:r>
        <w:rPr>
          <w:rFonts w:eastAsia="仿宋_GB2312"/>
          <w:bCs/>
          <w:spacing w:val="-4"/>
          <w:sz w:val="32"/>
          <w:szCs w:val="32"/>
          <w:shd w:val="clear" w:color="auto" w:fill="FFFFFF"/>
        </w:rPr>
        <w:t>的良好氛围</w:t>
      </w:r>
      <w:r>
        <w:rPr>
          <w:rFonts w:hint="eastAsia" w:eastAsia="仿宋_GB2312"/>
          <w:bCs/>
          <w:spacing w:val="-4"/>
          <w:sz w:val="32"/>
          <w:szCs w:val="32"/>
          <w:shd w:val="clear" w:color="auto" w:fill="FFFFFF"/>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ind w:firstLine="420"/>
        <w:rPr>
          <w:lang w:val="zh-CN"/>
        </w:rPr>
      </w:pPr>
      <w:r>
        <w:rPr>
          <w:rFonts w:hint="eastAsia" w:ascii="仿宋_GB2312" w:hAnsi="宋体" w:eastAsia="仿宋_GB2312"/>
          <w:sz w:val="32"/>
          <w:szCs w:val="32"/>
          <w:lang w:val="zh-CN"/>
        </w:rPr>
        <w:t>分析评价申报内容与实际相符，申报目标合理可行。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eastAsia="仿宋_GB2312"/>
          <w:sz w:val="32"/>
          <w:szCs w:val="32"/>
        </w:rPr>
        <w:t>开展5次科普宣传活动，利用“科技之春”、“全国科技工作者日”、春节等重大节日前后开展科普宣传活动，共计1万元</w:t>
      </w:r>
      <w:r>
        <w:rPr>
          <w:rFonts w:hint="eastAsia" w:ascii="仿宋_GB2312" w:hAnsi="宋体" w:eastAsia="仿宋_GB2312"/>
          <w:sz w:val="32"/>
          <w:szCs w:val="32"/>
          <w:lang w:val="zh-CN"/>
        </w:rPr>
        <w:t>。</w:t>
      </w:r>
    </w:p>
    <w:p>
      <w:pPr>
        <w:adjustRightInd w:val="0"/>
        <w:snapToGrid w:val="0"/>
        <w:spacing w:line="600" w:lineRule="exact"/>
        <w:ind w:firstLine="720"/>
        <w:rPr>
          <w:rFonts w:eastAsia="方正仿宋_GBK"/>
          <w:spacing w:val="-4"/>
          <w:kern w:val="0"/>
          <w:sz w:val="33"/>
          <w:szCs w:val="33"/>
        </w:rPr>
      </w:pPr>
      <w:r>
        <w:rPr>
          <w:rFonts w:hint="eastAsia" w:ascii="楷体_GB2312" w:hAnsi="宋体" w:eastAsia="楷体_GB2312"/>
          <w:sz w:val="32"/>
          <w:szCs w:val="32"/>
          <w:lang w:val="zh-CN"/>
        </w:rPr>
        <w:t>2．资金到位。</w:t>
      </w:r>
      <w:r>
        <w:rPr>
          <w:rFonts w:eastAsia="方正仿宋_GBK"/>
          <w:spacing w:val="-4"/>
          <w:kern w:val="0"/>
          <w:sz w:val="33"/>
          <w:szCs w:val="33"/>
        </w:rPr>
        <w:t>以上</w:t>
      </w:r>
      <w:r>
        <w:rPr>
          <w:rFonts w:hint="eastAsia" w:eastAsia="方正仿宋_GBK"/>
          <w:spacing w:val="-4"/>
          <w:kern w:val="0"/>
          <w:sz w:val="33"/>
          <w:szCs w:val="33"/>
        </w:rPr>
        <w:t>资金</w:t>
      </w:r>
      <w:r>
        <w:rPr>
          <w:rFonts w:eastAsia="方正仿宋_GBK"/>
          <w:spacing w:val="-4"/>
          <w:kern w:val="0"/>
          <w:sz w:val="33"/>
          <w:szCs w:val="33"/>
        </w:rPr>
        <w:t>计划按照资金管理权限由</w:t>
      </w:r>
      <w:r>
        <w:rPr>
          <w:rFonts w:hint="eastAsia" w:eastAsia="方正仿宋_GBK"/>
          <w:spacing w:val="-4"/>
          <w:kern w:val="0"/>
          <w:sz w:val="33"/>
          <w:szCs w:val="33"/>
        </w:rPr>
        <w:t>区</w:t>
      </w:r>
      <w:r>
        <w:rPr>
          <w:rFonts w:eastAsia="方正仿宋_GBK"/>
          <w:spacing w:val="-4"/>
          <w:kern w:val="0"/>
          <w:sz w:val="33"/>
          <w:szCs w:val="33"/>
        </w:rPr>
        <w:t>级财政按时批复</w:t>
      </w:r>
      <w:r>
        <w:rPr>
          <w:rFonts w:hint="eastAsia" w:eastAsia="方正仿宋_GBK"/>
          <w:spacing w:val="-4"/>
          <w:kern w:val="0"/>
          <w:sz w:val="33"/>
          <w:szCs w:val="33"/>
        </w:rPr>
        <w:t>于2021年</w:t>
      </w:r>
      <w:r>
        <w:rPr>
          <w:rFonts w:eastAsia="方正仿宋_GBK"/>
          <w:spacing w:val="-4"/>
          <w:kern w:val="0"/>
          <w:sz w:val="33"/>
          <w:szCs w:val="33"/>
        </w:rPr>
        <w:t>下达</w:t>
      </w:r>
      <w:r>
        <w:rPr>
          <w:rFonts w:hint="eastAsia" w:eastAsia="方正仿宋_GBK"/>
          <w:spacing w:val="-4"/>
          <w:kern w:val="0"/>
          <w:sz w:val="33"/>
          <w:szCs w:val="33"/>
        </w:rPr>
        <w:t>和</w:t>
      </w:r>
      <w:r>
        <w:rPr>
          <w:rFonts w:eastAsia="方正仿宋_GBK"/>
          <w:spacing w:val="-4"/>
          <w:kern w:val="0"/>
          <w:sz w:val="33"/>
          <w:szCs w:val="33"/>
        </w:rPr>
        <w:t>支付，资金到位</w:t>
      </w:r>
      <w:r>
        <w:rPr>
          <w:rFonts w:hint="eastAsia" w:eastAsia="方正仿宋_GBK"/>
          <w:spacing w:val="-4"/>
          <w:kern w:val="0"/>
          <w:sz w:val="33"/>
          <w:szCs w:val="33"/>
        </w:rPr>
        <w:t>情况</w:t>
      </w:r>
      <w:r>
        <w:rPr>
          <w:rFonts w:eastAsia="方正仿宋_GBK"/>
          <w:spacing w:val="-4"/>
          <w:kern w:val="0"/>
          <w:sz w:val="33"/>
          <w:szCs w:val="33"/>
        </w:rPr>
        <w:t>与资金计划相符。</w:t>
      </w:r>
    </w:p>
    <w:p>
      <w:pPr>
        <w:adjustRightInd w:val="0"/>
        <w:snapToGrid w:val="0"/>
        <w:spacing w:line="353" w:lineRule="auto"/>
        <w:ind w:firstLine="640" w:firstLineChars="200"/>
        <w:rPr>
          <w:rFonts w:eastAsia="仿宋_GB2312"/>
          <w:sz w:val="32"/>
          <w:szCs w:val="32"/>
        </w:rPr>
      </w:pPr>
      <w:r>
        <w:rPr>
          <w:rFonts w:hint="eastAsia" w:ascii="楷体_GB2312" w:hAnsi="宋体" w:eastAsia="楷体_GB2312"/>
          <w:sz w:val="32"/>
          <w:szCs w:val="32"/>
          <w:lang w:val="zh-CN"/>
        </w:rPr>
        <w:t>3．资金使用。</w:t>
      </w:r>
      <w:r>
        <w:rPr>
          <w:rFonts w:hint="eastAsia" w:eastAsia="仿宋_GB2312"/>
          <w:sz w:val="32"/>
          <w:szCs w:val="32"/>
        </w:rPr>
        <w:t>制作宣传标语、牌板、横幅、宣传资料、宣传品等；开展5次科普宣传活动。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utoSpaceDE w:val="0"/>
        <w:autoSpaceDN w:val="0"/>
        <w:adjustRightInd w:val="0"/>
        <w:spacing w:line="560" w:lineRule="exact"/>
        <w:ind w:firstLine="643" w:firstLineChars="200"/>
        <w:jc w:val="left"/>
        <w:rPr>
          <w:rFonts w:eastAsia="方正仿宋_GBK"/>
          <w:spacing w:val="-4"/>
          <w:kern w:val="0"/>
          <w:sz w:val="33"/>
          <w:szCs w:val="33"/>
        </w:rPr>
      </w:pPr>
      <w:r>
        <w:rPr>
          <w:rFonts w:hint="eastAsia" w:ascii="楷体_GB2312" w:hAnsi="宋体" w:eastAsia="楷体_GB2312"/>
          <w:b/>
          <w:sz w:val="32"/>
          <w:szCs w:val="32"/>
          <w:lang w:val="zh-CN"/>
        </w:rPr>
        <w:t>（一）项目管理情况。</w:t>
      </w:r>
      <w:r>
        <w:rPr>
          <w:rFonts w:hint="eastAsia" w:eastAsia="方正仿宋_GBK"/>
          <w:spacing w:val="-4"/>
          <w:kern w:val="0"/>
          <w:sz w:val="33"/>
          <w:szCs w:val="33"/>
        </w:rPr>
        <w:t>西区</w:t>
      </w:r>
      <w:r>
        <w:rPr>
          <w:rFonts w:eastAsia="方正仿宋_GBK"/>
          <w:spacing w:val="-4"/>
          <w:kern w:val="0"/>
          <w:sz w:val="33"/>
          <w:szCs w:val="33"/>
        </w:rPr>
        <w:t>科协坚持</w:t>
      </w:r>
      <w:r>
        <w:rPr>
          <w:rFonts w:hint="eastAsia" w:eastAsia="方正仿宋_GBK"/>
          <w:spacing w:val="-4"/>
          <w:kern w:val="0"/>
          <w:sz w:val="33"/>
          <w:szCs w:val="33"/>
        </w:rPr>
        <w:t>目标</w:t>
      </w:r>
      <w:r>
        <w:rPr>
          <w:rFonts w:eastAsia="方正仿宋_GBK"/>
          <w:spacing w:val="-4"/>
          <w:kern w:val="0"/>
          <w:sz w:val="33"/>
          <w:szCs w:val="33"/>
        </w:rPr>
        <w:t>导向，强化</w:t>
      </w:r>
      <w:r>
        <w:rPr>
          <w:rFonts w:hint="eastAsia" w:eastAsia="方正仿宋_GBK"/>
          <w:spacing w:val="-4"/>
          <w:kern w:val="0"/>
          <w:sz w:val="33"/>
          <w:szCs w:val="33"/>
        </w:rPr>
        <w:t>科普活动资金进度监控和全流程绩效评价，跟踪加强项目执行的监督检查</w:t>
      </w:r>
      <w:r>
        <w:rPr>
          <w:rFonts w:eastAsia="方正仿宋_GBK"/>
          <w:spacing w:val="-4"/>
          <w:kern w:val="0"/>
          <w:sz w:val="33"/>
          <w:szCs w:val="33"/>
        </w:rPr>
        <w:t>，有针对性地</w:t>
      </w:r>
      <w:r>
        <w:rPr>
          <w:rFonts w:hint="eastAsia" w:eastAsia="方正仿宋_GBK"/>
          <w:spacing w:val="-4"/>
          <w:kern w:val="0"/>
          <w:sz w:val="33"/>
          <w:szCs w:val="33"/>
        </w:rPr>
        <w:t>优化</w:t>
      </w:r>
      <w:r>
        <w:rPr>
          <w:rFonts w:eastAsia="方正仿宋_GBK"/>
          <w:spacing w:val="-4"/>
          <w:kern w:val="0"/>
          <w:sz w:val="33"/>
          <w:szCs w:val="33"/>
        </w:rPr>
        <w:t>财务</w:t>
      </w:r>
      <w:r>
        <w:rPr>
          <w:rFonts w:hint="eastAsia" w:eastAsia="方正仿宋_GBK"/>
          <w:spacing w:val="-4"/>
          <w:kern w:val="0"/>
          <w:sz w:val="33"/>
          <w:szCs w:val="33"/>
        </w:rPr>
        <w:t>工作流程</w:t>
      </w:r>
      <w:r>
        <w:rPr>
          <w:rFonts w:eastAsia="方正仿宋_GBK"/>
          <w:spacing w:val="-4"/>
          <w:kern w:val="0"/>
          <w:sz w:val="33"/>
          <w:szCs w:val="33"/>
        </w:rPr>
        <w:t>，不断健全集体决策制度，加强内控建设，</w:t>
      </w:r>
      <w:r>
        <w:rPr>
          <w:rFonts w:hint="eastAsia" w:eastAsia="方正仿宋_GBK"/>
          <w:spacing w:val="-4"/>
          <w:kern w:val="0"/>
          <w:sz w:val="33"/>
          <w:szCs w:val="33"/>
        </w:rPr>
        <w:t>做到专项资金专项管理，</w:t>
      </w:r>
      <w:r>
        <w:rPr>
          <w:rFonts w:eastAsia="方正仿宋_GBK"/>
          <w:spacing w:val="-4"/>
          <w:kern w:val="0"/>
          <w:sz w:val="33"/>
          <w:szCs w:val="33"/>
        </w:rPr>
        <w:t>夯实会计基础工作，完善资金报账签批程序，依法公开财务报表报告，主动接受社会监督，切实提升部门财务管理水平，做到了严格执行财务管理制度，账务处理及时，会计核算规范。</w:t>
      </w:r>
    </w:p>
    <w:p>
      <w:pPr>
        <w:adjustRightInd w:val="0"/>
        <w:snapToGrid w:val="0"/>
        <w:spacing w:line="600" w:lineRule="exact"/>
        <w:ind w:firstLine="720"/>
        <w:rPr>
          <w:rFonts w:eastAsia="方正仿宋_GBK"/>
          <w:spacing w:val="-4"/>
          <w:kern w:val="0"/>
          <w:sz w:val="33"/>
          <w:szCs w:val="33"/>
        </w:rPr>
      </w:pPr>
      <w:r>
        <w:rPr>
          <w:rFonts w:hint="eastAsia" w:ascii="楷体_GB2312" w:hAnsi="宋体" w:eastAsia="楷体_GB2312"/>
          <w:b/>
          <w:sz w:val="32"/>
          <w:szCs w:val="32"/>
          <w:lang w:val="zh-CN"/>
        </w:rPr>
        <w:t>（二）项目监管情况。</w:t>
      </w:r>
      <w:r>
        <w:rPr>
          <w:rFonts w:hint="eastAsia" w:eastAsia="方正仿宋_GBK"/>
          <w:spacing w:val="-4"/>
          <w:kern w:val="0"/>
          <w:sz w:val="33"/>
          <w:szCs w:val="33"/>
        </w:rPr>
        <w:t>专项资金严格执行资金报账制度。认真执行科普专项资金管理规定，做到了专款专用。专项资金支付根据项目完成进度，经验收合格后，按照合同约定据实支付，支付流程合规合法，管理规范有效。</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eastAsia="仿宋_GB2312"/>
          <w:sz w:val="32"/>
          <w:szCs w:val="32"/>
        </w:rPr>
        <w:t>有效开展了科普工作，加大了</w:t>
      </w:r>
      <w:r>
        <w:rPr>
          <w:rFonts w:eastAsia="仿宋_GB2312"/>
          <w:bCs/>
          <w:spacing w:val="-4"/>
          <w:sz w:val="32"/>
          <w:szCs w:val="32"/>
          <w:shd w:val="clear" w:color="auto" w:fill="FFFFFF"/>
        </w:rPr>
        <w:t>以贯彻</w:t>
      </w:r>
      <w:r>
        <w:rPr>
          <w:rFonts w:hint="eastAsia" w:eastAsia="仿宋_GB2312"/>
          <w:bCs/>
          <w:spacing w:val="-4"/>
          <w:sz w:val="32"/>
          <w:szCs w:val="32"/>
          <w:shd w:val="clear" w:color="auto" w:fill="FFFFFF"/>
        </w:rPr>
        <w:t>科教兴国战略</w:t>
      </w:r>
      <w:r>
        <w:rPr>
          <w:rFonts w:eastAsia="仿宋_GB2312"/>
          <w:bCs/>
          <w:spacing w:val="-4"/>
          <w:sz w:val="32"/>
          <w:szCs w:val="32"/>
          <w:shd w:val="clear" w:color="auto" w:fill="FFFFFF"/>
        </w:rPr>
        <w:t>、</w:t>
      </w:r>
      <w:r>
        <w:rPr>
          <w:rFonts w:hint="eastAsia" w:eastAsia="仿宋_GB2312"/>
          <w:bCs/>
          <w:spacing w:val="-4"/>
          <w:sz w:val="32"/>
          <w:szCs w:val="32"/>
          <w:shd w:val="clear" w:color="auto" w:fill="FFFFFF"/>
        </w:rPr>
        <w:t>崇尚科学</w:t>
      </w:r>
      <w:r>
        <w:rPr>
          <w:rFonts w:eastAsia="仿宋_GB2312"/>
          <w:bCs/>
          <w:spacing w:val="-4"/>
          <w:sz w:val="32"/>
          <w:szCs w:val="32"/>
          <w:shd w:val="clear" w:color="auto" w:fill="FFFFFF"/>
        </w:rPr>
        <w:t>为主要内容</w:t>
      </w:r>
      <w:r>
        <w:rPr>
          <w:rFonts w:hint="eastAsia" w:eastAsia="仿宋_GB2312"/>
          <w:bCs/>
          <w:spacing w:val="-4"/>
          <w:sz w:val="32"/>
          <w:szCs w:val="32"/>
          <w:shd w:val="clear" w:color="auto" w:fill="FFFFFF"/>
        </w:rPr>
        <w:t>的</w:t>
      </w:r>
      <w:r>
        <w:rPr>
          <w:rFonts w:hint="eastAsia" w:eastAsia="仿宋_GB2312"/>
          <w:sz w:val="32"/>
          <w:szCs w:val="32"/>
        </w:rPr>
        <w:t>相关宣传，主要用于各新闻媒体进行广泛的宣传，并同时用于宣传标语、牌板、横幅、宣传资料、宣传品印制，</w:t>
      </w:r>
      <w:r>
        <w:rPr>
          <w:rFonts w:eastAsia="仿宋_GB2312"/>
          <w:bCs/>
          <w:spacing w:val="-4"/>
          <w:sz w:val="32"/>
          <w:szCs w:val="32"/>
          <w:shd w:val="clear" w:color="auto" w:fill="FFFFFF"/>
        </w:rPr>
        <w:t>进一步营造全社会尊重</w:t>
      </w:r>
      <w:r>
        <w:rPr>
          <w:rFonts w:hint="eastAsia" w:eastAsia="仿宋_GB2312"/>
          <w:bCs/>
          <w:spacing w:val="-4"/>
          <w:sz w:val="32"/>
          <w:szCs w:val="32"/>
          <w:shd w:val="clear" w:color="auto" w:fill="FFFFFF"/>
        </w:rPr>
        <w:t>科学</w:t>
      </w:r>
      <w:r>
        <w:rPr>
          <w:rFonts w:eastAsia="仿宋_GB2312"/>
          <w:bCs/>
          <w:spacing w:val="-4"/>
          <w:sz w:val="32"/>
          <w:szCs w:val="32"/>
          <w:shd w:val="clear" w:color="auto" w:fill="FFFFFF"/>
        </w:rPr>
        <w:t>的良好氛围</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353" w:lineRule="auto"/>
        <w:ind w:firstLine="640" w:firstLineChars="200"/>
        <w:rPr>
          <w:rFonts w:eastAsia="仿宋_GB2312"/>
          <w:sz w:val="32"/>
          <w:szCs w:val="32"/>
        </w:rPr>
      </w:pPr>
      <w:r>
        <w:rPr>
          <w:rFonts w:hint="eastAsia" w:eastAsia="仿宋_GB2312"/>
          <w:sz w:val="32"/>
          <w:szCs w:val="32"/>
        </w:rPr>
        <w:t>1.通过开展科普相关活动，进一步提升市民科学素质。</w:t>
      </w:r>
    </w:p>
    <w:p>
      <w:pPr>
        <w:adjustRightInd w:val="0"/>
        <w:snapToGrid w:val="0"/>
        <w:spacing w:line="353" w:lineRule="auto"/>
        <w:ind w:firstLine="640" w:firstLineChars="200"/>
        <w:rPr>
          <w:rFonts w:eastAsia="仿宋_GB2312"/>
          <w:sz w:val="32"/>
          <w:szCs w:val="32"/>
        </w:rPr>
      </w:pPr>
      <w:r>
        <w:rPr>
          <w:rFonts w:hint="eastAsia" w:eastAsia="仿宋_GB2312"/>
          <w:sz w:val="32"/>
          <w:szCs w:val="32"/>
        </w:rPr>
        <w:t>2.通过开展科普相关宣传，营造</w:t>
      </w:r>
      <w:r>
        <w:rPr>
          <w:rFonts w:eastAsia="仿宋_GB2312"/>
          <w:bCs/>
          <w:spacing w:val="-4"/>
          <w:sz w:val="32"/>
          <w:szCs w:val="32"/>
          <w:shd w:val="clear" w:color="auto" w:fill="FFFFFF"/>
        </w:rPr>
        <w:t>全社会尊重</w:t>
      </w:r>
      <w:r>
        <w:rPr>
          <w:rFonts w:hint="eastAsia" w:eastAsia="仿宋_GB2312"/>
          <w:bCs/>
          <w:spacing w:val="-4"/>
          <w:sz w:val="32"/>
          <w:szCs w:val="32"/>
          <w:shd w:val="clear" w:color="auto" w:fill="FFFFFF"/>
        </w:rPr>
        <w:t>科学，崇尚科学</w:t>
      </w:r>
      <w:r>
        <w:rPr>
          <w:rFonts w:eastAsia="仿宋_GB2312"/>
          <w:bCs/>
          <w:spacing w:val="-4"/>
          <w:sz w:val="32"/>
          <w:szCs w:val="32"/>
          <w:shd w:val="clear" w:color="auto" w:fill="FFFFFF"/>
        </w:rPr>
        <w:t>的良好氛围</w:t>
      </w:r>
      <w:r>
        <w:rPr>
          <w:rFonts w:hint="eastAsia" w:eastAsia="仿宋_GB2312"/>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4" w:firstLineChars="200"/>
        <w:rPr>
          <w:rFonts w:eastAsia="方正仿宋_GBK"/>
          <w:spacing w:val="-4"/>
          <w:kern w:val="0"/>
          <w:sz w:val="33"/>
          <w:szCs w:val="33"/>
        </w:rPr>
      </w:pPr>
      <w:r>
        <w:rPr>
          <w:rFonts w:eastAsia="方正仿宋_GBK"/>
          <w:spacing w:val="-4"/>
          <w:kern w:val="0"/>
          <w:sz w:val="33"/>
          <w:szCs w:val="33"/>
        </w:rPr>
        <w:t>总的来说，</w:t>
      </w:r>
      <w:r>
        <w:rPr>
          <w:rFonts w:hint="eastAsia" w:eastAsia="方正仿宋_GBK"/>
          <w:spacing w:val="-4"/>
          <w:kern w:val="0"/>
          <w:sz w:val="33"/>
          <w:szCs w:val="33"/>
        </w:rPr>
        <w:t>区</w:t>
      </w:r>
      <w:r>
        <w:rPr>
          <w:rFonts w:eastAsia="方正仿宋_GBK"/>
          <w:spacing w:val="-4"/>
          <w:kern w:val="0"/>
          <w:sz w:val="33"/>
          <w:szCs w:val="33"/>
        </w:rPr>
        <w:t>科协202</w:t>
      </w:r>
      <w:r>
        <w:rPr>
          <w:rFonts w:hint="eastAsia" w:eastAsia="方正仿宋_GBK"/>
          <w:spacing w:val="-4"/>
          <w:kern w:val="0"/>
          <w:sz w:val="33"/>
          <w:szCs w:val="33"/>
        </w:rPr>
        <w:t>1</w:t>
      </w:r>
      <w:r>
        <w:rPr>
          <w:rFonts w:eastAsia="方正仿宋_GBK"/>
          <w:spacing w:val="-4"/>
          <w:kern w:val="0"/>
          <w:sz w:val="33"/>
          <w:szCs w:val="33"/>
        </w:rPr>
        <w:t>年度</w:t>
      </w:r>
      <w:r>
        <w:rPr>
          <w:rFonts w:hint="eastAsia" w:eastAsia="方正仿宋_GBK"/>
          <w:spacing w:val="-4"/>
          <w:kern w:val="0"/>
          <w:sz w:val="33"/>
          <w:szCs w:val="33"/>
        </w:rPr>
        <w:t>专项项目</w:t>
      </w:r>
      <w:r>
        <w:rPr>
          <w:rFonts w:eastAsia="方正仿宋_GBK"/>
          <w:spacing w:val="-4"/>
          <w:kern w:val="0"/>
          <w:sz w:val="33"/>
          <w:szCs w:val="33"/>
        </w:rPr>
        <w:t>绩效评价良好，</w:t>
      </w:r>
      <w:r>
        <w:rPr>
          <w:rFonts w:hint="eastAsia" w:eastAsia="方正仿宋_GBK"/>
          <w:spacing w:val="-4"/>
          <w:kern w:val="0"/>
          <w:sz w:val="33"/>
          <w:szCs w:val="33"/>
        </w:rPr>
        <w:t>在财政库款紧张的情况下基本完成了年初既定的目标任务，中心工作取得优异成绩，总体项目</w:t>
      </w:r>
      <w:r>
        <w:rPr>
          <w:rFonts w:eastAsia="方正仿宋_GBK"/>
          <w:spacing w:val="-4"/>
          <w:kern w:val="0"/>
          <w:sz w:val="33"/>
          <w:szCs w:val="33"/>
        </w:rPr>
        <w:t>绩效目标</w:t>
      </w:r>
      <w:r>
        <w:rPr>
          <w:rFonts w:hint="eastAsia" w:eastAsia="方正仿宋_GBK"/>
          <w:spacing w:val="-4"/>
          <w:kern w:val="0"/>
          <w:sz w:val="33"/>
          <w:szCs w:val="33"/>
        </w:rPr>
        <w:t>得以实现</w:t>
      </w:r>
      <w:r>
        <w:rPr>
          <w:rFonts w:eastAsia="方正仿宋_GBK"/>
          <w:spacing w:val="-4"/>
          <w:kern w:val="0"/>
          <w:sz w:val="33"/>
          <w:szCs w:val="33"/>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
      <w:pPr>
        <w:spacing w:line="0" w:lineRule="atLeast"/>
        <w:jc w:val="center"/>
        <w:rPr>
          <w:rFonts w:eastAsia="方正小标宋_GBK"/>
          <w:color w:val="000000"/>
          <w:sz w:val="44"/>
          <w:szCs w:val="44"/>
        </w:rPr>
      </w:pPr>
    </w:p>
    <w:p>
      <w:pPr>
        <w:ind w:firstLine="420"/>
      </w:pPr>
    </w:p>
    <w:p>
      <w:pPr>
        <w:ind w:firstLine="420"/>
      </w:pPr>
    </w:p>
    <w:p>
      <w:pPr>
        <w:ind w:firstLine="420"/>
      </w:pPr>
    </w:p>
    <w:p>
      <w:pPr>
        <w:ind w:firstLine="420"/>
      </w:pPr>
    </w:p>
    <w:p>
      <w:pPr>
        <w:ind w:firstLine="420"/>
      </w:pPr>
    </w:p>
    <w:p>
      <w:pPr>
        <w:pStyle w:val="2"/>
        <w:spacing w:before="93"/>
      </w:pPr>
    </w:p>
    <w:p>
      <w:pPr>
        <w:pStyle w:val="2"/>
        <w:spacing w:before="93"/>
      </w:pPr>
    </w:p>
    <w:p>
      <w:pPr>
        <w:ind w:firstLine="420"/>
      </w:pPr>
    </w:p>
    <w:p>
      <w:pPr>
        <w:ind w:firstLine="420"/>
      </w:pPr>
    </w:p>
    <w:p>
      <w:pPr>
        <w:ind w:firstLine="420"/>
      </w:pPr>
    </w:p>
    <w:p>
      <w:pPr>
        <w:ind w:firstLine="420"/>
      </w:pPr>
    </w:p>
    <w:p>
      <w:pPr>
        <w:ind w:firstLine="420"/>
      </w:pPr>
    </w:p>
    <w:p>
      <w:pPr>
        <w:ind w:firstLine="420"/>
      </w:pPr>
    </w:p>
    <w:p>
      <w:pPr>
        <w:ind w:firstLine="420"/>
      </w:pPr>
    </w:p>
    <w:tbl>
      <w:tblPr>
        <w:tblStyle w:val="13"/>
        <w:tblW w:w="5000" w:type="pct"/>
        <w:tblInd w:w="0" w:type="dxa"/>
        <w:tblLayout w:type="fixed"/>
        <w:tblCellMar>
          <w:top w:w="0" w:type="dxa"/>
          <w:left w:w="108" w:type="dxa"/>
          <w:bottom w:w="0" w:type="dxa"/>
          <w:right w:w="108" w:type="dxa"/>
        </w:tblCellMar>
      </w:tblPr>
      <w:tblGrid>
        <w:gridCol w:w="504"/>
        <w:gridCol w:w="534"/>
        <w:gridCol w:w="799"/>
        <w:gridCol w:w="1733"/>
        <w:gridCol w:w="1601"/>
        <w:gridCol w:w="1199"/>
        <w:gridCol w:w="933"/>
        <w:gridCol w:w="1220"/>
      </w:tblGrid>
      <w:tr>
        <w:tblPrEx>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2021年项目资金绩效自评表</w:t>
            </w:r>
          </w:p>
        </w:tc>
      </w:tr>
      <w:tr>
        <w:tblPrEx>
          <w:tblCellMar>
            <w:top w:w="0" w:type="dxa"/>
            <w:left w:w="108" w:type="dxa"/>
            <w:bottom w:w="0" w:type="dxa"/>
            <w:right w:w="108" w:type="dxa"/>
          </w:tblCellMar>
        </w:tblPrEx>
        <w:trPr>
          <w:trHeight w:val="285" w:hRule="atLeast"/>
        </w:trPr>
        <w:tc>
          <w:tcPr>
            <w:tcW w:w="5000" w:type="pct"/>
            <w:gridSpan w:val="8"/>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rFonts w:hint="eastAsia"/>
                <w:kern w:val="0"/>
                <w:sz w:val="24"/>
              </w:rPr>
              <w:t>科普经费项目</w:t>
            </w:r>
            <w:r>
              <w:rPr>
                <w:rFonts w:hint="eastAsia" w:ascii="宋体" w:hAnsi="宋体" w:cs="宋体"/>
                <w:kern w:val="0"/>
                <w:sz w:val="24"/>
              </w:rPr>
              <w:t>）</w:t>
            </w:r>
          </w:p>
        </w:tc>
      </w:tr>
      <w:tr>
        <w:tblPrEx>
          <w:tblCellMar>
            <w:top w:w="0" w:type="dxa"/>
            <w:left w:w="108" w:type="dxa"/>
            <w:bottom w:w="0" w:type="dxa"/>
            <w:right w:w="108" w:type="dxa"/>
          </w:tblCellMar>
        </w:tblPrEx>
        <w:trPr>
          <w:trHeight w:val="435" w:hRule="atLeast"/>
        </w:trPr>
        <w:tc>
          <w:tcPr>
            <w:tcW w:w="295" w:type="pct"/>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313" w:type="pct"/>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469" w:type="pct"/>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17"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39"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04"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47"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16" w:type="pct"/>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39" w:hRule="atLeast"/>
        </w:trPr>
        <w:tc>
          <w:tcPr>
            <w:tcW w:w="107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专项（项目）名称</w:t>
            </w:r>
          </w:p>
        </w:tc>
        <w:tc>
          <w:tcPr>
            <w:tcW w:w="3923"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科普经费</w:t>
            </w:r>
          </w:p>
        </w:tc>
      </w:tr>
      <w:tr>
        <w:tblPrEx>
          <w:tblCellMar>
            <w:top w:w="0" w:type="dxa"/>
            <w:left w:w="108" w:type="dxa"/>
            <w:bottom w:w="0" w:type="dxa"/>
            <w:right w:w="108" w:type="dxa"/>
          </w:tblCellMar>
        </w:tblPrEx>
        <w:trPr>
          <w:trHeight w:val="439" w:hRule="atLeast"/>
        </w:trPr>
        <w:tc>
          <w:tcPr>
            <w:tcW w:w="107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项目主管单位</w:t>
            </w:r>
          </w:p>
        </w:tc>
        <w:tc>
          <w:tcPr>
            <w:tcW w:w="3923"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攀枝花市西区财政局</w:t>
            </w:r>
          </w:p>
        </w:tc>
      </w:tr>
      <w:tr>
        <w:tblPrEx>
          <w:tblCellMar>
            <w:top w:w="0" w:type="dxa"/>
            <w:left w:w="108" w:type="dxa"/>
            <w:bottom w:w="0" w:type="dxa"/>
            <w:right w:w="108" w:type="dxa"/>
          </w:tblCellMar>
        </w:tblPrEx>
        <w:trPr>
          <w:trHeight w:val="439" w:hRule="atLeast"/>
        </w:trPr>
        <w:tc>
          <w:tcPr>
            <w:tcW w:w="107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项目实施单位</w:t>
            </w:r>
          </w:p>
        </w:tc>
        <w:tc>
          <w:tcPr>
            <w:tcW w:w="3923"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攀枝花市西区科学技术协会</w:t>
            </w:r>
          </w:p>
        </w:tc>
      </w:tr>
      <w:tr>
        <w:tblPrEx>
          <w:tblCellMar>
            <w:top w:w="0" w:type="dxa"/>
            <w:left w:w="108" w:type="dxa"/>
            <w:bottom w:w="0" w:type="dxa"/>
            <w:right w:w="108" w:type="dxa"/>
          </w:tblCellMar>
        </w:tblPrEx>
        <w:trPr>
          <w:trHeight w:val="439" w:hRule="atLeast"/>
        </w:trPr>
        <w:tc>
          <w:tcPr>
            <w:tcW w:w="1077"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7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26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trHeight w:val="439" w:hRule="atLeast"/>
        </w:trPr>
        <w:tc>
          <w:tcPr>
            <w:tcW w:w="107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年度资金总额：</w:t>
            </w:r>
          </w:p>
        </w:tc>
        <w:tc>
          <w:tcPr>
            <w:tcW w:w="9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6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107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其中：上级财政资金</w:t>
            </w:r>
          </w:p>
        </w:tc>
        <w:tc>
          <w:tcPr>
            <w:tcW w:w="9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6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107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本级财政资金</w:t>
            </w:r>
          </w:p>
        </w:tc>
        <w:tc>
          <w:tcPr>
            <w:tcW w:w="9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7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26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439" w:hRule="atLeast"/>
        </w:trPr>
        <w:tc>
          <w:tcPr>
            <w:tcW w:w="107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其他资金</w:t>
            </w:r>
          </w:p>
        </w:tc>
        <w:tc>
          <w:tcPr>
            <w:tcW w:w="93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6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179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290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155" w:hRule="atLeast"/>
        </w:trPr>
        <w:tc>
          <w:tcPr>
            <w:tcW w:w="2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99" w:type="pct"/>
            <w:gridSpan w:val="3"/>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开展科普活动，进行科普宣传</w:t>
            </w:r>
          </w:p>
        </w:tc>
        <w:tc>
          <w:tcPr>
            <w:tcW w:w="2906" w:type="pct"/>
            <w:gridSpan w:val="4"/>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t>全年开展4次科普活动</w:t>
            </w:r>
          </w:p>
        </w:tc>
      </w:tr>
      <w:tr>
        <w:tblPrEx>
          <w:tblCellMar>
            <w:top w:w="0" w:type="dxa"/>
            <w:left w:w="108" w:type="dxa"/>
            <w:bottom w:w="0" w:type="dxa"/>
            <w:right w:w="108" w:type="dxa"/>
          </w:tblCellMar>
        </w:tblPrEx>
        <w:trPr>
          <w:trHeight w:val="570" w:hRule="atLeast"/>
        </w:trPr>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3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4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7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5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71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trHeight w:val="435" w:hRule="atLeast"/>
        </w:trPr>
        <w:tc>
          <w:tcPr>
            <w:tcW w:w="2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4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开展5次科普宣传</w:t>
            </w:r>
          </w:p>
        </w:tc>
        <w:tc>
          <w:tcPr>
            <w:tcW w:w="9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开展5次科普宣传</w:t>
            </w:r>
          </w:p>
        </w:tc>
        <w:tc>
          <w:tcPr>
            <w:tcW w:w="7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35" w:hRule="atLeast"/>
        </w:trPr>
        <w:tc>
          <w:tcPr>
            <w:tcW w:w="2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开展科普宣传提高科普素质</w:t>
            </w:r>
          </w:p>
        </w:tc>
        <w:tc>
          <w:tcPr>
            <w:tcW w:w="9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开展5次科普宣传</w:t>
            </w:r>
          </w:p>
        </w:tc>
        <w:tc>
          <w:tcPr>
            <w:tcW w:w="7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35" w:hRule="atLeast"/>
        </w:trPr>
        <w:tc>
          <w:tcPr>
            <w:tcW w:w="2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2021年1-12月</w:t>
            </w:r>
          </w:p>
        </w:tc>
        <w:tc>
          <w:tcPr>
            <w:tcW w:w="9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12个月</w:t>
            </w:r>
          </w:p>
        </w:tc>
        <w:tc>
          <w:tcPr>
            <w:tcW w:w="7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35" w:hRule="atLeast"/>
        </w:trPr>
        <w:tc>
          <w:tcPr>
            <w:tcW w:w="2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10000元</w:t>
            </w:r>
          </w:p>
        </w:tc>
        <w:tc>
          <w:tcPr>
            <w:tcW w:w="9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10000元</w:t>
            </w:r>
          </w:p>
        </w:tc>
        <w:tc>
          <w:tcPr>
            <w:tcW w:w="7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10000元</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2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6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传播科学知识</w:t>
            </w:r>
          </w:p>
        </w:tc>
        <w:tc>
          <w:tcPr>
            <w:tcW w:w="9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传播科学知识</w:t>
            </w:r>
          </w:p>
        </w:tc>
        <w:tc>
          <w:tcPr>
            <w:tcW w:w="7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2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6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提高群众科学素养</w:t>
            </w:r>
          </w:p>
        </w:tc>
        <w:tc>
          <w:tcPr>
            <w:tcW w:w="9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提高群众科学素养</w:t>
            </w:r>
          </w:p>
        </w:tc>
        <w:tc>
          <w:tcPr>
            <w:tcW w:w="7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55" w:hRule="atLeast"/>
        </w:trPr>
        <w:tc>
          <w:tcPr>
            <w:tcW w:w="2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4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10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营造爱科学、讲科学的社会氛围</w:t>
            </w:r>
          </w:p>
        </w:tc>
        <w:tc>
          <w:tcPr>
            <w:tcW w:w="9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营造爱科学、讲科学的社会氛围</w:t>
            </w:r>
          </w:p>
        </w:tc>
        <w:tc>
          <w:tcPr>
            <w:tcW w:w="7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0" w:lineRule="atLeast"/>
        <w:jc w:val="center"/>
        <w:rPr>
          <w:rFonts w:eastAsia="方正小标宋_GBK"/>
          <w:color w:val="000000"/>
          <w:sz w:val="44"/>
          <w:szCs w:val="44"/>
        </w:rPr>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spacing w:before="93" w:beforeLines="30"/>
        <w:rPr>
          <w:rFonts w:ascii="仿宋_GB2312" w:hAnsi="宋体" w:eastAsia="仿宋_GB2312" w:cs="宋体"/>
          <w:color w:val="000000"/>
          <w:kern w:val="0"/>
          <w:sz w:val="32"/>
          <w:szCs w:val="32"/>
          <w:shd w:val="clear" w:color="auto" w:fill="FFFFFF"/>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580" w:lineRule="exac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Fonts w:ascii="仿宋" w:hAnsi="仿宋" w:eastAsia="仿宋"/>
        </w:rPr>
      </w:pPr>
      <w:bookmarkStart w:id="57" w:name="_Toc15396618"/>
      <w:r>
        <w:rPr>
          <w:rFonts w:hint="eastAsia" w:ascii="黑体" w:hAnsi="黑体" w:eastAsia="黑体"/>
          <w:sz w:val="44"/>
          <w:szCs w:val="44"/>
        </w:rPr>
        <w:t>第</w:t>
      </w:r>
      <w:r>
        <w:rPr>
          <w:rStyle w:val="25"/>
          <w:rFonts w:hint="eastAsia" w:ascii="黑体" w:hAnsi="黑体" w:eastAsia="黑体"/>
          <w:b w:val="0"/>
        </w:rPr>
        <w:t>五部分 附表</w:t>
      </w:r>
      <w:bookmarkEnd w:id="56"/>
      <w:bookmarkEnd w:id="57"/>
      <w:bookmarkStart w:id="58"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8"/>
    </w:p>
    <w:p>
      <w:pPr>
        <w:pStyle w:val="4"/>
        <w:rPr>
          <w:rFonts w:ascii="仿宋" w:hAnsi="仿宋" w:eastAsia="仿宋"/>
        </w:rPr>
      </w:pPr>
      <w:bookmarkStart w:id="59" w:name="_Toc15396620"/>
      <w:r>
        <w:rPr>
          <w:rFonts w:hint="eastAsia" w:ascii="仿宋" w:hAnsi="仿宋" w:eastAsia="仿宋"/>
          <w:b w:val="0"/>
        </w:rPr>
        <w:t>二、收</w:t>
      </w:r>
      <w:r>
        <w:rPr>
          <w:rStyle w:val="26"/>
          <w:rFonts w:hint="eastAsia" w:ascii="仿宋" w:hAnsi="仿宋" w:eastAsia="仿宋"/>
          <w:b w:val="0"/>
          <w:bCs w:val="0"/>
        </w:rPr>
        <w:t>入决算表</w:t>
      </w:r>
      <w:bookmarkEnd w:id="59"/>
    </w:p>
    <w:p>
      <w:pPr>
        <w:pStyle w:val="4"/>
        <w:rPr>
          <w:rFonts w:ascii="仿宋" w:hAnsi="仿宋" w:eastAsia="仿宋"/>
        </w:rPr>
      </w:pPr>
      <w:bookmarkStart w:id="60"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0"/>
    </w:p>
    <w:p>
      <w:pPr>
        <w:pStyle w:val="4"/>
        <w:rPr>
          <w:rFonts w:ascii="仿宋" w:hAnsi="仿宋" w:eastAsia="仿宋"/>
          <w:b w:val="0"/>
        </w:rPr>
      </w:pPr>
      <w:bookmarkStart w:id="61"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1"/>
    </w:p>
    <w:p>
      <w:pPr>
        <w:pStyle w:val="4"/>
        <w:rPr>
          <w:rStyle w:val="26"/>
          <w:rFonts w:ascii="仿宋" w:hAnsi="仿宋" w:eastAsia="仿宋"/>
          <w:b w:val="0"/>
          <w:bCs w:val="0"/>
        </w:rPr>
      </w:pPr>
      <w:bookmarkStart w:id="62"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2"/>
      <w:bookmarkStart w:id="63"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3"/>
    </w:p>
    <w:p>
      <w:pPr>
        <w:pStyle w:val="4"/>
        <w:rPr>
          <w:rFonts w:ascii="仿宋" w:hAnsi="仿宋" w:eastAsia="仿宋"/>
        </w:rPr>
      </w:pPr>
      <w:bookmarkStart w:id="64"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4"/>
    </w:p>
    <w:p>
      <w:pPr>
        <w:pStyle w:val="4"/>
        <w:rPr>
          <w:rFonts w:ascii="仿宋" w:hAnsi="仿宋" w:eastAsia="仿宋"/>
        </w:rPr>
      </w:pPr>
      <w:bookmarkStart w:id="65"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5"/>
    </w:p>
    <w:p>
      <w:pPr>
        <w:pStyle w:val="4"/>
        <w:rPr>
          <w:rFonts w:ascii="仿宋" w:hAnsi="仿宋" w:eastAsia="仿宋"/>
        </w:rPr>
      </w:pPr>
      <w:bookmarkStart w:id="66"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6"/>
    </w:p>
    <w:p>
      <w:pPr>
        <w:pStyle w:val="4"/>
        <w:rPr>
          <w:rFonts w:ascii="仿宋" w:hAnsi="仿宋" w:eastAsia="仿宋"/>
        </w:rPr>
      </w:pPr>
      <w:bookmarkStart w:id="67"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7"/>
    </w:p>
    <w:p>
      <w:pPr>
        <w:pStyle w:val="4"/>
        <w:rPr>
          <w:rFonts w:ascii="仿宋" w:hAnsi="仿宋" w:eastAsia="仿宋"/>
        </w:rPr>
      </w:pPr>
      <w:bookmarkStart w:id="68"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8"/>
    </w:p>
    <w:p>
      <w:pPr>
        <w:pStyle w:val="4"/>
        <w:rPr>
          <w:rFonts w:ascii="仿宋" w:hAnsi="仿宋" w:eastAsia="仿宋"/>
        </w:rPr>
      </w:pPr>
      <w:bookmarkStart w:id="69"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9"/>
    </w:p>
    <w:p>
      <w:pPr>
        <w:pStyle w:val="4"/>
        <w:rPr>
          <w:rStyle w:val="26"/>
          <w:rFonts w:ascii="仿宋" w:hAnsi="仿宋" w:eastAsia="仿宋"/>
          <w:b w:val="0"/>
          <w:bCs w:val="0"/>
        </w:rPr>
      </w:pPr>
      <w:bookmarkStart w:id="70"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70"/>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A063F47"/>
    <w:multiLevelType w:val="singleLevel"/>
    <w:tmpl w:val="1A063F47"/>
    <w:lvl w:ilvl="0" w:tentative="0">
      <w:start w:val="2"/>
      <w:numFmt w:val="chineseCounting"/>
      <w:suff w:val="nothing"/>
      <w:lvlText w:val="（%1）"/>
      <w:lvlJc w:val="left"/>
      <w:rPr>
        <w:rFonts w:hint="eastAsia"/>
      </w:rPr>
    </w:lvl>
  </w:abstractNum>
  <w:abstractNum w:abstractNumId="4">
    <w:nsid w:val="218A69CB"/>
    <w:multiLevelType w:val="multilevel"/>
    <w:tmpl w:val="218A69CB"/>
    <w:lvl w:ilvl="0" w:tentative="0">
      <w:start w:val="1"/>
      <w:numFmt w:val="japaneseCounting"/>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mNjU4ZWMyNzRjNWRkODQwMDZiZGE1MWU4ZTU3O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07B1C"/>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682A"/>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B05A3"/>
    <w:rsid w:val="007B1DB2"/>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E15F7"/>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A7021"/>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63"/>
    <w:rsid w:val="00FF1E02"/>
    <w:rsid w:val="00FF30B4"/>
    <w:rsid w:val="016A7A21"/>
    <w:rsid w:val="066E0107"/>
    <w:rsid w:val="07996F6E"/>
    <w:rsid w:val="0A2032A3"/>
    <w:rsid w:val="101860EC"/>
    <w:rsid w:val="10C055FF"/>
    <w:rsid w:val="118107EC"/>
    <w:rsid w:val="13D50BC4"/>
    <w:rsid w:val="16BB723D"/>
    <w:rsid w:val="1BE8440E"/>
    <w:rsid w:val="1D155CEE"/>
    <w:rsid w:val="23860B96"/>
    <w:rsid w:val="240371BF"/>
    <w:rsid w:val="29FD04D3"/>
    <w:rsid w:val="2C8A61B5"/>
    <w:rsid w:val="2D7626DC"/>
    <w:rsid w:val="2DF04E50"/>
    <w:rsid w:val="3135465C"/>
    <w:rsid w:val="319F7F4E"/>
    <w:rsid w:val="34CA064D"/>
    <w:rsid w:val="36AA5135"/>
    <w:rsid w:val="37E16F03"/>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C324FED"/>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Normal Indent"/>
    <w:basedOn w:val="1"/>
    <w:semiHidden/>
    <w:unhideWhenUsed/>
    <w:uiPriority w:val="99"/>
    <w:pPr>
      <w:ind w:firstLine="420" w:firstLine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44</Pages>
  <Words>2545</Words>
  <Characters>14509</Characters>
  <Lines>120</Lines>
  <Paragraphs>34</Paragraphs>
  <TotalTime>14</TotalTime>
  <ScaleCrop>false</ScaleCrop>
  <LinksUpToDate>false</LinksUpToDate>
  <CharactersWithSpaces>17020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2023-10-11T02:59:00Z</dcterms:created>
  <dc:creator>曹颖</dc:creator>
  <cp:lastModifiedBy>李付兵</cp:lastModifiedBy>
  <cp:lastPrinted>2022-08-08T09:11:00Z</cp:lastPrinted>
  <dcterms:modified xsi:type="dcterms:W3CDTF">2023-10-17T01:38:59Z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636BE56178944A928B4490C57C9B01DD_13</vt:lpwstr>
  </property>
</Properties>
</file>