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96475"/>
      <w:bookmarkStart w:id="1" w:name="_Toc15396597"/>
      <w:bookmarkStart w:id="2" w:name="_Toc15377193"/>
      <w:bookmarkStart w:id="3" w:name="_Toc15377425"/>
      <w:bookmarkStart w:id="4" w:name="_Toc15378441"/>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2021年度</w:t>
      </w:r>
      <w:bookmarkEnd w:id="0"/>
      <w:bookmarkEnd w:id="1"/>
      <w:bookmarkEnd w:id="2"/>
      <w:bookmarkEnd w:id="3"/>
      <w:bookmarkEnd w:id="4"/>
    </w:p>
    <w:p>
      <w:pPr>
        <w:adjustRightInd w:val="0"/>
        <w:snapToGrid w:val="0"/>
        <w:spacing w:line="360" w:lineRule="auto"/>
        <w:jc w:val="center"/>
        <w:outlineLvl w:val="0"/>
        <w:rPr>
          <w:rFonts w:hint="eastAsia" w:ascii="方正小标宋_GBK" w:hAnsi="方正小标宋_GBK" w:eastAsia="方正小标宋_GBK" w:cs="方正小标宋_GBK"/>
          <w:sz w:val="84"/>
          <w:szCs w:val="84"/>
          <w:lang w:eastAsia="zh-CN"/>
        </w:rPr>
      </w:pPr>
      <w:bookmarkStart w:id="6" w:name="_Toc15396476"/>
      <w:bookmarkStart w:id="7" w:name="_Toc15378442"/>
      <w:bookmarkStart w:id="8" w:name="_Toc15396598"/>
      <w:bookmarkStart w:id="9" w:name="_Toc15377194"/>
      <w:bookmarkStart w:id="10" w:name="_Toc15377426"/>
      <w:r>
        <w:rPr>
          <w:rFonts w:hint="eastAsia" w:ascii="方正小标宋_GBK" w:hAnsi="方正小标宋_GBK" w:eastAsia="方正小标宋_GBK" w:cs="方正小标宋_GBK"/>
          <w:sz w:val="84"/>
          <w:szCs w:val="84"/>
        </w:rPr>
        <w:t>四川省</w:t>
      </w:r>
      <w:bookmarkEnd w:id="5"/>
      <w:bookmarkStart w:id="11" w:name="_Toc15306268"/>
      <w:r>
        <w:rPr>
          <w:rFonts w:hint="eastAsia" w:ascii="方正小标宋_GBK" w:hAnsi="方正小标宋_GBK" w:eastAsia="方正小标宋_GBK" w:cs="方正小标宋_GBK"/>
          <w:sz w:val="84"/>
          <w:szCs w:val="84"/>
          <w:lang w:eastAsia="zh-CN"/>
        </w:rPr>
        <w:t>攀枝花市</w:t>
      </w:r>
    </w:p>
    <w:p>
      <w:pPr>
        <w:adjustRightInd w:val="0"/>
        <w:snapToGrid w:val="0"/>
        <w:spacing w:line="360" w:lineRule="auto"/>
        <w:jc w:val="center"/>
        <w:outlineLvl w:val="0"/>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西区水利局</w:t>
      </w:r>
      <w:r>
        <w:rPr>
          <w:rFonts w:hint="eastAsia" w:ascii="方正小标宋_GBK" w:hAnsi="方正小标宋_GBK" w:eastAsia="方正小标宋_GBK" w:cs="方正小标宋_GBK"/>
          <w:sz w:val="84"/>
          <w:szCs w:val="84"/>
        </w:rPr>
        <w:t>部门决算</w:t>
      </w:r>
      <w:bookmarkEnd w:id="6"/>
      <w:bookmarkEnd w:id="7"/>
      <w:bookmarkEnd w:id="8"/>
      <w:bookmarkEnd w:id="9"/>
      <w:bookmarkEnd w:id="10"/>
      <w:bookmarkEnd w:id="11"/>
    </w:p>
    <w:p>
      <w:pPr>
        <w:widowControl/>
        <w:jc w:val="center"/>
        <w:rPr>
          <w:rFonts w:hint="eastAsia" w:ascii="方正小标宋_GBK" w:hAnsi="方正小标宋_GBK" w:eastAsia="方正小标宋_GBK" w:cs="方正小标宋_GBK"/>
          <w:sz w:val="84"/>
          <w:szCs w:val="84"/>
        </w:rPr>
        <w:sectPr>
          <w:headerReference r:id="rId3" w:type="default"/>
          <w:pgSz w:w="11906" w:h="16838"/>
          <w:pgMar w:top="2098" w:right="1474" w:bottom="1984" w:left="1588" w:header="851" w:footer="1134" w:gutter="0"/>
          <w:pgNumType w:fmt="numberInDash" w:start="1"/>
          <w:cols w:space="0" w:num="1"/>
          <w:titlePg/>
          <w:rtlGutter w:val="0"/>
          <w:docGrid w:type="lines" w:linePitch="312" w:charSpace="0"/>
        </w:sectPr>
      </w:pPr>
    </w:p>
    <w:p>
      <w:pPr>
        <w:widowControl/>
        <w:jc w:val="center"/>
        <w:rPr>
          <w:rFonts w:ascii="黑体" w:hAnsi="黑体" w:eastAsia="黑体"/>
          <w:sz w:val="48"/>
          <w:szCs w:val="48"/>
        </w:rPr>
      </w:pP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1"/>
        <w:rPr>
          <w:rFonts w:hint="default" w:ascii="Times New Roman" w:hAnsi="Times New Roman" w:cs="Times New Roman"/>
        </w:rPr>
      </w:pPr>
      <w:r>
        <w:rPr>
          <w:rFonts w:hint="default" w:ascii="Times New Roman" w:hAnsi="Times New Roman" w:cs="Times New Roman"/>
        </w:rPr>
        <w:t>公开时间：2022年</w:t>
      </w:r>
      <w:r>
        <w:rPr>
          <w:rFonts w:hint="eastAsia" w:ascii="Times New Roman" w:hAnsi="Times New Roman" w:cs="Times New Roman"/>
          <w:lang w:val="en-US" w:eastAsia="zh-CN"/>
        </w:rPr>
        <w:t>10</w:t>
      </w:r>
      <w:r>
        <w:rPr>
          <w:rFonts w:hint="default" w:ascii="Times New Roman" w:hAnsi="Times New Roman" w:cs="Times New Roman"/>
        </w:rPr>
        <w:t>月</w:t>
      </w:r>
      <w:r>
        <w:rPr>
          <w:rFonts w:hint="eastAsia" w:ascii="Times New Roman" w:hAnsi="Times New Roman" w:cs="Times New Roman"/>
          <w:lang w:val="en-US" w:eastAsia="zh-CN"/>
        </w:rPr>
        <w:t>9</w:t>
      </w:r>
      <w:r>
        <w:rPr>
          <w:rFonts w:hint="default" w:ascii="Times New Roman" w:hAnsi="Times New Roman" w:cs="Times New Roman"/>
        </w:rPr>
        <w:t>日</w:t>
      </w:r>
    </w:p>
    <w:p>
      <w:pPr>
        <w:rPr>
          <w:rFonts w:hint="default" w:ascii="Times New Roman" w:hAnsi="Times New Roman" w:cs="Times New Roman"/>
        </w:rPr>
      </w:pPr>
    </w:p>
    <w:p>
      <w:pPr>
        <w:pStyle w:val="11"/>
        <w:keepNext w:val="0"/>
        <w:keepLines w:val="0"/>
        <w:pageBreakBefore w:val="0"/>
        <w:kinsoku/>
        <w:wordWrap/>
        <w:overflowPunct/>
        <w:topLinePunct w:val="0"/>
        <w:autoSpaceDE/>
        <w:autoSpaceDN/>
        <w:bidi w:val="0"/>
        <w:adjustRightInd w:val="0"/>
        <w:snapToGrid w:val="0"/>
        <w:spacing w:before="0" w:line="540" w:lineRule="exact"/>
        <w:ind w:left="0" w:leftChars="0"/>
        <w:jc w:val="left"/>
        <w:textAlignment w:val="auto"/>
        <w:rPr>
          <w:rFonts w:hint="eastAsia"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rPr>
        <w:t>第一部分 部门概况</w:t>
      </w:r>
      <w:r>
        <w:rPr>
          <w:rFonts w:hint="eastAsia" w:ascii="Times New Roman" w:hAnsi="Times New Roman" w:eastAsia="仿宋_GB2312" w:cs="Times New Roman"/>
          <w:b/>
          <w:bCs/>
          <w:sz w:val="28"/>
          <w:szCs w:val="28"/>
          <w:lang w:val="en-US" w:eastAsia="zh-CN"/>
        </w:rPr>
        <w:t>..........................................................................................3</w:t>
      </w:r>
    </w:p>
    <w:p>
      <w:pPr>
        <w:pStyle w:val="12"/>
        <w:keepNext w:val="0"/>
        <w:keepLines w:val="0"/>
        <w:pageBreakBefore w:val="0"/>
        <w:kinsoku/>
        <w:wordWrap/>
        <w:overflowPunct/>
        <w:topLinePunct w:val="0"/>
        <w:autoSpaceDE/>
        <w:autoSpaceDN/>
        <w:bidi w:val="0"/>
        <w:adjustRightInd w:val="0"/>
        <w:snapToGrid w:val="0"/>
        <w:spacing w:line="540" w:lineRule="exact"/>
        <w:ind w:left="0" w:leftChars="0"/>
        <w:jc w:val="left"/>
        <w:textAlignment w:val="auto"/>
        <w:rPr>
          <w:rFonts w:hint="eastAsia"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一、基本职能及主要工作</w:t>
      </w:r>
      <w:r>
        <w:rPr>
          <w:rFonts w:hint="eastAsia" w:eastAsia="仿宋_GB2312" w:cs="Times New Roman"/>
          <w:sz w:val="28"/>
          <w:szCs w:val="28"/>
          <w:lang w:val="en-US" w:eastAsia="zh-CN"/>
        </w:rPr>
        <w:t>.................................................................................3</w:t>
      </w:r>
    </w:p>
    <w:p>
      <w:pPr>
        <w:pStyle w:val="12"/>
        <w:keepNext w:val="0"/>
        <w:keepLines w:val="0"/>
        <w:pageBreakBefore w:val="0"/>
        <w:kinsoku/>
        <w:wordWrap/>
        <w:overflowPunct/>
        <w:topLinePunct w:val="0"/>
        <w:autoSpaceDE/>
        <w:autoSpaceDN/>
        <w:bidi w:val="0"/>
        <w:adjustRightInd w:val="0"/>
        <w:snapToGrid w:val="0"/>
        <w:spacing w:line="540" w:lineRule="exact"/>
        <w:ind w:left="0" w:leftChars="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二、机构设置</w:t>
      </w:r>
      <w:r>
        <w:rPr>
          <w:rFonts w:hint="eastAsia" w:eastAsia="仿宋_GB2312" w:cs="Times New Roman"/>
          <w:sz w:val="28"/>
          <w:szCs w:val="28"/>
          <w:lang w:val="en-US" w:eastAsia="zh-CN"/>
        </w:rPr>
        <w:t>....................................................................................................10</w:t>
      </w:r>
    </w:p>
    <w:p>
      <w:pPr>
        <w:pStyle w:val="11"/>
        <w:keepNext w:val="0"/>
        <w:keepLines w:val="0"/>
        <w:pageBreakBefore w:val="0"/>
        <w:kinsoku/>
        <w:wordWrap/>
        <w:overflowPunct/>
        <w:topLinePunct w:val="0"/>
        <w:autoSpaceDE/>
        <w:autoSpaceDN/>
        <w:bidi w:val="0"/>
        <w:adjustRightInd w:val="0"/>
        <w:snapToGrid w:val="0"/>
        <w:spacing w:before="0" w:line="540" w:lineRule="exact"/>
        <w:ind w:left="0" w:leftChars="0"/>
        <w:jc w:val="left"/>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rPr>
        <w:t>第二部分 2021年度部门决算情况说明</w:t>
      </w:r>
      <w:r>
        <w:rPr>
          <w:rFonts w:hint="eastAsia" w:ascii="Times New Roman" w:hAnsi="Times New Roman" w:eastAsia="仿宋_GB2312" w:cs="Times New Roman"/>
          <w:b/>
          <w:bCs/>
          <w:sz w:val="28"/>
          <w:szCs w:val="28"/>
          <w:lang w:val="en-US" w:eastAsia="zh-CN"/>
        </w:rPr>
        <w:t>.......................................................11</w:t>
      </w:r>
    </w:p>
    <w:p>
      <w:pPr>
        <w:pStyle w:val="12"/>
        <w:keepNext w:val="0"/>
        <w:keepLines w:val="0"/>
        <w:pageBreakBefore w:val="0"/>
        <w:kinsoku/>
        <w:wordWrap/>
        <w:overflowPunct/>
        <w:topLinePunct w:val="0"/>
        <w:autoSpaceDE/>
        <w:autoSpaceDN/>
        <w:bidi w:val="0"/>
        <w:adjustRightInd w:val="0"/>
        <w:snapToGrid w:val="0"/>
        <w:spacing w:line="540" w:lineRule="exact"/>
        <w:ind w:left="0" w:leftChars="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一、收入支出决算总体情况说明</w:t>
      </w:r>
      <w:r>
        <w:rPr>
          <w:rFonts w:hint="eastAsia" w:eastAsia="仿宋_GB2312" w:cs="Times New Roman"/>
          <w:sz w:val="28"/>
          <w:szCs w:val="28"/>
          <w:lang w:val="en-US" w:eastAsia="zh-CN"/>
        </w:rPr>
        <w:t>...................................................................11</w:t>
      </w:r>
    </w:p>
    <w:p>
      <w:pPr>
        <w:pStyle w:val="12"/>
        <w:keepNext w:val="0"/>
        <w:keepLines w:val="0"/>
        <w:pageBreakBefore w:val="0"/>
        <w:kinsoku/>
        <w:wordWrap/>
        <w:overflowPunct/>
        <w:topLinePunct w:val="0"/>
        <w:autoSpaceDE/>
        <w:autoSpaceDN/>
        <w:bidi w:val="0"/>
        <w:adjustRightInd w:val="0"/>
        <w:snapToGrid w:val="0"/>
        <w:spacing w:line="540" w:lineRule="exact"/>
        <w:ind w:left="0" w:leftChars="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二、收入决算情况说明</w:t>
      </w:r>
      <w:r>
        <w:rPr>
          <w:rFonts w:hint="eastAsia" w:eastAsia="仿宋_GB2312" w:cs="Times New Roman"/>
          <w:sz w:val="28"/>
          <w:szCs w:val="28"/>
          <w:lang w:val="en-US" w:eastAsia="zh-CN"/>
        </w:rPr>
        <w:t>....................................................................................11</w:t>
      </w:r>
    </w:p>
    <w:p>
      <w:pPr>
        <w:pStyle w:val="12"/>
        <w:keepNext w:val="0"/>
        <w:keepLines w:val="0"/>
        <w:pageBreakBefore w:val="0"/>
        <w:kinsoku/>
        <w:wordWrap/>
        <w:overflowPunct/>
        <w:topLinePunct w:val="0"/>
        <w:autoSpaceDE/>
        <w:autoSpaceDN/>
        <w:bidi w:val="0"/>
        <w:adjustRightInd w:val="0"/>
        <w:snapToGrid w:val="0"/>
        <w:spacing w:line="540" w:lineRule="exact"/>
        <w:ind w:left="0" w:leftChars="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三、支出决算情况说明</w:t>
      </w:r>
      <w:r>
        <w:rPr>
          <w:rFonts w:hint="eastAsia" w:eastAsia="仿宋_GB2312" w:cs="Times New Roman"/>
          <w:sz w:val="28"/>
          <w:szCs w:val="28"/>
          <w:lang w:val="en-US" w:eastAsia="zh-CN"/>
        </w:rPr>
        <w:t>....................................................................................12</w:t>
      </w:r>
    </w:p>
    <w:p>
      <w:pPr>
        <w:pStyle w:val="12"/>
        <w:keepNext w:val="0"/>
        <w:keepLines w:val="0"/>
        <w:pageBreakBefore w:val="0"/>
        <w:kinsoku/>
        <w:wordWrap/>
        <w:overflowPunct/>
        <w:topLinePunct w:val="0"/>
        <w:autoSpaceDE/>
        <w:autoSpaceDN/>
        <w:bidi w:val="0"/>
        <w:adjustRightInd w:val="0"/>
        <w:snapToGrid w:val="0"/>
        <w:spacing w:line="540" w:lineRule="exact"/>
        <w:ind w:left="0" w:leftChars="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四、财政拨款收入支出决算总体情况说明</w:t>
      </w:r>
      <w:r>
        <w:rPr>
          <w:rFonts w:hint="eastAsia" w:eastAsia="仿宋_GB2312" w:cs="Times New Roman"/>
          <w:sz w:val="28"/>
          <w:szCs w:val="28"/>
          <w:lang w:val="en-US" w:eastAsia="zh-CN"/>
        </w:rPr>
        <w:t>...................................................13</w:t>
      </w:r>
    </w:p>
    <w:p>
      <w:pPr>
        <w:pStyle w:val="12"/>
        <w:keepNext w:val="0"/>
        <w:keepLines w:val="0"/>
        <w:pageBreakBefore w:val="0"/>
        <w:kinsoku/>
        <w:wordWrap/>
        <w:overflowPunct/>
        <w:topLinePunct w:val="0"/>
        <w:autoSpaceDE/>
        <w:autoSpaceDN/>
        <w:bidi w:val="0"/>
        <w:adjustRightInd w:val="0"/>
        <w:snapToGrid w:val="0"/>
        <w:spacing w:line="540" w:lineRule="exact"/>
        <w:ind w:left="0" w:leftChars="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五、一般公共预算财政拨款支出决算情况说明</w:t>
      </w:r>
      <w:r>
        <w:rPr>
          <w:rFonts w:hint="eastAsia" w:eastAsia="仿宋_GB2312" w:cs="Times New Roman"/>
          <w:sz w:val="28"/>
          <w:szCs w:val="28"/>
          <w:lang w:val="en-US" w:eastAsia="zh-CN"/>
        </w:rPr>
        <w:t>............................................13</w:t>
      </w:r>
    </w:p>
    <w:p>
      <w:pPr>
        <w:pStyle w:val="12"/>
        <w:keepNext w:val="0"/>
        <w:keepLines w:val="0"/>
        <w:pageBreakBefore w:val="0"/>
        <w:kinsoku/>
        <w:wordWrap/>
        <w:overflowPunct/>
        <w:topLinePunct w:val="0"/>
        <w:autoSpaceDE/>
        <w:autoSpaceDN/>
        <w:bidi w:val="0"/>
        <w:adjustRightInd w:val="0"/>
        <w:snapToGrid w:val="0"/>
        <w:spacing w:line="540" w:lineRule="exact"/>
        <w:ind w:left="0" w:leftChars="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六、一般公共预算财政拨款基本支出决算情况说明</w:t>
      </w:r>
      <w:r>
        <w:rPr>
          <w:rFonts w:hint="eastAsia" w:eastAsia="仿宋_GB2312" w:cs="Times New Roman"/>
          <w:sz w:val="28"/>
          <w:szCs w:val="28"/>
          <w:lang w:val="en-US" w:eastAsia="zh-CN"/>
        </w:rPr>
        <w:t>....................................16</w:t>
      </w:r>
    </w:p>
    <w:p>
      <w:pPr>
        <w:pStyle w:val="12"/>
        <w:keepNext w:val="0"/>
        <w:keepLines w:val="0"/>
        <w:pageBreakBefore w:val="0"/>
        <w:kinsoku/>
        <w:wordWrap/>
        <w:overflowPunct/>
        <w:topLinePunct w:val="0"/>
        <w:autoSpaceDE/>
        <w:autoSpaceDN/>
        <w:bidi w:val="0"/>
        <w:adjustRightInd w:val="0"/>
        <w:snapToGrid w:val="0"/>
        <w:spacing w:line="540" w:lineRule="exact"/>
        <w:ind w:left="0" w:leftChars="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七、“三公”经费财政拨款支出决算情况说明</w:t>
      </w:r>
      <w:r>
        <w:rPr>
          <w:rFonts w:hint="eastAsia" w:eastAsia="仿宋_GB2312" w:cs="Times New Roman"/>
          <w:sz w:val="28"/>
          <w:szCs w:val="28"/>
          <w:lang w:val="en-US" w:eastAsia="zh-CN"/>
        </w:rPr>
        <w:t>................................................17</w:t>
      </w:r>
    </w:p>
    <w:p>
      <w:pPr>
        <w:pStyle w:val="12"/>
        <w:keepNext w:val="0"/>
        <w:keepLines w:val="0"/>
        <w:pageBreakBefore w:val="0"/>
        <w:kinsoku/>
        <w:wordWrap/>
        <w:overflowPunct/>
        <w:topLinePunct w:val="0"/>
        <w:autoSpaceDE/>
        <w:autoSpaceDN/>
        <w:bidi w:val="0"/>
        <w:adjustRightInd w:val="0"/>
        <w:snapToGrid w:val="0"/>
        <w:spacing w:line="540" w:lineRule="exact"/>
        <w:ind w:left="0" w:leftChars="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八、政府性基金预算支出决算情况说明</w:t>
      </w:r>
      <w:r>
        <w:rPr>
          <w:rFonts w:hint="eastAsia" w:eastAsia="仿宋_GB2312" w:cs="Times New Roman"/>
          <w:sz w:val="28"/>
          <w:szCs w:val="28"/>
          <w:lang w:val="en-US" w:eastAsia="zh-CN"/>
        </w:rPr>
        <w:t>........................................................19</w:t>
      </w:r>
    </w:p>
    <w:p>
      <w:pPr>
        <w:pStyle w:val="12"/>
        <w:keepNext w:val="0"/>
        <w:keepLines w:val="0"/>
        <w:pageBreakBefore w:val="0"/>
        <w:kinsoku/>
        <w:wordWrap/>
        <w:overflowPunct/>
        <w:topLinePunct w:val="0"/>
        <w:autoSpaceDE/>
        <w:autoSpaceDN/>
        <w:bidi w:val="0"/>
        <w:adjustRightInd w:val="0"/>
        <w:snapToGrid w:val="0"/>
        <w:spacing w:line="540" w:lineRule="exact"/>
        <w:ind w:left="0" w:leftChars="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九、国有资本经营预算支出决算情况说明</w:t>
      </w:r>
      <w:r>
        <w:rPr>
          <w:rFonts w:hint="eastAsia" w:eastAsia="仿宋_GB2312" w:cs="Times New Roman"/>
          <w:sz w:val="28"/>
          <w:szCs w:val="28"/>
          <w:lang w:val="en-US" w:eastAsia="zh-CN"/>
        </w:rPr>
        <w:t>....................................................19</w:t>
      </w:r>
    </w:p>
    <w:p>
      <w:pPr>
        <w:keepNext w:val="0"/>
        <w:keepLines w:val="0"/>
        <w:pageBreakBefore w:val="0"/>
        <w:kinsoku/>
        <w:wordWrap/>
        <w:overflowPunct/>
        <w:topLinePunct w:val="0"/>
        <w:autoSpaceDE/>
        <w:autoSpaceDN/>
        <w:bidi w:val="0"/>
        <w:adjustRightInd w:val="0"/>
        <w:snapToGrid w:val="0"/>
        <w:spacing w:line="540" w:lineRule="exact"/>
        <w:jc w:val="left"/>
        <w:textAlignment w:val="auto"/>
        <w:rPr>
          <w:rFonts w:hint="default" w:ascii="Times New Roman" w:hAnsi="Times New Roman" w:eastAsia="仿宋_GB2312" w:cs="Times New Roman"/>
          <w:sz w:val="28"/>
          <w:szCs w:val="28"/>
          <w:lang w:val="en-US" w:eastAsia="zh-CN"/>
        </w:rPr>
      </w:pPr>
      <w:r>
        <w:rPr>
          <w:rStyle w:val="16"/>
          <w:rFonts w:hint="default" w:ascii="Times New Roman" w:hAnsi="Times New Roman" w:eastAsia="仿宋_GB2312" w:cs="Times New Roman"/>
          <w:color w:val="auto"/>
          <w:sz w:val="28"/>
          <w:szCs w:val="28"/>
          <w:u w:val="none"/>
        </w:rPr>
        <w:t>十、</w:t>
      </w:r>
      <w:r>
        <w:rPr>
          <w:rFonts w:hint="default" w:ascii="Times New Roman" w:hAnsi="Times New Roman" w:eastAsia="仿宋_GB2312" w:cs="Times New Roman"/>
          <w:sz w:val="28"/>
          <w:szCs w:val="28"/>
        </w:rPr>
        <w:t>其他重要事项的情况说明</w:t>
      </w:r>
      <w:r>
        <w:rPr>
          <w:rFonts w:hint="eastAsia" w:eastAsia="仿宋_GB2312" w:cs="Times New Roman"/>
          <w:sz w:val="28"/>
          <w:szCs w:val="28"/>
          <w:lang w:val="en-US" w:eastAsia="zh-CN"/>
        </w:rPr>
        <w:t>........................................................................19</w:t>
      </w:r>
    </w:p>
    <w:p>
      <w:pPr>
        <w:pStyle w:val="11"/>
        <w:keepNext w:val="0"/>
        <w:keepLines w:val="0"/>
        <w:pageBreakBefore w:val="0"/>
        <w:kinsoku/>
        <w:wordWrap/>
        <w:overflowPunct/>
        <w:topLinePunct w:val="0"/>
        <w:autoSpaceDE/>
        <w:autoSpaceDN/>
        <w:bidi w:val="0"/>
        <w:adjustRightInd w:val="0"/>
        <w:snapToGrid w:val="0"/>
        <w:spacing w:before="0" w:line="540" w:lineRule="exact"/>
        <w:ind w:left="0" w:leftChars="0"/>
        <w:jc w:val="left"/>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rPr>
        <w:t>第三部分 名词解释</w:t>
      </w:r>
      <w:r>
        <w:rPr>
          <w:rFonts w:hint="eastAsia" w:ascii="Times New Roman" w:hAnsi="Times New Roman" w:eastAsia="仿宋_GB2312" w:cs="Times New Roman"/>
          <w:b/>
          <w:bCs/>
          <w:sz w:val="28"/>
          <w:szCs w:val="28"/>
          <w:lang w:val="en-US" w:eastAsia="zh-CN"/>
        </w:rPr>
        <w:t>........................................................................................22</w:t>
      </w:r>
    </w:p>
    <w:p>
      <w:pPr>
        <w:pStyle w:val="11"/>
        <w:keepNext w:val="0"/>
        <w:keepLines w:val="0"/>
        <w:pageBreakBefore w:val="0"/>
        <w:kinsoku/>
        <w:wordWrap/>
        <w:overflowPunct/>
        <w:topLinePunct w:val="0"/>
        <w:autoSpaceDE/>
        <w:autoSpaceDN/>
        <w:bidi w:val="0"/>
        <w:adjustRightInd w:val="0"/>
        <w:snapToGrid w:val="0"/>
        <w:spacing w:before="0" w:line="540" w:lineRule="exact"/>
        <w:ind w:left="0" w:leftChars="0"/>
        <w:jc w:val="left"/>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rPr>
        <w:t>第四部分 附件</w:t>
      </w:r>
      <w:r>
        <w:rPr>
          <w:rFonts w:hint="eastAsia" w:ascii="Times New Roman" w:hAnsi="Times New Roman" w:eastAsia="仿宋_GB2312" w:cs="Times New Roman"/>
          <w:b/>
          <w:bCs/>
          <w:sz w:val="28"/>
          <w:szCs w:val="28"/>
          <w:lang w:val="en-US" w:eastAsia="zh-CN"/>
        </w:rPr>
        <w:t>................................................................................................25</w:t>
      </w:r>
    </w:p>
    <w:p>
      <w:pPr>
        <w:pStyle w:val="11"/>
        <w:keepNext w:val="0"/>
        <w:keepLines w:val="0"/>
        <w:pageBreakBefore w:val="0"/>
        <w:kinsoku/>
        <w:wordWrap/>
        <w:overflowPunct/>
        <w:topLinePunct w:val="0"/>
        <w:autoSpaceDE/>
        <w:autoSpaceDN/>
        <w:bidi w:val="0"/>
        <w:adjustRightInd w:val="0"/>
        <w:snapToGrid w:val="0"/>
        <w:spacing w:before="0" w:line="540" w:lineRule="exact"/>
        <w:ind w:left="0" w:leftChars="0"/>
        <w:jc w:val="left"/>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rPr>
        <w:t>第五部分 附表</w:t>
      </w:r>
      <w:r>
        <w:rPr>
          <w:rFonts w:hint="eastAsia" w:ascii="Times New Roman" w:hAnsi="Times New Roman" w:eastAsia="仿宋_GB2312" w:cs="Times New Roman"/>
          <w:b/>
          <w:bCs/>
          <w:sz w:val="28"/>
          <w:szCs w:val="28"/>
          <w:lang w:val="en-US" w:eastAsia="zh-CN"/>
        </w:rPr>
        <w:t>................................................................................................64</w:t>
      </w:r>
    </w:p>
    <w:p>
      <w:pPr>
        <w:pStyle w:val="12"/>
        <w:keepNext w:val="0"/>
        <w:keepLines w:val="0"/>
        <w:pageBreakBefore w:val="0"/>
        <w:kinsoku/>
        <w:wordWrap/>
        <w:overflowPunct/>
        <w:topLinePunct w:val="0"/>
        <w:autoSpaceDE/>
        <w:autoSpaceDN/>
        <w:bidi w:val="0"/>
        <w:adjustRightInd w:val="0"/>
        <w:snapToGrid w:val="0"/>
        <w:spacing w:line="540" w:lineRule="exact"/>
        <w:ind w:left="0" w:leftChars="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一、收入支出决算总表</w:t>
      </w:r>
      <w:r>
        <w:rPr>
          <w:rFonts w:hint="eastAsia" w:eastAsia="仿宋_GB2312" w:cs="Times New Roman"/>
          <w:sz w:val="28"/>
          <w:szCs w:val="28"/>
          <w:lang w:val="en-US" w:eastAsia="zh-CN"/>
        </w:rPr>
        <w:t>....................................................................................</w:t>
      </w:r>
      <w:r>
        <w:rPr>
          <w:rFonts w:hint="eastAsia" w:ascii="Times New Roman" w:hAnsi="Times New Roman" w:eastAsia="仿宋_GB2312" w:cs="Times New Roman"/>
          <w:b/>
          <w:bCs/>
          <w:sz w:val="28"/>
          <w:szCs w:val="28"/>
          <w:lang w:val="en-US" w:eastAsia="zh-CN"/>
        </w:rPr>
        <w:t>64</w:t>
      </w:r>
    </w:p>
    <w:p>
      <w:pPr>
        <w:pStyle w:val="12"/>
        <w:keepNext w:val="0"/>
        <w:keepLines w:val="0"/>
        <w:pageBreakBefore w:val="0"/>
        <w:kinsoku/>
        <w:wordWrap/>
        <w:overflowPunct/>
        <w:topLinePunct w:val="0"/>
        <w:autoSpaceDE/>
        <w:autoSpaceDN/>
        <w:bidi w:val="0"/>
        <w:adjustRightInd w:val="0"/>
        <w:snapToGrid w:val="0"/>
        <w:spacing w:line="540" w:lineRule="exact"/>
        <w:ind w:left="0" w:leftChars="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二、收入决算</w:t>
      </w:r>
      <w:r>
        <w:rPr>
          <w:rFonts w:hint="eastAsia" w:eastAsia="仿宋_GB2312" w:cs="Times New Roman"/>
          <w:sz w:val="28"/>
          <w:szCs w:val="28"/>
          <w:lang w:eastAsia="zh-CN"/>
        </w:rPr>
        <w:t>表</w:t>
      </w:r>
      <w:r>
        <w:rPr>
          <w:rFonts w:hint="eastAsia" w:eastAsia="仿宋_GB2312" w:cs="Times New Roman"/>
          <w:sz w:val="28"/>
          <w:szCs w:val="28"/>
          <w:lang w:val="en-US" w:eastAsia="zh-CN"/>
        </w:rPr>
        <w:t>................................................................................................64</w:t>
      </w:r>
    </w:p>
    <w:p>
      <w:pPr>
        <w:pStyle w:val="12"/>
        <w:keepNext w:val="0"/>
        <w:keepLines w:val="0"/>
        <w:pageBreakBefore w:val="0"/>
        <w:kinsoku/>
        <w:wordWrap/>
        <w:overflowPunct/>
        <w:topLinePunct w:val="0"/>
        <w:autoSpaceDE/>
        <w:autoSpaceDN/>
        <w:bidi w:val="0"/>
        <w:adjustRightInd w:val="0"/>
        <w:snapToGrid w:val="0"/>
        <w:spacing w:line="540" w:lineRule="exact"/>
        <w:ind w:left="0" w:leftChars="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三、支出决算表</w:t>
      </w:r>
      <w:r>
        <w:rPr>
          <w:rFonts w:hint="eastAsia" w:eastAsia="仿宋_GB2312" w:cs="Times New Roman"/>
          <w:sz w:val="28"/>
          <w:szCs w:val="28"/>
          <w:lang w:val="en-US" w:eastAsia="zh-CN"/>
        </w:rPr>
        <w:t>................................................................................................64</w:t>
      </w:r>
    </w:p>
    <w:p>
      <w:pPr>
        <w:pStyle w:val="12"/>
        <w:keepNext w:val="0"/>
        <w:keepLines w:val="0"/>
        <w:pageBreakBefore w:val="0"/>
        <w:kinsoku/>
        <w:wordWrap/>
        <w:overflowPunct/>
        <w:topLinePunct w:val="0"/>
        <w:autoSpaceDE/>
        <w:autoSpaceDN/>
        <w:bidi w:val="0"/>
        <w:adjustRightInd w:val="0"/>
        <w:snapToGrid w:val="0"/>
        <w:spacing w:line="540" w:lineRule="exact"/>
        <w:ind w:left="0" w:leftChars="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四、财政拨款收入支出决算总表</w:t>
      </w:r>
      <w:r>
        <w:rPr>
          <w:rFonts w:hint="eastAsia" w:eastAsia="仿宋_GB2312" w:cs="Times New Roman"/>
          <w:sz w:val="28"/>
          <w:szCs w:val="28"/>
          <w:lang w:val="en-US" w:eastAsia="zh-CN"/>
        </w:rPr>
        <w:t>....................................................................64</w:t>
      </w:r>
    </w:p>
    <w:p>
      <w:pPr>
        <w:pStyle w:val="12"/>
        <w:keepNext w:val="0"/>
        <w:keepLines w:val="0"/>
        <w:pageBreakBefore w:val="0"/>
        <w:kinsoku/>
        <w:wordWrap/>
        <w:overflowPunct/>
        <w:topLinePunct w:val="0"/>
        <w:autoSpaceDE/>
        <w:autoSpaceDN/>
        <w:bidi w:val="0"/>
        <w:adjustRightInd w:val="0"/>
        <w:snapToGrid w:val="0"/>
        <w:spacing w:line="540" w:lineRule="exact"/>
        <w:ind w:left="0" w:leftChars="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五、财政拨款支出决算明细表</w:t>
      </w:r>
      <w:r>
        <w:rPr>
          <w:rFonts w:hint="eastAsia" w:eastAsia="仿宋_GB2312" w:cs="Times New Roman"/>
          <w:sz w:val="28"/>
          <w:szCs w:val="28"/>
          <w:lang w:val="en-US" w:eastAsia="zh-CN"/>
        </w:rPr>
        <w:t>........................................................................64</w:t>
      </w:r>
    </w:p>
    <w:p>
      <w:pPr>
        <w:pStyle w:val="12"/>
        <w:keepNext w:val="0"/>
        <w:keepLines w:val="0"/>
        <w:pageBreakBefore w:val="0"/>
        <w:kinsoku/>
        <w:wordWrap/>
        <w:overflowPunct/>
        <w:topLinePunct w:val="0"/>
        <w:autoSpaceDE/>
        <w:autoSpaceDN/>
        <w:bidi w:val="0"/>
        <w:adjustRightInd w:val="0"/>
        <w:snapToGrid w:val="0"/>
        <w:spacing w:line="540" w:lineRule="exact"/>
        <w:ind w:left="0" w:leftChars="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六、一般公共预算财政拨款支出决算表</w:t>
      </w:r>
      <w:r>
        <w:rPr>
          <w:rFonts w:hint="eastAsia" w:eastAsia="仿宋_GB2312" w:cs="Times New Roman"/>
          <w:sz w:val="28"/>
          <w:szCs w:val="28"/>
          <w:lang w:val="en-US" w:eastAsia="zh-CN"/>
        </w:rPr>
        <w:t>........................................................64</w:t>
      </w:r>
    </w:p>
    <w:p>
      <w:pPr>
        <w:pStyle w:val="12"/>
        <w:keepNext w:val="0"/>
        <w:keepLines w:val="0"/>
        <w:pageBreakBefore w:val="0"/>
        <w:kinsoku/>
        <w:wordWrap/>
        <w:overflowPunct/>
        <w:topLinePunct w:val="0"/>
        <w:autoSpaceDE/>
        <w:autoSpaceDN/>
        <w:bidi w:val="0"/>
        <w:adjustRightInd w:val="0"/>
        <w:snapToGrid w:val="0"/>
        <w:spacing w:line="540" w:lineRule="exact"/>
        <w:ind w:left="0" w:leftChars="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七、一般公共预算财政拨款支出决算明细表</w:t>
      </w:r>
      <w:r>
        <w:rPr>
          <w:rFonts w:hint="eastAsia" w:eastAsia="仿宋_GB2312" w:cs="Times New Roman"/>
          <w:sz w:val="28"/>
          <w:szCs w:val="28"/>
          <w:lang w:val="en-US" w:eastAsia="zh-CN"/>
        </w:rPr>
        <w:t>................................................64</w:t>
      </w:r>
    </w:p>
    <w:p>
      <w:pPr>
        <w:pStyle w:val="12"/>
        <w:keepNext w:val="0"/>
        <w:keepLines w:val="0"/>
        <w:pageBreakBefore w:val="0"/>
        <w:kinsoku/>
        <w:wordWrap/>
        <w:overflowPunct/>
        <w:topLinePunct w:val="0"/>
        <w:autoSpaceDE/>
        <w:autoSpaceDN/>
        <w:bidi w:val="0"/>
        <w:adjustRightInd w:val="0"/>
        <w:snapToGrid w:val="0"/>
        <w:spacing w:line="540" w:lineRule="exact"/>
        <w:ind w:left="0" w:leftChars="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八、一般公共预算财政拨款基本支出决算表</w:t>
      </w:r>
      <w:r>
        <w:rPr>
          <w:rFonts w:hint="eastAsia" w:eastAsia="仿宋_GB2312" w:cs="Times New Roman"/>
          <w:sz w:val="28"/>
          <w:szCs w:val="28"/>
          <w:lang w:val="en-US" w:eastAsia="zh-CN"/>
        </w:rPr>
        <w:t>................................................64</w:t>
      </w:r>
    </w:p>
    <w:p>
      <w:pPr>
        <w:pStyle w:val="12"/>
        <w:keepNext w:val="0"/>
        <w:keepLines w:val="0"/>
        <w:pageBreakBefore w:val="0"/>
        <w:kinsoku/>
        <w:wordWrap/>
        <w:overflowPunct/>
        <w:topLinePunct w:val="0"/>
        <w:autoSpaceDE/>
        <w:autoSpaceDN/>
        <w:bidi w:val="0"/>
        <w:adjustRightInd w:val="0"/>
        <w:snapToGrid w:val="0"/>
        <w:spacing w:line="540" w:lineRule="exact"/>
        <w:ind w:left="0" w:leftChars="0"/>
        <w:jc w:val="left"/>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sz w:val="28"/>
          <w:szCs w:val="28"/>
        </w:rPr>
        <w:t>九、一般公共预算财政拨款项目支出决算表</w:t>
      </w:r>
      <w:r>
        <w:rPr>
          <w:rFonts w:hint="eastAsia" w:eastAsia="仿宋_GB2312" w:cs="Times New Roman"/>
          <w:sz w:val="28"/>
          <w:szCs w:val="28"/>
          <w:lang w:val="en-US" w:eastAsia="zh-CN"/>
        </w:rPr>
        <w:t>................................................64</w:t>
      </w:r>
    </w:p>
    <w:p>
      <w:pPr>
        <w:pStyle w:val="12"/>
        <w:keepNext w:val="0"/>
        <w:keepLines w:val="0"/>
        <w:pageBreakBefore w:val="0"/>
        <w:kinsoku/>
        <w:wordWrap/>
        <w:overflowPunct/>
        <w:topLinePunct w:val="0"/>
        <w:autoSpaceDE/>
        <w:autoSpaceDN/>
        <w:bidi w:val="0"/>
        <w:adjustRightInd w:val="0"/>
        <w:snapToGrid w:val="0"/>
        <w:spacing w:line="540" w:lineRule="exact"/>
        <w:ind w:left="0" w:leftChars="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十、一般公共预算财政拨款“三公”经费支出决算表</w:t>
      </w:r>
      <w:r>
        <w:rPr>
          <w:rFonts w:hint="eastAsia" w:eastAsia="仿宋_GB2312" w:cs="Times New Roman"/>
          <w:sz w:val="28"/>
          <w:szCs w:val="28"/>
          <w:lang w:val="en-US" w:eastAsia="zh-CN"/>
        </w:rPr>
        <w:t>....................................64</w:t>
      </w:r>
    </w:p>
    <w:p>
      <w:pPr>
        <w:pStyle w:val="12"/>
        <w:keepNext w:val="0"/>
        <w:keepLines w:val="0"/>
        <w:pageBreakBefore w:val="0"/>
        <w:kinsoku/>
        <w:wordWrap/>
        <w:overflowPunct/>
        <w:topLinePunct w:val="0"/>
        <w:autoSpaceDE/>
        <w:autoSpaceDN/>
        <w:bidi w:val="0"/>
        <w:adjustRightInd w:val="0"/>
        <w:snapToGrid w:val="0"/>
        <w:spacing w:line="540" w:lineRule="exact"/>
        <w:ind w:left="0" w:leftChars="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十一、政府性基金预算财政拨款收入支出决算表</w:t>
      </w:r>
      <w:r>
        <w:rPr>
          <w:rFonts w:hint="eastAsia" w:eastAsia="仿宋_GB2312" w:cs="Times New Roman"/>
          <w:sz w:val="28"/>
          <w:szCs w:val="28"/>
          <w:lang w:val="en-US" w:eastAsia="zh-CN"/>
        </w:rPr>
        <w:t>........................................64</w:t>
      </w:r>
    </w:p>
    <w:p>
      <w:pPr>
        <w:pStyle w:val="12"/>
        <w:keepNext w:val="0"/>
        <w:keepLines w:val="0"/>
        <w:pageBreakBefore w:val="0"/>
        <w:kinsoku/>
        <w:wordWrap/>
        <w:overflowPunct/>
        <w:topLinePunct w:val="0"/>
        <w:autoSpaceDE/>
        <w:autoSpaceDN/>
        <w:bidi w:val="0"/>
        <w:adjustRightInd w:val="0"/>
        <w:snapToGrid w:val="0"/>
        <w:spacing w:line="540" w:lineRule="exact"/>
        <w:ind w:left="0" w:leftChars="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十二、政府性基金预算财政拨款“三公”经费支出决算表</w:t>
      </w:r>
      <w:r>
        <w:rPr>
          <w:rFonts w:hint="eastAsia" w:eastAsia="仿宋_GB2312" w:cs="Times New Roman"/>
          <w:sz w:val="28"/>
          <w:szCs w:val="28"/>
          <w:lang w:val="en-US" w:eastAsia="zh-CN"/>
        </w:rPr>
        <w:t>...........................64</w:t>
      </w:r>
    </w:p>
    <w:p>
      <w:pPr>
        <w:pStyle w:val="12"/>
        <w:keepNext w:val="0"/>
        <w:keepLines w:val="0"/>
        <w:pageBreakBefore w:val="0"/>
        <w:kinsoku/>
        <w:wordWrap/>
        <w:overflowPunct/>
        <w:topLinePunct w:val="0"/>
        <w:autoSpaceDE/>
        <w:autoSpaceDN/>
        <w:bidi w:val="0"/>
        <w:adjustRightInd w:val="0"/>
        <w:snapToGrid w:val="0"/>
        <w:spacing w:line="540" w:lineRule="exact"/>
        <w:ind w:left="0" w:leftChars="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十三、国有资本经营预算财政拨款收入支出决算表</w:t>
      </w:r>
      <w:r>
        <w:rPr>
          <w:rFonts w:hint="eastAsia" w:eastAsia="仿宋_GB2312" w:cs="Times New Roman"/>
          <w:sz w:val="28"/>
          <w:szCs w:val="28"/>
          <w:lang w:val="en-US" w:eastAsia="zh-CN"/>
        </w:rPr>
        <w:t>....................................64</w:t>
      </w:r>
    </w:p>
    <w:p>
      <w:pPr>
        <w:pStyle w:val="12"/>
        <w:keepNext w:val="0"/>
        <w:keepLines w:val="0"/>
        <w:pageBreakBefore w:val="0"/>
        <w:kinsoku/>
        <w:wordWrap/>
        <w:overflowPunct/>
        <w:topLinePunct w:val="0"/>
        <w:autoSpaceDE/>
        <w:autoSpaceDN/>
        <w:bidi w:val="0"/>
        <w:adjustRightInd w:val="0"/>
        <w:snapToGrid w:val="0"/>
        <w:spacing w:line="540" w:lineRule="exact"/>
        <w:ind w:left="0" w:leftChars="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十四、国有资本经营预算财政拨款支出决算表</w:t>
      </w:r>
      <w:r>
        <w:rPr>
          <w:rFonts w:hint="eastAsia" w:eastAsia="仿宋_GB2312" w:cs="Times New Roman"/>
          <w:sz w:val="28"/>
          <w:szCs w:val="28"/>
          <w:lang w:val="en-US" w:eastAsia="zh-CN"/>
        </w:rPr>
        <w:t>............................................64</w:t>
      </w:r>
    </w:p>
    <w:p>
      <w:pPr>
        <w:widowControl/>
        <w:spacing w:line="440" w:lineRule="exact"/>
        <w:jc w:val="left"/>
        <w:rPr>
          <w:rFonts w:hint="default" w:ascii="Times New Roman" w:hAnsi="Times New Roman" w:eastAsia="仿宋" w:cs="Times New Roman"/>
          <w:bCs/>
          <w:kern w:val="44"/>
          <w:sz w:val="24"/>
        </w:rPr>
      </w:pPr>
      <w:bookmarkStart w:id="12" w:name="_Toc15377196"/>
      <w:bookmarkStart w:id="13" w:name="_Toc15396599"/>
      <w:r>
        <w:rPr>
          <w:rFonts w:hint="default" w:ascii="Times New Roman" w:hAnsi="Times New Roman" w:eastAsia="仿宋" w:cs="Times New Roman"/>
          <w:b/>
          <w:sz w:val="24"/>
        </w:rPr>
        <w:br w:type="page"/>
      </w:r>
    </w:p>
    <w:p>
      <w:pPr>
        <w:pStyle w:val="3"/>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val="0"/>
          <w:sz w:val="44"/>
          <w:szCs w:val="44"/>
        </w:rPr>
        <w:t xml:space="preserve">第一部分 </w:t>
      </w:r>
      <w:r>
        <w:rPr>
          <w:rStyle w:val="25"/>
          <w:rFonts w:hint="eastAsia" w:ascii="方正小标宋_GBK" w:hAnsi="方正小标宋_GBK" w:eastAsia="方正小标宋_GBK" w:cs="方正小标宋_GBK"/>
          <w:b w:val="0"/>
          <w:bCs w:val="0"/>
          <w:sz w:val="44"/>
          <w:szCs w:val="44"/>
        </w:rPr>
        <w:t>部门概况</w:t>
      </w:r>
      <w:bookmarkEnd w:id="12"/>
      <w:bookmarkEnd w:id="13"/>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b w:val="0"/>
          <w:bCs w:val="0"/>
          <w:sz w:val="32"/>
          <w:szCs w:val="32"/>
        </w:rPr>
      </w:pPr>
      <w:bookmarkStart w:id="14" w:name="_Toc15377197"/>
      <w:bookmarkStart w:id="15" w:name="_Toc15396600"/>
      <w:r>
        <w:rPr>
          <w:rFonts w:hint="default" w:ascii="Times New Roman" w:hAnsi="Times New Roman" w:eastAsia="黑体" w:cs="Times New Roman"/>
          <w:b w:val="0"/>
          <w:bCs w:val="0"/>
          <w:sz w:val="32"/>
          <w:szCs w:val="32"/>
        </w:rPr>
        <w:t>一、基本职能及主要工作</w:t>
      </w:r>
      <w:bookmarkEnd w:id="14"/>
      <w:bookmarkEnd w:id="15"/>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楷体_GB2312" w:cs="Times New Roman"/>
          <w:sz w:val="32"/>
          <w:szCs w:val="32"/>
        </w:rPr>
      </w:pPr>
      <w:bookmarkStart w:id="16" w:name="_Toc15378445"/>
      <w:bookmarkStart w:id="17" w:name="_Toc15377198"/>
      <w:r>
        <w:rPr>
          <w:rFonts w:hint="default" w:ascii="Times New Roman" w:hAnsi="Times New Roman" w:eastAsia="楷体_GB2312" w:cs="Times New Roman"/>
          <w:sz w:val="32"/>
          <w:szCs w:val="32"/>
        </w:rPr>
        <w:t>（一）主要职能。</w:t>
      </w:r>
      <w:bookmarkEnd w:id="16"/>
      <w:bookmarkEnd w:id="17"/>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bookmarkStart w:id="18" w:name="_Toc15377199"/>
      <w:bookmarkStart w:id="19" w:name="_Toc15378446"/>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highlight w:val="none"/>
        </w:rPr>
        <w:t>贯彻执行国家、省、市有关水行政管理</w:t>
      </w:r>
      <w:r>
        <w:rPr>
          <w:rFonts w:hint="default" w:ascii="Times New Roman" w:hAnsi="Times New Roman" w:eastAsia="仿宋_GB2312" w:cs="Times New Roman"/>
          <w:sz w:val="32"/>
          <w:szCs w:val="32"/>
          <w:highlight w:val="none"/>
          <w:lang w:eastAsia="zh-CN"/>
        </w:rPr>
        <w:t>及水利水电工程移民</w:t>
      </w:r>
      <w:r>
        <w:rPr>
          <w:rFonts w:hint="default" w:ascii="Times New Roman" w:hAnsi="Times New Roman" w:eastAsia="仿宋_GB2312" w:cs="Times New Roman"/>
          <w:sz w:val="32"/>
          <w:szCs w:val="32"/>
          <w:highlight w:val="none"/>
        </w:rPr>
        <w:t>工作的法律、法规和方针、政策。负</w:t>
      </w:r>
      <w:r>
        <w:rPr>
          <w:rFonts w:hint="default" w:ascii="Times New Roman" w:hAnsi="Times New Roman" w:eastAsia="仿宋_GB2312" w:cs="Times New Roman"/>
          <w:sz w:val="32"/>
          <w:szCs w:val="32"/>
        </w:rPr>
        <w:t>责保障水资源的合理开发利用；负责全区水利、水土保持、水资源行政管理的制度建设，拟订政策和发展规划。组织编制全区重要江河湖库的流域综合规划、水资源保护和水源地保护规划、节约用水、防洪规划等重要水利规划，组织有关全区国民经济总体规划、城乡规划、重大建设项目中涉及水利、水土保持、水资源管理等方面的论证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负责全区水资源统一管理。组织实施最严格水资源管理制度，实施水资源的统一监督管理，合理配置水资源，统筹兼顾和保障生活、生产经营、生态环境用水；负责重要流域、区域以及重大调水工程的水资源调度，组织实施水资源有偿使用制度和水资源论证、防洪论证制度；指导开展水资源有偿使用工作;指导水利行业供水工作; 按规定组织开展水资源、水能资源调查评价和水资源承载能力监测预警工作。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负责全区水资源保护工作，参与编制水功能区划分和指导入河排污口设置管理工作。指导地下水开发利用和地下水资源管理保护工作；指导地下水超采区综合治理工作；指导饮用水水源保护有关工作；负责拟定全区节约用水政策和指导节水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负责全区水利行业体制改革工作；监管区政府授权管理的区级水利资产，负责全区水利行业国有资产的业务管理工作。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负责全区水利、水土保持、水资源基本建设的指导并实施行业监督；指导水利设施的管理、保护与综合利用。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负责组织实施有关水利、水土保持、水资源的法律法规及执法工作；查处辖区内重大水事纠纷；负责有关行政复议和行政诉讼应诉工作。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负责全区水土保持工作。拟订水土保持规划并监督实施，负责全区水土流失综合治理及监测工作；负责权限范围内开发建设项目水土保持的审批、实施、监督及水土保持设施的验收工作。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负责辖区内河道、水库、湖泊（包括人工水道、行洪区、蓄水区、滞洪区）、河口滩涂的行政管理及河道管护范围内砂石资源等的开发、利用和保护；负责对占用河道、河堤通道设施（包括临时设施）等行为的行政监督管理工作；指导河湖水系连通工作；负责河长制相关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指导农村水利工作。组织开展大中型灌排工程建设与改造。指导农村饮水安全工程建设管理工作，指导节水灌溉有关工作。指导农村水利改革创新和社会化服务体系建设。指导农村水能资源开发、小水电改造和水电农村电气化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指导全区水利发展和水利行业劳动保护、科技推广、安全生产工作。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负责落实综合防灾减灾规划相关要求，组织编制洪水干旱灾害防治规划和防护标准并指导实施。承担水情旱情监测预警工作。组织编制重要江河湖泊和重要水工程的防御洪水抗御旱灾调度及应急水量调度方案，按程序报批并组织实施。承担防御洪水应急抢险的技术支撑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rPr>
        <w:t>参与大中型水利水电工程建设移民人口和实物指标调查，配合编制大中型水利水电工程建设移民安置规划大纲和移民安置规划，按有关程序参与规划审查。拟订大中型水利水电工程建设移民安置年度计划和资金安排，指导和组织实施并监督检查移民搬迁安置工作，组织移民安置工作的验收。组织编制大中型水利水电工程建设移民后期扶持规划，拟订后期扶持年度计划并组织实施，负责移民后期扶持项目的申报，权限内后期扶持数据库建设和管理</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负责大中型水利水电移民迁建安置的信访维稳工作、后期扶持政策宣传工作</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计划财务</w:t>
      </w:r>
      <w:r>
        <w:rPr>
          <w:rFonts w:hint="default" w:ascii="Times New Roman" w:hAnsi="Times New Roman" w:eastAsia="仿宋_GB2312" w:cs="Times New Roman"/>
          <w:sz w:val="32"/>
          <w:szCs w:val="32"/>
          <w:highlight w:val="none"/>
          <w:lang w:eastAsia="zh-CN"/>
        </w:rPr>
        <w:t>工作</w:t>
      </w:r>
      <w:r>
        <w:rPr>
          <w:rFonts w:hint="default" w:ascii="Times New Roman" w:hAnsi="Times New Roman" w:eastAsia="仿宋_GB2312" w:cs="Times New Roman"/>
          <w:sz w:val="32"/>
          <w:szCs w:val="32"/>
          <w:highlight w:val="none"/>
        </w:rPr>
        <w:t>、信息统计监测</w:t>
      </w:r>
      <w:r>
        <w:rPr>
          <w:rFonts w:hint="default" w:ascii="Times New Roman" w:hAnsi="Times New Roman" w:eastAsia="仿宋_GB2312" w:cs="Times New Roman"/>
          <w:sz w:val="32"/>
          <w:szCs w:val="32"/>
          <w:highlight w:val="none"/>
          <w:lang w:eastAsia="zh-CN"/>
        </w:rPr>
        <w:t>工作</w:t>
      </w:r>
      <w:r>
        <w:rPr>
          <w:rFonts w:hint="default" w:ascii="Times New Roman" w:hAnsi="Times New Roman" w:eastAsia="仿宋_GB2312" w:cs="Times New Roman"/>
          <w:sz w:val="32"/>
          <w:szCs w:val="32"/>
          <w:highlight w:val="none"/>
        </w:rPr>
        <w:t>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承担区政府公布的有关行政审批事项。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负责职责范围内的安全生产和职业健康、生态环境保护、行政审批服务便民化工作。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承办区政府交办的其他事项。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职能转变。</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水利局应切实加强水资源合理利用、优化配置和节约保护。坚持节水优先，从增加供给转向更加重视需求管理，严格控制用水总量和提高用水效率。坚持保护优先，加强水资源、水域和水利工作的管理保护，维护河湖健康美丽。坚持统筹兼顾，保障合理用水需求和水资源的可持续利用，为经济社会发展提供水安全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（二）2021年重点工作完成情况。</w:t>
      </w:r>
      <w:bookmarkEnd w:id="18"/>
      <w:bookmarkEnd w:id="19"/>
      <w:bookmarkStart w:id="20" w:name="_Toc15396601"/>
      <w:bookmarkStart w:id="21" w:name="_Toc1537720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计划完成投资2737余万元，一是投资2000万元续建梅子箐水库扩建工程，目前已完成移民蓄水验收、工程蓄水预验收等，计划年底前完成梅子箐水库扩建工程灌区主干渠工程。二是投资215万元，完善抗旱水源建设及实施金家村2期自来水管网延伸工程。目前已完成新建抗旱蓄水池2口，修复抗旱蓄水池3口。延伸自来水管网至金家村3社项目已铺设主管道2000米，管理泵房修建完成，正在新建蓄水池1口。三是投资522万元，开展庄上小流域水土流失综合治理项目，综合治理水土流失面积14.29平方公里，该项目施工单位9月入场，目前主体已经基本完工，正在进行收尾工作。四是编制完成西区“十四五”新时期农村水利规划和西区“十四五”水安全保障规划，完成拉罗箐沟山洪治理项目设计，报市、省水利部门备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管罚并举，水政管理成效显著。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加强水行政执法。组织开展辖区内2021年度水资源管理监督检查工作，持续整治未经批准擅自取水、未按规定条件取水、取水计量不规范等问题。开展水资源水土保持方面监督巡查70余次，累计发现涉水涉河问题41个，其中水土保持类问题36个，取水类问题4个，涉河问题1个，已完成问题整改37个，正在整改中的4个。全年，立案2起，罚款7万元。二是加强水资源管理。对辖区取水工程进行再梳理再排查，完善取水口核查登记工作，目前西区纸质取水许可证已全部转换为电子取水许可证。三是梳理历年生产建设项目水土保持设施自主验收报备情况。根据梳理情况，督促企业限期完成水保设施自主验收报备工作，并抽取20%现场复核。四是加强水资源、水保行政审批工作。2021年，完成了11个水土保持方案审批，依法征收水土保持补偿费396.3万元；新办取水许可8个，前三季度缴纳水资源税605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持续提升，水环境整治再上台阶。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全面建立区、镇、村、社四级河长制工作网格化监管体系，加强河湖长体系动态管理。二是完成区级巡河APP与省级平台数据对接工作，使利用巡河APP开展巡河工作常态化。三是深入开展“清河、护岸、净水、保水”四项行动，累计开展区级河长巡河72次，镇级河长巡河218次，村级河长巡河465次。各相关部门开展日常巡查排查80余次，清理河道周边垃圾及水面漂浮物50余吨，发现河湖四乱问题61个，均已完成整改并建立问题整改台账。在中央第二轮环保督察工作中未发生涉水涉河信访事项。四是持续开展河道采砂综合整治工作，开展联合打击非法采砂专项行动3次，暂未发现河道非法采砂行为。五是开展河（湖）长制工作“七进”工作，广泛宣传河（湖）长制工作和节水知识，发放河湖长制宣传单1万余份、节水宣传画700份，粘贴节水标志2000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战线前移，防汛抗旱保障有力。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落实抗旱保水工作。坚持旱季每周到现场对蓄水保水、用水进行督导检查。旱季新建1口抗旱应急深机井、2口抗旱水池，延伸安装竹林坡片区8户饮水困难村民的人饮管线，完成3口破损抗旱蓄水池维护维修。二是压实防汛减灾责任。更新完善防汛抗旱工作体制机制，及时调整防汛抗旱指挥部组成人员，压紧压实镇（街道）主体责任、部门监管责任。三是做好防汛前期工作。修订完善应急预案，进一步健全“纵向到底、横向到边”的防汛预案体系。开展防汛救灾应急避险演练20余场次，开展宣传培训16场次，发放防汛及地质灾害防灾知识宣传手册3500余份，设立警示标示标牌15块。四是夯实预报预警机制。汛期召开会商会议18次，发出工作要求18次，值班抽查62人次，督查暗访70次，发布暴雨、山洪及地质灾害预警信息5800余条。五是全面落实排查整治工作。累计出动排查队伍98组次、298余人次，排查出47个防汛风险点，均已建立问题台账并开展整改，对一时不能整改的加强监测。核定区级防汛风险点位5个，山洪灾害危险区11个。六是及时开展转移避让。严格落实“三避让”“三个紧急撤离”的刚性要求，汛期共计转移避险安置136户441人次，全年未发生人员伤亡事件。七是积极探索政企联动机制。及时拆除金沙江西区段采砂船12艘，全面建立政企联动预警机制，与观音岩、金沙水电站联合开展金沙江沿岸（含入江口）巡查，沿江安装视频监控、预警广播、警示标识标牌等，及时通报水情、汛情，确保沿岸及下游群众生命财产安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rPr>
        <w:t>求真务实，移民管理规范有序。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11月，区水利局与区民政局顺利完成移民交接工作。积极开展金沙水电站、银江水电站、观音岩水电和梅子箐水库扩建工程的移民安置工作。一是完成金沙水电站库区塌岸处理的房屋搬迁补偿4户，签订零星林木补偿协议2户，坟墓搬迁补偿2座，纳入生产措施处理房屋搬迁补偿协议1户；开展金沙水电站蓄水后库区影响安全隐患排查38人次；完成庄上移民村生产道路4225米的硬化工程；接待移民群众来访49人次，化解问题7件；启动石家沟临时用地复垦工程。二是完成银江水电站工程截流阶段西区移民安置验收工作，共征收家村集体土地13.67亩，其中，耕园地3.37亩，其它土地10.3亩，农业生产安置3人，足额兑付费用85.54万元。三是完成梅子箐水库扩建工程临时用地补偿工作，共签订5标放水渠施工建设临时用地超期使用补偿协议7户，兑付补偿费22858.80元；签订5标放水渠施工建设用地林木补偿协议1户，兑付补偿费11295.00元。现场协调施工用地9次，接待来访群众6人次，化解问题3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二、机构设置</w:t>
      </w:r>
      <w:bookmarkEnd w:id="20"/>
      <w:bookmarkEnd w:id="2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西区</w:t>
      </w:r>
      <w:r>
        <w:rPr>
          <w:rFonts w:hint="default" w:ascii="Times New Roman" w:hAnsi="Times New Roman" w:eastAsia="仿宋_GB2312" w:cs="Times New Roman"/>
          <w:sz w:val="32"/>
          <w:szCs w:val="32"/>
          <w:lang w:eastAsia="zh-CN"/>
        </w:rPr>
        <w:t>水利</w:t>
      </w:r>
      <w:r>
        <w:rPr>
          <w:rFonts w:hint="default" w:ascii="Times New Roman" w:hAnsi="Times New Roman" w:eastAsia="仿宋_GB2312" w:cs="Times New Roman"/>
          <w:sz w:val="32"/>
          <w:szCs w:val="32"/>
        </w:rPr>
        <w:t>局下属二级单位2个，其中行政单位0个，参照公务员法管理的事业单位0个，其他事业单位2个。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西区水</w:t>
      </w:r>
      <w:r>
        <w:rPr>
          <w:rFonts w:hint="default" w:ascii="Times New Roman" w:hAnsi="Times New Roman" w:eastAsia="仿宋_GB2312" w:cs="Times New Roman"/>
          <w:sz w:val="32"/>
          <w:szCs w:val="32"/>
          <w:lang w:eastAsia="zh-CN"/>
        </w:rPr>
        <w:t>利</w:t>
      </w:r>
      <w:r>
        <w:rPr>
          <w:rFonts w:hint="default" w:ascii="Times New Roman" w:hAnsi="Times New Roman" w:eastAsia="仿宋_GB2312" w:cs="Times New Roman"/>
          <w:sz w:val="32"/>
          <w:szCs w:val="32"/>
        </w:rPr>
        <w:t>局共有正式职工</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其中公务员</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人，事业编制</w:t>
      </w: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在编临聘</w:t>
      </w:r>
      <w:r>
        <w:rPr>
          <w:rFonts w:hint="default" w:ascii="Times New Roman" w:hAnsi="Times New Roman" w:eastAsia="仿宋_GB2312" w:cs="Times New Roman"/>
          <w:sz w:val="32"/>
          <w:szCs w:val="32"/>
          <w:lang w:val="en-US" w:eastAsia="zh-CN"/>
        </w:rPr>
        <w:t>8人</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pStyle w:val="3"/>
        <w:ind w:right="440" w:firstLine="880" w:firstLineChars="200"/>
        <w:jc w:val="both"/>
        <w:rPr>
          <w:rStyle w:val="25"/>
          <w:rFonts w:hint="eastAsia" w:ascii="方正小标宋_GBK" w:hAnsi="方正小标宋_GBK" w:eastAsia="方正小标宋_GBK" w:cs="方正小标宋_GBK"/>
          <w:b w:val="0"/>
          <w:bCs/>
        </w:rPr>
      </w:pPr>
      <w:bookmarkStart w:id="22" w:name="_Toc15396602"/>
      <w:bookmarkStart w:id="23" w:name="_Toc15377204"/>
      <w:r>
        <w:rPr>
          <w:rFonts w:hint="eastAsia" w:ascii="方正小标宋_GBK" w:hAnsi="方正小标宋_GBK" w:eastAsia="方正小标宋_GBK" w:cs="方正小标宋_GBK"/>
          <w:b w:val="0"/>
        </w:rPr>
        <w:t>第二部分 2021年度</w:t>
      </w:r>
      <w:r>
        <w:rPr>
          <w:rStyle w:val="25"/>
          <w:rFonts w:hint="eastAsia" w:ascii="方正小标宋_GBK" w:hAnsi="方正小标宋_GBK" w:eastAsia="方正小标宋_GBK" w:cs="方正小标宋_GBK"/>
          <w:b w:val="0"/>
          <w:bCs/>
        </w:rPr>
        <w:t>部门决算情况说明</w:t>
      </w:r>
      <w:bookmarkEnd w:id="22"/>
      <w:bookmarkEnd w:id="23"/>
    </w:p>
    <w:p/>
    <w:p>
      <w:pPr>
        <w:pStyle w:val="24"/>
        <w:numPr>
          <w:ilvl w:val="0"/>
          <w:numId w:val="1"/>
        </w:numPr>
        <w:spacing w:line="600" w:lineRule="exact"/>
        <w:ind w:firstLineChars="0"/>
        <w:outlineLvl w:val="1"/>
        <w:rPr>
          <w:rStyle w:val="26"/>
          <w:rFonts w:hint="default" w:ascii="Times New Roman" w:hAnsi="Times New Roman" w:eastAsia="黑体" w:cs="Times New Roman"/>
          <w:b w:val="0"/>
          <w:sz w:val="32"/>
          <w:szCs w:val="32"/>
        </w:rPr>
      </w:pPr>
      <w:bookmarkStart w:id="24" w:name="_Toc15377205"/>
      <w:bookmarkStart w:id="25" w:name="_Toc15396603"/>
      <w:r>
        <w:rPr>
          <w:rFonts w:hint="default" w:ascii="Times New Roman" w:hAnsi="Times New Roman" w:eastAsia="黑体" w:cs="Times New Roman"/>
          <w:sz w:val="32"/>
          <w:szCs w:val="32"/>
        </w:rPr>
        <w:t>收</w:t>
      </w:r>
      <w:r>
        <w:rPr>
          <w:rStyle w:val="26"/>
          <w:rFonts w:hint="default" w:ascii="Times New Roman" w:hAnsi="Times New Roman" w:eastAsia="黑体" w:cs="Times New Roman"/>
          <w:b w:val="0"/>
          <w:sz w:val="32"/>
          <w:szCs w:val="32"/>
        </w:rPr>
        <w:t>入支出决算总体情况说明</w:t>
      </w:r>
      <w:bookmarkEnd w:id="24"/>
      <w:bookmarkEnd w:id="2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年度收、支总计</w:t>
      </w:r>
      <w:r>
        <w:rPr>
          <w:rFonts w:hint="default" w:ascii="Times New Roman" w:hAnsi="Times New Roman" w:eastAsia="仿宋_GB2312" w:cs="Times New Roman"/>
          <w:sz w:val="32"/>
          <w:szCs w:val="32"/>
          <w:lang w:val="en-US" w:eastAsia="zh-CN"/>
        </w:rPr>
        <w:t>1879.13</w:t>
      </w:r>
      <w:r>
        <w:rPr>
          <w:rFonts w:hint="default" w:ascii="Times New Roman" w:hAnsi="Times New Roman" w:eastAsia="仿宋_GB2312" w:cs="Times New Roman"/>
          <w:sz w:val="32"/>
          <w:szCs w:val="32"/>
        </w:rPr>
        <w:t>万元。与20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年6</w:t>
      </w:r>
      <w:r>
        <w:rPr>
          <w:rFonts w:hint="default" w:ascii="Times New Roman" w:hAnsi="Times New Roman" w:eastAsia="仿宋_GB2312" w:cs="Times New Roman"/>
          <w:sz w:val="32"/>
          <w:szCs w:val="32"/>
          <w:lang w:val="en-US" w:eastAsia="zh-CN"/>
        </w:rPr>
        <w:t>550.51</w:t>
      </w:r>
      <w:r>
        <w:rPr>
          <w:rFonts w:hint="default" w:ascii="Times New Roman" w:hAnsi="Times New Roman" w:eastAsia="仿宋_GB2312" w:cs="Times New Roman"/>
          <w:sz w:val="32"/>
          <w:szCs w:val="32"/>
        </w:rPr>
        <w:t>万元相比，收、支总计减少</w:t>
      </w:r>
      <w:r>
        <w:rPr>
          <w:rFonts w:hint="default" w:ascii="Times New Roman" w:hAnsi="Times New Roman" w:eastAsia="仿宋_GB2312" w:cs="Times New Roman"/>
          <w:sz w:val="32"/>
          <w:szCs w:val="32"/>
          <w:lang w:val="en-US" w:eastAsia="zh-CN"/>
        </w:rPr>
        <w:t>4671.38</w:t>
      </w:r>
      <w:r>
        <w:rPr>
          <w:rFonts w:hint="default" w:ascii="Times New Roman" w:hAnsi="Times New Roman" w:eastAsia="仿宋_GB2312" w:cs="Times New Roman"/>
          <w:sz w:val="32"/>
          <w:szCs w:val="32"/>
        </w:rPr>
        <w:t>万元，下降</w:t>
      </w:r>
      <w:r>
        <w:rPr>
          <w:rFonts w:hint="default" w:ascii="Times New Roman" w:hAnsi="Times New Roman" w:eastAsia="仿宋_GB2312" w:cs="Times New Roman"/>
          <w:sz w:val="32"/>
          <w:szCs w:val="32"/>
          <w:lang w:val="en-US" w:eastAsia="zh-CN"/>
        </w:rPr>
        <w:t>71.31</w:t>
      </w:r>
      <w:r>
        <w:rPr>
          <w:rFonts w:hint="default" w:ascii="Times New Roman" w:hAnsi="Times New Roman" w:eastAsia="仿宋_GB2312" w:cs="Times New Roman"/>
          <w:sz w:val="32"/>
          <w:szCs w:val="32"/>
        </w:rPr>
        <w:t>%。主要变动原因</w:t>
      </w:r>
      <w:r>
        <w:rPr>
          <w:rFonts w:hint="default" w:ascii="Times New Roman" w:hAnsi="Times New Roman" w:eastAsia="仿宋_GB2312" w:cs="Times New Roman"/>
          <w:sz w:val="32"/>
          <w:szCs w:val="32"/>
          <w:lang w:eastAsia="zh-CN"/>
        </w:rPr>
        <w:t>是财政收回财政应返还额度</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（图1：收、支决算总计变动情况图）（柱状图）</w:t>
      </w:r>
    </w:p>
    <w:p>
      <w:pPr>
        <w:pStyle w:val="2"/>
        <w:jc w:val="center"/>
        <w:rPr>
          <w:rFonts w:hint="default" w:ascii="Times New Roman" w:hAnsi="Times New Roman" w:cs="Times New Roman"/>
        </w:rPr>
      </w:pPr>
      <w:r>
        <w:rPr>
          <w:rFonts w:hint="default" w:ascii="Times New Roman" w:hAnsi="Times New Roman" w:cs="Times New Roman"/>
        </w:rPr>
        <w:drawing>
          <wp:inline distT="0" distB="0" distL="114300" distR="114300">
            <wp:extent cx="3934460" cy="2019935"/>
            <wp:effectExtent l="4445" t="4445" r="2349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4"/>
        <w:numPr>
          <w:ilvl w:val="0"/>
          <w:numId w:val="1"/>
        </w:numPr>
        <w:spacing w:line="600" w:lineRule="exact"/>
        <w:ind w:firstLineChars="0"/>
        <w:outlineLvl w:val="1"/>
        <w:rPr>
          <w:rStyle w:val="26"/>
          <w:rFonts w:hint="default" w:ascii="Times New Roman" w:hAnsi="Times New Roman" w:eastAsia="黑体" w:cs="Times New Roman"/>
          <w:b w:val="0"/>
        </w:rPr>
      </w:pPr>
      <w:bookmarkStart w:id="26" w:name="_Toc15396604"/>
      <w:bookmarkStart w:id="27" w:name="_Toc15377206"/>
      <w:r>
        <w:rPr>
          <w:rFonts w:hint="default" w:ascii="Times New Roman" w:hAnsi="Times New Roman" w:eastAsia="黑体" w:cs="Times New Roman"/>
          <w:sz w:val="32"/>
          <w:szCs w:val="32"/>
        </w:rPr>
        <w:t>收</w:t>
      </w:r>
      <w:r>
        <w:rPr>
          <w:rStyle w:val="26"/>
          <w:rFonts w:hint="default" w:ascii="Times New Roman" w:hAnsi="Times New Roman" w:eastAsia="黑体" w:cs="Times New Roman"/>
          <w:b w:val="0"/>
        </w:rPr>
        <w:t>入决算情况说明</w:t>
      </w:r>
      <w:bookmarkEnd w:id="26"/>
      <w:bookmarkEnd w:id="2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年本年收入合计</w:t>
      </w:r>
      <w:r>
        <w:rPr>
          <w:rFonts w:hint="default" w:ascii="Times New Roman" w:hAnsi="Times New Roman" w:eastAsia="仿宋_GB2312" w:cs="Times New Roman"/>
          <w:sz w:val="32"/>
          <w:szCs w:val="32"/>
          <w:lang w:val="en-US" w:eastAsia="zh-CN"/>
        </w:rPr>
        <w:t>1879.13</w:t>
      </w:r>
      <w:r>
        <w:rPr>
          <w:rFonts w:hint="default" w:ascii="Times New Roman" w:hAnsi="Times New Roman" w:eastAsia="仿宋_GB2312" w:cs="Times New Roman"/>
          <w:sz w:val="32"/>
          <w:szCs w:val="32"/>
        </w:rPr>
        <w:t>万元，其中：一般公共预算财政拨款收入</w:t>
      </w:r>
      <w:r>
        <w:rPr>
          <w:rFonts w:hint="default" w:ascii="Times New Roman" w:hAnsi="Times New Roman" w:eastAsia="仿宋_GB2312" w:cs="Times New Roman"/>
          <w:sz w:val="32"/>
          <w:szCs w:val="32"/>
          <w:lang w:val="en-US" w:eastAsia="zh-CN"/>
        </w:rPr>
        <w:t>454.83</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6%；政府性基金预算财政拨款收入</w:t>
      </w:r>
      <w:r>
        <w:rPr>
          <w:rFonts w:hint="default" w:ascii="Times New Roman" w:hAnsi="Times New Roman" w:eastAsia="仿宋_GB2312" w:cs="Times New Roman"/>
          <w:sz w:val="32"/>
          <w:szCs w:val="32"/>
          <w:lang w:val="en-US" w:eastAsia="zh-CN"/>
        </w:rPr>
        <w:t>1307.21</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4%；上级补助收入0万元；事业收入0万元；经营收入0万元；附属单位上缴收入0万元；其他收入</w:t>
      </w:r>
      <w:r>
        <w:rPr>
          <w:rFonts w:hint="default" w:ascii="Times New Roman" w:hAnsi="Times New Roman" w:eastAsia="仿宋_GB2312" w:cs="Times New Roman"/>
          <w:sz w:val="32"/>
          <w:szCs w:val="32"/>
          <w:lang w:val="en-US" w:eastAsia="zh-CN"/>
        </w:rPr>
        <w:t>0.025</w:t>
      </w:r>
      <w:r>
        <w:rPr>
          <w:rFonts w:hint="default" w:ascii="Times New Roman" w:hAnsi="Times New Roman" w:eastAsia="仿宋_GB2312" w:cs="Times New Roman"/>
          <w:sz w:val="32"/>
          <w:szCs w:val="32"/>
        </w:rPr>
        <w:t>万元，占0%。</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（图2：收入决算结构图）（饼状图）</w:t>
      </w:r>
    </w:p>
    <w:p>
      <w:pPr>
        <w:pStyle w:val="2"/>
        <w:rPr>
          <w:rFonts w:hint="default" w:ascii="Times New Roman" w:hAnsi="Times New Roman" w:cs="Times New Roman"/>
        </w:rPr>
      </w:pPr>
      <w:r>
        <w:rPr>
          <w:rFonts w:hint="default" w:ascii="Times New Roman" w:hAnsi="Times New Roman" w:cs="Times New Roman"/>
        </w:rPr>
        <w:drawing>
          <wp:inline distT="0" distB="0" distL="114300" distR="114300">
            <wp:extent cx="4820920" cy="2580640"/>
            <wp:effectExtent l="4445" t="5080" r="13335" b="5080"/>
            <wp:docPr id="3" name="图表 2" descr="7b0a202020202263686172745265734964223a2022343532363834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4"/>
        <w:numPr>
          <w:ilvl w:val="0"/>
          <w:numId w:val="1"/>
        </w:numPr>
        <w:spacing w:line="600" w:lineRule="exact"/>
        <w:ind w:firstLineChars="0"/>
        <w:outlineLvl w:val="1"/>
        <w:rPr>
          <w:rStyle w:val="26"/>
          <w:rFonts w:hint="default" w:ascii="Times New Roman" w:hAnsi="Times New Roman" w:eastAsia="黑体" w:cs="Times New Roman"/>
          <w:b w:val="0"/>
        </w:rPr>
      </w:pPr>
      <w:bookmarkStart w:id="28" w:name="_Toc15377207"/>
      <w:bookmarkStart w:id="29" w:name="_Toc15396605"/>
      <w:r>
        <w:rPr>
          <w:rFonts w:hint="default" w:ascii="Times New Roman" w:hAnsi="Times New Roman" w:eastAsia="黑体" w:cs="Times New Roman"/>
          <w:sz w:val="32"/>
          <w:szCs w:val="32"/>
        </w:rPr>
        <w:t>支</w:t>
      </w:r>
      <w:r>
        <w:rPr>
          <w:rStyle w:val="26"/>
          <w:rFonts w:hint="default" w:ascii="Times New Roman" w:hAnsi="Times New Roman" w:eastAsia="黑体" w:cs="Times New Roman"/>
          <w:b w:val="0"/>
        </w:rPr>
        <w:t>出决算情况说明</w:t>
      </w:r>
      <w:bookmarkEnd w:id="28"/>
      <w:bookmarkEnd w:id="2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年本年支出合计</w:t>
      </w:r>
      <w:r>
        <w:rPr>
          <w:rFonts w:hint="default" w:ascii="Times New Roman" w:hAnsi="Times New Roman" w:eastAsia="仿宋_GB2312" w:cs="Times New Roman"/>
          <w:sz w:val="32"/>
          <w:szCs w:val="32"/>
          <w:lang w:val="en-US" w:eastAsia="zh-CN"/>
        </w:rPr>
        <w:t>1875.12</w:t>
      </w:r>
      <w:r>
        <w:rPr>
          <w:rFonts w:hint="default" w:ascii="Times New Roman" w:hAnsi="Times New Roman" w:eastAsia="仿宋_GB2312" w:cs="Times New Roman"/>
          <w:sz w:val="32"/>
          <w:szCs w:val="32"/>
        </w:rPr>
        <w:t>万元，其中：基本支出</w:t>
      </w:r>
      <w:r>
        <w:rPr>
          <w:rFonts w:hint="default" w:ascii="Times New Roman" w:hAnsi="Times New Roman" w:eastAsia="仿宋_GB2312" w:cs="Times New Roman"/>
          <w:sz w:val="32"/>
          <w:szCs w:val="32"/>
          <w:lang w:val="en-US" w:eastAsia="zh-CN"/>
        </w:rPr>
        <w:t>386.61</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%；项目支出</w:t>
      </w:r>
      <w:r>
        <w:rPr>
          <w:rFonts w:hint="default" w:ascii="Times New Roman" w:hAnsi="Times New Roman" w:eastAsia="仿宋_GB2312" w:cs="Times New Roman"/>
          <w:sz w:val="32"/>
          <w:szCs w:val="32"/>
          <w:lang w:val="en-US" w:eastAsia="zh-CN"/>
        </w:rPr>
        <w:t>1488.51</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79</w:t>
      </w:r>
      <w:r>
        <w:rPr>
          <w:rFonts w:hint="default" w:ascii="Times New Roman" w:hAnsi="Times New Roman" w:eastAsia="仿宋_GB2312" w:cs="Times New Roman"/>
          <w:sz w:val="32"/>
          <w:szCs w:val="32"/>
        </w:rPr>
        <w:t>%；上缴上级支出0万元；经营支出0万元%；对附属单位补助支出0万元。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（图3：支出决算结构图）（饼状图）</w:t>
      </w:r>
    </w:p>
    <w:p>
      <w:pPr>
        <w:rPr>
          <w:rFonts w:hint="default" w:ascii="Times New Roman" w:hAnsi="Times New Roman" w:eastAsia="仿宋" w:cs="Times New Roman"/>
          <w:sz w:val="32"/>
          <w:szCs w:val="32"/>
        </w:rPr>
      </w:pPr>
      <w:r>
        <w:rPr>
          <w:rFonts w:hint="default" w:ascii="Times New Roman" w:hAnsi="Times New Roman" w:cs="Times New Roman"/>
        </w:rPr>
        <w:drawing>
          <wp:inline distT="0" distB="0" distL="114300" distR="114300">
            <wp:extent cx="4905375" cy="2038350"/>
            <wp:effectExtent l="4445" t="4445" r="5080" b="14605"/>
            <wp:docPr id="1" name="图表 3" descr="7b0a202020202263686172745265734964223a2022343532363834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26"/>
          <w:rFonts w:hint="default" w:ascii="Times New Roman" w:hAnsi="Times New Roman" w:eastAsia="黑体" w:cs="Times New Roman"/>
          <w:b w:val="0"/>
        </w:rPr>
      </w:pPr>
      <w:bookmarkStart w:id="30" w:name="_Toc15396606"/>
      <w:bookmarkStart w:id="31" w:name="_Toc15377208"/>
      <w:r>
        <w:rPr>
          <w:rFonts w:hint="default" w:ascii="Times New Roman" w:hAnsi="Times New Roman" w:eastAsia="黑体" w:cs="Times New Roman"/>
          <w:sz w:val="32"/>
          <w:szCs w:val="32"/>
        </w:rPr>
        <w:t>四、财</w:t>
      </w:r>
      <w:r>
        <w:rPr>
          <w:rStyle w:val="26"/>
          <w:rFonts w:hint="default" w:ascii="Times New Roman" w:hAnsi="Times New Roman" w:eastAsia="黑体" w:cs="Times New Roman"/>
          <w:b w:val="0"/>
        </w:rPr>
        <w:t>政拨款收入支出决算总体情况说明</w:t>
      </w:r>
      <w:bookmarkEnd w:id="30"/>
      <w:bookmarkEnd w:id="31"/>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202</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年财政拨款收、支总计</w:t>
      </w:r>
      <w:r>
        <w:rPr>
          <w:rFonts w:hint="default" w:ascii="Times New Roman" w:hAnsi="Times New Roman" w:eastAsia="仿宋_GB2312" w:cs="Times New Roman"/>
          <w:b w:val="0"/>
          <w:bCs w:val="0"/>
          <w:sz w:val="32"/>
          <w:szCs w:val="32"/>
          <w:lang w:val="en-US" w:eastAsia="zh-CN"/>
        </w:rPr>
        <w:t>1875.39</w:t>
      </w:r>
      <w:r>
        <w:rPr>
          <w:rFonts w:hint="default" w:ascii="Times New Roman" w:hAnsi="Times New Roman" w:eastAsia="仿宋_GB2312" w:cs="Times New Roman"/>
          <w:b w:val="0"/>
          <w:bCs w:val="0"/>
          <w:sz w:val="32"/>
          <w:szCs w:val="32"/>
        </w:rPr>
        <w:t>万元。与20</w:t>
      </w:r>
      <w:r>
        <w:rPr>
          <w:rFonts w:hint="default" w:ascii="Times New Roman" w:hAnsi="Times New Roman" w:eastAsia="仿宋_GB2312" w:cs="Times New Roman"/>
          <w:b w:val="0"/>
          <w:bCs w:val="0"/>
          <w:sz w:val="32"/>
          <w:szCs w:val="32"/>
          <w:lang w:val="en-US" w:eastAsia="zh-CN"/>
        </w:rPr>
        <w:t>20</w:t>
      </w:r>
      <w:r>
        <w:rPr>
          <w:rFonts w:hint="default" w:ascii="Times New Roman" w:hAnsi="Times New Roman" w:eastAsia="仿宋_GB2312" w:cs="Times New Roman"/>
          <w:b w:val="0"/>
          <w:bCs w:val="0"/>
          <w:sz w:val="32"/>
          <w:szCs w:val="32"/>
        </w:rPr>
        <w:t>年65</w:t>
      </w:r>
      <w:r>
        <w:rPr>
          <w:rFonts w:hint="default" w:ascii="Times New Roman" w:hAnsi="Times New Roman" w:eastAsia="仿宋_GB2312" w:cs="Times New Roman"/>
          <w:b w:val="0"/>
          <w:bCs w:val="0"/>
          <w:sz w:val="32"/>
          <w:szCs w:val="32"/>
          <w:lang w:val="en-US" w:eastAsia="zh-CN"/>
        </w:rPr>
        <w:t>46.67</w:t>
      </w:r>
      <w:r>
        <w:rPr>
          <w:rFonts w:hint="default" w:ascii="Times New Roman" w:hAnsi="Times New Roman" w:eastAsia="仿宋_GB2312" w:cs="Times New Roman"/>
          <w:b w:val="0"/>
          <w:bCs w:val="0"/>
          <w:sz w:val="32"/>
          <w:szCs w:val="32"/>
        </w:rPr>
        <w:t>万元相比，财政拨款收、支总计各减少</w:t>
      </w:r>
      <w:r>
        <w:rPr>
          <w:rFonts w:hint="default" w:ascii="Times New Roman" w:hAnsi="Times New Roman" w:eastAsia="仿宋_GB2312" w:cs="Times New Roman"/>
          <w:b w:val="0"/>
          <w:bCs w:val="0"/>
          <w:sz w:val="32"/>
          <w:szCs w:val="32"/>
          <w:lang w:val="en-US" w:eastAsia="zh-CN"/>
        </w:rPr>
        <w:t>4671.28</w:t>
      </w:r>
      <w:r>
        <w:rPr>
          <w:rFonts w:hint="default" w:ascii="Times New Roman" w:hAnsi="Times New Roman" w:eastAsia="仿宋_GB2312" w:cs="Times New Roman"/>
          <w:b w:val="0"/>
          <w:bCs w:val="0"/>
          <w:sz w:val="32"/>
          <w:szCs w:val="32"/>
        </w:rPr>
        <w:t>万元，下降</w:t>
      </w:r>
      <w:r>
        <w:rPr>
          <w:rFonts w:hint="default" w:ascii="Times New Roman" w:hAnsi="Times New Roman" w:eastAsia="仿宋_GB2312" w:cs="Times New Roman"/>
          <w:b w:val="0"/>
          <w:bCs w:val="0"/>
          <w:sz w:val="32"/>
          <w:szCs w:val="32"/>
          <w:lang w:val="en-US" w:eastAsia="zh-CN"/>
        </w:rPr>
        <w:t>71.35</w:t>
      </w:r>
      <w:r>
        <w:rPr>
          <w:rFonts w:hint="default" w:ascii="Times New Roman" w:hAnsi="Times New Roman" w:eastAsia="仿宋_GB2312" w:cs="Times New Roman"/>
          <w:b w:val="0"/>
          <w:bCs w:val="0"/>
          <w:sz w:val="32"/>
          <w:szCs w:val="32"/>
        </w:rPr>
        <w:t>%。主要变动原因是财政结转结余减少。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（图4：财政拨款收、支决算总计变动情况）（柱状图）</w:t>
      </w:r>
    </w:p>
    <w:p>
      <w:pPr>
        <w:rPr>
          <w:rFonts w:hint="default" w:ascii="Times New Roman" w:hAnsi="Times New Roman" w:eastAsia="仿宋" w:cs="Times New Roman"/>
          <w:b/>
          <w:sz w:val="32"/>
          <w:szCs w:val="32"/>
        </w:rPr>
      </w:pPr>
      <w:r>
        <w:rPr>
          <w:rFonts w:hint="default" w:ascii="Times New Roman" w:hAnsi="Times New Roman" w:cs="Times New Roman"/>
        </w:rPr>
        <w:drawing>
          <wp:inline distT="0" distB="0" distL="114300" distR="114300">
            <wp:extent cx="4152900" cy="2096770"/>
            <wp:effectExtent l="4445" t="4445" r="14605" b="1333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Style w:val="26"/>
          <w:rFonts w:hint="default" w:ascii="Times New Roman" w:hAnsi="Times New Roman" w:eastAsia="黑体" w:cs="Times New Roman"/>
          <w:b w:val="0"/>
        </w:rPr>
      </w:pPr>
      <w:bookmarkStart w:id="32" w:name="_Toc15377209"/>
      <w:bookmarkStart w:id="33" w:name="_Toc15396607"/>
      <w:r>
        <w:rPr>
          <w:rFonts w:hint="default" w:ascii="Times New Roman" w:hAnsi="Times New Roman" w:eastAsia="黑体" w:cs="Times New Roman"/>
          <w:sz w:val="32"/>
          <w:szCs w:val="32"/>
        </w:rPr>
        <w:t>五、</w:t>
      </w:r>
      <w:r>
        <w:rPr>
          <w:rFonts w:hint="default" w:ascii="Times New Roman" w:hAnsi="Times New Roman" w:eastAsia="黑体" w:cs="Times New Roman"/>
          <w:b/>
          <w:sz w:val="32"/>
          <w:szCs w:val="32"/>
        </w:rPr>
        <w:t>一</w:t>
      </w:r>
      <w:r>
        <w:rPr>
          <w:rStyle w:val="26"/>
          <w:rFonts w:hint="default" w:ascii="Times New Roman" w:hAnsi="Times New Roman" w:eastAsia="黑体" w:cs="Times New Roman"/>
          <w:b w:val="0"/>
        </w:rPr>
        <w:t>般公共预算财政拨款支出决算情况说明</w:t>
      </w:r>
      <w:bookmarkEnd w:id="32"/>
      <w:bookmarkEnd w:id="3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default" w:ascii="Times New Roman" w:hAnsi="Times New Roman" w:eastAsia="楷体_GB2312" w:cs="Times New Roman"/>
          <w:b w:val="0"/>
          <w:bCs/>
          <w:sz w:val="32"/>
          <w:szCs w:val="32"/>
          <w:lang w:eastAsia="zh-CN"/>
        </w:rPr>
      </w:pPr>
      <w:bookmarkStart w:id="34" w:name="_Toc15377210"/>
      <w:r>
        <w:rPr>
          <w:rFonts w:hint="default" w:ascii="Times New Roman" w:hAnsi="Times New Roman" w:eastAsia="楷体_GB2312" w:cs="Times New Roman"/>
          <w:b w:val="0"/>
          <w:bCs/>
          <w:sz w:val="32"/>
          <w:szCs w:val="32"/>
        </w:rPr>
        <w:t>（一）一般公共预算财政拨款支出决算总体情况</w:t>
      </w:r>
      <w:bookmarkEnd w:id="34"/>
      <w:r>
        <w:rPr>
          <w:rFonts w:hint="default" w:ascii="Times New Roman" w:hAnsi="Times New Roman" w:eastAsia="楷体_GB2312" w:cs="Times New Roman"/>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2021年一般公共预算财政拨款支出</w:t>
      </w:r>
      <w:r>
        <w:rPr>
          <w:rFonts w:hint="default" w:ascii="Times New Roman" w:hAnsi="Times New Roman" w:eastAsia="仿宋_GB2312" w:cs="Times New Roman"/>
          <w:sz w:val="32"/>
          <w:szCs w:val="32"/>
          <w:lang w:val="en-US" w:eastAsia="zh-CN"/>
        </w:rPr>
        <w:t>567.08</w:t>
      </w:r>
      <w:r>
        <w:rPr>
          <w:rFonts w:hint="default" w:ascii="Times New Roman" w:hAnsi="Times New Roman" w:eastAsia="仿宋_GB2312" w:cs="Times New Roman"/>
          <w:sz w:val="32"/>
          <w:szCs w:val="32"/>
        </w:rPr>
        <w:t>万元，占本年支出合计的</w:t>
      </w:r>
      <w:r>
        <w:rPr>
          <w:rFonts w:hint="default" w:ascii="Times New Roman" w:hAnsi="Times New Roman" w:eastAsia="仿宋_GB2312" w:cs="Times New Roman"/>
          <w:sz w:val="32"/>
          <w:szCs w:val="32"/>
          <w:lang w:val="en-US" w:eastAsia="zh-CN"/>
        </w:rPr>
        <w:t>30.24</w:t>
      </w:r>
      <w:r>
        <w:rPr>
          <w:rFonts w:hint="default" w:ascii="Times New Roman" w:hAnsi="Times New Roman" w:eastAsia="仿宋_GB2312" w:cs="Times New Roman"/>
          <w:sz w:val="32"/>
          <w:szCs w:val="32"/>
        </w:rPr>
        <w:t>%。与2020年相比，一般公共预算财政拨款支出减少</w:t>
      </w:r>
      <w:r>
        <w:rPr>
          <w:rFonts w:hint="default" w:ascii="Times New Roman" w:hAnsi="Times New Roman" w:eastAsia="仿宋_GB2312" w:cs="Times New Roman"/>
          <w:sz w:val="32"/>
          <w:szCs w:val="32"/>
          <w:lang w:val="en-US" w:eastAsia="zh-CN"/>
        </w:rPr>
        <w:t>541.34</w:t>
      </w:r>
      <w:r>
        <w:rPr>
          <w:rFonts w:hint="default" w:ascii="Times New Roman" w:hAnsi="Times New Roman" w:eastAsia="仿宋_GB2312" w:cs="Times New Roman"/>
          <w:sz w:val="32"/>
          <w:szCs w:val="32"/>
        </w:rPr>
        <w:t>万元，下降</w:t>
      </w:r>
      <w:r>
        <w:rPr>
          <w:rFonts w:hint="default" w:ascii="Times New Roman" w:hAnsi="Times New Roman" w:eastAsia="仿宋_GB2312" w:cs="Times New Roman"/>
          <w:sz w:val="32"/>
          <w:szCs w:val="32"/>
          <w:lang w:val="en-US" w:eastAsia="zh-CN"/>
        </w:rPr>
        <w:t>48.84</w:t>
      </w:r>
      <w:r>
        <w:rPr>
          <w:rFonts w:hint="default" w:ascii="Times New Roman" w:hAnsi="Times New Roman" w:eastAsia="仿宋_GB2312" w:cs="Times New Roman"/>
          <w:sz w:val="32"/>
          <w:szCs w:val="32"/>
        </w:rPr>
        <w:t>%。变动</w:t>
      </w:r>
      <w:r>
        <w:rPr>
          <w:rFonts w:hint="eastAsia" w:eastAsia="仿宋_GB2312" w:cs="Times New Roman"/>
          <w:sz w:val="32"/>
          <w:szCs w:val="32"/>
          <w:lang w:eastAsia="zh-CN"/>
        </w:rPr>
        <w:t>的主要</w:t>
      </w:r>
      <w:r>
        <w:rPr>
          <w:rFonts w:hint="default" w:ascii="Times New Roman" w:hAnsi="Times New Roman" w:eastAsia="仿宋_GB2312" w:cs="Times New Roman"/>
          <w:sz w:val="32"/>
          <w:szCs w:val="32"/>
        </w:rPr>
        <w:t>原因是工程未完工，工程款未支付。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（图5：一般公共预算财政拨款支出决算变动情况）（柱状图）</w:t>
      </w:r>
    </w:p>
    <w:p>
      <w:pPr>
        <w:rPr>
          <w:rFonts w:hint="default" w:ascii="Times New Roman" w:hAnsi="Times New Roman" w:eastAsia="仿宋" w:cs="Times New Roman"/>
          <w:sz w:val="32"/>
          <w:szCs w:val="32"/>
        </w:rPr>
      </w:pPr>
      <w:r>
        <w:rPr>
          <w:rFonts w:hint="default" w:ascii="Times New Roman" w:hAnsi="Times New Roman" w:cs="Times New Roman"/>
        </w:rPr>
        <w:drawing>
          <wp:inline distT="0" distB="0" distL="114300" distR="114300">
            <wp:extent cx="5527040" cy="1913890"/>
            <wp:effectExtent l="5080" t="4445" r="11430" b="571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default" w:ascii="Times New Roman" w:hAnsi="Times New Roman" w:eastAsia="楷体_GB2312" w:cs="Times New Roman"/>
          <w:b w:val="0"/>
          <w:bCs/>
          <w:sz w:val="32"/>
          <w:szCs w:val="32"/>
          <w:lang w:eastAsia="zh-CN"/>
        </w:rPr>
      </w:pPr>
      <w:bookmarkStart w:id="35" w:name="_Toc15377211"/>
      <w:r>
        <w:rPr>
          <w:rFonts w:hint="default" w:ascii="Times New Roman" w:hAnsi="Times New Roman" w:eastAsia="楷体_GB2312" w:cs="Times New Roman"/>
          <w:b w:val="0"/>
          <w:bCs/>
          <w:sz w:val="32"/>
          <w:szCs w:val="32"/>
        </w:rPr>
        <w:t>（二）一般公共预算财政拨款支出决算结构情况</w:t>
      </w:r>
      <w:bookmarkEnd w:id="35"/>
      <w:r>
        <w:rPr>
          <w:rFonts w:hint="default" w:ascii="Times New Roman" w:hAnsi="Times New Roman" w:eastAsia="楷体_GB2312" w:cs="Times New Roman"/>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年一般公共预算财政拨款支出</w:t>
      </w:r>
      <w:r>
        <w:rPr>
          <w:rFonts w:hint="default" w:ascii="Times New Roman" w:hAnsi="Times New Roman" w:eastAsia="仿宋_GB2312" w:cs="Times New Roman"/>
          <w:sz w:val="32"/>
          <w:szCs w:val="32"/>
          <w:lang w:val="en-US" w:eastAsia="zh-CN"/>
        </w:rPr>
        <w:t>568.18</w:t>
      </w:r>
      <w:r>
        <w:rPr>
          <w:rFonts w:hint="default" w:ascii="Times New Roman" w:hAnsi="Times New Roman" w:eastAsia="仿宋_GB2312" w:cs="Times New Roman"/>
          <w:sz w:val="32"/>
          <w:szCs w:val="32"/>
        </w:rPr>
        <w:t>万元，主要用于以下方面:社会保障和就业（类）支出</w:t>
      </w:r>
      <w:r>
        <w:rPr>
          <w:rFonts w:hint="default" w:ascii="Times New Roman" w:hAnsi="Times New Roman" w:eastAsia="仿宋_GB2312" w:cs="Times New Roman"/>
          <w:sz w:val="32"/>
          <w:szCs w:val="32"/>
          <w:lang w:val="en-US" w:eastAsia="zh-CN"/>
        </w:rPr>
        <w:t>40.48</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7.12</w:t>
      </w:r>
      <w:r>
        <w:rPr>
          <w:rFonts w:hint="default" w:ascii="Times New Roman" w:hAnsi="Times New Roman" w:eastAsia="仿宋_GB2312" w:cs="Times New Roman"/>
          <w:sz w:val="32"/>
          <w:szCs w:val="32"/>
        </w:rPr>
        <w:t>%；卫生健康支出</w:t>
      </w:r>
      <w:r>
        <w:rPr>
          <w:rFonts w:hint="default" w:ascii="Times New Roman" w:hAnsi="Times New Roman" w:eastAsia="仿宋_GB2312" w:cs="Times New Roman"/>
          <w:sz w:val="32"/>
          <w:szCs w:val="32"/>
          <w:lang w:val="en-US" w:eastAsia="zh-CN"/>
        </w:rPr>
        <w:t>18.40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3.24</w:t>
      </w:r>
      <w:r>
        <w:rPr>
          <w:rFonts w:hint="default" w:ascii="Times New Roman" w:hAnsi="Times New Roman" w:eastAsia="仿宋_GB2312" w:cs="Times New Roman"/>
          <w:sz w:val="32"/>
          <w:szCs w:val="32"/>
        </w:rPr>
        <w:t>%；农林水支出</w:t>
      </w:r>
      <w:r>
        <w:rPr>
          <w:rFonts w:hint="default" w:ascii="Times New Roman" w:hAnsi="Times New Roman" w:eastAsia="仿宋_GB2312" w:cs="Times New Roman"/>
          <w:sz w:val="32"/>
          <w:szCs w:val="32"/>
          <w:lang w:val="en-US" w:eastAsia="zh-CN"/>
        </w:rPr>
        <w:t>479.08</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84.32</w:t>
      </w:r>
      <w:r>
        <w:rPr>
          <w:rFonts w:hint="default" w:ascii="Times New Roman" w:hAnsi="Times New Roman" w:eastAsia="仿宋_GB2312" w:cs="Times New Roman"/>
          <w:sz w:val="32"/>
          <w:szCs w:val="32"/>
        </w:rPr>
        <w:t>%。住房保障支出</w:t>
      </w:r>
      <w:r>
        <w:rPr>
          <w:rFonts w:hint="default" w:ascii="Times New Roman" w:hAnsi="Times New Roman" w:eastAsia="仿宋_GB2312" w:cs="Times New Roman"/>
          <w:sz w:val="32"/>
          <w:szCs w:val="32"/>
          <w:lang w:val="en-US" w:eastAsia="zh-CN"/>
        </w:rPr>
        <w:t>30.23</w:t>
      </w:r>
      <w:r>
        <w:rPr>
          <w:rFonts w:hint="eastAsia" w:eastAsia="仿宋_GB2312" w:cs="Times New Roman"/>
          <w:sz w:val="32"/>
          <w:szCs w:val="32"/>
          <w:lang w:val="en-US" w:eastAsia="zh-CN"/>
        </w:rPr>
        <w:t>万元</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占</w:t>
      </w:r>
      <w:r>
        <w:rPr>
          <w:rFonts w:hint="default" w:ascii="Times New Roman" w:hAnsi="Times New Roman" w:eastAsia="仿宋_GB2312" w:cs="Times New Roman"/>
          <w:sz w:val="32"/>
          <w:szCs w:val="32"/>
          <w:lang w:val="en-US" w:eastAsia="zh-CN"/>
        </w:rPr>
        <w:t>5.32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（图6：一般公共预算财政拨款支出决算结构）（饼状图）</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anchor distT="0" distB="0" distL="114300" distR="114300" simplePos="0" relativeHeight="251659264" behindDoc="0" locked="0" layoutInCell="1" allowOverlap="1">
            <wp:simplePos x="0" y="0"/>
            <wp:positionH relativeFrom="column">
              <wp:posOffset>575945</wp:posOffset>
            </wp:positionH>
            <wp:positionV relativeFrom="paragraph">
              <wp:posOffset>214630</wp:posOffset>
            </wp:positionV>
            <wp:extent cx="4020185" cy="2277745"/>
            <wp:effectExtent l="4445" t="4445" r="13970" b="22860"/>
            <wp:wrapTopAndBottom/>
            <wp:docPr id="7" name="图表 6" descr="7b0a202020202263686172745265734964223a2022343532363834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firstLineChars="200"/>
        <w:outlineLvl w:val="2"/>
        <w:rPr>
          <w:rFonts w:hint="default" w:ascii="Times New Roman" w:hAnsi="Times New Roman" w:eastAsia="楷体_GB2312" w:cs="Times New Roman"/>
          <w:b w:val="0"/>
          <w:bCs/>
          <w:sz w:val="32"/>
          <w:szCs w:val="32"/>
          <w:lang w:eastAsia="zh-CN"/>
        </w:rPr>
      </w:pPr>
      <w:bookmarkStart w:id="36" w:name="_Toc15377212"/>
      <w:r>
        <w:rPr>
          <w:rFonts w:hint="default" w:ascii="Times New Roman" w:hAnsi="Times New Roman" w:eastAsia="楷体_GB2312" w:cs="Times New Roman"/>
          <w:b w:val="0"/>
          <w:bCs/>
          <w:sz w:val="32"/>
          <w:szCs w:val="32"/>
        </w:rPr>
        <w:t>（三）一般公共预算财政拨款支出决算具体情况</w:t>
      </w:r>
      <w:bookmarkEnd w:id="36"/>
      <w:r>
        <w:rPr>
          <w:rFonts w:hint="default" w:ascii="Times New Roman" w:hAnsi="Times New Roman" w:eastAsia="楷体_GB2312" w:cs="Times New Roman"/>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年一般公共预算支出决算数为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567.08</w:t>
      </w:r>
      <w:r>
        <w:rPr>
          <w:rFonts w:hint="default" w:ascii="Times New Roman" w:hAnsi="Times New Roman" w:eastAsia="仿宋_GB2312" w:cs="Times New Roman"/>
          <w:color w:val="000000" w:themeColor="text1"/>
          <w:sz w:val="32"/>
          <w:szCs w:val="32"/>
          <w14:textFill>
            <w14:solidFill>
              <w14:schemeClr w14:val="tx1"/>
            </w14:solidFill>
          </w14:textFill>
        </w:rPr>
        <w:t>，完成预算58.23%。其中：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1.社会保障和就业支出（类）行政事业单位离退休（款）未归口管理的行政单位离退休（项）: 支出决算为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12.36</w:t>
      </w:r>
      <w:r>
        <w:rPr>
          <w:rFonts w:hint="default" w:ascii="Times New Roman" w:hAnsi="Times New Roman" w:eastAsia="仿宋_GB2312" w:cs="Times New Roman"/>
          <w:color w:val="000000" w:themeColor="text1"/>
          <w:sz w:val="32"/>
          <w:szCs w:val="32"/>
          <w14:textFill>
            <w14:solidFill>
              <w14:schemeClr w14:val="tx1"/>
            </w14:solidFill>
          </w14:textFill>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2.社会保障和就业支出（类）行政事业单位离退休（款）机关事业单位基本养老保险缴费支出（项）: 支出决算为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23.28</w:t>
      </w:r>
      <w:r>
        <w:rPr>
          <w:rFonts w:hint="default" w:ascii="Times New Roman" w:hAnsi="Times New Roman" w:eastAsia="仿宋_GB2312" w:cs="Times New Roman"/>
          <w:color w:val="000000" w:themeColor="text1"/>
          <w:sz w:val="32"/>
          <w:szCs w:val="32"/>
          <w14:textFill>
            <w14:solidFill>
              <w14:schemeClr w14:val="tx1"/>
            </w14:solidFill>
          </w14:textFill>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.社会保障和就业支出（类）行政事业单位离退休（款）机关事业单位</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职业年金缴费</w:t>
      </w:r>
      <w:r>
        <w:rPr>
          <w:rFonts w:hint="default" w:ascii="Times New Roman" w:hAnsi="Times New Roman" w:eastAsia="仿宋_GB2312" w:cs="Times New Roman"/>
          <w:color w:val="000000" w:themeColor="text1"/>
          <w:sz w:val="32"/>
          <w:szCs w:val="32"/>
          <w14:textFill>
            <w14:solidFill>
              <w14:schemeClr w14:val="tx1"/>
            </w14:solidFill>
          </w14:textFill>
        </w:rPr>
        <w:t>支出（项）: 支出决算为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4.84</w:t>
      </w:r>
      <w:r>
        <w:rPr>
          <w:rFonts w:hint="default" w:ascii="Times New Roman" w:hAnsi="Times New Roman" w:eastAsia="仿宋_GB2312" w:cs="Times New Roman"/>
          <w:color w:val="000000" w:themeColor="text1"/>
          <w:sz w:val="32"/>
          <w:szCs w:val="32"/>
          <w14:textFill>
            <w14:solidFill>
              <w14:schemeClr w14:val="tx1"/>
            </w14:solidFill>
          </w14:textFill>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.卫生健康支出（类）行政事业单位医疗（款）行政单位医疗（项）:支出决算为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3.67</w:t>
      </w:r>
      <w:r>
        <w:rPr>
          <w:rFonts w:hint="default" w:ascii="Times New Roman" w:hAnsi="Times New Roman" w:eastAsia="仿宋_GB2312" w:cs="Times New Roman"/>
          <w:color w:val="000000" w:themeColor="text1"/>
          <w:sz w:val="32"/>
          <w:szCs w:val="32"/>
          <w14:textFill>
            <w14:solidFill>
              <w14:schemeClr w14:val="tx1"/>
            </w14:solidFill>
          </w14:textFill>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.卫生健康支出（类）行政事业单位医疗（款）事业单位医疗（项）:支出决算为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12.68</w:t>
      </w:r>
      <w:r>
        <w:rPr>
          <w:rFonts w:hint="default" w:ascii="Times New Roman" w:hAnsi="Times New Roman" w:eastAsia="仿宋_GB2312" w:cs="Times New Roman"/>
          <w:color w:val="000000" w:themeColor="text1"/>
          <w:sz w:val="32"/>
          <w:szCs w:val="32"/>
          <w14:textFill>
            <w14:solidFill>
              <w14:schemeClr w14:val="tx1"/>
            </w14:solidFill>
          </w14:textFill>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.卫生健康支出（类）行政事业单位医疗（款）公务员医疗补助（项）:支出决算为2.0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14:textFill>
            <w14:solidFill>
              <w14:schemeClr w14:val="tx1"/>
            </w14:solidFill>
          </w14:textFill>
        </w:rPr>
        <w:t>.农林水支出（类）水利（款）行政运行（项）决算数为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80.43</w:t>
      </w:r>
      <w:r>
        <w:rPr>
          <w:rFonts w:hint="default" w:ascii="Times New Roman" w:hAnsi="Times New Roman" w:eastAsia="仿宋_GB2312" w:cs="Times New Roman"/>
          <w:color w:val="000000" w:themeColor="text1"/>
          <w:sz w:val="32"/>
          <w:szCs w:val="32"/>
          <w14:textFill>
            <w14:solidFill>
              <w14:schemeClr w14:val="tx1"/>
            </w14:solidFill>
          </w14:textFill>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14:textFill>
            <w14:solidFill>
              <w14:schemeClr w14:val="tx1"/>
            </w14:solidFill>
          </w14:textFill>
        </w:rPr>
        <w:t>.农林水支出（类）农业（款）水资源管理与节约（项）决算数为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16.95</w:t>
      </w:r>
      <w:r>
        <w:rPr>
          <w:rFonts w:hint="default" w:ascii="Times New Roman" w:hAnsi="Times New Roman" w:eastAsia="仿宋_GB2312" w:cs="Times New Roman"/>
          <w:color w:val="000000" w:themeColor="text1"/>
          <w:sz w:val="32"/>
          <w:szCs w:val="32"/>
          <w14:textFill>
            <w14:solidFill>
              <w14:schemeClr w14:val="tx1"/>
            </w14:solidFill>
          </w14:textFill>
        </w:rPr>
        <w:t>万元，完成预算</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100</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9.农林水支出（类）水利（款）防汛（项）决算数为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18.13</w:t>
      </w:r>
      <w:r>
        <w:rPr>
          <w:rFonts w:hint="default" w:ascii="Times New Roman" w:hAnsi="Times New Roman" w:eastAsia="仿宋_GB2312" w:cs="Times New Roman"/>
          <w:color w:val="000000" w:themeColor="text1"/>
          <w:sz w:val="32"/>
          <w:szCs w:val="32"/>
          <w14:textFill>
            <w14:solidFill>
              <w14:schemeClr w14:val="tx1"/>
            </w14:solidFill>
          </w14:textFill>
        </w:rPr>
        <w:t>万元，完成预算</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100</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.农林水支出（类）水利（款）抗旱（项）决算数为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1.2</w:t>
      </w:r>
      <w:r>
        <w:rPr>
          <w:rFonts w:hint="default" w:ascii="Times New Roman" w:hAnsi="Times New Roman" w:eastAsia="仿宋_GB2312" w:cs="Times New Roman"/>
          <w:color w:val="000000" w:themeColor="text1"/>
          <w:sz w:val="32"/>
          <w:szCs w:val="32"/>
          <w14:textFill>
            <w14:solidFill>
              <w14:schemeClr w14:val="tx1"/>
            </w14:solidFill>
          </w14:textFill>
        </w:rPr>
        <w:t>万元，完成预算</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100</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.农林水支出（类）水利（款）其他水利支出（项）决算数为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361.27</w:t>
      </w:r>
      <w:r>
        <w:rPr>
          <w:rFonts w:hint="default" w:ascii="Times New Roman" w:hAnsi="Times New Roman" w:eastAsia="仿宋_GB2312" w:cs="Times New Roman"/>
          <w:color w:val="000000" w:themeColor="text1"/>
          <w:sz w:val="32"/>
          <w:szCs w:val="32"/>
          <w14:textFill>
            <w14:solidFill>
              <w14:schemeClr w14:val="tx1"/>
            </w14:solidFill>
          </w14:textFill>
        </w:rPr>
        <w:t>万元，完成预算</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100</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12.住房保障支出（类）住房改革支出（款）住房公积金（项）决算数为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30.23</w:t>
      </w:r>
      <w:r>
        <w:rPr>
          <w:rFonts w:hint="default" w:ascii="Times New Roman" w:hAnsi="Times New Roman" w:eastAsia="仿宋_GB2312" w:cs="Times New Roman"/>
          <w:color w:val="000000" w:themeColor="text1"/>
          <w:sz w:val="32"/>
          <w:szCs w:val="32"/>
          <w14:textFill>
            <w14:solidFill>
              <w14:schemeClr w14:val="tx1"/>
            </w14:solidFill>
          </w14:textFill>
        </w:rPr>
        <w:t>万元，完成预算100%。</w:t>
      </w:r>
    </w:p>
    <w:p>
      <w:pPr>
        <w:tabs>
          <w:tab w:val="right" w:pos="8306"/>
        </w:tabs>
        <w:spacing w:line="600" w:lineRule="exact"/>
        <w:ind w:firstLine="640"/>
        <w:outlineLvl w:val="1"/>
        <w:rPr>
          <w:rStyle w:val="26"/>
          <w:rFonts w:hint="default" w:ascii="Times New Roman" w:hAnsi="Times New Roman" w:cs="Times New Roman"/>
        </w:rPr>
      </w:pPr>
      <w:bookmarkStart w:id="37" w:name="_Toc15377214"/>
      <w:bookmarkStart w:id="38" w:name="_Toc15396608"/>
      <w:r>
        <w:rPr>
          <w:rFonts w:hint="default" w:ascii="Times New Roman" w:hAnsi="Times New Roman" w:eastAsia="黑体" w:cs="Times New Roman"/>
          <w:sz w:val="32"/>
          <w:szCs w:val="32"/>
        </w:rPr>
        <w:t>六</w:t>
      </w:r>
      <w:r>
        <w:rPr>
          <w:rFonts w:hint="default" w:ascii="Times New Roman" w:hAnsi="Times New Roman" w:eastAsia="黑体" w:cs="Times New Roman"/>
          <w:b/>
          <w:sz w:val="32"/>
          <w:szCs w:val="32"/>
        </w:rPr>
        <w:t>、一</w:t>
      </w:r>
      <w:r>
        <w:rPr>
          <w:rStyle w:val="26"/>
          <w:rFonts w:hint="default" w:ascii="Times New Roman" w:hAnsi="Times New Roman" w:eastAsia="黑体" w:cs="Times New Roman"/>
          <w:b w:val="0"/>
        </w:rPr>
        <w:t>般公共预算财政拨款基本支出决算情况说明</w:t>
      </w:r>
      <w:bookmarkEnd w:id="37"/>
      <w:bookmarkEnd w:id="38"/>
      <w:r>
        <w:rPr>
          <w:rStyle w:val="26"/>
          <w:rFonts w:hint="default" w:ascii="Times New Roman" w:hAnsi="Times New Roman" w:eastAsia="黑体" w:cs="Times New Roman"/>
          <w:b w:val="0"/>
        </w:rPr>
        <w:tab/>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2021年一般公共预算财政拨款基本支出</w:t>
      </w:r>
      <w:r>
        <w:rPr>
          <w:rFonts w:hint="default" w:ascii="Times New Roman" w:hAnsi="Times New Roman" w:eastAsia="仿宋_GB2312" w:cs="Times New Roman"/>
          <w:sz w:val="32"/>
          <w:szCs w:val="32"/>
          <w:lang w:val="en-US" w:eastAsia="zh-CN"/>
        </w:rPr>
        <w:t>385.79</w:t>
      </w:r>
      <w:r>
        <w:rPr>
          <w:rFonts w:hint="default" w:ascii="Times New Roman" w:hAnsi="Times New Roman" w:eastAsia="仿宋_GB2312" w:cs="Times New Roman"/>
          <w:sz w:val="32"/>
          <w:szCs w:val="32"/>
        </w:rPr>
        <w:t>万元，其中：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人员经费</w:t>
      </w:r>
      <w:r>
        <w:rPr>
          <w:rFonts w:hint="default" w:ascii="Times New Roman" w:hAnsi="Times New Roman" w:eastAsia="仿宋_GB2312" w:cs="Times New Roman"/>
          <w:sz w:val="32"/>
          <w:szCs w:val="32"/>
          <w:lang w:val="en-US" w:eastAsia="zh-CN"/>
        </w:rPr>
        <w:t>345.29</w:t>
      </w:r>
      <w:r>
        <w:rPr>
          <w:rFonts w:hint="default" w:ascii="Times New Roman" w:hAnsi="Times New Roman" w:eastAsia="仿宋_GB2312" w:cs="Times New Roman"/>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公用经费</w:t>
      </w:r>
      <w:r>
        <w:rPr>
          <w:rFonts w:hint="default" w:ascii="Times New Roman" w:hAnsi="Times New Roman" w:eastAsia="仿宋_GB2312" w:cs="Times New Roman"/>
          <w:sz w:val="32"/>
          <w:szCs w:val="32"/>
          <w:lang w:val="en-US" w:eastAsia="zh-CN"/>
        </w:rPr>
        <w:t>40.5</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hint="default" w:ascii="Times New Roman" w:hAnsi="Times New Roman" w:eastAsia="黑体" w:cs="Times New Roman"/>
          <w:b w:val="0"/>
        </w:rPr>
      </w:pPr>
      <w:bookmarkStart w:id="39" w:name="_Toc15377215"/>
      <w:bookmarkStart w:id="40" w:name="_Toc15396609"/>
      <w:r>
        <w:rPr>
          <w:rFonts w:hint="default" w:ascii="Times New Roman" w:hAnsi="Times New Roman" w:eastAsia="黑体" w:cs="Times New Roman"/>
          <w:sz w:val="32"/>
          <w:szCs w:val="32"/>
        </w:rPr>
        <w:t>七、</w:t>
      </w:r>
      <w:r>
        <w:rPr>
          <w:rStyle w:val="26"/>
          <w:rFonts w:hint="default" w:ascii="Times New Roman" w:hAnsi="Times New Roman" w:eastAsia="黑体" w:cs="Times New Roman"/>
        </w:rPr>
        <w:t>“</w:t>
      </w:r>
      <w:r>
        <w:rPr>
          <w:rStyle w:val="26"/>
          <w:rFonts w:hint="default" w:ascii="Times New Roman" w:hAnsi="Times New Roman" w:eastAsia="黑体" w:cs="Times New Roman"/>
          <w:b w:val="0"/>
        </w:rPr>
        <w:t>三公”经费财政拨款支出决算情况说明</w:t>
      </w:r>
      <w:bookmarkEnd w:id="39"/>
      <w:bookmarkEnd w:id="40"/>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2"/>
        <w:rPr>
          <w:rFonts w:hint="default" w:ascii="Times New Roman" w:hAnsi="Times New Roman" w:eastAsia="楷体_GB2312" w:cs="Times New Roman"/>
          <w:b w:val="0"/>
          <w:bCs/>
          <w:sz w:val="32"/>
          <w:szCs w:val="32"/>
          <w:lang w:eastAsia="zh-CN"/>
        </w:rPr>
      </w:pPr>
      <w:bookmarkStart w:id="41" w:name="_Toc15377216"/>
      <w:r>
        <w:rPr>
          <w:rFonts w:hint="default" w:ascii="Times New Roman" w:hAnsi="Times New Roman" w:eastAsia="楷体_GB2312" w:cs="Times New Roman"/>
          <w:b w:val="0"/>
          <w:bCs/>
          <w:sz w:val="32"/>
          <w:szCs w:val="32"/>
        </w:rPr>
        <w:t>（一）“三公”经费财政拨款支出决算总体情况说明</w:t>
      </w:r>
      <w:bookmarkEnd w:id="41"/>
      <w:r>
        <w:rPr>
          <w:rFonts w:hint="default" w:ascii="Times New Roman" w:hAnsi="Times New Roman" w:eastAsia="楷体_GB2312" w:cs="Times New Roman"/>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2021年“三公”经费财政拨款支出决算为</w:t>
      </w:r>
      <w:r>
        <w:rPr>
          <w:rFonts w:hint="default" w:ascii="Times New Roman" w:hAnsi="Times New Roman" w:eastAsia="仿宋_GB2312" w:cs="Times New Roman"/>
          <w:sz w:val="32"/>
          <w:szCs w:val="32"/>
          <w:lang w:val="en-US" w:eastAsia="zh-CN"/>
        </w:rPr>
        <w:t>12.97</w:t>
      </w:r>
      <w:r>
        <w:rPr>
          <w:rFonts w:hint="default" w:ascii="Times New Roman" w:hAnsi="Times New Roman" w:eastAsia="仿宋_GB2312" w:cs="Times New Roman"/>
          <w:sz w:val="32"/>
          <w:szCs w:val="32"/>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%，决算数与预算数持平。</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2"/>
        <w:rPr>
          <w:rFonts w:hint="default" w:ascii="Times New Roman" w:hAnsi="Times New Roman" w:eastAsia="楷体_GB2312" w:cs="Times New Roman"/>
          <w:b w:val="0"/>
          <w:bCs/>
          <w:sz w:val="32"/>
          <w:szCs w:val="32"/>
          <w:lang w:eastAsia="zh-CN"/>
        </w:rPr>
      </w:pPr>
      <w:bookmarkStart w:id="42" w:name="_Toc15377217"/>
      <w:r>
        <w:rPr>
          <w:rFonts w:hint="default" w:ascii="Times New Roman" w:hAnsi="Times New Roman" w:eastAsia="楷体_GB2312" w:cs="Times New Roman"/>
          <w:b w:val="0"/>
          <w:bCs/>
          <w:sz w:val="32"/>
          <w:szCs w:val="32"/>
        </w:rPr>
        <w:t>（二）“三公”经费财政拨款支出决算具体情况说明</w:t>
      </w:r>
      <w:bookmarkEnd w:id="42"/>
      <w:r>
        <w:rPr>
          <w:rFonts w:hint="default" w:ascii="Times New Roman" w:hAnsi="Times New Roman" w:eastAsia="楷体_GB2312" w:cs="Times New Roman"/>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年“三公”经费财政拨款支出决算中，因公出国（境）费支出决算0万元，占0%；公务用车购置及运行维护费支出决算12.5</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万元，占96.4</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%；公务接待费支出决算0.47万元，占3.6%。具体情况如下：</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（图7：“三公”经费财政拨款支出结构）（饼状图）</w:t>
      </w:r>
    </w:p>
    <w:p>
      <w:pPr>
        <w:pStyle w:val="2"/>
        <w:jc w:val="center"/>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drawing>
          <wp:inline distT="0" distB="0" distL="114300" distR="114300">
            <wp:extent cx="4138930" cy="2513330"/>
            <wp:effectExtent l="0" t="0" r="13970" b="1270"/>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3"/>
                    <a:stretch>
                      <a:fillRect/>
                    </a:stretch>
                  </pic:blipFill>
                  <pic:spPr>
                    <a:xfrm>
                      <a:off x="0" y="0"/>
                      <a:ext cx="4138930" cy="2513330"/>
                    </a:xfrm>
                    <a:prstGeom prst="rect">
                      <a:avLst/>
                    </a:prstGeom>
                    <a:noFill/>
                    <a:ln>
                      <a:noFill/>
                    </a:ln>
                  </pic:spPr>
                </pic:pic>
              </a:graphicData>
            </a:graphic>
          </wp:inline>
        </w:drawing>
      </w: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sz w:val="32"/>
          <w:szCs w:val="32"/>
        </w:rPr>
        <w:t>1.因公出国（境）经费支出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r>
        <w:rPr>
          <w:rStyle w:val="15"/>
          <w:rFonts w:hint="default" w:ascii="Times New Roman" w:hAnsi="Times New Roman" w:eastAsia="仿宋_GB2312" w:cs="Times New Roman"/>
          <w:b w:val="0"/>
          <w:bCs/>
          <w:sz w:val="32"/>
          <w:szCs w:val="32"/>
        </w:rPr>
        <w:t>完成预算</w:t>
      </w:r>
      <w:r>
        <w:rPr>
          <w:rStyle w:val="15"/>
          <w:rFonts w:hint="default" w:ascii="Times New Roman" w:hAnsi="Times New Roman" w:eastAsia="仿宋_GB2312" w:cs="Times New Roman"/>
          <w:b w:val="0"/>
          <w:bCs/>
          <w:sz w:val="32"/>
          <w:szCs w:val="32"/>
          <w:lang w:val="en-US" w:eastAsia="zh-CN"/>
        </w:rPr>
        <w:t>0</w:t>
      </w:r>
      <w:r>
        <w:rPr>
          <w:rStyle w:val="15"/>
          <w:rFonts w:hint="default" w:ascii="Times New Roman" w:hAnsi="Times New Roman" w:eastAsia="仿宋_GB2312" w:cs="Times New Roman"/>
          <w:b w:val="0"/>
          <w:bCs/>
          <w:sz w:val="32"/>
          <w:szCs w:val="32"/>
        </w:rPr>
        <w:t>%。</w:t>
      </w:r>
      <w:r>
        <w:rPr>
          <w:rFonts w:hint="default" w:ascii="Times New Roman" w:hAnsi="Times New Roman" w:eastAsia="仿宋_GB2312" w:cs="Times New Roman"/>
          <w:sz w:val="32"/>
          <w:szCs w:val="32"/>
        </w:rPr>
        <w:t>全年安排因公出国（境）团组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次，出国（境）</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人。因公出国（境）支出决算比2020年增加/减少</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万元，增长/下降</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2.公务用车购置及运行维护费支出12.5</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万元,完成预算100%。公务用车购置及运行维护费支出决算与20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年持平。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其中：公务用车购置支出0万元。全年按规定更新购置公务用车0辆，其中：轿车0辆、金额0万元，越野车0辆、金额0元，载客汽车0辆、金额0万元。截至202</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年12月底，单位共有公务用车5辆，其中：轿车1辆、越野车1辆、载货汽车3辆。</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公务用车运行维护费支出12.5</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万元。主要用于河长制工作、水资源</w:t>
      </w:r>
      <w:r>
        <w:rPr>
          <w:rFonts w:hint="default" w:ascii="Times New Roman" w:hAnsi="Times New Roman" w:eastAsia="仿宋_GB2312" w:cs="Times New Roman"/>
          <w:sz w:val="32"/>
          <w:szCs w:val="32"/>
          <w:lang w:eastAsia="zh-CN"/>
        </w:rPr>
        <w:t>水土保持</w:t>
      </w:r>
      <w:r>
        <w:rPr>
          <w:rFonts w:hint="default" w:ascii="Times New Roman" w:hAnsi="Times New Roman" w:eastAsia="仿宋_GB2312" w:cs="Times New Roman"/>
          <w:sz w:val="32"/>
          <w:szCs w:val="32"/>
        </w:rPr>
        <w:t>工作、梅子箐水库工程现场勘察、及水库巡查等工作所需的公务用车燃料费、维修费、过路过桥费、保险费等支出。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3.公务接待费支出0.47万元，完成预算100%。公务接待费支出决算与20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年持平。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bookmarkStart w:id="43" w:name="_Toc15396610"/>
      <w:bookmarkStart w:id="44" w:name="_Toc15377218"/>
      <w:r>
        <w:rPr>
          <w:rFonts w:hint="default" w:ascii="Times New Roman" w:hAnsi="Times New Roman" w:eastAsia="仿宋_GB2312" w:cs="Times New Roman"/>
          <w:sz w:val="32"/>
          <w:szCs w:val="32"/>
        </w:rPr>
        <w:t>国内公务接待支出0.47万元，主要用于水利工作接待用餐费。国内公务接待</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批次，</w:t>
      </w:r>
      <w:r>
        <w:rPr>
          <w:rFonts w:hint="default" w:ascii="Times New Roman" w:hAnsi="Times New Roman" w:eastAsia="仿宋_GB2312" w:cs="Times New Roman"/>
          <w:sz w:val="32"/>
          <w:szCs w:val="32"/>
          <w:lang w:val="en-US" w:eastAsia="zh-CN"/>
        </w:rPr>
        <w:t>32</w:t>
      </w:r>
      <w:r>
        <w:rPr>
          <w:rFonts w:hint="default" w:ascii="Times New Roman" w:hAnsi="Times New Roman" w:eastAsia="仿宋_GB2312" w:cs="Times New Roman"/>
          <w:sz w:val="32"/>
          <w:szCs w:val="32"/>
        </w:rPr>
        <w:t>人次（不包括陪同人员），共计支出0.47万元，具体内容包括：</w:t>
      </w:r>
      <w:r>
        <w:rPr>
          <w:rFonts w:hint="default" w:ascii="Times New Roman" w:hAnsi="Times New Roman" w:eastAsia="仿宋_GB2312" w:cs="Times New Roman"/>
          <w:sz w:val="32"/>
          <w:szCs w:val="32"/>
          <w:lang w:eastAsia="zh-CN"/>
        </w:rPr>
        <w:t>县域节水型社会达标建设技术评估接待</w:t>
      </w:r>
      <w:r>
        <w:rPr>
          <w:rFonts w:hint="default" w:ascii="Times New Roman" w:hAnsi="Times New Roman" w:eastAsia="仿宋_GB2312" w:cs="Times New Roman"/>
          <w:sz w:val="32"/>
          <w:szCs w:val="32"/>
          <w:lang w:val="en-US" w:eastAsia="zh-CN"/>
        </w:rPr>
        <w:t>0.32</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；接待省水利厅验收梅子箐水库扩建项目，接待金额</w:t>
      </w:r>
      <w:r>
        <w:rPr>
          <w:rFonts w:hint="default" w:ascii="Times New Roman" w:hAnsi="Times New Roman" w:eastAsia="仿宋_GB2312" w:cs="Times New Roman"/>
          <w:sz w:val="32"/>
          <w:szCs w:val="32"/>
          <w:lang w:val="en-US" w:eastAsia="zh-CN"/>
        </w:rPr>
        <w:t>0.15万元。</w:t>
      </w:r>
    </w:p>
    <w:p>
      <w:pPr>
        <w:keepNext w:val="0"/>
        <w:keepLines w:val="0"/>
        <w:pageBreakBefore w:val="0"/>
        <w:widowControl w:val="0"/>
        <w:kinsoku/>
        <w:wordWrap/>
        <w:overflowPunct/>
        <w:topLinePunct w:val="0"/>
        <w:autoSpaceDE/>
        <w:autoSpaceDN/>
        <w:bidi w:val="0"/>
        <w:adjustRightInd/>
        <w:snapToGrid/>
        <w:spacing w:line="600" w:lineRule="exact"/>
        <w:ind w:firstLine="596"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外事接待支出0万元，外事接待0批次，0人，共计支出0万元。</w:t>
      </w:r>
    </w:p>
    <w:p>
      <w:pPr>
        <w:spacing w:line="600" w:lineRule="exact"/>
        <w:ind w:firstLine="640"/>
        <w:outlineLvl w:val="1"/>
        <w:rPr>
          <w:rStyle w:val="26"/>
          <w:rFonts w:hint="default" w:ascii="Times New Roman" w:hAnsi="Times New Roman" w:eastAsia="黑体" w:cs="Times New Roman"/>
        </w:rPr>
      </w:pPr>
      <w:r>
        <w:rPr>
          <w:rFonts w:hint="default" w:ascii="Times New Roman" w:hAnsi="Times New Roman" w:eastAsia="黑体" w:cs="Times New Roman"/>
          <w:sz w:val="32"/>
          <w:szCs w:val="32"/>
        </w:rPr>
        <w:t>八、</w:t>
      </w:r>
      <w:r>
        <w:rPr>
          <w:rStyle w:val="26"/>
          <w:rFonts w:hint="default" w:ascii="Times New Roman" w:hAnsi="Times New Roman" w:eastAsia="黑体" w:cs="Times New Roman"/>
          <w:b w:val="0"/>
        </w:rPr>
        <w:t>政府性基金预算支出决算情况说明</w:t>
      </w:r>
      <w:bookmarkEnd w:id="43"/>
      <w:bookmarkEnd w:id="44"/>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2021年政府性基金预算财政拨款支出</w:t>
      </w:r>
      <w:r>
        <w:rPr>
          <w:rFonts w:hint="default" w:ascii="Times New Roman" w:hAnsi="Times New Roman" w:eastAsia="仿宋_GB2312" w:cs="Times New Roman"/>
          <w:sz w:val="32"/>
          <w:szCs w:val="32"/>
          <w:lang w:val="en-US" w:eastAsia="zh-CN"/>
        </w:rPr>
        <w:t>1307.21</w:t>
      </w:r>
      <w:r>
        <w:rPr>
          <w:rFonts w:hint="default" w:ascii="Times New Roman" w:hAnsi="Times New Roman" w:eastAsia="仿宋_GB2312" w:cs="Times New Roman"/>
          <w:sz w:val="32"/>
          <w:szCs w:val="32"/>
        </w:rPr>
        <w:t>万元。</w:t>
      </w:r>
    </w:p>
    <w:p>
      <w:pPr>
        <w:numPr>
          <w:ilvl w:val="0"/>
          <w:numId w:val="2"/>
        </w:numPr>
        <w:spacing w:line="600" w:lineRule="exact"/>
        <w:ind w:firstLine="640"/>
        <w:outlineLvl w:val="1"/>
        <w:rPr>
          <w:rStyle w:val="26"/>
          <w:rFonts w:hint="default" w:ascii="Times New Roman" w:hAnsi="Times New Roman" w:eastAsia="黑体" w:cs="Times New Roman"/>
          <w:b w:val="0"/>
        </w:rPr>
      </w:pPr>
      <w:bookmarkStart w:id="45" w:name="_Toc15377219"/>
      <w:bookmarkStart w:id="46" w:name="_Toc15396611"/>
      <w:r>
        <w:rPr>
          <w:rStyle w:val="26"/>
          <w:rFonts w:hint="default" w:ascii="Times New Roman" w:hAnsi="Times New Roman" w:eastAsia="黑体" w:cs="Times New Roman"/>
          <w:b w:val="0"/>
        </w:rPr>
        <w:t>国有资本经营预算支出决算情况说明</w:t>
      </w:r>
      <w:bookmarkEnd w:id="45"/>
      <w:bookmarkEnd w:id="46"/>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2021年国有资本经营预算财政拨款支出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p>
    <w:p>
      <w:pPr>
        <w:numPr>
          <w:ilvl w:val="0"/>
          <w:numId w:val="2"/>
        </w:numPr>
        <w:spacing w:line="600" w:lineRule="exact"/>
        <w:ind w:firstLine="640"/>
        <w:outlineLvl w:val="1"/>
        <w:rPr>
          <w:rStyle w:val="26"/>
          <w:rFonts w:hint="default" w:ascii="Times New Roman" w:hAnsi="Times New Roman" w:eastAsia="黑体" w:cs="Times New Roman"/>
          <w:b w:val="0"/>
        </w:rPr>
      </w:pPr>
      <w:bookmarkStart w:id="47" w:name="_Toc15377221"/>
      <w:bookmarkStart w:id="48" w:name="_Toc15396612"/>
      <w:r>
        <w:rPr>
          <w:rStyle w:val="26"/>
          <w:rFonts w:hint="default" w:ascii="Times New Roman" w:hAnsi="Times New Roman" w:eastAsia="黑体" w:cs="Times New Roman"/>
          <w:b w:val="0"/>
        </w:rPr>
        <w:t>其他重要事项的情况说明</w:t>
      </w:r>
      <w:bookmarkEnd w:id="47"/>
      <w:bookmarkEnd w:id="48"/>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2"/>
        <w:rPr>
          <w:rFonts w:hint="default" w:ascii="Times New Roman" w:hAnsi="Times New Roman" w:eastAsia="楷体_GB2312" w:cs="Times New Roman"/>
          <w:b w:val="0"/>
          <w:bCs/>
          <w:sz w:val="32"/>
          <w:szCs w:val="32"/>
          <w:lang w:eastAsia="zh-CN"/>
        </w:rPr>
      </w:pPr>
      <w:bookmarkStart w:id="49" w:name="_Toc15377222"/>
      <w:r>
        <w:rPr>
          <w:rFonts w:hint="default" w:ascii="Times New Roman" w:hAnsi="Times New Roman" w:eastAsia="楷体_GB2312" w:cs="Times New Roman"/>
          <w:b w:val="0"/>
          <w:bCs/>
          <w:sz w:val="32"/>
          <w:szCs w:val="32"/>
        </w:rPr>
        <w:t>（一）机关运行经费支出情况</w:t>
      </w:r>
      <w:bookmarkEnd w:id="49"/>
      <w:r>
        <w:rPr>
          <w:rFonts w:hint="default" w:ascii="Times New Roman" w:hAnsi="Times New Roman" w:eastAsia="楷体_GB2312" w:cs="Times New Roman"/>
          <w:b w:val="0"/>
          <w:bCs/>
          <w:sz w:val="32"/>
          <w:szCs w:val="32"/>
          <w:lang w:eastAsia="zh-CN"/>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2021年，西区水利局机关运行经费支出</w:t>
      </w:r>
      <w:r>
        <w:rPr>
          <w:rFonts w:hint="default" w:ascii="Times New Roman" w:hAnsi="Times New Roman" w:eastAsia="仿宋_GB2312" w:cs="Times New Roman"/>
          <w:sz w:val="32"/>
          <w:szCs w:val="32"/>
          <w:lang w:val="en-US" w:eastAsia="zh-CN"/>
        </w:rPr>
        <w:t>22.26</w:t>
      </w:r>
      <w:r>
        <w:rPr>
          <w:rFonts w:hint="default" w:ascii="Times New Roman" w:hAnsi="Times New Roman" w:eastAsia="仿宋_GB2312" w:cs="Times New Roman"/>
          <w:sz w:val="32"/>
          <w:szCs w:val="32"/>
        </w:rPr>
        <w:t>万元，比2020年增加</w:t>
      </w:r>
      <w:r>
        <w:rPr>
          <w:rFonts w:hint="default" w:ascii="Times New Roman" w:hAnsi="Times New Roman" w:eastAsia="仿宋_GB2312" w:cs="Times New Roman"/>
          <w:sz w:val="32"/>
          <w:szCs w:val="32"/>
          <w:lang w:val="en-US" w:eastAsia="zh-CN"/>
        </w:rPr>
        <w:t>1.47</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主要原因是</w:t>
      </w:r>
      <w:r>
        <w:rPr>
          <w:rFonts w:hint="default" w:ascii="Times New Roman" w:hAnsi="Times New Roman" w:eastAsia="仿宋_GB2312" w:cs="Times New Roman"/>
          <w:sz w:val="32"/>
          <w:szCs w:val="32"/>
          <w:lang w:eastAsia="zh-CN"/>
        </w:rPr>
        <w:t>工会经费、福利费、水电费等费用的增加。</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2"/>
        <w:rPr>
          <w:rFonts w:hint="default" w:ascii="Times New Roman" w:hAnsi="Times New Roman" w:eastAsia="楷体_GB2312" w:cs="Times New Roman"/>
          <w:b w:val="0"/>
          <w:bCs/>
          <w:sz w:val="32"/>
          <w:szCs w:val="32"/>
          <w:lang w:eastAsia="zh-CN"/>
        </w:rPr>
      </w:pPr>
      <w:bookmarkStart w:id="50" w:name="_Toc15377223"/>
      <w:r>
        <w:rPr>
          <w:rFonts w:hint="default" w:ascii="Times New Roman" w:hAnsi="Times New Roman" w:eastAsia="楷体_GB2312" w:cs="Times New Roman"/>
          <w:b w:val="0"/>
          <w:bCs/>
          <w:sz w:val="32"/>
          <w:szCs w:val="32"/>
        </w:rPr>
        <w:t>（二）政府采购支出情况</w:t>
      </w:r>
      <w:bookmarkEnd w:id="50"/>
      <w:r>
        <w:rPr>
          <w:rFonts w:hint="default" w:ascii="Times New Roman" w:hAnsi="Times New Roman" w:eastAsia="楷体_GB2312" w:cs="Times New Roman"/>
          <w:b w:val="0"/>
          <w:bCs/>
          <w:sz w:val="32"/>
          <w:szCs w:val="32"/>
          <w:lang w:eastAsia="zh-CN"/>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2021年，</w:t>
      </w:r>
      <w:r>
        <w:rPr>
          <w:rFonts w:hint="default" w:ascii="Times New Roman" w:hAnsi="Times New Roman" w:eastAsia="仿宋_GB2312" w:cs="Times New Roman"/>
          <w:sz w:val="32"/>
          <w:szCs w:val="32"/>
          <w:lang w:eastAsia="zh-CN"/>
        </w:rPr>
        <w:t>西区水利局</w:t>
      </w:r>
      <w:r>
        <w:rPr>
          <w:rFonts w:hint="default" w:ascii="Times New Roman" w:hAnsi="Times New Roman" w:eastAsia="仿宋_GB2312" w:cs="Times New Roman"/>
          <w:sz w:val="32"/>
          <w:szCs w:val="32"/>
        </w:rPr>
        <w:t>政府采购支出总额</w:t>
      </w:r>
      <w:r>
        <w:rPr>
          <w:rFonts w:hint="default" w:ascii="Times New Roman" w:hAnsi="Times New Roman" w:eastAsia="仿宋_GB2312" w:cs="Times New Roman"/>
          <w:sz w:val="32"/>
          <w:szCs w:val="32"/>
          <w:lang w:val="en-US" w:eastAsia="zh-CN"/>
        </w:rPr>
        <w:t>292</w:t>
      </w:r>
      <w:r>
        <w:rPr>
          <w:rFonts w:hint="eastAsia" w:eastAsia="仿宋_GB2312" w:cs="Times New Roman"/>
          <w:sz w:val="32"/>
          <w:szCs w:val="32"/>
          <w:lang w:val="en-US" w:eastAsia="zh-CN"/>
        </w:rPr>
        <w:t>.00</w:t>
      </w:r>
      <w:r>
        <w:rPr>
          <w:rFonts w:hint="default" w:ascii="Times New Roman" w:hAnsi="Times New Roman" w:eastAsia="仿宋_GB2312" w:cs="Times New Roman"/>
          <w:sz w:val="32"/>
          <w:szCs w:val="32"/>
        </w:rPr>
        <w:t>万元，其中：政府采购货物支出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万元、政府采购工程支出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万元、政府</w:t>
      </w:r>
      <w:r>
        <w:rPr>
          <w:rFonts w:hint="default" w:ascii="Times New Roman" w:hAnsi="Times New Roman" w:eastAsia="仿宋_GB2312" w:cs="Times New Roman"/>
          <w:color w:val="000000" w:themeColor="text1"/>
          <w:sz w:val="32"/>
          <w:szCs w:val="32"/>
          <w14:textFill>
            <w14:solidFill>
              <w14:schemeClr w14:val="tx1"/>
            </w14:solidFill>
          </w14:textFill>
        </w:rPr>
        <w:t>采购服务支出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292</w:t>
      </w:r>
      <w:r>
        <w:rPr>
          <w:rFonts w:hint="eastAsia" w:eastAsia="仿宋_GB2312" w:cs="Times New Roman"/>
          <w:color w:val="000000" w:themeColor="text1"/>
          <w:sz w:val="32"/>
          <w:szCs w:val="32"/>
          <w:lang w:val="en-US" w:eastAsia="zh-CN"/>
          <w14:textFill>
            <w14:solidFill>
              <w14:schemeClr w14:val="tx1"/>
            </w14:solidFill>
          </w14:textFill>
        </w:rPr>
        <w:t>.00</w:t>
      </w:r>
      <w:r>
        <w:rPr>
          <w:rFonts w:hint="default" w:ascii="Times New Roman" w:hAnsi="Times New Roman" w:eastAsia="仿宋_GB2312" w:cs="Times New Roman"/>
          <w:color w:val="000000" w:themeColor="text1"/>
          <w:sz w:val="32"/>
          <w:szCs w:val="32"/>
          <w14:textFill>
            <w14:solidFill>
              <w14:schemeClr w14:val="tx1"/>
            </w14:solidFill>
          </w14:textFill>
        </w:rPr>
        <w:t>万元。主要用于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工程导截流验收、合同完工验收、工程蓄水验收、充水工程通水验收、灌区工程通水验收、工程竣工验收等根据实际需要提供技术服务和提供会务服务；移民导截流自、初、终验收，移民蓄水自、初、终验收；水保专项验收、环评专项验收、档案专项验收、财务竣工验收、整体工程全面验收等根据实际需要提供技术服务和会务服务</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sz w:val="32"/>
          <w:szCs w:val="32"/>
        </w:rPr>
        <w:t>授予中小企业合同金额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outlineLvl w:val="2"/>
        <w:rPr>
          <w:rFonts w:hint="default" w:ascii="Times New Roman" w:hAnsi="Times New Roman" w:eastAsia="楷体_GB2312" w:cs="Times New Roman"/>
          <w:b w:val="0"/>
          <w:bCs/>
          <w:sz w:val="32"/>
          <w:szCs w:val="32"/>
          <w:lang w:eastAsia="zh-CN"/>
        </w:rPr>
      </w:pPr>
      <w:bookmarkStart w:id="51" w:name="_Toc15377224"/>
      <w:r>
        <w:rPr>
          <w:rFonts w:hint="default" w:ascii="Times New Roman" w:hAnsi="Times New Roman" w:eastAsia="楷体_GB2312" w:cs="Times New Roman"/>
          <w:b w:val="0"/>
          <w:bCs/>
          <w:sz w:val="32"/>
          <w:szCs w:val="32"/>
        </w:rPr>
        <w:t>（三）国有资产占有使用情况</w:t>
      </w:r>
      <w:bookmarkEnd w:id="51"/>
      <w:r>
        <w:rPr>
          <w:rFonts w:hint="default" w:ascii="Times New Roman" w:hAnsi="Times New Roman" w:eastAsia="楷体_GB2312" w:cs="Times New Roman"/>
          <w:b w:val="0"/>
          <w:bCs/>
          <w:sz w:val="32"/>
          <w:szCs w:val="32"/>
          <w:lang w:eastAsia="zh-CN"/>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2021年12月31日，西区水利局共有车辆5辆，其中：主要领导干部用车0辆、机要通信用车0辆、应急保障用车0辆、其他用车0辆、特种专业技术用车5辆。主要用于河长制工作、水资源工作、梅子箐水库工程现场勘察、及水库巡查等工作所需的公务用车燃料费、维修费、过路过桥费、保险费等支出。</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单价50万元以上通用设备0台（套），单价100万元以上专用设备0台（套）。</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outlineLvl w:val="2"/>
        <w:rPr>
          <w:rFonts w:hint="default" w:ascii="Times New Roman" w:hAnsi="Times New Roman" w:eastAsia="楷体_GB2312" w:cs="Times New Roman"/>
          <w:b w:val="0"/>
          <w:bCs/>
          <w:sz w:val="32"/>
          <w:szCs w:val="32"/>
          <w:lang w:eastAsia="zh-CN"/>
        </w:rPr>
      </w:pPr>
      <w:r>
        <w:rPr>
          <w:rFonts w:hint="default" w:ascii="Times New Roman" w:hAnsi="Times New Roman" w:eastAsia="楷体_GB2312" w:cs="Times New Roman"/>
          <w:b w:val="0"/>
          <w:bCs/>
          <w:sz w:val="32"/>
          <w:szCs w:val="32"/>
          <w:lang w:eastAsia="zh-CN"/>
        </w:rPr>
        <w:t>（</w:t>
      </w:r>
      <w:r>
        <w:rPr>
          <w:rFonts w:hint="default" w:ascii="Times New Roman" w:hAnsi="Times New Roman" w:eastAsia="楷体_GB2312" w:cs="Times New Roman"/>
          <w:b w:val="0"/>
          <w:bCs/>
          <w:sz w:val="32"/>
          <w:szCs w:val="32"/>
          <w:lang w:val="en-US" w:eastAsia="zh-CN"/>
        </w:rPr>
        <w:t>四</w:t>
      </w:r>
      <w:r>
        <w:rPr>
          <w:rFonts w:hint="default" w:ascii="Times New Roman" w:hAnsi="Times New Roman" w:eastAsia="楷体_GB2312" w:cs="Times New Roman"/>
          <w:b w:val="0"/>
          <w:bCs/>
          <w:sz w:val="32"/>
          <w:szCs w:val="32"/>
          <w:lang w:eastAsia="zh-CN"/>
        </w:rPr>
        <w:t>）</w:t>
      </w:r>
      <w:r>
        <w:rPr>
          <w:rFonts w:hint="default" w:ascii="Times New Roman" w:hAnsi="Times New Roman" w:eastAsia="楷体_GB2312" w:cs="Times New Roman"/>
          <w:b w:val="0"/>
          <w:bCs/>
          <w:sz w:val="32"/>
          <w:szCs w:val="32"/>
        </w:rPr>
        <w:t>预算绩效管理情况</w:t>
      </w:r>
      <w:r>
        <w:rPr>
          <w:rFonts w:hint="default" w:ascii="Times New Roman" w:hAnsi="Times New Roman" w:eastAsia="楷体_GB2312" w:cs="Times New Roman"/>
          <w:b w:val="0"/>
          <w:bCs/>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left"/>
        <w:textAlignment w:val="auto"/>
        <w:outlineLvl w:val="2"/>
        <w:rPr>
          <w:rFonts w:hint="default" w:ascii="Times New Roman" w:hAnsi="Times New Roman" w:eastAsia="仿宋_GB2312" w:cs="Times New Roman"/>
          <w:b/>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根据预算绩效管理要求，本部门在2021年度预算编制阶段，组织对河长制专项经费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防</w:t>
      </w:r>
      <w:r>
        <w:rPr>
          <w:rFonts w:hint="eastAsia" w:eastAsia="仿宋_GB2312" w:cs="Times New Roman"/>
          <w:color w:val="000000" w:themeColor="text1"/>
          <w:sz w:val="32"/>
          <w:szCs w:val="32"/>
          <w:lang w:val="en-US" w:eastAsia="zh-CN"/>
          <w14:textFill>
            <w14:solidFill>
              <w14:schemeClr w14:val="tx1"/>
            </w14:solidFill>
          </w14:textFill>
        </w:rPr>
        <w:t>汛</w:t>
      </w:r>
      <w:r>
        <w:rPr>
          <w:rFonts w:hint="default" w:ascii="Times New Roman" w:hAnsi="Times New Roman" w:eastAsia="仿宋_GB2312" w:cs="Times New Roman"/>
          <w:color w:val="000000" w:themeColor="text1"/>
          <w:sz w:val="32"/>
          <w:szCs w:val="32"/>
          <w14:textFill>
            <w14:solidFill>
              <w14:schemeClr w14:val="tx1"/>
            </w14:solidFill>
          </w14:textFill>
        </w:rPr>
        <w:t>抗旱经费、</w:t>
      </w:r>
      <w:r>
        <w:rPr>
          <w:rFonts w:hint="default" w:ascii="Times New Roman" w:hAnsi="Times New Roman" w:eastAsia="仿宋_GB2312" w:cs="Times New Roman"/>
          <w:sz w:val="32"/>
          <w:szCs w:val="32"/>
          <w:lang w:val="en-US" w:eastAsia="zh-CN"/>
        </w:rPr>
        <w:t>山洪灾害防治县级非工程措施运行维保费、中央水利救灾资金建设项目、水资源、水土保持专项经费、水利建设与运行管理支出费用、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梅子箐水库扩建工程项目</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14:textFill>
            <w14:solidFill>
              <w14:schemeClr w14:val="tx1"/>
            </w14:solidFill>
          </w14:textFill>
        </w:rPr>
        <w:t>个项目开展了预算事前绩效评</w:t>
      </w:r>
      <w:bookmarkStart w:id="70" w:name="_GoBack"/>
      <w:bookmarkEnd w:id="70"/>
      <w:r>
        <w:rPr>
          <w:rFonts w:hint="default" w:ascii="Times New Roman" w:hAnsi="Times New Roman" w:eastAsia="仿宋_GB2312" w:cs="Times New Roman"/>
          <w:color w:val="000000" w:themeColor="text1"/>
          <w:sz w:val="32"/>
          <w:szCs w:val="32"/>
          <w14:textFill>
            <w14:solidFill>
              <w14:schemeClr w14:val="tx1"/>
            </w14:solidFill>
          </w14:textFill>
        </w:rPr>
        <w:t>估，对5个项目编制了绩效目标，预算执行过程中，选取</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14:textFill>
            <w14:solidFill>
              <w14:schemeClr w14:val="tx1"/>
            </w14:solidFill>
          </w14:textFill>
        </w:rPr>
        <w:t>个项目开展绩效监控年终执行完毕后，对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14:textFill>
            <w14:solidFill>
              <w14:schemeClr w14:val="tx1"/>
            </w14:solidFill>
          </w14:textFill>
        </w:rPr>
        <w:t>个项目开展了绩效自评。同时，本部门对2021年部门整体开展绩效自评，《2021年西区水利局部门整体绩效评价报告》见附件（第四部分）。</w:t>
      </w:r>
      <w:r>
        <w:rPr>
          <w:rFonts w:hint="default" w:ascii="Times New Roman" w:hAnsi="Times New Roman" w:eastAsia="仿宋_GB2312" w:cs="Times New Roman"/>
          <w:b/>
          <w:sz w:val="32"/>
          <w:szCs w:val="32"/>
        </w:rPr>
        <w:br w:type="page"/>
      </w:r>
    </w:p>
    <w:p>
      <w:pPr>
        <w:numPr>
          <w:ilvl w:val="0"/>
          <w:numId w:val="0"/>
        </w:numPr>
        <w:spacing w:line="600" w:lineRule="exact"/>
        <w:jc w:val="center"/>
        <w:outlineLvl w:val="0"/>
        <w:rPr>
          <w:rStyle w:val="25"/>
          <w:rFonts w:hint="eastAsia" w:ascii="方正小标宋_GBK" w:hAnsi="方正小标宋_GBK" w:eastAsia="方正小标宋_GBK" w:cs="方正小标宋_GBK"/>
          <w:b w:val="0"/>
          <w:sz w:val="44"/>
          <w:szCs w:val="44"/>
        </w:rPr>
      </w:pPr>
      <w:bookmarkStart w:id="52" w:name="_Toc15377225"/>
      <w:bookmarkStart w:id="53" w:name="_Toc15396613"/>
      <w:r>
        <w:rPr>
          <w:rFonts w:hint="eastAsia" w:ascii="方正小标宋_GBK" w:hAnsi="方正小标宋_GBK" w:eastAsia="方正小标宋_GBK" w:cs="方正小标宋_GBK"/>
          <w:sz w:val="44"/>
          <w:szCs w:val="44"/>
          <w:lang w:val="en-US" w:eastAsia="zh-CN"/>
        </w:rPr>
        <w:t xml:space="preserve">第三部分 </w:t>
      </w:r>
      <w:r>
        <w:rPr>
          <w:rFonts w:hint="eastAsia" w:ascii="方正小标宋_GBK" w:hAnsi="方正小标宋_GBK" w:eastAsia="方正小标宋_GBK" w:cs="方正小标宋_GBK"/>
          <w:sz w:val="44"/>
          <w:szCs w:val="44"/>
        </w:rPr>
        <w:t>名</w:t>
      </w:r>
      <w:r>
        <w:rPr>
          <w:rStyle w:val="25"/>
          <w:rFonts w:hint="eastAsia" w:ascii="方正小标宋_GBK" w:hAnsi="方正小标宋_GBK" w:eastAsia="方正小标宋_GBK" w:cs="方正小标宋_GBK"/>
          <w:b w:val="0"/>
          <w:sz w:val="44"/>
          <w:szCs w:val="44"/>
        </w:rPr>
        <w:t>词解释</w:t>
      </w:r>
      <w:bookmarkEnd w:id="52"/>
      <w:bookmarkEnd w:id="53"/>
    </w:p>
    <w:p>
      <w:pPr>
        <w:spacing w:line="600" w:lineRule="exact"/>
        <w:jc w:val="left"/>
        <w:rPr>
          <w:rFonts w:ascii="宋体"/>
          <w:b/>
          <w:sz w:val="44"/>
          <w:szCs w:val="44"/>
        </w:rPr>
      </w:pPr>
    </w:p>
    <w:p>
      <w:pPr>
        <w:pStyle w:val="2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kern w:val="2"/>
          <w:sz w:val="32"/>
          <w:szCs w:val="32"/>
        </w:rPr>
      </w:pPr>
      <w:bookmarkStart w:id="54" w:name="_Toc15377226"/>
      <w:r>
        <w:rPr>
          <w:rFonts w:hint="default" w:ascii="Times New Roman" w:hAnsi="Times New Roman" w:eastAsia="仿宋_GB2312" w:cs="Times New Roman"/>
          <w:kern w:val="2"/>
          <w:sz w:val="32"/>
          <w:szCs w:val="32"/>
        </w:rPr>
        <w:t>1.财政拨款收入：指单位从同级财政部门取得的财政预算资金。</w:t>
      </w:r>
    </w:p>
    <w:p>
      <w:pPr>
        <w:pStyle w:val="2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val="en-US" w:eastAsia="zh-CN"/>
        </w:rPr>
        <w:t>2</w:t>
      </w:r>
      <w:r>
        <w:rPr>
          <w:rFonts w:hint="default" w:ascii="Times New Roman" w:hAnsi="Times New Roman" w:eastAsia="仿宋_GB2312" w:cs="Times New Roman"/>
          <w:kern w:val="2"/>
          <w:sz w:val="32"/>
          <w:szCs w:val="32"/>
        </w:rPr>
        <w:t>.其他收入：指单位取得的除上述收入以外的各项收入</w:t>
      </w:r>
    </w:p>
    <w:p>
      <w:pPr>
        <w:pStyle w:val="2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val="en-US" w:eastAsia="zh-CN"/>
        </w:rPr>
        <w:t>3</w:t>
      </w:r>
      <w:r>
        <w:rPr>
          <w:rFonts w:hint="default" w:ascii="Times New Roman" w:hAnsi="Times New Roman" w:eastAsia="仿宋_GB2312" w:cs="Times New Roman"/>
          <w:kern w:val="2"/>
          <w:sz w:val="32"/>
          <w:szCs w:val="32"/>
        </w:rPr>
        <w:t xml:space="preserve">.年初结转和结余：指以前年度尚未完成、结转到本年按有关规定继续使用的资金。 </w:t>
      </w:r>
    </w:p>
    <w:p>
      <w:pPr>
        <w:pStyle w:val="2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val="en-US" w:eastAsia="zh-CN"/>
        </w:rPr>
        <w:t>4</w:t>
      </w:r>
      <w:r>
        <w:rPr>
          <w:rFonts w:hint="default" w:ascii="Times New Roman" w:hAnsi="Times New Roman" w:eastAsia="仿宋_GB2312" w:cs="Times New Roman"/>
          <w:kern w:val="2"/>
          <w:sz w:val="32"/>
          <w:szCs w:val="32"/>
        </w:rPr>
        <w:t>、年末结转和结余：指单位按有关规定结转到下年或以后年度继续使用的资金。</w:t>
      </w:r>
    </w:p>
    <w:p>
      <w:pPr>
        <w:keepNext w:val="0"/>
        <w:keepLines w:val="0"/>
        <w:pageBreakBefore w:val="0"/>
        <w:widowControl w:val="0"/>
        <w:kinsoku/>
        <w:wordWrap/>
        <w:overflowPunct/>
        <w:topLinePunct w:val="0"/>
        <w:bidi w:val="0"/>
        <w:snapToGrid/>
        <w:spacing w:line="600" w:lineRule="exact"/>
        <w:ind w:firstLine="640"/>
        <w:jc w:val="both"/>
        <w:textAlignment w:val="auto"/>
        <w:rPr>
          <w:rFonts w:hint="default" w:ascii="Times New Roman" w:hAnsi="Times New Roman" w:eastAsia="仿宋_GB2312" w:cs="Times New Roman"/>
          <w:sz w:val="32"/>
          <w:szCs w:val="32"/>
          <w:lang w:eastAsia="zh-CN"/>
        </w:rPr>
      </w:pP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.社会保障和就业支出（类）行政事业单位养老支出（款）行政单位离退休（项），指主要用于行政单位（包括实行公务员管理的事业单位）开支的离退休费</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bidi w:val="0"/>
        <w:snapToGrid/>
        <w:spacing w:line="600" w:lineRule="exact"/>
        <w:ind w:firstLine="640"/>
        <w:jc w:val="both"/>
        <w:textAlignment w:val="auto"/>
        <w:rPr>
          <w:rFonts w:hint="default" w:ascii="Times New Roman" w:hAnsi="Times New Roman" w:eastAsia="仿宋_GB2312" w:cs="Times New Roman"/>
          <w:sz w:val="32"/>
          <w:szCs w:val="32"/>
          <w:lang w:eastAsia="zh-CN"/>
        </w:rPr>
      </w:pP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社会保障和就业支出（类）行政事业单位养老支出（款）机关事业单位基本养老保险费支出（项），指主要用于机关事业单位实施养老保险制度由单位缴纳的基本养老保险费支出</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bidi w:val="0"/>
        <w:snapToGrid/>
        <w:spacing w:line="600" w:lineRule="exact"/>
        <w:ind w:firstLine="640"/>
        <w:jc w:val="both"/>
        <w:textAlignment w:val="auto"/>
        <w:rPr>
          <w:rFonts w:hint="default" w:ascii="Times New Roman" w:hAnsi="Times New Roman" w:eastAsia="仿宋_GB2312" w:cs="Times New Roman"/>
          <w:sz w:val="32"/>
          <w:szCs w:val="32"/>
          <w:lang w:eastAsia="zh-CN"/>
        </w:rPr>
      </w:pP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.卫生健康支出（类）行政事业单位医疗（款）行政单位医疗（项）：指主要用于行政单位（包括实行公务员管理的事业单位）基本医疗保险缴费经费</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bidi w:val="0"/>
        <w:snapToGrid/>
        <w:spacing w:line="600" w:lineRule="exact"/>
        <w:ind w:firstLine="640"/>
        <w:jc w:val="both"/>
        <w:textAlignment w:val="auto"/>
        <w:rPr>
          <w:rFonts w:hint="default" w:ascii="Times New Roman" w:hAnsi="Times New Roman" w:eastAsia="仿宋_GB2312" w:cs="Times New Roman"/>
          <w:sz w:val="32"/>
          <w:szCs w:val="32"/>
          <w:lang w:eastAsia="zh-CN"/>
        </w:rPr>
      </w:pP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.卫生健康支出（类）行政事业单位医疗（款）事业单位医疗（项）：指主要用于事业单位基本医疗保险缴费经费</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bidi w:val="0"/>
        <w:snapToGrid/>
        <w:spacing w:line="600" w:lineRule="exact"/>
        <w:ind w:firstLine="640"/>
        <w:jc w:val="both"/>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.卫生健康支出（类）行政事业单位医疗（款）公务员医疗补助（项）：指主要用于财政部门安排的公务员医疗补助经费。</w:t>
      </w:r>
    </w:p>
    <w:p>
      <w:pPr>
        <w:keepNext w:val="0"/>
        <w:keepLines w:val="0"/>
        <w:pageBreakBefore w:val="0"/>
        <w:widowControl w:val="0"/>
        <w:kinsoku/>
        <w:wordWrap/>
        <w:overflowPunct/>
        <w:topLinePunct w:val="0"/>
        <w:bidi w:val="0"/>
        <w:snapToGrid/>
        <w:spacing w:line="600" w:lineRule="exact"/>
        <w:ind w:firstLine="640"/>
        <w:jc w:val="both"/>
        <w:textAlignment w:val="auto"/>
        <w:rPr>
          <w:rFonts w:hint="default" w:ascii="Times New Roman" w:hAnsi="Times New Roman" w:eastAsia="仿宋_GB2312" w:cs="Times New Roman"/>
          <w:sz w:val="32"/>
          <w:szCs w:val="32"/>
          <w:lang w:eastAsia="zh-CN"/>
        </w:rPr>
      </w:pP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rPr>
        <w:t>.农林水支出(类)农业农村（款）事业运行（项）：指主要用于农业事业人员的基本工资、津补贴、奖金、其他工资福利支出、水电费、差旅费、邮电费、工会经费、其他交通费用和其他商品和服务等支出</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bidi w:val="0"/>
        <w:snapToGrid/>
        <w:spacing w:line="600" w:lineRule="exact"/>
        <w:ind w:firstLine="640"/>
        <w:jc w:val="both"/>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rPr>
        <w:t>.农林水支出(类)水利（款）其他水利支出（项）：指反映其他用于水利方面的支出。</w:t>
      </w:r>
    </w:p>
    <w:p>
      <w:pPr>
        <w:keepNext w:val="0"/>
        <w:keepLines w:val="0"/>
        <w:pageBreakBefore w:val="0"/>
        <w:widowControl w:val="0"/>
        <w:kinsoku/>
        <w:wordWrap/>
        <w:overflowPunct/>
        <w:topLinePunct w:val="0"/>
        <w:bidi w:val="0"/>
        <w:snapToGrid/>
        <w:spacing w:line="600" w:lineRule="exact"/>
        <w:ind w:firstLine="640"/>
        <w:jc w:val="both"/>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.住房保障支出（类）住房改革支出（款）住房公积金（项）：指主要用于行政事业单位按人力资源和社会保障部、财政部规定的基本工资和津贴补贴及规定比例为职工缴纳的住房公积金。</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13</w:t>
      </w:r>
      <w:r>
        <w:rPr>
          <w:rFonts w:hint="default" w:ascii="Times New Roman" w:hAnsi="Times New Roman" w:eastAsia="仿宋_GB2312" w:cs="Times New Roman"/>
          <w:sz w:val="32"/>
          <w:szCs w:val="32"/>
        </w:rPr>
        <w:t>.基本支出：指为保障机构正常运转、完成日常工作任务而发生的人员支出和公用支出。</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14</w:t>
      </w:r>
      <w:r>
        <w:rPr>
          <w:rFonts w:hint="default" w:ascii="Times New Roman" w:hAnsi="Times New Roman" w:eastAsia="仿宋_GB2312" w:cs="Times New Roman"/>
          <w:sz w:val="32"/>
          <w:szCs w:val="32"/>
        </w:rPr>
        <w:t xml:space="preserve">.项目支出：指在基本支出之外为完成特定行政任务和事业发展目标所发生的支出。 </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15</w:t>
      </w:r>
      <w:r>
        <w:rPr>
          <w:rFonts w:hint="default" w:ascii="Times New Roman" w:hAnsi="Times New Roman" w:eastAsia="仿宋_GB2312" w:cs="Times New Roman"/>
          <w:sz w:val="32"/>
          <w:szCs w:val="32"/>
        </w:rPr>
        <w:t>.经营支出：指事业单位在专业业务活动及其辅助活动之外开展非独立核算经营活动发生的支出。</w:t>
      </w:r>
    </w:p>
    <w:p>
      <w:pPr>
        <w:pStyle w:val="2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val="en-US" w:eastAsia="zh-CN"/>
        </w:rPr>
        <w:t>16</w:t>
      </w:r>
      <w:r>
        <w:rPr>
          <w:rFonts w:hint="default" w:ascii="Times New Roman" w:hAnsi="Times New Roman" w:eastAsia="仿宋_GB2312" w:cs="Times New Roman"/>
          <w:kern w:val="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val="en-US" w:eastAsia="zh-CN"/>
        </w:rPr>
        <w:t>17</w:t>
      </w:r>
      <w:r>
        <w:rPr>
          <w:rFonts w:hint="default" w:ascii="Times New Roman" w:hAnsi="Times New Roman" w:eastAsia="仿宋_GB2312" w:cs="Times New Roman"/>
          <w:kern w:val="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bidi w:val="0"/>
        <w:snapToGrid/>
        <w:spacing w:line="600" w:lineRule="exact"/>
        <w:jc w:val="center"/>
        <w:textAlignment w:val="auto"/>
        <w:outlineLvl w:val="0"/>
        <w:rPr>
          <w:rStyle w:val="25"/>
          <w:rFonts w:hint="eastAsia" w:ascii="方正小标宋_GBK" w:hAnsi="方正小标宋_GBK" w:eastAsia="方正小标宋_GBK" w:cs="方正小标宋_GBK"/>
          <w:b w:val="0"/>
        </w:rPr>
      </w:pPr>
      <w:r>
        <w:rPr>
          <w:rFonts w:hint="default" w:ascii="Times New Roman" w:hAnsi="Times New Roman" w:eastAsia="仿宋_GB2312" w:cs="Times New Roman"/>
          <w:b/>
          <w:sz w:val="32"/>
          <w:szCs w:val="32"/>
        </w:rPr>
        <w:br w:type="page"/>
      </w:r>
      <w:bookmarkStart w:id="55" w:name="_Toc15396614"/>
      <w:r>
        <w:rPr>
          <w:rFonts w:hint="eastAsia" w:ascii="方正小标宋_GBK" w:hAnsi="方正小标宋_GBK" w:eastAsia="方正小标宋_GBK" w:cs="方正小标宋_GBK"/>
          <w:sz w:val="44"/>
          <w:szCs w:val="44"/>
        </w:rPr>
        <w:t>第</w:t>
      </w:r>
      <w:r>
        <w:rPr>
          <w:rStyle w:val="25"/>
          <w:rFonts w:hint="eastAsia" w:ascii="方正小标宋_GBK" w:hAnsi="方正小标宋_GBK" w:eastAsia="方正小标宋_GBK" w:cs="方正小标宋_GBK"/>
          <w:b w:val="0"/>
        </w:rPr>
        <w:t>四部分 附件</w:t>
      </w:r>
      <w:bookmarkEnd w:id="55"/>
    </w:p>
    <w:p>
      <w:pPr>
        <w:spacing w:line="572" w:lineRule="exact"/>
        <w:jc w:val="center"/>
        <w:rPr>
          <w:rFonts w:hint="eastAsia" w:ascii="方正小标宋简体" w:hAnsi="宋体" w:eastAsia="方正小标宋简体"/>
          <w:kern w:val="0"/>
          <w:sz w:val="40"/>
          <w:szCs w:val="44"/>
        </w:rPr>
      </w:pPr>
    </w:p>
    <w:p>
      <w:pPr>
        <w:spacing w:line="572" w:lineRule="exact"/>
        <w:jc w:val="center"/>
        <w:rPr>
          <w:rFonts w:hint="eastAsia" w:ascii="黑体" w:hAnsi="黑体" w:eastAsia="黑体" w:cs="黑体"/>
          <w:kern w:val="0"/>
          <w:sz w:val="44"/>
          <w:szCs w:val="44"/>
          <w:lang w:val="zh-CN"/>
        </w:rPr>
      </w:pPr>
      <w:r>
        <w:rPr>
          <w:rFonts w:hint="eastAsia" w:ascii="方正小标宋_GBK" w:hAnsi="方正小标宋_GBK" w:eastAsia="方正小标宋_GBK" w:cs="方正小标宋_GBK"/>
          <w:sz w:val="44"/>
          <w:szCs w:val="44"/>
        </w:rPr>
        <w:t>2021年</w:t>
      </w:r>
      <w:r>
        <w:rPr>
          <w:rFonts w:hint="eastAsia" w:ascii="方正小标宋_GBK" w:hAnsi="方正小标宋_GBK" w:eastAsia="方正小标宋_GBK" w:cs="方正小标宋_GBK"/>
          <w:sz w:val="44"/>
          <w:szCs w:val="44"/>
          <w:lang w:eastAsia="zh-CN"/>
        </w:rPr>
        <w:t>攀枝花市西区水利局</w:t>
      </w:r>
      <w:r>
        <w:rPr>
          <w:rFonts w:hint="eastAsia" w:ascii="方正小标宋_GBK" w:hAnsi="方正小标宋_GBK" w:eastAsia="方正小标宋_GBK" w:cs="方正小标宋_GBK"/>
          <w:sz w:val="44"/>
          <w:szCs w:val="44"/>
        </w:rPr>
        <w:t>部门整体绩效评价报告</w:t>
      </w:r>
    </w:p>
    <w:p>
      <w:pPr>
        <w:widowControl/>
        <w:adjustRightInd w:val="0"/>
        <w:snapToGrid w:val="0"/>
        <w:spacing w:line="572" w:lineRule="exact"/>
        <w:ind w:firstLine="480" w:firstLineChars="200"/>
        <w:contextualSpacing/>
        <w:jc w:val="left"/>
        <w:rPr>
          <w:rFonts w:ascii="黑体" w:hAnsi="宋体" w:eastAsia="黑体" w:cs="宋体"/>
          <w:kern w:val="0"/>
          <w:sz w:val="24"/>
          <w:szCs w:val="32"/>
          <w:shd w:val="clear" w:color="auto" w:fill="FFFFFF"/>
        </w:rPr>
      </w:pP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部门（单位）概况</w:t>
      </w:r>
    </w:p>
    <w:p>
      <w:pPr>
        <w:pStyle w:val="7"/>
        <w:keepNext w:val="0"/>
        <w:keepLines w:val="0"/>
        <w:pageBreakBefore w:val="0"/>
        <w:widowControl w:val="0"/>
        <w:kinsoku/>
        <w:wordWrap/>
        <w:overflowPunct/>
        <w:topLinePunct w:val="0"/>
        <w:autoSpaceDE/>
        <w:autoSpaceDN/>
        <w:bidi w:val="0"/>
        <w:spacing w:beforeLines="0" w:afterLines="0" w:line="600" w:lineRule="exact"/>
        <w:ind w:left="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（一）部门职能。</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highlight w:val="none"/>
        </w:rPr>
        <w:t>贯彻执行国家、省、市有关水行政管理</w:t>
      </w:r>
      <w:r>
        <w:rPr>
          <w:rFonts w:hint="eastAsia" w:ascii="Times New Roman" w:hAnsi="Times New Roman" w:eastAsia="仿宋_GB2312"/>
          <w:sz w:val="32"/>
          <w:szCs w:val="32"/>
          <w:highlight w:val="none"/>
          <w:lang w:eastAsia="zh-CN"/>
        </w:rPr>
        <w:t>及水利水电工程移民</w:t>
      </w:r>
      <w:r>
        <w:rPr>
          <w:rFonts w:hint="eastAsia" w:ascii="Times New Roman" w:hAnsi="Times New Roman" w:eastAsia="仿宋_GB2312"/>
          <w:sz w:val="32"/>
          <w:szCs w:val="32"/>
          <w:highlight w:val="none"/>
        </w:rPr>
        <w:t>工作的法律、法规和方针、政策。负</w:t>
      </w:r>
      <w:r>
        <w:rPr>
          <w:rFonts w:hint="eastAsia" w:ascii="Times New Roman" w:hAnsi="Times New Roman" w:eastAsia="仿宋_GB2312"/>
          <w:sz w:val="32"/>
          <w:szCs w:val="32"/>
        </w:rPr>
        <w:t>责保障水资源的合理开发利用；负责全区水利、水土保持、水资源行政管理的制度建设，拟订政策和发展规划。组织编制全区重要江河湖库的流域综合规划、水资源保护和水源地保护规划、节约用水、防洪规划等重要水利规划，组织有关全区国民经济总体规划、城乡规划、重大建设项目中涉及水利、水土保持、水资源管理等方面的论证工作。</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负责全区水资源统一管理。组织实施最严格水资源管理制度，实施水资源的统一监督管理，合理配置水资源，统筹兼顾和保障生活、生产经营、生态环境用水；负责重要流域、区域以及重大调水工程的水资源调度，组织实施水资源有偿使用制度和水资源论证、防洪论证制度；指导开展水资源有偿使用工作;指导水利行业供水工作; 按规定组织开展水资源、水能资源调查评价和水资源承载能力监测预警工作。</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3.</w:t>
      </w:r>
      <w:r>
        <w:rPr>
          <w:rFonts w:hint="eastAsia" w:ascii="Times New Roman" w:hAnsi="Times New Roman" w:eastAsia="仿宋_GB2312"/>
          <w:color w:val="000000"/>
          <w:sz w:val="32"/>
          <w:szCs w:val="32"/>
        </w:rPr>
        <w:t>负责全区水资源保护工作，参与编制水功能区划分和指导入河排污口设置管理工作。指导地下水开发利用和地下水资源管理保护工作；指导地下水超采区综合治理工作；指导饮用水水源保护有关工作；负责拟定全区节约用水政策和指导节水工作。</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负责全区水利行业体制改革工作；监管区政府授权管理的区级水利资产，负责全区水利行业国有资产的业务管理工作。</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负责全区水利、水土保持、水资源基本建设的指导并实施行业监督；指导水利设施的管理、保护与综合利用。</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负责组织实施有关水利、水土保持、水资源的法律法规及执法工作；查处辖区内重大水事纠纷；负责有关行政复议和行政诉讼应诉工作。</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负责全区水土保持工作。拟订水土保持规划并监督实施，负责全区水土流失综合治理及监测工作；负责权限范围内开发建设项目水土保持的审批、实施、监督及水土保持设施的验收工作。</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负责辖区内河道、水库、湖泊（包括人工水道、行洪区、蓄水区、滞洪区）、河口滩涂的行政管理及河道管护范围内砂石资源等的开发、利用和保护；负责对占用河道、河堤通道设施（包括临时设施）等行为的行政监督管理工作；指导河湖水系连通工作；负责河长制相关工作。</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指导农村水利工作。组织开展大中型灌排工程建设与改造。指导农村饮水安全工程建设管理工作，指导节水灌溉有关工作。指导农村水利改革创新和社会化服务体系建设。指导农村水能资源开发、小水电改造和水电农村电气化工作。</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指导全区水利发展和水利行业劳动保护、科技推广、安全生产工作。</w:t>
      </w:r>
    </w:p>
    <w:p>
      <w:pPr>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负责落实综合防灾减灾规划相关要求，组织编制洪水干旱灾害防治规划和防护标准并指导实施。承担水情旱情监测预警工作。组织编制重要江河湖泊和重要水工程的防御洪水抗御旱灾调度及应急水量调度方案，按程序报批并组织实施。承担防御洪水应急抢险的技术支撑工作。</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12.</w:t>
      </w:r>
      <w:r>
        <w:rPr>
          <w:rFonts w:hint="eastAsia" w:ascii="Times New Roman" w:hAnsi="Times New Roman" w:eastAsia="仿宋_GB2312"/>
          <w:sz w:val="32"/>
          <w:szCs w:val="32"/>
          <w:highlight w:val="none"/>
        </w:rPr>
        <w:t>参与大中型水利水电工程建设移民人口和实物指标调查，配合编制大中型水利水电工程建设移民安置规划大纲和移民安置规划，按有关程序参与规划审查。拟订大中型水利水电工程建设移民安置年度计划和资金安排，指导和组织实施并监督检查移民搬迁安置工作，组织移民安置工作的验收。组织编制大中型水利水电工程建设移民后期扶持规划，拟订后期扶持年度计划并组织实施，负责移民后期扶持项目的申报，权限内后期扶持数据库建设和管理</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负责大中型水利水电移民迁建安置的信访维稳工作、后期扶持政策宣传工作</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计划财务</w:t>
      </w:r>
      <w:r>
        <w:rPr>
          <w:rFonts w:hint="eastAsia" w:ascii="Times New Roman" w:hAnsi="Times New Roman" w:eastAsia="仿宋_GB2312"/>
          <w:sz w:val="32"/>
          <w:szCs w:val="32"/>
          <w:highlight w:val="none"/>
          <w:lang w:eastAsia="zh-CN"/>
        </w:rPr>
        <w:t>工作</w:t>
      </w:r>
      <w:r>
        <w:rPr>
          <w:rFonts w:hint="eastAsia" w:ascii="Times New Roman" w:hAnsi="Times New Roman" w:eastAsia="仿宋_GB2312"/>
          <w:sz w:val="32"/>
          <w:szCs w:val="32"/>
          <w:highlight w:val="none"/>
        </w:rPr>
        <w:t>、信息统计监测</w:t>
      </w:r>
      <w:r>
        <w:rPr>
          <w:rFonts w:hint="eastAsia" w:ascii="Times New Roman" w:hAnsi="Times New Roman" w:eastAsia="仿宋_GB2312"/>
          <w:sz w:val="32"/>
          <w:szCs w:val="32"/>
          <w:highlight w:val="none"/>
          <w:lang w:eastAsia="zh-CN"/>
        </w:rPr>
        <w:t>工作</w:t>
      </w:r>
      <w:r>
        <w:rPr>
          <w:rFonts w:hint="eastAsia" w:ascii="Times New Roman" w:hAnsi="Times New Roman" w:eastAsia="仿宋_GB2312"/>
          <w:sz w:val="32"/>
          <w:szCs w:val="32"/>
          <w:highlight w:val="none"/>
        </w:rPr>
        <w:t>等。</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承担区政府公布的有关行政审批事项。</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Times New Roman" w:hAnsi="Times New Roman" w:eastAsia="仿宋_GB2312"/>
          <w:sz w:val="32"/>
          <w:szCs w:val="32"/>
          <w:highlight w:val="yellow"/>
        </w:rPr>
      </w:pP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负责职责范围内的安全生产和职业健康、生态环境保护、行政审批服务便民化工作。</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承办区政府交办的其他事项。</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职能转变。</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水利局应切实加强水资源合理利用、优化配置和节约保护。坚持节水优先，从增加供给转向更加重视需求管理，严格控制用水总量和提高用水效率。坚持保护优先，加强水资源、水域和水利工作的管理保护，维护河湖健康美丽。坚持统筹兼顾，保障合理用水需求和水资源的可持续利用，为经济社会发展提供水安全保障。</w:t>
      </w:r>
    </w:p>
    <w:p>
      <w:pPr>
        <w:pStyle w:val="7"/>
        <w:keepNext w:val="0"/>
        <w:keepLines w:val="0"/>
        <w:pageBreakBefore w:val="0"/>
        <w:widowControl w:val="0"/>
        <w:kinsoku/>
        <w:wordWrap/>
        <w:overflowPunct/>
        <w:topLinePunct w:val="0"/>
        <w:autoSpaceDE/>
        <w:autoSpaceDN/>
        <w:bidi w:val="0"/>
        <w:spacing w:beforeLines="0" w:afterLines="0" w:line="600" w:lineRule="exact"/>
        <w:ind w:left="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（二）单位人员构成情况。</w:t>
      </w:r>
    </w:p>
    <w:p>
      <w:pPr>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eastAsia="仿宋_GB2312"/>
          <w:sz w:val="32"/>
          <w:szCs w:val="32"/>
          <w:lang w:eastAsia="zh-CN"/>
        </w:rPr>
      </w:pPr>
      <w:r>
        <w:rPr>
          <w:rFonts w:hint="eastAsia" w:eastAsia="仿宋_GB2312"/>
          <w:sz w:val="32"/>
          <w:szCs w:val="32"/>
        </w:rPr>
        <w:t>我单位共有行政编制4个，在岗人数4人；共有事业编制</w:t>
      </w:r>
      <w:r>
        <w:rPr>
          <w:rFonts w:hint="eastAsia" w:eastAsia="仿宋_GB2312"/>
          <w:sz w:val="32"/>
          <w:szCs w:val="32"/>
          <w:lang w:val="en-US" w:eastAsia="zh-CN"/>
        </w:rPr>
        <w:t>21</w:t>
      </w:r>
      <w:r>
        <w:rPr>
          <w:rFonts w:hint="eastAsia" w:eastAsia="仿宋_GB2312"/>
          <w:sz w:val="32"/>
          <w:szCs w:val="32"/>
        </w:rPr>
        <w:t>个，在岗人数18人；编内聘用人员编制</w:t>
      </w:r>
      <w:r>
        <w:rPr>
          <w:rFonts w:hint="eastAsia" w:eastAsia="仿宋_GB2312"/>
          <w:sz w:val="32"/>
          <w:szCs w:val="32"/>
          <w:lang w:val="en-US" w:eastAsia="zh-CN"/>
        </w:rPr>
        <w:t>8</w:t>
      </w:r>
      <w:r>
        <w:rPr>
          <w:rFonts w:hint="eastAsia" w:eastAsia="仿宋_GB2312"/>
          <w:sz w:val="32"/>
          <w:szCs w:val="32"/>
        </w:rPr>
        <w:t>个，在岗人数</w:t>
      </w:r>
      <w:r>
        <w:rPr>
          <w:rFonts w:hint="eastAsia" w:eastAsia="仿宋_GB2312"/>
          <w:sz w:val="32"/>
          <w:szCs w:val="32"/>
          <w:lang w:val="en-US" w:eastAsia="zh-CN"/>
        </w:rPr>
        <w:t>8</w:t>
      </w:r>
      <w:r>
        <w:rPr>
          <w:rFonts w:hint="eastAsia" w:eastAsia="仿宋_GB2312"/>
          <w:sz w:val="32"/>
          <w:szCs w:val="32"/>
        </w:rPr>
        <w:t>人；退休人员</w:t>
      </w:r>
      <w:r>
        <w:rPr>
          <w:rFonts w:hint="eastAsia" w:eastAsia="仿宋_GB2312"/>
          <w:sz w:val="32"/>
          <w:szCs w:val="32"/>
          <w:lang w:val="en-US" w:eastAsia="zh-CN"/>
        </w:rPr>
        <w:t>4</w:t>
      </w:r>
      <w:r>
        <w:rPr>
          <w:rFonts w:hint="eastAsia" w:eastAsia="仿宋_GB2312"/>
          <w:sz w:val="32"/>
          <w:szCs w:val="32"/>
        </w:rPr>
        <w:t>人。下属二级单位</w:t>
      </w:r>
      <w:r>
        <w:rPr>
          <w:rFonts w:hint="eastAsia" w:eastAsia="仿宋_GB2312"/>
          <w:sz w:val="32"/>
          <w:szCs w:val="32"/>
          <w:lang w:val="en-US" w:eastAsia="zh-CN"/>
        </w:rPr>
        <w:t>2</w:t>
      </w:r>
      <w:r>
        <w:rPr>
          <w:rFonts w:hint="eastAsia" w:eastAsia="仿宋_GB2312"/>
          <w:sz w:val="32"/>
          <w:szCs w:val="32"/>
        </w:rPr>
        <w:t>个，</w:t>
      </w:r>
      <w:r>
        <w:rPr>
          <w:rFonts w:hint="eastAsia" w:eastAsia="仿宋_GB2312"/>
          <w:sz w:val="32"/>
          <w:szCs w:val="32"/>
          <w:lang w:eastAsia="zh-CN"/>
        </w:rPr>
        <w:t>其中独立核算单位</w:t>
      </w:r>
      <w:r>
        <w:rPr>
          <w:rFonts w:hint="eastAsia" w:eastAsia="仿宋_GB2312"/>
          <w:sz w:val="32"/>
          <w:szCs w:val="32"/>
          <w:lang w:val="en-US" w:eastAsia="zh-CN"/>
        </w:rPr>
        <w:t>1个。</w:t>
      </w:r>
      <w:r>
        <w:rPr>
          <w:rFonts w:hint="eastAsia" w:eastAsia="仿宋_GB2312"/>
          <w:sz w:val="32"/>
          <w:szCs w:val="32"/>
        </w:rPr>
        <w:t>保留公务用车编制5台，实有公务用车5台</w:t>
      </w:r>
      <w:r>
        <w:rPr>
          <w:rFonts w:hint="eastAsia" w:eastAsia="仿宋_GB2312"/>
          <w:sz w:val="32"/>
          <w:szCs w:val="32"/>
          <w:lang w:eastAsia="zh-CN"/>
        </w:rPr>
        <w:t>。</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楷体_GB2312" w:hAnsi="楷体_GB2312" w:eastAsia="楷体_GB2312" w:cs="楷体_GB2312"/>
          <w:kern w:val="2"/>
          <w:sz w:val="32"/>
          <w:szCs w:val="32"/>
          <w:lang w:val="zh-CN" w:eastAsia="zh-CN" w:bidi="ar-SA"/>
        </w:rPr>
      </w:pPr>
      <w:r>
        <w:rPr>
          <w:rFonts w:hint="eastAsia" w:ascii="楷体_GB2312" w:hAnsi="楷体_GB2312" w:eastAsia="楷体_GB2312" w:cs="楷体_GB2312"/>
          <w:kern w:val="2"/>
          <w:sz w:val="32"/>
          <w:szCs w:val="32"/>
          <w:lang w:val="zh-CN" w:eastAsia="zh-CN" w:bidi="ar-SA"/>
        </w:rPr>
        <w:t>（一）部门财政资金收入情况。</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eastAsia" w:eastAsia="仿宋_GB2312"/>
          <w:sz w:val="32"/>
          <w:szCs w:val="32"/>
          <w:lang w:val="zh-CN"/>
        </w:rPr>
      </w:pPr>
      <w:r>
        <w:rPr>
          <w:rFonts w:hint="eastAsia" w:eastAsia="仿宋_GB2312"/>
          <w:sz w:val="32"/>
          <w:szCs w:val="32"/>
          <w:lang w:val="zh-CN"/>
        </w:rPr>
        <w:t>202</w:t>
      </w:r>
      <w:r>
        <w:rPr>
          <w:rFonts w:hint="eastAsia" w:eastAsia="仿宋_GB2312"/>
          <w:sz w:val="32"/>
          <w:szCs w:val="32"/>
          <w:lang w:val="en-US" w:eastAsia="zh-CN"/>
        </w:rPr>
        <w:t>1</w:t>
      </w:r>
      <w:r>
        <w:rPr>
          <w:rFonts w:hint="eastAsia" w:eastAsia="仿宋_GB2312"/>
          <w:sz w:val="32"/>
          <w:szCs w:val="32"/>
          <w:lang w:val="zh-CN"/>
        </w:rPr>
        <w:t>年收入合计</w:t>
      </w:r>
      <w:r>
        <w:rPr>
          <w:rFonts w:hint="eastAsia" w:eastAsia="仿宋_GB2312"/>
          <w:sz w:val="32"/>
          <w:szCs w:val="32"/>
          <w:lang w:val="en-US" w:eastAsia="zh-CN"/>
        </w:rPr>
        <w:t>1879.13</w:t>
      </w:r>
      <w:r>
        <w:rPr>
          <w:rFonts w:hint="eastAsia" w:eastAsia="仿宋_GB2312"/>
          <w:sz w:val="32"/>
          <w:szCs w:val="32"/>
          <w:lang w:val="zh-CN"/>
        </w:rPr>
        <w:t>万元，其中：一般公共预算财政拨款收入</w:t>
      </w:r>
      <w:r>
        <w:rPr>
          <w:rFonts w:hint="eastAsia" w:eastAsia="仿宋_GB2312"/>
          <w:sz w:val="32"/>
          <w:szCs w:val="32"/>
          <w:lang w:val="en-US" w:eastAsia="zh-CN"/>
        </w:rPr>
        <w:t>454.83</w:t>
      </w:r>
      <w:r>
        <w:rPr>
          <w:rFonts w:hint="eastAsia" w:eastAsia="仿宋_GB2312"/>
          <w:sz w:val="32"/>
          <w:szCs w:val="32"/>
          <w:lang w:val="zh-CN"/>
        </w:rPr>
        <w:t>万元，占</w:t>
      </w:r>
      <w:r>
        <w:rPr>
          <w:rFonts w:hint="eastAsia" w:eastAsia="仿宋_GB2312"/>
          <w:sz w:val="32"/>
          <w:szCs w:val="32"/>
          <w:lang w:val="en-US" w:eastAsia="zh-CN"/>
        </w:rPr>
        <w:t>24.20</w:t>
      </w:r>
      <w:r>
        <w:rPr>
          <w:rFonts w:hint="eastAsia" w:eastAsia="仿宋_GB2312"/>
          <w:sz w:val="32"/>
          <w:szCs w:val="32"/>
          <w:lang w:val="zh-CN"/>
        </w:rPr>
        <w:t>%；政府性基金预算财政拨款收入</w:t>
      </w:r>
      <w:r>
        <w:rPr>
          <w:rFonts w:hint="eastAsia" w:eastAsia="仿宋_GB2312"/>
          <w:sz w:val="32"/>
          <w:szCs w:val="32"/>
          <w:lang w:val="en-US" w:eastAsia="zh-CN"/>
        </w:rPr>
        <w:t>1424.27</w:t>
      </w:r>
      <w:r>
        <w:rPr>
          <w:rFonts w:hint="eastAsia" w:eastAsia="仿宋_GB2312"/>
          <w:sz w:val="32"/>
          <w:szCs w:val="32"/>
          <w:lang w:val="zh-CN"/>
        </w:rPr>
        <w:t>万元，占</w:t>
      </w:r>
      <w:r>
        <w:rPr>
          <w:rFonts w:hint="eastAsia" w:eastAsia="仿宋_GB2312"/>
          <w:sz w:val="32"/>
          <w:szCs w:val="32"/>
          <w:lang w:val="en-US" w:eastAsia="zh-CN"/>
        </w:rPr>
        <w:t>75.80</w:t>
      </w:r>
      <w:r>
        <w:rPr>
          <w:rFonts w:hint="eastAsia" w:eastAsia="仿宋_GB2312"/>
          <w:sz w:val="32"/>
          <w:szCs w:val="32"/>
          <w:lang w:val="zh-CN"/>
        </w:rPr>
        <w:t>%。</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楷体_GB2312" w:hAnsi="楷体_GB2312" w:eastAsia="楷体_GB2312" w:cs="楷体_GB2312"/>
          <w:kern w:val="2"/>
          <w:sz w:val="32"/>
          <w:szCs w:val="32"/>
          <w:lang w:val="zh-CN" w:eastAsia="zh-CN" w:bidi="ar-SA"/>
        </w:rPr>
      </w:pPr>
      <w:r>
        <w:rPr>
          <w:rFonts w:hint="eastAsia" w:ascii="楷体_GB2312" w:hAnsi="楷体_GB2312" w:eastAsia="楷体_GB2312" w:cs="楷体_GB2312"/>
          <w:kern w:val="2"/>
          <w:sz w:val="32"/>
          <w:szCs w:val="32"/>
          <w:lang w:val="zh-CN" w:eastAsia="zh-CN" w:bidi="ar-SA"/>
        </w:rPr>
        <w:t>（</w:t>
      </w:r>
      <w:r>
        <w:rPr>
          <w:rFonts w:hint="eastAsia" w:ascii="楷体_GB2312" w:hAnsi="楷体_GB2312" w:eastAsia="楷体_GB2312" w:cs="楷体_GB2312"/>
          <w:kern w:val="2"/>
          <w:sz w:val="32"/>
          <w:szCs w:val="32"/>
          <w:lang w:val="en-US" w:eastAsia="zh-CN" w:bidi="ar-SA"/>
        </w:rPr>
        <w:t>二</w:t>
      </w:r>
      <w:r>
        <w:rPr>
          <w:rFonts w:hint="eastAsia" w:ascii="楷体_GB2312" w:hAnsi="楷体_GB2312" w:eastAsia="楷体_GB2312" w:cs="楷体_GB2312"/>
          <w:kern w:val="2"/>
          <w:sz w:val="32"/>
          <w:szCs w:val="32"/>
          <w:lang w:val="zh-CN" w:eastAsia="zh-CN" w:bidi="ar-SA"/>
        </w:rPr>
        <w:t>）部门财政资金支出情况。</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eastAsia"/>
          <w:lang w:val="en-US" w:eastAsia="zh-CN"/>
        </w:rPr>
      </w:pPr>
      <w:r>
        <w:rPr>
          <w:rFonts w:hint="eastAsia" w:eastAsia="仿宋_GB2312"/>
          <w:sz w:val="32"/>
          <w:szCs w:val="32"/>
          <w:lang w:val="zh-CN"/>
        </w:rPr>
        <w:t>202</w:t>
      </w:r>
      <w:r>
        <w:rPr>
          <w:rFonts w:hint="eastAsia" w:eastAsia="仿宋_GB2312"/>
          <w:sz w:val="32"/>
          <w:szCs w:val="32"/>
          <w:lang w:val="en-US" w:eastAsia="zh-CN"/>
        </w:rPr>
        <w:t>1</w:t>
      </w:r>
      <w:r>
        <w:rPr>
          <w:rFonts w:hint="eastAsia" w:eastAsia="仿宋_GB2312"/>
          <w:sz w:val="32"/>
          <w:szCs w:val="32"/>
          <w:lang w:val="zh-CN"/>
        </w:rPr>
        <w:t>年支出</w:t>
      </w:r>
      <w:r>
        <w:rPr>
          <w:rFonts w:hint="eastAsia" w:eastAsia="仿宋_GB2312"/>
          <w:sz w:val="32"/>
          <w:szCs w:val="32"/>
          <w:lang w:val="en-US" w:eastAsia="zh-CN"/>
        </w:rPr>
        <w:t>1875.39</w:t>
      </w:r>
      <w:r>
        <w:rPr>
          <w:rFonts w:hint="eastAsia" w:eastAsia="仿宋_GB2312"/>
          <w:sz w:val="32"/>
          <w:szCs w:val="32"/>
          <w:lang w:val="zh-CN"/>
        </w:rPr>
        <w:t>万元，主要用于以下方面:社会保障和就业支出</w:t>
      </w:r>
      <w:r>
        <w:rPr>
          <w:rFonts w:hint="eastAsia" w:eastAsia="仿宋_GB2312"/>
          <w:sz w:val="32"/>
          <w:szCs w:val="32"/>
          <w:lang w:val="en-US" w:eastAsia="zh-CN"/>
        </w:rPr>
        <w:t>40.48</w:t>
      </w:r>
      <w:r>
        <w:rPr>
          <w:rFonts w:hint="eastAsia" w:eastAsia="仿宋_GB2312"/>
          <w:sz w:val="32"/>
          <w:szCs w:val="32"/>
          <w:lang w:val="zh-CN"/>
        </w:rPr>
        <w:t>万元，占总支出的</w:t>
      </w:r>
      <w:r>
        <w:rPr>
          <w:rFonts w:hint="eastAsia" w:eastAsia="仿宋_GB2312"/>
          <w:sz w:val="32"/>
          <w:szCs w:val="32"/>
          <w:lang w:val="en-US" w:eastAsia="zh-CN"/>
        </w:rPr>
        <w:t>2.16</w:t>
      </w:r>
      <w:r>
        <w:rPr>
          <w:rFonts w:hint="eastAsia" w:eastAsia="仿宋_GB2312"/>
          <w:sz w:val="32"/>
          <w:szCs w:val="32"/>
          <w:lang w:val="zh-CN"/>
        </w:rPr>
        <w:t>%；卫生健康支出</w:t>
      </w:r>
      <w:r>
        <w:rPr>
          <w:rFonts w:hint="eastAsia" w:eastAsia="仿宋_GB2312"/>
          <w:sz w:val="32"/>
          <w:szCs w:val="32"/>
          <w:lang w:val="en-US" w:eastAsia="zh-CN"/>
        </w:rPr>
        <w:t>18.40</w:t>
      </w:r>
      <w:r>
        <w:rPr>
          <w:rFonts w:hint="eastAsia" w:eastAsia="仿宋_GB2312"/>
          <w:sz w:val="32"/>
          <w:szCs w:val="32"/>
          <w:lang w:val="zh-CN"/>
        </w:rPr>
        <w:t>万元，占总支出的0.</w:t>
      </w:r>
      <w:r>
        <w:rPr>
          <w:rFonts w:hint="eastAsia" w:eastAsia="仿宋_GB2312"/>
          <w:sz w:val="32"/>
          <w:szCs w:val="32"/>
          <w:lang w:val="en-US" w:eastAsia="zh-CN"/>
        </w:rPr>
        <w:t>98</w:t>
      </w:r>
      <w:r>
        <w:rPr>
          <w:rFonts w:hint="eastAsia" w:eastAsia="仿宋_GB2312"/>
          <w:sz w:val="32"/>
          <w:szCs w:val="32"/>
          <w:lang w:val="zh-CN"/>
        </w:rPr>
        <w:t>%；城乡社区支出</w:t>
      </w:r>
      <w:r>
        <w:rPr>
          <w:rFonts w:hint="eastAsia" w:eastAsia="仿宋_GB2312"/>
          <w:sz w:val="32"/>
          <w:szCs w:val="32"/>
          <w:lang w:val="en-US" w:eastAsia="zh-CN"/>
        </w:rPr>
        <w:t>28.51万元</w:t>
      </w:r>
      <w:r>
        <w:rPr>
          <w:rFonts w:hint="eastAsia" w:eastAsia="仿宋_GB2312"/>
          <w:sz w:val="32"/>
          <w:szCs w:val="32"/>
          <w:lang w:val="zh-CN"/>
        </w:rPr>
        <w:t>，占总支出的</w:t>
      </w:r>
      <w:r>
        <w:rPr>
          <w:rFonts w:hint="eastAsia" w:eastAsia="仿宋_GB2312"/>
          <w:sz w:val="32"/>
          <w:szCs w:val="32"/>
          <w:lang w:val="en-US" w:eastAsia="zh-CN"/>
        </w:rPr>
        <w:t>1.52</w:t>
      </w:r>
      <w:r>
        <w:rPr>
          <w:rFonts w:hint="eastAsia" w:eastAsia="仿宋_GB2312"/>
          <w:sz w:val="32"/>
          <w:szCs w:val="32"/>
          <w:lang w:val="zh-CN"/>
        </w:rPr>
        <w:t>%；农林水支出</w:t>
      </w:r>
      <w:r>
        <w:rPr>
          <w:rFonts w:hint="eastAsia" w:eastAsia="仿宋_GB2312"/>
          <w:sz w:val="32"/>
          <w:szCs w:val="32"/>
          <w:lang w:val="en-US" w:eastAsia="zh-CN"/>
        </w:rPr>
        <w:t>479.08</w:t>
      </w:r>
      <w:r>
        <w:rPr>
          <w:rFonts w:hint="eastAsia" w:eastAsia="仿宋_GB2312"/>
          <w:sz w:val="32"/>
          <w:szCs w:val="32"/>
          <w:lang w:val="zh-CN"/>
        </w:rPr>
        <w:t>万元，占总支出的2</w:t>
      </w:r>
      <w:r>
        <w:rPr>
          <w:rFonts w:hint="eastAsia" w:eastAsia="仿宋_GB2312"/>
          <w:sz w:val="32"/>
          <w:szCs w:val="32"/>
          <w:lang w:val="en-US" w:eastAsia="zh-CN"/>
        </w:rPr>
        <w:t>5.55</w:t>
      </w:r>
      <w:r>
        <w:rPr>
          <w:rFonts w:hint="eastAsia" w:eastAsia="仿宋_GB2312"/>
          <w:sz w:val="32"/>
          <w:szCs w:val="32"/>
          <w:lang w:val="zh-CN"/>
        </w:rPr>
        <w:t>%；住房保障支出</w:t>
      </w:r>
      <w:r>
        <w:rPr>
          <w:rFonts w:hint="eastAsia" w:eastAsia="仿宋_GB2312"/>
          <w:sz w:val="32"/>
          <w:szCs w:val="32"/>
          <w:lang w:val="en-US" w:eastAsia="zh-CN"/>
        </w:rPr>
        <w:t>30.23</w:t>
      </w:r>
      <w:r>
        <w:rPr>
          <w:rFonts w:hint="eastAsia" w:eastAsia="仿宋_GB2312"/>
          <w:sz w:val="32"/>
          <w:szCs w:val="32"/>
          <w:lang w:val="zh-CN"/>
        </w:rPr>
        <w:t>万元，占总支出的</w:t>
      </w:r>
      <w:r>
        <w:rPr>
          <w:rFonts w:hint="eastAsia" w:eastAsia="仿宋_GB2312"/>
          <w:sz w:val="32"/>
          <w:szCs w:val="32"/>
          <w:lang w:val="en-US" w:eastAsia="zh-CN"/>
        </w:rPr>
        <w:t>1.61</w:t>
      </w:r>
      <w:r>
        <w:rPr>
          <w:rFonts w:hint="eastAsia" w:eastAsia="仿宋_GB2312"/>
          <w:sz w:val="32"/>
          <w:szCs w:val="32"/>
          <w:lang w:val="zh-CN"/>
        </w:rPr>
        <w:t>%；政府性基金预算财政拨款支出</w:t>
      </w:r>
      <w:r>
        <w:rPr>
          <w:rFonts w:hint="eastAsia" w:eastAsia="仿宋_GB2312"/>
          <w:sz w:val="32"/>
          <w:szCs w:val="32"/>
          <w:lang w:val="en-US" w:eastAsia="zh-CN"/>
        </w:rPr>
        <w:t>1278.70</w:t>
      </w:r>
      <w:r>
        <w:rPr>
          <w:rFonts w:hint="eastAsia" w:eastAsia="仿宋_GB2312"/>
          <w:sz w:val="32"/>
          <w:szCs w:val="32"/>
          <w:lang w:val="zh-CN"/>
        </w:rPr>
        <w:t>万元，占总支出的</w:t>
      </w:r>
      <w:r>
        <w:rPr>
          <w:rFonts w:hint="eastAsia" w:eastAsia="仿宋_GB2312"/>
          <w:sz w:val="32"/>
          <w:szCs w:val="32"/>
          <w:lang w:val="en-US" w:eastAsia="zh-CN"/>
        </w:rPr>
        <w:t>68.18</w:t>
      </w:r>
      <w:r>
        <w:rPr>
          <w:rFonts w:hint="eastAsia" w:eastAsia="仿宋_GB2312"/>
          <w:sz w:val="32"/>
          <w:szCs w:val="32"/>
          <w:lang w:val="zh-CN"/>
        </w:rPr>
        <w:t>%。</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三、部门整体预算绩效管理情况</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ascii="仿宋_GB2312" w:hAnsi="宋体" w:eastAsia="仿宋_GB2312" w:cs="宋体"/>
          <w:kern w:val="0"/>
          <w:sz w:val="32"/>
          <w:szCs w:val="32"/>
          <w:shd w:val="clear" w:color="auto" w:fill="FFFFFF"/>
          <w:lang w:val="zh-CN"/>
        </w:rPr>
      </w:pPr>
      <w:r>
        <w:rPr>
          <w:rFonts w:hint="eastAsia" w:ascii="楷体_GB2312" w:hAnsi="楷体_GB2312" w:eastAsia="楷体_GB2312" w:cs="楷体_GB2312"/>
          <w:kern w:val="2"/>
          <w:sz w:val="32"/>
          <w:szCs w:val="32"/>
          <w:lang w:val="zh-CN" w:eastAsia="zh-CN" w:bidi="ar-SA"/>
        </w:rPr>
        <w:t>（一）部门预算项目绩效管理。</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eastAsia" w:eastAsia="仿宋_GB2312"/>
          <w:sz w:val="32"/>
          <w:szCs w:val="32"/>
          <w:lang w:val="zh-CN"/>
        </w:rPr>
      </w:pPr>
      <w:r>
        <w:rPr>
          <w:rFonts w:hint="eastAsia" w:eastAsia="仿宋_GB2312"/>
          <w:sz w:val="32"/>
          <w:szCs w:val="32"/>
          <w:lang w:val="zh-CN"/>
        </w:rPr>
        <w:t>202</w:t>
      </w:r>
      <w:r>
        <w:rPr>
          <w:rFonts w:hint="eastAsia" w:eastAsia="仿宋_GB2312"/>
          <w:sz w:val="32"/>
          <w:szCs w:val="32"/>
          <w:lang w:val="en-US" w:eastAsia="zh-CN"/>
        </w:rPr>
        <w:t>1</w:t>
      </w:r>
      <w:r>
        <w:rPr>
          <w:rFonts w:hint="eastAsia" w:eastAsia="仿宋_GB2312"/>
          <w:sz w:val="32"/>
          <w:szCs w:val="32"/>
          <w:lang w:val="zh-CN"/>
        </w:rPr>
        <w:t>年攀枝花市西区水利局严格按照部门职能及履职需求制定部门绩效目标，基本完成部门目标任务，按照财政预算编制要求及预算编制原则准确及时全面编制预算、合理控制部门支出、根据预算目标进行预算动态调整、项目执行进度良好有序、预算完成情况良好、无违规记录。</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eastAsia="仿宋_GB2312"/>
          <w:sz w:val="32"/>
          <w:szCs w:val="32"/>
          <w:lang w:val="zh-CN"/>
        </w:rPr>
      </w:pPr>
      <w:r>
        <w:rPr>
          <w:rFonts w:hint="eastAsia" w:eastAsia="仿宋_GB2312"/>
          <w:sz w:val="32"/>
          <w:szCs w:val="32"/>
          <w:lang w:val="zh-CN"/>
        </w:rPr>
        <w:t>202</w:t>
      </w:r>
      <w:r>
        <w:rPr>
          <w:rFonts w:hint="eastAsia" w:eastAsia="仿宋_GB2312"/>
          <w:sz w:val="32"/>
          <w:szCs w:val="32"/>
          <w:lang w:val="en-US" w:eastAsia="zh-CN"/>
        </w:rPr>
        <w:t>1</w:t>
      </w:r>
      <w:r>
        <w:rPr>
          <w:rFonts w:hint="eastAsia" w:eastAsia="仿宋_GB2312"/>
          <w:sz w:val="32"/>
          <w:szCs w:val="32"/>
          <w:lang w:val="zh-CN"/>
        </w:rPr>
        <w:t>年我局基本支出</w:t>
      </w:r>
      <w:r>
        <w:rPr>
          <w:rFonts w:hint="eastAsia" w:eastAsia="仿宋_GB2312"/>
          <w:sz w:val="32"/>
          <w:szCs w:val="32"/>
          <w:lang w:val="en-US" w:eastAsia="zh-CN"/>
        </w:rPr>
        <w:t>386.61</w:t>
      </w:r>
      <w:r>
        <w:rPr>
          <w:rFonts w:hint="eastAsia" w:eastAsia="仿宋_GB2312"/>
          <w:sz w:val="32"/>
          <w:szCs w:val="32"/>
          <w:lang w:val="zh-CN"/>
        </w:rPr>
        <w:t>万元，主要用于人员经费和日常公用支出，人员经费用于人员的工资福利、养老保险、职业年金、公积金、社保缴费、其他工资福利支出等；日常公用经费用于日常工作中的办公费、邮电费、水费、电费、维修费、劳务费、委托业务费、工会经费、福利费、公务车运行维护费、手续费、其他商品和服务支出。其他对个人和家庭的补助支出。</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eastAsia="仿宋_GB2312"/>
          <w:sz w:val="32"/>
          <w:szCs w:val="32"/>
          <w:lang w:val="zh-CN"/>
        </w:rPr>
      </w:pPr>
      <w:r>
        <w:rPr>
          <w:rFonts w:hint="eastAsia" w:eastAsia="仿宋_GB2312"/>
          <w:sz w:val="32"/>
          <w:szCs w:val="32"/>
          <w:lang w:val="zh-CN"/>
        </w:rPr>
        <w:t>202</w:t>
      </w:r>
      <w:r>
        <w:rPr>
          <w:rFonts w:hint="eastAsia" w:eastAsia="仿宋_GB2312"/>
          <w:sz w:val="32"/>
          <w:szCs w:val="32"/>
          <w:lang w:val="en-US" w:eastAsia="zh-CN"/>
        </w:rPr>
        <w:t>1</w:t>
      </w:r>
      <w:r>
        <w:rPr>
          <w:rFonts w:hint="eastAsia" w:eastAsia="仿宋_GB2312"/>
          <w:sz w:val="32"/>
          <w:szCs w:val="32"/>
          <w:lang w:val="zh-CN"/>
        </w:rPr>
        <w:t>年项目支出</w:t>
      </w:r>
      <w:r>
        <w:rPr>
          <w:rFonts w:hint="eastAsia" w:eastAsia="仿宋_GB2312"/>
          <w:sz w:val="32"/>
          <w:szCs w:val="32"/>
          <w:lang w:val="en-US" w:eastAsia="zh-CN"/>
        </w:rPr>
        <w:t>1488.51</w:t>
      </w:r>
      <w:r>
        <w:rPr>
          <w:rFonts w:hint="eastAsia" w:eastAsia="仿宋_GB2312"/>
          <w:sz w:val="32"/>
          <w:szCs w:val="32"/>
          <w:lang w:val="zh-CN"/>
        </w:rPr>
        <w:t>万元，(其中包括使用</w:t>
      </w:r>
      <w:r>
        <w:rPr>
          <w:rFonts w:hint="eastAsia" w:eastAsia="仿宋_GB2312"/>
          <w:sz w:val="32"/>
          <w:szCs w:val="32"/>
          <w:lang w:val="en-US" w:eastAsia="zh-CN"/>
        </w:rPr>
        <w:t>2020</w:t>
      </w:r>
      <w:r>
        <w:rPr>
          <w:rFonts w:hint="eastAsia" w:eastAsia="仿宋_GB2312"/>
          <w:sz w:val="32"/>
          <w:szCs w:val="32"/>
          <w:lang w:val="zh-CN"/>
        </w:rPr>
        <w:t>年上级财政补助结余资金)，主要用于大型水库后期扶持、其他污染防治、其他节能环保支出、其他农业支出、水利执法监督、防汛、抗旱、其他水利支出、江河湖库水系综合整治、农村综合改革、其他农林水支出、梅子箐水库扩建工程项目等各个项目的支出，项目基本按照预算绩效目标开展。</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楷体_GB2312" w:hAnsi="楷体_GB2312" w:eastAsia="楷体_GB2312" w:cs="楷体_GB2312"/>
          <w:kern w:val="2"/>
          <w:sz w:val="32"/>
          <w:szCs w:val="32"/>
          <w:lang w:val="zh-CN" w:eastAsia="zh-CN" w:bidi="ar-SA"/>
        </w:rPr>
      </w:pPr>
      <w:r>
        <w:rPr>
          <w:rFonts w:hint="eastAsia" w:ascii="楷体_GB2312" w:hAnsi="楷体_GB2312" w:eastAsia="楷体_GB2312" w:cs="楷体_GB2312"/>
          <w:kern w:val="2"/>
          <w:sz w:val="32"/>
          <w:szCs w:val="32"/>
          <w:lang w:val="zh-CN" w:eastAsia="zh-CN" w:bidi="ar-SA"/>
        </w:rPr>
        <w:t>（二）结果应用情况。</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eastAsia" w:eastAsia="仿宋_GB2312"/>
          <w:sz w:val="32"/>
          <w:szCs w:val="32"/>
          <w:lang w:val="zh-CN"/>
        </w:rPr>
      </w:pPr>
      <w:r>
        <w:rPr>
          <w:rFonts w:hint="eastAsia" w:eastAsia="仿宋_GB2312"/>
          <w:sz w:val="32"/>
          <w:szCs w:val="32"/>
          <w:lang w:val="zh-CN"/>
        </w:rPr>
        <w:t>水利工作：水行政执法工作有效开展，确保202</w:t>
      </w:r>
      <w:r>
        <w:rPr>
          <w:rFonts w:hint="eastAsia" w:eastAsia="仿宋_GB2312"/>
          <w:sz w:val="32"/>
          <w:szCs w:val="32"/>
          <w:lang w:val="en-US" w:eastAsia="zh-CN"/>
        </w:rPr>
        <w:t>1</w:t>
      </w:r>
      <w:r>
        <w:rPr>
          <w:rFonts w:hint="eastAsia" w:eastAsia="仿宋_GB2312"/>
          <w:sz w:val="32"/>
          <w:szCs w:val="32"/>
          <w:lang w:val="zh-CN"/>
        </w:rPr>
        <w:t>年汛期安全度汛，山洪预警系统运行正常，西区河（湖）长制工作顺利开展。基本达到主管部门和群众满意度100%。</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楷体_GB2312" w:hAnsi="楷体_GB2312" w:eastAsia="楷体_GB2312" w:cs="楷体_GB2312"/>
          <w:kern w:val="2"/>
          <w:sz w:val="32"/>
          <w:szCs w:val="32"/>
          <w:lang w:val="zh-CN" w:eastAsia="zh-CN" w:bidi="ar-SA"/>
        </w:rPr>
      </w:pPr>
      <w:r>
        <w:rPr>
          <w:rFonts w:hint="eastAsia" w:ascii="楷体_GB2312" w:hAnsi="楷体_GB2312" w:eastAsia="楷体_GB2312" w:cs="楷体_GB2312"/>
          <w:kern w:val="2"/>
          <w:sz w:val="32"/>
          <w:szCs w:val="32"/>
          <w:lang w:val="zh-CN" w:eastAsia="zh-CN" w:bidi="ar-SA"/>
        </w:rPr>
        <w:t>（</w:t>
      </w:r>
      <w:r>
        <w:rPr>
          <w:rFonts w:hint="eastAsia" w:ascii="楷体_GB2312" w:hAnsi="楷体_GB2312" w:eastAsia="楷体_GB2312" w:cs="楷体_GB2312"/>
          <w:kern w:val="2"/>
          <w:sz w:val="32"/>
          <w:szCs w:val="32"/>
          <w:lang w:val="en-US" w:eastAsia="zh-CN" w:bidi="ar-SA"/>
        </w:rPr>
        <w:t>三</w:t>
      </w:r>
      <w:r>
        <w:rPr>
          <w:rFonts w:hint="eastAsia" w:ascii="楷体_GB2312" w:hAnsi="楷体_GB2312" w:eastAsia="楷体_GB2312" w:cs="楷体_GB2312"/>
          <w:kern w:val="2"/>
          <w:sz w:val="32"/>
          <w:szCs w:val="32"/>
          <w:lang w:val="zh-CN" w:eastAsia="zh-CN" w:bidi="ar-SA"/>
        </w:rPr>
        <w:t>）自评质量。</w:t>
      </w:r>
    </w:p>
    <w:p>
      <w:pPr>
        <w:keepNext w:val="0"/>
        <w:keepLines w:val="0"/>
        <w:pageBreakBefore w:val="0"/>
        <w:widowControl/>
        <w:kinsoku/>
        <w:wordWrap/>
        <w:overflowPunct/>
        <w:topLinePunct w:val="0"/>
        <w:autoSpaceDE/>
        <w:autoSpaceDN/>
        <w:bidi w:val="0"/>
        <w:adjustRightInd w:val="0"/>
        <w:snapToGrid w:val="0"/>
        <w:spacing w:line="600" w:lineRule="exact"/>
        <w:contextualSpacing/>
        <w:jc w:val="left"/>
        <w:textAlignment w:val="auto"/>
        <w:rPr>
          <w:rFonts w:hint="eastAsia"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xml:space="preserve">    按照财政资金使用用途和目的，区水利局健全了资金管理制度，款项支付规范，最大限度地发挥了财政资金的使用效率，认真执行年初预算资金计划，帐务核算及时规范，保障了机关正常运转，促进了项目建设全面完成，圆满完成了年度工作目标任务。</w:t>
      </w:r>
    </w:p>
    <w:p>
      <w:pPr>
        <w:pageBreakBefore w:val="0"/>
        <w:widowControl/>
        <w:numPr>
          <w:ilvl w:val="0"/>
          <w:numId w:val="0"/>
        </w:numPr>
        <w:kinsoku/>
        <w:wordWrap/>
        <w:overflowPunct/>
        <w:topLinePunct w:val="0"/>
        <w:autoSpaceDE/>
        <w:autoSpaceDN/>
        <w:bidi w:val="0"/>
        <w:adjustRightInd w:val="0"/>
        <w:snapToGrid w:val="0"/>
        <w:spacing w:line="540" w:lineRule="exact"/>
        <w:ind w:leftChars="200" w:firstLine="320" w:firstLineChars="100"/>
        <w:contextualSpacing/>
        <w:jc w:val="left"/>
        <w:textAlignment w:val="auto"/>
        <w:rPr>
          <w:rFonts w:hint="eastAsia"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lang w:eastAsia="zh-CN"/>
        </w:rPr>
        <w:t>四、</w:t>
      </w:r>
      <w:r>
        <w:rPr>
          <w:rFonts w:hint="eastAsia" w:ascii="黑体" w:hAnsi="宋体" w:eastAsia="黑体" w:cs="宋体"/>
          <w:kern w:val="0"/>
          <w:sz w:val="32"/>
          <w:szCs w:val="32"/>
          <w:shd w:val="clear" w:color="auto" w:fill="FFFFFF"/>
        </w:rPr>
        <w:t>评价结论及建议</w:t>
      </w:r>
    </w:p>
    <w:p>
      <w:pPr>
        <w:pStyle w:val="2"/>
        <w:pageBreakBefore w:val="0"/>
        <w:numPr>
          <w:ilvl w:val="0"/>
          <w:numId w:val="0"/>
        </w:numPr>
        <w:kinsoku/>
        <w:wordWrap/>
        <w:overflowPunct/>
        <w:topLinePunct w:val="0"/>
        <w:autoSpaceDE/>
        <w:autoSpaceDN/>
        <w:bidi w:val="0"/>
        <w:spacing w:before="0" w:after="0" w:line="540" w:lineRule="exact"/>
        <w:ind w:left="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项目前期可研规划、立项审查、勘测设计审核和招投标等前期工作程序繁琐，致使项目竣工手续滞后。年底财政资金周转，导致资金收回。下一步将完善区级水利建设项目库，提前谋划，早作规划，做好项目储备，主动加强与计划财政部门的沟通与衔接，促进项目竣工资料尽快完善</w:t>
      </w:r>
      <w:r>
        <w:rPr>
          <w:rFonts w:hint="eastAsia" w:ascii="仿宋_GB2312" w:hAnsi="仿宋_GB2312" w:eastAsia="仿宋_GB2312" w:cs="仿宋_GB2312"/>
          <w:b w:val="0"/>
          <w:bCs w:val="0"/>
          <w:sz w:val="32"/>
          <w:szCs w:val="32"/>
          <w:lang w:eastAsia="zh-CN"/>
        </w:rPr>
        <w:t>。</w:t>
      </w:r>
    </w:p>
    <w:p>
      <w:pPr>
        <w:rPr>
          <w:rFonts w:hint="eastAsia" w:ascii="仿宋_GB2312" w:hAnsi="仿宋_GB2312" w:eastAsia="仿宋_GB2312" w:cs="仿宋_GB2312"/>
          <w:b w:val="0"/>
          <w:bCs w:val="0"/>
          <w:sz w:val="32"/>
          <w:szCs w:val="32"/>
          <w:lang w:eastAsia="zh-CN"/>
        </w:rPr>
      </w:pPr>
    </w:p>
    <w:p>
      <w:pPr>
        <w:pStyle w:val="2"/>
        <w:rPr>
          <w:rFonts w:hint="eastAsia" w:ascii="仿宋_GB2312" w:hAnsi="仿宋_GB2312" w:eastAsia="仿宋_GB2312" w:cs="仿宋_GB2312"/>
          <w:b w:val="0"/>
          <w:bCs w:val="0"/>
          <w:sz w:val="32"/>
          <w:szCs w:val="32"/>
          <w:lang w:eastAsia="zh-CN"/>
        </w:rPr>
      </w:pPr>
    </w:p>
    <w:p>
      <w:pPr>
        <w:spacing w:line="600" w:lineRule="exact"/>
        <w:jc w:val="left"/>
        <w:rPr>
          <w:rFonts w:hint="eastAsia" w:ascii="方正小标宋简体" w:hAnsi="方正小标宋简体" w:eastAsia="方正小标宋简体" w:cs="方正小标宋简体"/>
          <w:b w:val="0"/>
          <w:bCs w:val="0"/>
          <w:color w:val="auto"/>
          <w:sz w:val="28"/>
          <w:szCs w:val="28"/>
          <w:lang w:eastAsia="zh-CN"/>
        </w:rPr>
      </w:pPr>
    </w:p>
    <w:p>
      <w:pPr>
        <w:spacing w:line="600" w:lineRule="exact"/>
        <w:jc w:val="left"/>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附件</w:t>
      </w:r>
    </w:p>
    <w:p>
      <w:pPr>
        <w:spacing w:line="60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攀枝花市</w:t>
      </w:r>
      <w:r>
        <w:rPr>
          <w:rFonts w:hint="eastAsia" w:ascii="方正小标宋_GBK" w:hAnsi="方正小标宋_GBK" w:eastAsia="方正小标宋_GBK" w:cs="方正小标宋_GBK"/>
          <w:color w:val="auto"/>
          <w:sz w:val="44"/>
          <w:szCs w:val="44"/>
          <w:lang w:eastAsia="zh-CN"/>
        </w:rPr>
        <w:t>西</w:t>
      </w:r>
      <w:r>
        <w:rPr>
          <w:rFonts w:hint="eastAsia" w:ascii="方正小标宋_GBK" w:hAnsi="方正小标宋_GBK" w:eastAsia="方正小标宋_GBK" w:cs="方正小标宋_GBK"/>
          <w:color w:val="auto"/>
          <w:sz w:val="44"/>
          <w:szCs w:val="44"/>
        </w:rPr>
        <w:t xml:space="preserve">区水利局 </w:t>
      </w:r>
    </w:p>
    <w:p>
      <w:pPr>
        <w:spacing w:line="60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202</w:t>
      </w:r>
      <w:r>
        <w:rPr>
          <w:rFonts w:hint="eastAsia" w:ascii="方正小标宋_GBK" w:hAnsi="方正小标宋_GBK" w:eastAsia="方正小标宋_GBK" w:cs="方正小标宋_GBK"/>
          <w:color w:val="auto"/>
          <w:sz w:val="44"/>
          <w:szCs w:val="44"/>
          <w:lang w:val="en-US" w:eastAsia="zh-CN"/>
        </w:rPr>
        <w:t>1</w:t>
      </w:r>
      <w:r>
        <w:rPr>
          <w:rFonts w:hint="eastAsia" w:ascii="方正小标宋_GBK" w:hAnsi="方正小标宋_GBK" w:eastAsia="方正小标宋_GBK" w:cs="方正小标宋_GBK"/>
          <w:color w:val="auto"/>
          <w:sz w:val="44"/>
          <w:szCs w:val="44"/>
        </w:rPr>
        <w:t>年度部门预算项目支出绩效自评报告</w:t>
      </w:r>
    </w:p>
    <w:p>
      <w:pPr>
        <w:spacing w:line="600" w:lineRule="exact"/>
        <w:ind w:firstLine="2937" w:firstLineChars="918"/>
        <w:jc w:val="both"/>
        <w:rPr>
          <w:rFonts w:ascii="仿宋_GB2312" w:hAnsi="宋体" w:eastAsia="仿宋_GB2312"/>
          <w:color w:val="auto"/>
          <w:sz w:val="32"/>
          <w:szCs w:val="32"/>
          <w:lang w:val="zh-CN"/>
        </w:rPr>
      </w:pPr>
      <w:r>
        <w:rPr>
          <w:rFonts w:hint="eastAsia" w:ascii="楷体_GB2312" w:hAnsi="楷体_GB2312" w:eastAsia="楷体_GB2312" w:cs="楷体_GB2312"/>
          <w:color w:val="auto"/>
          <w:sz w:val="32"/>
          <w:szCs w:val="32"/>
          <w:lang w:val="zh-CN"/>
        </w:rPr>
        <w:t>（</w:t>
      </w:r>
      <w:r>
        <w:rPr>
          <w:rFonts w:hint="eastAsia" w:ascii="楷体_GB2312" w:hAnsi="楷体_GB2312" w:eastAsia="楷体_GB2312" w:cs="楷体_GB2312"/>
          <w:color w:val="auto"/>
          <w:sz w:val="32"/>
          <w:szCs w:val="32"/>
          <w:lang w:val="en-US" w:eastAsia="zh-CN"/>
        </w:rPr>
        <w:t>河湖长制工作经费</w:t>
      </w:r>
      <w:r>
        <w:rPr>
          <w:rFonts w:hint="eastAsia" w:ascii="楷体_GB2312" w:hAnsi="楷体_GB2312" w:eastAsia="楷体_GB2312" w:cs="楷体_GB2312"/>
          <w:color w:val="auto"/>
          <w:sz w:val="32"/>
          <w:szCs w:val="32"/>
          <w:lang w:val="zh-CN"/>
        </w:rPr>
        <w:t>）</w:t>
      </w:r>
    </w:p>
    <w:p>
      <w:pPr>
        <w:adjustRightInd w:val="0"/>
        <w:snapToGrid w:val="0"/>
        <w:spacing w:line="600" w:lineRule="exact"/>
        <w:ind w:firstLine="720"/>
        <w:rPr>
          <w:rFonts w:hint="eastAsia" w:ascii="黑体" w:hAnsi="宋体" w:eastAsia="黑体"/>
          <w:color w:val="auto"/>
          <w:sz w:val="32"/>
          <w:szCs w:val="32"/>
        </w:rPr>
      </w:pPr>
    </w:p>
    <w:p>
      <w:pPr>
        <w:adjustRightInd w:val="0"/>
        <w:snapToGrid w:val="0"/>
        <w:spacing w:line="600" w:lineRule="exact"/>
        <w:ind w:firstLine="720"/>
        <w:jc w:val="both"/>
        <w:rPr>
          <w:rFonts w:hint="default" w:ascii="Times New Roman" w:hAnsi="Times New Roman" w:eastAsia="黑体" w:cs="Times New Roman"/>
          <w:color w:val="auto"/>
          <w:sz w:val="32"/>
          <w:szCs w:val="32"/>
          <w:lang w:val="zh-CN"/>
        </w:rPr>
      </w:pPr>
      <w:r>
        <w:rPr>
          <w:rFonts w:hint="default" w:ascii="Times New Roman" w:hAnsi="Times New Roman" w:eastAsia="黑体" w:cs="Times New Roman"/>
          <w:color w:val="auto"/>
          <w:sz w:val="32"/>
          <w:szCs w:val="32"/>
        </w:rPr>
        <w:t>一、</w:t>
      </w:r>
      <w:r>
        <w:rPr>
          <w:rFonts w:hint="default" w:ascii="Times New Roman" w:hAnsi="Times New Roman" w:eastAsia="黑体" w:cs="Times New Roman"/>
          <w:color w:val="auto"/>
          <w:sz w:val="32"/>
          <w:szCs w:val="32"/>
          <w:lang w:val="zh-CN"/>
        </w:rPr>
        <w:t>项目概况</w:t>
      </w:r>
    </w:p>
    <w:p>
      <w:pPr>
        <w:adjustRightInd w:val="0"/>
        <w:snapToGrid w:val="0"/>
        <w:spacing w:line="600" w:lineRule="exact"/>
        <w:ind w:firstLine="720"/>
        <w:jc w:val="both"/>
        <w:rPr>
          <w:rFonts w:hint="default" w:ascii="Times New Roman" w:hAnsi="Times New Roman" w:eastAsia="楷体_GB2312" w:cs="Times New Roman"/>
          <w:b w:val="0"/>
          <w:bCs/>
          <w:color w:val="auto"/>
          <w:sz w:val="32"/>
          <w:szCs w:val="32"/>
          <w:lang w:val="zh-CN"/>
        </w:rPr>
      </w:pPr>
      <w:r>
        <w:rPr>
          <w:rFonts w:hint="default" w:ascii="Times New Roman" w:hAnsi="Times New Roman" w:eastAsia="楷体_GB2312" w:cs="Times New Roman"/>
          <w:b w:val="0"/>
          <w:bCs/>
          <w:color w:val="auto"/>
          <w:sz w:val="32"/>
          <w:szCs w:val="32"/>
          <w:lang w:val="zh-CN"/>
        </w:rPr>
        <w:t>（一）项目基本情况。</w:t>
      </w:r>
    </w:p>
    <w:p>
      <w:pPr>
        <w:adjustRightInd w:val="0"/>
        <w:snapToGrid w:val="0"/>
        <w:spacing w:line="600" w:lineRule="exact"/>
        <w:ind w:firstLine="72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组织实施河湖长制具体工作，拟制河湖长制相关制度，开展河湖长制协调、监督、考核、激励等工作；组织河湖健康评价、河湖长制信息化建设，开展培训、宣传工作；指导督促本级河湖长制责任单位、下级河湖长及河长制办公室落实河湖长制工作任务。</w:t>
      </w:r>
    </w:p>
    <w:p>
      <w:pPr>
        <w:adjustRightInd w:val="0"/>
        <w:snapToGrid w:val="0"/>
        <w:spacing w:line="600" w:lineRule="exact"/>
        <w:ind w:firstLine="720"/>
        <w:jc w:val="both"/>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en-US" w:eastAsia="zh-CN"/>
        </w:rPr>
        <w:t xml:space="preserve">2.资金申报依据：年初部门预算。 </w:t>
      </w:r>
    </w:p>
    <w:p>
      <w:pPr>
        <w:adjustRightInd w:val="0"/>
        <w:snapToGrid w:val="0"/>
        <w:spacing w:line="600" w:lineRule="exact"/>
        <w:ind w:firstLine="720"/>
        <w:jc w:val="both"/>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en-US" w:eastAsia="zh-CN"/>
        </w:rPr>
        <w:t>3.资金管理办法制定情况：7</w:t>
      </w:r>
      <w:r>
        <w:rPr>
          <w:rFonts w:hint="eastAsia" w:eastAsia="仿宋_GB2312" w:cs="Times New Roman"/>
          <w:color w:val="auto"/>
          <w:sz w:val="32"/>
          <w:szCs w:val="32"/>
          <w:lang w:val="en-US" w:eastAsia="zh-CN"/>
        </w:rPr>
        <w:t>.00万</w:t>
      </w:r>
      <w:r>
        <w:rPr>
          <w:rFonts w:hint="default" w:ascii="Times New Roman" w:hAnsi="Times New Roman" w:eastAsia="仿宋_GB2312" w:cs="Times New Roman"/>
          <w:color w:val="auto"/>
          <w:sz w:val="32"/>
          <w:szCs w:val="32"/>
          <w:lang w:val="en-US" w:eastAsia="zh-CN"/>
        </w:rPr>
        <w:t>元资金用于持续深入开展河湖长制工作，制作河长制公示牌、河长制宣传单、巡河记录本，开展河长制“一张图”数据入库工作，对河道进行日常管护。</w:t>
      </w:r>
    </w:p>
    <w:p>
      <w:pPr>
        <w:adjustRightInd w:val="0"/>
        <w:snapToGrid w:val="0"/>
        <w:spacing w:line="600" w:lineRule="exact"/>
        <w:ind w:firstLine="640" w:firstLineChars="200"/>
        <w:jc w:val="both"/>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en-US" w:eastAsia="zh-CN"/>
        </w:rPr>
        <w:t>4.资金分配按照实际产生费用支付。</w:t>
      </w:r>
    </w:p>
    <w:p>
      <w:pPr>
        <w:adjustRightInd w:val="0"/>
        <w:snapToGrid w:val="0"/>
        <w:spacing w:line="600" w:lineRule="exact"/>
        <w:ind w:firstLine="720"/>
        <w:jc w:val="both"/>
        <w:rPr>
          <w:rFonts w:hint="default" w:ascii="Times New Roman" w:hAnsi="Times New Roman" w:eastAsia="楷体_GB2312" w:cs="Times New Roman"/>
          <w:b w:val="0"/>
          <w:bCs/>
          <w:color w:val="auto"/>
          <w:sz w:val="32"/>
          <w:szCs w:val="32"/>
          <w:lang w:val="zh-CN"/>
        </w:rPr>
      </w:pPr>
      <w:r>
        <w:rPr>
          <w:rFonts w:hint="default" w:ascii="Times New Roman" w:hAnsi="Times New Roman" w:eastAsia="楷体_GB2312" w:cs="Times New Roman"/>
          <w:b w:val="0"/>
          <w:bCs/>
          <w:color w:val="auto"/>
          <w:sz w:val="32"/>
          <w:szCs w:val="32"/>
          <w:lang w:val="en-US" w:eastAsia="zh-CN"/>
        </w:rPr>
        <w:t xml:space="preserve">（二）项目绩效目标。 </w:t>
      </w:r>
    </w:p>
    <w:p>
      <w:pPr>
        <w:adjustRightInd w:val="0"/>
        <w:snapToGrid w:val="0"/>
        <w:spacing w:line="600" w:lineRule="exact"/>
        <w:ind w:firstLine="72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1.制作河长制公示牌、河长制宣传单、巡河记录本，开展河长制“一张图”数据入库工作，对河道进行日常管护。 </w:t>
      </w:r>
    </w:p>
    <w:p>
      <w:pPr>
        <w:adjustRightInd w:val="0"/>
        <w:snapToGrid w:val="0"/>
        <w:spacing w:line="600" w:lineRule="exact"/>
        <w:ind w:firstLine="72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2.河湖长制工作经费支出7</w:t>
      </w:r>
      <w:r>
        <w:rPr>
          <w:rFonts w:hint="eastAsia" w:eastAsia="仿宋_GB2312" w:cs="Times New Roman"/>
          <w:color w:val="auto"/>
          <w:sz w:val="32"/>
          <w:szCs w:val="32"/>
          <w:lang w:val="en-US" w:eastAsia="zh-CN"/>
        </w:rPr>
        <w:t>.00万</w:t>
      </w:r>
      <w:r>
        <w:rPr>
          <w:rFonts w:hint="default" w:ascii="Times New Roman" w:hAnsi="Times New Roman" w:eastAsia="仿宋_GB2312" w:cs="Times New Roman"/>
          <w:color w:val="auto"/>
          <w:sz w:val="32"/>
          <w:szCs w:val="32"/>
          <w:lang w:val="en-US" w:eastAsia="zh-CN"/>
        </w:rPr>
        <w:t>元，按照实际制作情况进行支付，项目已完成100%支付。</w:t>
      </w:r>
    </w:p>
    <w:p>
      <w:pPr>
        <w:adjustRightInd w:val="0"/>
        <w:snapToGrid w:val="0"/>
        <w:spacing w:line="600" w:lineRule="exact"/>
        <w:ind w:firstLine="72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3.申报内容与实际相符，申报目标合理可行。 </w:t>
      </w:r>
    </w:p>
    <w:p>
      <w:pPr>
        <w:adjustRightInd w:val="0"/>
        <w:snapToGrid w:val="0"/>
        <w:spacing w:line="600" w:lineRule="exact"/>
        <w:ind w:firstLine="720"/>
        <w:jc w:val="both"/>
        <w:rPr>
          <w:rFonts w:hint="default" w:ascii="Times New Roman" w:hAnsi="Times New Roman" w:eastAsia="黑体" w:cs="Times New Roman"/>
          <w:color w:val="auto"/>
          <w:sz w:val="32"/>
          <w:szCs w:val="32"/>
          <w:lang w:val="zh-CN"/>
        </w:rPr>
      </w:pPr>
      <w:r>
        <w:rPr>
          <w:rFonts w:hint="default" w:ascii="Times New Roman" w:hAnsi="Times New Roman" w:eastAsia="黑体" w:cs="Times New Roman"/>
          <w:color w:val="auto"/>
          <w:sz w:val="32"/>
          <w:szCs w:val="32"/>
          <w:lang w:val="en-US" w:eastAsia="zh-CN"/>
        </w:rPr>
        <w:t xml:space="preserve">二、项目资金申报及使用情况 </w:t>
      </w:r>
    </w:p>
    <w:p>
      <w:pPr>
        <w:keepNext w:val="0"/>
        <w:keepLines w:val="0"/>
        <w:widowControl/>
        <w:suppressLineNumbers w:val="0"/>
        <w:ind w:firstLine="640" w:firstLineChars="200"/>
        <w:jc w:val="both"/>
        <w:rPr>
          <w:rFonts w:hint="default" w:ascii="Times New Roman" w:hAnsi="Times New Roman" w:cs="Times New Roman"/>
          <w:b w:val="0"/>
          <w:bCs/>
          <w:color w:val="auto"/>
          <w:sz w:val="32"/>
          <w:szCs w:val="32"/>
        </w:rPr>
      </w:pPr>
      <w:r>
        <w:rPr>
          <w:rFonts w:hint="default" w:ascii="Times New Roman" w:hAnsi="Times New Roman" w:eastAsia="楷体_GB2312" w:cs="Times New Roman"/>
          <w:b w:val="0"/>
          <w:bCs/>
          <w:color w:val="auto"/>
          <w:sz w:val="32"/>
          <w:szCs w:val="32"/>
          <w:lang w:val="en-US" w:eastAsia="zh-CN"/>
        </w:rPr>
        <w:t>（一）项目资金申报及批复情况。</w:t>
      </w:r>
      <w:r>
        <w:rPr>
          <w:rFonts w:hint="default" w:ascii="Times New Roman" w:hAnsi="Times New Roman" w:eastAsia="楷体" w:cs="Times New Roman"/>
          <w:b w:val="0"/>
          <w:bCs/>
          <w:color w:val="auto"/>
          <w:kern w:val="0"/>
          <w:sz w:val="32"/>
          <w:szCs w:val="32"/>
          <w:lang w:val="en-US" w:eastAsia="zh-CN" w:bidi="ar"/>
        </w:rPr>
        <w:t xml:space="preserve"> </w:t>
      </w:r>
    </w:p>
    <w:p>
      <w:pPr>
        <w:adjustRightInd w:val="0"/>
        <w:snapToGrid w:val="0"/>
        <w:spacing w:line="600" w:lineRule="exact"/>
        <w:ind w:firstLine="72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该项目资金申报数为7</w:t>
      </w:r>
      <w:r>
        <w:rPr>
          <w:rFonts w:hint="eastAsia" w:eastAsia="仿宋_GB2312" w:cs="Times New Roman"/>
          <w:color w:val="auto"/>
          <w:sz w:val="32"/>
          <w:szCs w:val="32"/>
          <w:lang w:val="en-US" w:eastAsia="zh-CN"/>
        </w:rPr>
        <w:t>.00万</w:t>
      </w:r>
      <w:r>
        <w:rPr>
          <w:rFonts w:hint="default" w:ascii="Times New Roman" w:hAnsi="Times New Roman" w:eastAsia="仿宋_GB2312" w:cs="Times New Roman"/>
          <w:color w:val="auto"/>
          <w:sz w:val="32"/>
          <w:szCs w:val="32"/>
          <w:lang w:val="en-US" w:eastAsia="zh-CN"/>
        </w:rPr>
        <w:t>元，年初预算数为7</w:t>
      </w:r>
      <w:r>
        <w:rPr>
          <w:rFonts w:hint="eastAsia" w:eastAsia="仿宋_GB2312" w:cs="Times New Roman"/>
          <w:color w:val="auto"/>
          <w:sz w:val="32"/>
          <w:szCs w:val="32"/>
          <w:lang w:val="en-US" w:eastAsia="zh-CN"/>
        </w:rPr>
        <w:t>.00万</w:t>
      </w:r>
      <w:r>
        <w:rPr>
          <w:rFonts w:hint="default" w:ascii="Times New Roman" w:hAnsi="Times New Roman" w:eastAsia="仿宋_GB2312" w:cs="Times New Roman"/>
          <w:color w:val="auto"/>
          <w:sz w:val="32"/>
          <w:szCs w:val="32"/>
          <w:lang w:val="en-US" w:eastAsia="zh-CN"/>
        </w:rPr>
        <w:t xml:space="preserve">元。 </w:t>
      </w:r>
    </w:p>
    <w:p>
      <w:pPr>
        <w:keepNext w:val="0"/>
        <w:keepLines w:val="0"/>
        <w:widowControl/>
        <w:suppressLineNumbers w:val="0"/>
        <w:ind w:firstLine="640" w:firstLineChars="200"/>
        <w:jc w:val="both"/>
        <w:rPr>
          <w:rFonts w:hint="default" w:ascii="Times New Roman" w:hAnsi="Times New Roman" w:eastAsia="楷体_GB2312" w:cs="Times New Roman"/>
          <w:b w:val="0"/>
          <w:bCs/>
          <w:color w:val="auto"/>
          <w:sz w:val="32"/>
          <w:szCs w:val="32"/>
          <w:lang w:val="en-US" w:eastAsia="zh-CN"/>
        </w:rPr>
      </w:pPr>
      <w:r>
        <w:rPr>
          <w:rFonts w:hint="default" w:ascii="Times New Roman" w:hAnsi="Times New Roman" w:eastAsia="楷体_GB2312" w:cs="Times New Roman"/>
          <w:b w:val="0"/>
          <w:bCs/>
          <w:color w:val="auto"/>
          <w:sz w:val="32"/>
          <w:szCs w:val="32"/>
          <w:lang w:val="en-US" w:eastAsia="zh-CN"/>
        </w:rPr>
        <w:t xml:space="preserve">（二）资金计划、到位及使用情况。 </w:t>
      </w:r>
    </w:p>
    <w:p>
      <w:pPr>
        <w:keepNext w:val="0"/>
        <w:keepLines w:val="0"/>
        <w:widowControl/>
        <w:suppressLineNumbers w:val="0"/>
        <w:ind w:firstLine="620" w:firstLineChars="200"/>
        <w:jc w:val="both"/>
        <w:rPr>
          <w:rFonts w:hint="default" w:ascii="Times New Roman" w:hAnsi="Times New Roman" w:cs="Times New Roman"/>
          <w:color w:val="auto"/>
        </w:rPr>
      </w:pPr>
      <w:r>
        <w:rPr>
          <w:rFonts w:hint="default" w:ascii="Times New Roman" w:hAnsi="Times New Roman" w:eastAsia="宋体" w:cs="Times New Roman"/>
          <w:color w:val="auto"/>
          <w:kern w:val="0"/>
          <w:sz w:val="31"/>
          <w:szCs w:val="31"/>
          <w:lang w:val="en-US" w:eastAsia="zh-CN" w:bidi="ar"/>
        </w:rPr>
        <w:t>1</w:t>
      </w:r>
      <w:r>
        <w:rPr>
          <w:rFonts w:hint="default" w:ascii="Times New Roman" w:hAnsi="Times New Roman" w:eastAsia="楷体" w:cs="Times New Roman"/>
          <w:color w:val="auto"/>
          <w:kern w:val="0"/>
          <w:sz w:val="31"/>
          <w:szCs w:val="31"/>
          <w:lang w:val="en-US" w:eastAsia="zh-CN" w:bidi="ar"/>
        </w:rPr>
        <w:t xml:space="preserve">.资金计划。 </w:t>
      </w:r>
    </w:p>
    <w:p>
      <w:pPr>
        <w:adjustRightInd w:val="0"/>
        <w:snapToGrid w:val="0"/>
        <w:spacing w:line="600" w:lineRule="exact"/>
        <w:ind w:firstLine="72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该项目为区级配套资金。 </w:t>
      </w:r>
    </w:p>
    <w:p>
      <w:pPr>
        <w:keepNext w:val="0"/>
        <w:keepLines w:val="0"/>
        <w:widowControl/>
        <w:suppressLineNumbers w:val="0"/>
        <w:ind w:firstLine="620" w:firstLineChars="200"/>
        <w:jc w:val="both"/>
        <w:rPr>
          <w:rFonts w:hint="default" w:ascii="Times New Roman" w:hAnsi="Times New Roman" w:cs="Times New Roman"/>
          <w:color w:val="auto"/>
        </w:rPr>
      </w:pPr>
      <w:r>
        <w:rPr>
          <w:rFonts w:hint="default" w:ascii="Times New Roman" w:hAnsi="Times New Roman" w:eastAsia="宋体" w:cs="Times New Roman"/>
          <w:color w:val="auto"/>
          <w:kern w:val="0"/>
          <w:sz w:val="31"/>
          <w:szCs w:val="31"/>
          <w:lang w:val="en-US" w:eastAsia="zh-CN" w:bidi="ar"/>
        </w:rPr>
        <w:t>2</w:t>
      </w:r>
      <w:r>
        <w:rPr>
          <w:rFonts w:hint="default" w:ascii="Times New Roman" w:hAnsi="Times New Roman" w:eastAsia="楷体" w:cs="Times New Roman"/>
          <w:color w:val="auto"/>
          <w:kern w:val="0"/>
          <w:sz w:val="31"/>
          <w:szCs w:val="31"/>
          <w:lang w:val="en-US" w:eastAsia="zh-CN" w:bidi="ar"/>
        </w:rPr>
        <w:t xml:space="preserve">.资金到位。 </w:t>
      </w:r>
    </w:p>
    <w:p>
      <w:pPr>
        <w:adjustRightInd w:val="0"/>
        <w:snapToGrid w:val="0"/>
        <w:spacing w:line="600" w:lineRule="exact"/>
        <w:ind w:firstLine="72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该项目全区资金到位7</w:t>
      </w:r>
      <w:r>
        <w:rPr>
          <w:rFonts w:hint="eastAsia" w:eastAsia="仿宋_GB2312" w:cs="Times New Roman"/>
          <w:color w:val="auto"/>
          <w:sz w:val="32"/>
          <w:szCs w:val="32"/>
          <w:lang w:val="en-US" w:eastAsia="zh-CN"/>
        </w:rPr>
        <w:t>.00万</w:t>
      </w:r>
      <w:r>
        <w:rPr>
          <w:rFonts w:hint="default" w:ascii="Times New Roman" w:hAnsi="Times New Roman" w:eastAsia="仿宋_GB2312" w:cs="Times New Roman"/>
          <w:color w:val="auto"/>
          <w:sz w:val="32"/>
          <w:szCs w:val="32"/>
          <w:lang w:val="en-US" w:eastAsia="zh-CN"/>
        </w:rPr>
        <w:t xml:space="preserve">元。 </w:t>
      </w:r>
    </w:p>
    <w:p>
      <w:pPr>
        <w:keepNext w:val="0"/>
        <w:keepLines w:val="0"/>
        <w:widowControl/>
        <w:suppressLineNumbers w:val="0"/>
        <w:ind w:firstLine="620" w:firstLineChars="200"/>
        <w:jc w:val="both"/>
        <w:rPr>
          <w:rFonts w:hint="default" w:ascii="Times New Roman" w:hAnsi="Times New Roman" w:cs="Times New Roman"/>
          <w:color w:val="auto"/>
        </w:rPr>
      </w:pPr>
      <w:r>
        <w:rPr>
          <w:rFonts w:hint="default" w:ascii="Times New Roman" w:hAnsi="Times New Roman" w:eastAsia="宋体" w:cs="Times New Roman"/>
          <w:color w:val="auto"/>
          <w:kern w:val="0"/>
          <w:sz w:val="31"/>
          <w:szCs w:val="31"/>
          <w:lang w:val="en-US" w:eastAsia="zh-CN" w:bidi="ar"/>
        </w:rPr>
        <w:t>3</w:t>
      </w:r>
      <w:r>
        <w:rPr>
          <w:rFonts w:hint="default" w:ascii="Times New Roman" w:hAnsi="Times New Roman" w:eastAsia="楷体" w:cs="Times New Roman"/>
          <w:color w:val="auto"/>
          <w:kern w:val="0"/>
          <w:sz w:val="31"/>
          <w:szCs w:val="31"/>
          <w:lang w:val="en-US" w:eastAsia="zh-CN" w:bidi="ar"/>
        </w:rPr>
        <w:t xml:space="preserve">.资金使用。 </w:t>
      </w:r>
    </w:p>
    <w:p>
      <w:pPr>
        <w:adjustRightInd w:val="0"/>
        <w:snapToGrid w:val="0"/>
        <w:spacing w:line="600" w:lineRule="exact"/>
        <w:ind w:firstLine="72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该项目资金已于2021年1</w:t>
      </w: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月底完成支出7</w:t>
      </w:r>
      <w:r>
        <w:rPr>
          <w:rFonts w:hint="eastAsia" w:eastAsia="仿宋_GB2312" w:cs="Times New Roman"/>
          <w:color w:val="auto"/>
          <w:sz w:val="32"/>
          <w:szCs w:val="32"/>
          <w:lang w:val="en-US" w:eastAsia="zh-CN"/>
        </w:rPr>
        <w:t>.00万</w:t>
      </w:r>
      <w:r>
        <w:rPr>
          <w:rFonts w:hint="default" w:ascii="Times New Roman" w:hAnsi="Times New Roman" w:eastAsia="仿宋_GB2312" w:cs="Times New Roman"/>
          <w:color w:val="auto"/>
          <w:sz w:val="32"/>
          <w:szCs w:val="32"/>
          <w:lang w:val="en-US" w:eastAsia="zh-CN"/>
        </w:rPr>
        <w:t xml:space="preserve">元，该项目资金支付范围、支付标准、支付进度、支付依据合规合法，与预算相符。 </w:t>
      </w:r>
    </w:p>
    <w:p>
      <w:pPr>
        <w:keepNext w:val="0"/>
        <w:keepLines w:val="0"/>
        <w:widowControl/>
        <w:suppressLineNumbers w:val="0"/>
        <w:ind w:firstLine="640" w:firstLineChars="200"/>
        <w:jc w:val="both"/>
        <w:rPr>
          <w:rFonts w:hint="default" w:ascii="Times New Roman" w:hAnsi="Times New Roman" w:eastAsia="楷体_GB2312" w:cs="Times New Roman"/>
          <w:b w:val="0"/>
          <w:bCs/>
          <w:color w:val="auto"/>
          <w:sz w:val="32"/>
          <w:szCs w:val="32"/>
          <w:lang w:val="en-US" w:eastAsia="zh-CN"/>
        </w:rPr>
      </w:pPr>
      <w:r>
        <w:rPr>
          <w:rFonts w:hint="default" w:ascii="Times New Roman" w:hAnsi="Times New Roman" w:eastAsia="楷体_GB2312" w:cs="Times New Roman"/>
          <w:b w:val="0"/>
          <w:bCs/>
          <w:color w:val="auto"/>
          <w:sz w:val="32"/>
          <w:szCs w:val="32"/>
          <w:lang w:val="en-US" w:eastAsia="zh-CN"/>
        </w:rPr>
        <w:t xml:space="preserve">（三）项目财务管理情况。 </w:t>
      </w:r>
    </w:p>
    <w:p>
      <w:pPr>
        <w:adjustRightInd w:val="0"/>
        <w:snapToGrid w:val="0"/>
        <w:spacing w:line="600" w:lineRule="exact"/>
        <w:ind w:firstLine="72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我单位财务管理制度较健全，根据我单位内部控制制度，对财务报销、资金支付、财务资料管理等细项做出了明确规定，在经济活动的开展过程中，我单位严格执行财务管理制度报销、支付，并在次月初及时对上月资经济业务进行账务处理。 </w:t>
      </w:r>
    </w:p>
    <w:p>
      <w:pPr>
        <w:adjustRightInd w:val="0"/>
        <w:snapToGrid w:val="0"/>
        <w:spacing w:line="600" w:lineRule="exact"/>
        <w:ind w:firstLine="720"/>
        <w:jc w:val="both"/>
        <w:rPr>
          <w:rFonts w:hint="default" w:ascii="Times New Roman" w:hAnsi="Times New Roman" w:eastAsia="黑体" w:cs="Times New Roman"/>
          <w:color w:val="auto"/>
          <w:sz w:val="32"/>
          <w:szCs w:val="32"/>
          <w:lang w:val="zh-CN"/>
        </w:rPr>
      </w:pPr>
      <w:r>
        <w:rPr>
          <w:rFonts w:hint="default" w:ascii="Times New Roman" w:hAnsi="Times New Roman" w:eastAsia="黑体" w:cs="Times New Roman"/>
          <w:color w:val="auto"/>
          <w:sz w:val="32"/>
          <w:szCs w:val="32"/>
          <w:lang w:val="en-US" w:eastAsia="zh-CN"/>
        </w:rPr>
        <w:t xml:space="preserve">三、项目实施及管理情况 </w:t>
      </w:r>
    </w:p>
    <w:p>
      <w:pPr>
        <w:keepNext w:val="0"/>
        <w:keepLines w:val="0"/>
        <w:widowControl/>
        <w:suppressLineNumbers w:val="0"/>
        <w:ind w:firstLine="640" w:firstLineChars="200"/>
        <w:jc w:val="both"/>
        <w:rPr>
          <w:rFonts w:hint="default"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val="0"/>
          <w:bCs/>
          <w:color w:val="auto"/>
          <w:sz w:val="32"/>
          <w:szCs w:val="32"/>
          <w:lang w:val="en-US" w:eastAsia="zh-CN"/>
        </w:rPr>
        <w:t xml:space="preserve">（一）项目组织架构及实施流程。 </w:t>
      </w:r>
    </w:p>
    <w:p>
      <w:pPr>
        <w:adjustRightInd w:val="0"/>
        <w:snapToGrid w:val="0"/>
        <w:spacing w:line="600" w:lineRule="exact"/>
        <w:ind w:firstLine="72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该项目由我单位河长制办公室工作人员编制申报表报送财政申请财政资金，待财政资金下达后，由财务人员在平台系统上申请财政指标，财政审核通过后，进行资金拨付。 </w:t>
      </w:r>
    </w:p>
    <w:p>
      <w:pPr>
        <w:keepNext w:val="0"/>
        <w:keepLines w:val="0"/>
        <w:widowControl/>
        <w:suppressLineNumbers w:val="0"/>
        <w:ind w:firstLine="640" w:firstLineChars="200"/>
        <w:jc w:val="both"/>
        <w:rPr>
          <w:rFonts w:hint="default" w:ascii="Times New Roman" w:hAnsi="Times New Roman" w:eastAsia="楷体_GB2312" w:cs="Times New Roman"/>
          <w:b w:val="0"/>
          <w:bCs/>
          <w:color w:val="auto"/>
          <w:sz w:val="32"/>
          <w:szCs w:val="32"/>
          <w:lang w:val="en-US" w:eastAsia="zh-CN"/>
        </w:rPr>
      </w:pPr>
      <w:r>
        <w:rPr>
          <w:rFonts w:hint="default" w:ascii="Times New Roman" w:hAnsi="Times New Roman" w:eastAsia="楷体_GB2312" w:cs="Times New Roman"/>
          <w:b w:val="0"/>
          <w:bCs/>
          <w:color w:val="auto"/>
          <w:sz w:val="32"/>
          <w:szCs w:val="32"/>
          <w:lang w:val="en-US" w:eastAsia="zh-CN"/>
        </w:rPr>
        <w:t>（二）项目管理情况。</w:t>
      </w:r>
    </w:p>
    <w:p>
      <w:pPr>
        <w:numPr>
          <w:ilvl w:val="0"/>
          <w:numId w:val="0"/>
        </w:numPr>
        <w:adjustRightInd w:val="0"/>
        <w:snapToGrid w:val="0"/>
        <w:spacing w:line="600" w:lineRule="exac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该项目经由河长制办公室工作人员按照河湖长制工作，核算河湖长制工作经费。 </w:t>
      </w:r>
    </w:p>
    <w:p>
      <w:pPr>
        <w:keepNext w:val="0"/>
        <w:keepLines w:val="0"/>
        <w:widowControl/>
        <w:suppressLineNumbers w:val="0"/>
        <w:ind w:firstLine="640" w:firstLineChars="200"/>
        <w:jc w:val="both"/>
        <w:rPr>
          <w:rFonts w:hint="default" w:ascii="Times New Roman" w:hAnsi="Times New Roman" w:eastAsia="楷体_GB2312" w:cs="Times New Roman"/>
          <w:b w:val="0"/>
          <w:bCs/>
          <w:color w:val="auto"/>
          <w:sz w:val="32"/>
          <w:szCs w:val="32"/>
          <w:lang w:val="en-US" w:eastAsia="zh-CN"/>
        </w:rPr>
      </w:pPr>
      <w:r>
        <w:rPr>
          <w:rFonts w:hint="default" w:ascii="Times New Roman" w:hAnsi="Times New Roman" w:eastAsia="楷体_GB2312" w:cs="Times New Roman"/>
          <w:b w:val="0"/>
          <w:bCs/>
          <w:color w:val="auto"/>
          <w:sz w:val="32"/>
          <w:szCs w:val="32"/>
          <w:lang w:val="en-US" w:eastAsia="zh-CN"/>
        </w:rPr>
        <w:t>（三）项目监管情况。</w:t>
      </w:r>
    </w:p>
    <w:p>
      <w:pPr>
        <w:keepNext w:val="0"/>
        <w:keepLines w:val="0"/>
        <w:widowControl/>
        <w:numPr>
          <w:ilvl w:val="0"/>
          <w:numId w:val="0"/>
        </w:numPr>
        <w:suppressLineNumbers w:val="0"/>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通过持续深入开展河湖长制，加大河湖长制工作宣传力度，同时持续开展河湖“清四乱”专项行动，进行河道环境清理。主动向财政申请资金并及时进行项目资金的拨付，有效进行项目监管工作。 </w:t>
      </w:r>
    </w:p>
    <w:p>
      <w:pPr>
        <w:adjustRightInd w:val="0"/>
        <w:snapToGrid w:val="0"/>
        <w:spacing w:line="600" w:lineRule="exact"/>
        <w:ind w:firstLine="720"/>
        <w:jc w:val="both"/>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 xml:space="preserve">四、项目绩效情况 </w:t>
      </w:r>
    </w:p>
    <w:p>
      <w:pPr>
        <w:keepNext w:val="0"/>
        <w:keepLines w:val="0"/>
        <w:widowControl/>
        <w:suppressLineNumbers w:val="0"/>
        <w:ind w:firstLine="640" w:firstLineChars="200"/>
        <w:jc w:val="both"/>
        <w:rPr>
          <w:rFonts w:hint="default" w:ascii="Times New Roman" w:hAnsi="Times New Roman" w:eastAsia="楷体_GB2312" w:cs="Times New Roman"/>
          <w:b w:val="0"/>
          <w:bCs/>
          <w:color w:val="auto"/>
          <w:sz w:val="32"/>
          <w:szCs w:val="32"/>
          <w:lang w:val="en-US" w:eastAsia="zh-CN"/>
        </w:rPr>
      </w:pPr>
      <w:r>
        <w:rPr>
          <w:rFonts w:hint="default" w:ascii="Times New Roman" w:hAnsi="Times New Roman" w:eastAsia="楷体_GB2312" w:cs="Times New Roman"/>
          <w:b w:val="0"/>
          <w:bCs/>
          <w:color w:val="auto"/>
          <w:sz w:val="32"/>
          <w:szCs w:val="32"/>
          <w:lang w:val="en-US" w:eastAsia="zh-CN"/>
        </w:rPr>
        <w:t xml:space="preserve">（一）项目完成情况。 </w:t>
      </w:r>
    </w:p>
    <w:p>
      <w:pPr>
        <w:keepNext w:val="0"/>
        <w:keepLines w:val="0"/>
        <w:widowControl/>
        <w:suppressLineNumbers w:val="0"/>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完成河长制“一张图”数据入库工作，更换河长制公示牌画面13块，印制河长制宣传单10000份，印制巡河记录本100本，持续对河道进行日常管护，已于2022年11月底完成支付，完成率为100%。 </w:t>
      </w:r>
    </w:p>
    <w:p>
      <w:pPr>
        <w:keepNext w:val="0"/>
        <w:keepLines w:val="0"/>
        <w:widowControl/>
        <w:suppressLineNumbers w:val="0"/>
        <w:ind w:firstLine="640" w:firstLineChars="200"/>
        <w:jc w:val="both"/>
        <w:rPr>
          <w:rFonts w:hint="default" w:ascii="Times New Roman" w:hAnsi="Times New Roman" w:eastAsia="楷体_GB2312" w:cs="Times New Roman"/>
          <w:b w:val="0"/>
          <w:bCs/>
          <w:color w:val="auto"/>
          <w:sz w:val="32"/>
          <w:szCs w:val="32"/>
          <w:lang w:val="en-US" w:eastAsia="zh-CN"/>
        </w:rPr>
      </w:pPr>
      <w:r>
        <w:rPr>
          <w:rFonts w:hint="default" w:ascii="Times New Roman" w:hAnsi="Times New Roman" w:eastAsia="楷体_GB2312" w:cs="Times New Roman"/>
          <w:b w:val="0"/>
          <w:bCs/>
          <w:color w:val="auto"/>
          <w:sz w:val="32"/>
          <w:szCs w:val="32"/>
          <w:lang w:val="en-US" w:eastAsia="zh-CN"/>
        </w:rPr>
        <w:t xml:space="preserve">（二）项目效益情况。 </w:t>
      </w:r>
    </w:p>
    <w:p>
      <w:pPr>
        <w:keepNext w:val="0"/>
        <w:keepLines w:val="0"/>
        <w:widowControl/>
        <w:suppressLineNumbers w:val="0"/>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社会效益指标方面，让更多的人关心关注河湖长制工作，有利于我区生态环境建设持续发展，提高群众知晓率。同时提高各级河长和河长制工作人员的业务水平，有利于顺利开展河湖长制工作，保证全区河湖长制工作顺利推进。   </w:t>
      </w:r>
    </w:p>
    <w:p>
      <w:pPr>
        <w:keepNext w:val="0"/>
        <w:keepLines w:val="0"/>
        <w:widowControl/>
        <w:suppressLineNumbers w:val="0"/>
        <w:ind w:firstLine="640" w:firstLineChars="200"/>
        <w:jc w:val="both"/>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 xml:space="preserve">五、评价结论及建议 </w:t>
      </w:r>
    </w:p>
    <w:p>
      <w:pPr>
        <w:keepNext w:val="0"/>
        <w:keepLines w:val="0"/>
        <w:widowControl/>
        <w:suppressLineNumbers w:val="0"/>
        <w:ind w:firstLine="640" w:firstLineChars="200"/>
        <w:jc w:val="both"/>
        <w:rPr>
          <w:rFonts w:hint="default"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val="0"/>
          <w:bCs/>
          <w:color w:val="auto"/>
          <w:sz w:val="32"/>
          <w:szCs w:val="32"/>
          <w:lang w:val="en-US" w:eastAsia="zh-CN"/>
        </w:rPr>
        <w:t>（一）评价结论。</w:t>
      </w:r>
      <w:r>
        <w:rPr>
          <w:rFonts w:hint="default" w:ascii="Times New Roman" w:hAnsi="Times New Roman" w:eastAsia="楷体_GB2312" w:cs="Times New Roman"/>
          <w:b/>
          <w:color w:val="auto"/>
          <w:sz w:val="32"/>
          <w:szCs w:val="32"/>
          <w:lang w:val="en-US" w:eastAsia="zh-CN"/>
        </w:rPr>
        <w:t xml:space="preserve"> </w:t>
      </w:r>
    </w:p>
    <w:p>
      <w:pPr>
        <w:keepNext w:val="0"/>
        <w:keepLines w:val="0"/>
        <w:widowControl/>
        <w:suppressLineNumbers w:val="0"/>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该项目实现了超过97%的市级目标考核满意度和95%的群众满意度，按照时间节点完成资金拨付，保证全区顺利开展河湖长制工作，并有效进行管理，顺利实现了100%的完成率。</w:t>
      </w:r>
    </w:p>
    <w:p>
      <w:pPr>
        <w:keepNext w:val="0"/>
        <w:keepLines w:val="0"/>
        <w:widowControl/>
        <w:suppressLineNumbers w:val="0"/>
        <w:ind w:firstLine="640" w:firstLineChars="200"/>
        <w:jc w:val="both"/>
        <w:rPr>
          <w:rFonts w:hint="default" w:ascii="Times New Roman" w:hAnsi="Times New Roman" w:eastAsia="楷体_GB2312" w:cs="Times New Roman"/>
          <w:b w:val="0"/>
          <w:bCs/>
          <w:color w:val="auto"/>
          <w:sz w:val="32"/>
          <w:szCs w:val="32"/>
          <w:lang w:val="en-US" w:eastAsia="zh-CN"/>
        </w:rPr>
      </w:pPr>
      <w:r>
        <w:rPr>
          <w:rFonts w:hint="default" w:ascii="Times New Roman" w:hAnsi="Times New Roman" w:eastAsia="楷体_GB2312" w:cs="Times New Roman"/>
          <w:b w:val="0"/>
          <w:bCs/>
          <w:color w:val="auto"/>
          <w:sz w:val="32"/>
          <w:szCs w:val="32"/>
          <w:lang w:val="en-US" w:eastAsia="zh-CN"/>
        </w:rPr>
        <w:t xml:space="preserve">（二）存在的问题。 </w:t>
      </w:r>
    </w:p>
    <w:p>
      <w:pPr>
        <w:keepNext w:val="0"/>
        <w:keepLines w:val="0"/>
        <w:widowControl/>
        <w:suppressLineNumbers w:val="0"/>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无。</w:t>
      </w:r>
    </w:p>
    <w:tbl>
      <w:tblPr>
        <w:tblStyle w:val="13"/>
        <w:tblpPr w:leftFromText="180" w:rightFromText="180" w:vertAnchor="text" w:horzAnchor="page" w:tblpX="1281" w:tblpY="660"/>
        <w:tblOverlap w:val="never"/>
        <w:tblW w:w="9930" w:type="dxa"/>
        <w:tblInd w:w="0" w:type="dxa"/>
        <w:tblLayout w:type="fixed"/>
        <w:tblCellMar>
          <w:top w:w="0" w:type="dxa"/>
          <w:left w:w="108" w:type="dxa"/>
          <w:bottom w:w="0" w:type="dxa"/>
          <w:right w:w="108" w:type="dxa"/>
        </w:tblCellMar>
      </w:tblPr>
      <w:tblGrid>
        <w:gridCol w:w="1976"/>
        <w:gridCol w:w="1142"/>
        <w:gridCol w:w="1635"/>
        <w:gridCol w:w="1189"/>
        <w:gridCol w:w="1224"/>
        <w:gridCol w:w="2528"/>
        <w:gridCol w:w="236"/>
      </w:tblGrid>
      <w:tr>
        <w:tblPrEx>
          <w:tblCellMar>
            <w:top w:w="0" w:type="dxa"/>
            <w:left w:w="108" w:type="dxa"/>
            <w:bottom w:w="0" w:type="dxa"/>
            <w:right w:w="108" w:type="dxa"/>
          </w:tblCellMar>
        </w:tblPrEx>
        <w:trPr>
          <w:trHeight w:val="675" w:hRule="atLeast"/>
        </w:trPr>
        <w:tc>
          <w:tcPr>
            <w:tcW w:w="9694"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color w:val="auto"/>
                <w:sz w:val="32"/>
                <w:szCs w:val="32"/>
              </w:rPr>
            </w:pPr>
            <w:r>
              <w:rPr>
                <w:rFonts w:hint="eastAsia" w:ascii="宋体" w:hAnsi="宋体" w:cs="宋体"/>
                <w:b/>
                <w:color w:val="auto"/>
                <w:sz w:val="32"/>
                <w:szCs w:val="32"/>
              </w:rPr>
              <w:t>2021年部门预算项目绩效目标自评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color w:val="auto"/>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auto"/>
                <w:sz w:val="24"/>
              </w:rPr>
            </w:pPr>
            <w:r>
              <w:rPr>
                <w:rFonts w:hint="eastAsia" w:ascii="宋体" w:hAnsi="宋体" w:cs="宋体"/>
                <w:color w:val="auto"/>
                <w:kern w:val="0"/>
                <w:sz w:val="24"/>
              </w:rPr>
              <w:t>主管部门及代码</w:t>
            </w:r>
          </w:p>
        </w:tc>
        <w:tc>
          <w:tcPr>
            <w:tcW w:w="282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textAlignment w:val="center"/>
              <w:rPr>
                <w:rFonts w:ascii="宋体" w:hAnsi="宋体" w:cs="宋体"/>
                <w:color w:val="auto"/>
                <w:sz w:val="24"/>
              </w:rPr>
            </w:pPr>
          </w:p>
        </w:tc>
        <w:tc>
          <w:tcPr>
            <w:tcW w:w="122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auto"/>
                <w:sz w:val="24"/>
              </w:rPr>
            </w:pPr>
            <w:r>
              <w:rPr>
                <w:rFonts w:hint="eastAsia" w:ascii="宋体" w:hAnsi="宋体" w:cs="宋体"/>
                <w:color w:val="auto"/>
                <w:kern w:val="0"/>
                <w:sz w:val="24"/>
              </w:rPr>
              <w:t>实施单位</w:t>
            </w:r>
          </w:p>
        </w:tc>
        <w:tc>
          <w:tcPr>
            <w:tcW w:w="252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攀枝花市西区水利局</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宋体" w:hAnsi="宋体" w:cs="宋体"/>
                <w:color w:val="auto"/>
                <w:sz w:val="24"/>
              </w:rPr>
            </w:pPr>
            <w:r>
              <w:rPr>
                <w:rFonts w:hint="eastAsia" w:ascii="宋体" w:hAnsi="宋体" w:cs="宋体"/>
                <w:color w:val="auto"/>
                <w:kern w:val="0"/>
                <w:sz w:val="24"/>
              </w:rPr>
              <w:t>项目预算</w:t>
            </w:r>
            <w:r>
              <w:rPr>
                <w:rFonts w:hint="eastAsia" w:ascii="宋体" w:hAnsi="宋体" w:cs="宋体"/>
                <w:color w:val="auto"/>
                <w:kern w:val="0"/>
                <w:sz w:val="24"/>
              </w:rPr>
              <w:br w:type="textWrapping"/>
            </w:r>
            <w:r>
              <w:rPr>
                <w:rFonts w:hint="eastAsia" w:ascii="宋体" w:hAnsi="宋体" w:cs="宋体"/>
                <w:color w:val="auto"/>
                <w:kern w:val="0"/>
                <w:sz w:val="24"/>
              </w:rPr>
              <w:t>执行情况</w:t>
            </w:r>
            <w:r>
              <w:rPr>
                <w:rFonts w:hint="eastAsia" w:ascii="宋体" w:hAnsi="宋体" w:cs="宋体"/>
                <w:color w:val="auto"/>
                <w:kern w:val="0"/>
                <w:sz w:val="24"/>
              </w:rPr>
              <w:br w:type="textWrapping"/>
            </w:r>
            <w:r>
              <w:rPr>
                <w:rFonts w:hint="eastAsia" w:ascii="宋体" w:hAnsi="宋体" w:cs="宋体"/>
                <w:color w:val="auto"/>
                <w:kern w:val="0"/>
                <w:sz w:val="24"/>
              </w:rPr>
              <w:t>（万元）</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宋体" w:hAnsi="宋体" w:cs="宋体"/>
                <w:color w:val="auto"/>
                <w:sz w:val="24"/>
              </w:rPr>
            </w:pPr>
            <w:r>
              <w:rPr>
                <w:rFonts w:hint="eastAsia" w:ascii="宋体" w:hAnsi="宋体" w:cs="宋体"/>
                <w:color w:val="auto"/>
                <w:kern w:val="0"/>
                <w:sz w:val="24"/>
              </w:rPr>
              <w:t>预算数：</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7</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宋体" w:hAnsi="宋体" w:cs="宋体"/>
                <w:color w:val="auto"/>
                <w:sz w:val="24"/>
              </w:rPr>
            </w:pPr>
            <w:r>
              <w:rPr>
                <w:rFonts w:hint="eastAsia" w:ascii="宋体" w:hAnsi="宋体" w:cs="宋体"/>
                <w:color w:val="auto"/>
                <w:kern w:val="0"/>
                <w:sz w:val="24"/>
              </w:rPr>
              <w:t>执行数：</w:t>
            </w:r>
          </w:p>
        </w:tc>
        <w:tc>
          <w:tcPr>
            <w:tcW w:w="2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7</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color w:val="auto"/>
                <w:sz w:val="24"/>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宋体" w:hAnsi="宋体" w:cs="宋体"/>
                <w:color w:val="auto"/>
                <w:kern w:val="0"/>
                <w:sz w:val="24"/>
              </w:rPr>
            </w:pPr>
            <w:r>
              <w:rPr>
                <w:rFonts w:hint="eastAsia" w:ascii="宋体" w:hAnsi="宋体" w:cs="宋体"/>
                <w:color w:val="auto"/>
                <w:kern w:val="0"/>
                <w:sz w:val="24"/>
              </w:rPr>
              <w:t>其中：</w:t>
            </w:r>
          </w:p>
          <w:p>
            <w:pPr>
              <w:widowControl/>
              <w:spacing w:line="320" w:lineRule="exact"/>
              <w:jc w:val="left"/>
              <w:textAlignment w:val="center"/>
              <w:rPr>
                <w:rFonts w:ascii="宋体" w:hAnsi="宋体" w:cs="宋体"/>
                <w:color w:val="auto"/>
                <w:sz w:val="24"/>
              </w:rPr>
            </w:pPr>
            <w:r>
              <w:rPr>
                <w:rFonts w:hint="eastAsia" w:ascii="宋体" w:hAnsi="宋体" w:cs="宋体"/>
                <w:color w:val="auto"/>
                <w:kern w:val="0"/>
                <w:sz w:val="24"/>
              </w:rPr>
              <w:t>财政拨款</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7</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宋体" w:hAnsi="宋体" w:cs="宋体"/>
                <w:color w:val="auto"/>
                <w:kern w:val="0"/>
                <w:sz w:val="24"/>
              </w:rPr>
            </w:pPr>
            <w:r>
              <w:rPr>
                <w:rFonts w:hint="eastAsia" w:ascii="宋体" w:hAnsi="宋体" w:cs="宋体"/>
                <w:color w:val="auto"/>
                <w:kern w:val="0"/>
                <w:sz w:val="24"/>
              </w:rPr>
              <w:t>其中：</w:t>
            </w:r>
          </w:p>
          <w:p>
            <w:pPr>
              <w:widowControl/>
              <w:spacing w:line="320" w:lineRule="exact"/>
              <w:jc w:val="left"/>
              <w:textAlignment w:val="center"/>
              <w:rPr>
                <w:rFonts w:ascii="宋体" w:hAnsi="宋体" w:cs="宋体"/>
                <w:color w:val="auto"/>
                <w:sz w:val="24"/>
              </w:rPr>
            </w:pPr>
            <w:r>
              <w:rPr>
                <w:rFonts w:hint="eastAsia" w:ascii="宋体" w:hAnsi="宋体" w:cs="宋体"/>
                <w:color w:val="auto"/>
                <w:kern w:val="0"/>
                <w:sz w:val="24"/>
              </w:rPr>
              <w:t>财政拨款</w:t>
            </w:r>
          </w:p>
        </w:tc>
        <w:tc>
          <w:tcPr>
            <w:tcW w:w="2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7</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color w:val="auto"/>
                <w:sz w:val="24"/>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宋体" w:hAnsi="宋体" w:cs="宋体"/>
                <w:color w:val="auto"/>
                <w:sz w:val="24"/>
              </w:rPr>
            </w:pPr>
            <w:r>
              <w:rPr>
                <w:rFonts w:hint="eastAsia" w:ascii="宋体" w:hAnsi="宋体" w:cs="宋体"/>
                <w:color w:val="auto"/>
                <w:kern w:val="0"/>
                <w:sz w:val="24"/>
              </w:rPr>
              <w:t>其他资金</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宋体" w:hAnsi="宋体" w:cs="宋体"/>
                <w:color w:val="auto"/>
                <w:sz w:val="24"/>
              </w:rPr>
            </w:pP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宋体" w:hAnsi="宋体" w:cs="宋体"/>
                <w:color w:val="auto"/>
                <w:sz w:val="24"/>
              </w:rPr>
            </w:pPr>
            <w:r>
              <w:rPr>
                <w:rFonts w:hint="eastAsia" w:ascii="宋体" w:hAnsi="宋体" w:cs="宋体"/>
                <w:color w:val="auto"/>
                <w:kern w:val="0"/>
                <w:sz w:val="24"/>
              </w:rPr>
              <w:t>其他资金</w:t>
            </w:r>
          </w:p>
        </w:tc>
        <w:tc>
          <w:tcPr>
            <w:tcW w:w="2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宋体" w:hAnsi="宋体" w:cs="宋体"/>
                <w:color w:val="auto"/>
                <w:sz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宋体" w:hAnsi="宋体" w:cs="宋体"/>
                <w:color w:val="auto"/>
                <w:kern w:val="0"/>
                <w:sz w:val="24"/>
              </w:rPr>
            </w:pPr>
            <w:r>
              <w:rPr>
                <w:rFonts w:hint="eastAsia" w:ascii="宋体" w:hAnsi="宋体" w:cs="宋体"/>
                <w:color w:val="auto"/>
                <w:kern w:val="0"/>
                <w:sz w:val="24"/>
              </w:rPr>
              <w:t>年度总体目标</w:t>
            </w:r>
          </w:p>
          <w:p>
            <w:pPr>
              <w:widowControl/>
              <w:spacing w:line="320" w:lineRule="exact"/>
              <w:jc w:val="center"/>
              <w:textAlignment w:val="center"/>
              <w:rPr>
                <w:rFonts w:ascii="宋体" w:hAnsi="宋体" w:cs="宋体"/>
                <w:color w:val="auto"/>
                <w:sz w:val="24"/>
              </w:rPr>
            </w:pPr>
            <w:r>
              <w:rPr>
                <w:rFonts w:hint="eastAsia" w:ascii="宋体" w:hAnsi="宋体" w:cs="宋体"/>
                <w:color w:val="auto"/>
                <w:kern w:val="0"/>
                <w:sz w:val="24"/>
              </w:rPr>
              <w:t>完成情况</w:t>
            </w:r>
          </w:p>
        </w:tc>
        <w:tc>
          <w:tcPr>
            <w:tcW w:w="39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宋体" w:hAnsi="宋体" w:cs="宋体"/>
                <w:color w:val="auto"/>
                <w:sz w:val="24"/>
              </w:rPr>
            </w:pPr>
            <w:r>
              <w:rPr>
                <w:rFonts w:hint="eastAsia" w:ascii="宋体" w:hAnsi="宋体" w:cs="宋体"/>
                <w:color w:val="auto"/>
                <w:kern w:val="0"/>
                <w:sz w:val="24"/>
              </w:rPr>
              <w:t>预期目标</w:t>
            </w:r>
          </w:p>
        </w:tc>
        <w:tc>
          <w:tcPr>
            <w:tcW w:w="37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宋体" w:hAnsi="宋体" w:cs="宋体"/>
                <w:color w:val="auto"/>
                <w:sz w:val="24"/>
              </w:rPr>
            </w:pPr>
            <w:r>
              <w:rPr>
                <w:rFonts w:hint="eastAsia" w:ascii="宋体" w:hAnsi="宋体" w:cs="宋体"/>
                <w:color w:val="auto"/>
                <w:kern w:val="0"/>
                <w:sz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color w:val="auto"/>
                <w:sz w:val="24"/>
              </w:rPr>
            </w:pPr>
          </w:p>
        </w:tc>
        <w:tc>
          <w:tcPr>
            <w:tcW w:w="3966" w:type="dxa"/>
            <w:gridSpan w:val="3"/>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both"/>
              <w:rPr>
                <w:rFonts w:hint="eastAsia" w:ascii="宋体" w:hAnsi="宋体" w:cs="宋体"/>
                <w:color w:val="auto"/>
                <w:kern w:val="0"/>
                <w:sz w:val="24"/>
                <w:lang w:val="en-US" w:eastAsia="zh-CN"/>
              </w:rPr>
            </w:pPr>
          </w:p>
          <w:p>
            <w:pPr>
              <w:keepNext w:val="0"/>
              <w:keepLines w:val="0"/>
              <w:widowControl/>
              <w:suppressLineNumbers w:val="0"/>
              <w:jc w:val="both"/>
              <w:rPr>
                <w:rFonts w:ascii="宋体" w:hAnsi="宋体" w:cs="宋体"/>
                <w:color w:val="auto"/>
                <w:sz w:val="24"/>
              </w:rPr>
            </w:pPr>
            <w:r>
              <w:rPr>
                <w:rFonts w:hint="eastAsia" w:ascii="宋体" w:hAnsi="宋体" w:cs="宋体"/>
                <w:color w:val="auto"/>
                <w:kern w:val="0"/>
                <w:sz w:val="24"/>
                <w:lang w:val="en-US" w:eastAsia="zh-CN"/>
              </w:rPr>
              <w:t>持续深入开展河湖长制工作，制作河长制公示牌、河长制宣传单、巡河记录本，开展河长制“一张图”数据入库工作，对河道进行日常管护。</w:t>
            </w:r>
          </w:p>
        </w:tc>
        <w:tc>
          <w:tcPr>
            <w:tcW w:w="375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320" w:lineRule="exact"/>
              <w:jc w:val="both"/>
              <w:textAlignment w:val="top"/>
              <w:rPr>
                <w:rFonts w:hint="eastAsia" w:ascii="宋体" w:hAnsi="宋体" w:eastAsia="宋体" w:cs="宋体"/>
                <w:color w:val="auto"/>
                <w:sz w:val="24"/>
                <w:lang w:val="en-US" w:eastAsia="zh-CN"/>
              </w:rPr>
            </w:pPr>
            <w:r>
              <w:rPr>
                <w:rFonts w:hint="eastAsia" w:ascii="宋体" w:hAnsi="宋体" w:cs="宋体"/>
                <w:color w:val="auto"/>
                <w:kern w:val="0"/>
                <w:sz w:val="24"/>
                <w:lang w:val="en-US" w:eastAsia="zh-CN"/>
              </w:rPr>
              <w:t>完成河长制“一张图”数据入库工作，更换河长制公示牌画面13块，印制河长制宣传单10000份，印制巡河记录本100本，持续对河道进行日常管护。</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年度绩效指标完成情况</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一级</w:t>
            </w:r>
          </w:p>
          <w:p>
            <w:pPr>
              <w:widowControl/>
              <w:spacing w:line="32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指标</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二级</w:t>
            </w:r>
          </w:p>
          <w:p>
            <w:pPr>
              <w:widowControl/>
              <w:spacing w:line="32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指标</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三级</w:t>
            </w:r>
          </w:p>
          <w:p>
            <w:pPr>
              <w:widowControl/>
              <w:spacing w:line="32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指标</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预期指标值</w:t>
            </w:r>
          </w:p>
        </w:tc>
        <w:tc>
          <w:tcPr>
            <w:tcW w:w="2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仿宋_GB2312" w:eastAsia="仿宋_GB2312" w:cs="仿宋_GB2312"/>
                <w:color w:val="auto"/>
                <w:sz w:val="28"/>
                <w:szCs w:val="28"/>
              </w:rPr>
            </w:pPr>
          </w:p>
        </w:tc>
        <w:tc>
          <w:tcPr>
            <w:tcW w:w="11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bottom"/>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完成</w:t>
            </w:r>
          </w:p>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指标</w:t>
            </w:r>
          </w:p>
        </w:tc>
        <w:tc>
          <w:tcPr>
            <w:tcW w:w="16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数量指标</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河道日常管护</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auto"/>
              <w:rPr>
                <w:rFonts w:hint="eastAsia" w:ascii="宋体" w:hAnsi="宋体" w:cs="宋体"/>
                <w:color w:val="auto"/>
                <w:kern w:val="0"/>
                <w:sz w:val="24"/>
                <w:lang w:val="en-US" w:eastAsia="zh-CN"/>
              </w:rPr>
            </w:pPr>
            <w:r>
              <w:rPr>
                <w:rFonts w:hint="eastAsia" w:ascii="宋体" w:hAnsi="宋体" w:cs="宋体"/>
                <w:color w:val="auto"/>
                <w:kern w:val="0"/>
                <w:sz w:val="18"/>
                <w:szCs w:val="18"/>
                <w:lang w:val="en-US" w:eastAsia="zh-CN"/>
              </w:rPr>
              <w:t>管护范围：金沙江29.5公里，把关河3.6公里，拉罗箐河3.8公里</w:t>
            </w:r>
          </w:p>
        </w:tc>
        <w:tc>
          <w:tcPr>
            <w:tcW w:w="2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100%</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top w:val="single" w:color="auto" w:sz="4" w:space="0"/>
              <w:left w:val="single" w:color="auto"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color w:val="auto"/>
                <w:sz w:val="28"/>
                <w:szCs w:val="28"/>
              </w:rPr>
            </w:pPr>
          </w:p>
        </w:tc>
        <w:tc>
          <w:tcPr>
            <w:tcW w:w="1142" w:type="dxa"/>
            <w:vMerge w:val="continue"/>
            <w:tcBorders>
              <w:top w:val="single" w:color="auto"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auto"/>
                <w:kern w:val="0"/>
                <w:sz w:val="28"/>
                <w:szCs w:val="28"/>
              </w:rPr>
            </w:pPr>
          </w:p>
        </w:tc>
        <w:tc>
          <w:tcPr>
            <w:tcW w:w="1635" w:type="dxa"/>
            <w:vMerge w:val="continue"/>
            <w:tcBorders>
              <w:top w:val="single" w:color="auto"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auto"/>
                <w:kern w:val="0"/>
                <w:sz w:val="28"/>
                <w:szCs w:val="28"/>
              </w:rPr>
            </w:pPr>
          </w:p>
        </w:tc>
        <w:tc>
          <w:tcPr>
            <w:tcW w:w="118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完成水库、渠道、塘坝数据入库</w:t>
            </w:r>
          </w:p>
        </w:tc>
        <w:tc>
          <w:tcPr>
            <w:tcW w:w="122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1座水库、4条渠道、14个塘坝</w:t>
            </w:r>
          </w:p>
        </w:tc>
        <w:tc>
          <w:tcPr>
            <w:tcW w:w="252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100%</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auto"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color w:val="auto"/>
                <w:sz w:val="28"/>
                <w:szCs w:val="28"/>
              </w:rPr>
            </w:pPr>
          </w:p>
        </w:tc>
        <w:tc>
          <w:tcPr>
            <w:tcW w:w="1142"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auto"/>
                <w:kern w:val="0"/>
                <w:sz w:val="28"/>
                <w:szCs w:val="28"/>
              </w:rPr>
            </w:pPr>
          </w:p>
        </w:tc>
        <w:tc>
          <w:tcPr>
            <w:tcW w:w="1635"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auto"/>
                <w:kern w:val="0"/>
                <w:sz w:val="28"/>
                <w:szCs w:val="28"/>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河长制宣传、更换河长制公示牌、巡河记录本</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宣传单10000张、更换河长制公示牌13块、巡河记录本100本</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100%</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auto"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color w:val="auto"/>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color w:val="auto"/>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完成年度目标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100%</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100%</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auto"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color w:val="auto"/>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color w:val="auto"/>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全年按计划进行</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100%</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100%</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auto"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color w:val="auto"/>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color w:val="auto"/>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全年河长制费用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70000</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70000</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auto"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color w:val="auto"/>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效益</w:t>
            </w:r>
            <w:r>
              <w:rPr>
                <w:rFonts w:hint="eastAsia" w:ascii="仿宋_GB2312" w:hAnsi="仿宋_GB2312" w:eastAsia="仿宋_GB2312" w:cs="仿宋_GB2312"/>
                <w:color w:val="auto"/>
                <w:kern w:val="0"/>
                <w:sz w:val="28"/>
                <w:szCs w:val="28"/>
              </w:rPr>
              <w:br w:type="textWrapping"/>
            </w:r>
            <w:r>
              <w:rPr>
                <w:rFonts w:hint="eastAsia" w:ascii="仿宋_GB2312" w:hAnsi="仿宋_GB2312" w:eastAsia="仿宋_GB2312" w:cs="仿宋_GB2312"/>
                <w:color w:val="auto"/>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经济效益指标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提升群众满意度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100%</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100%</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auto"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color w:val="auto"/>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color w:val="auto"/>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社会效益指标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提升群众满意度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100%</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100%</w:t>
            </w:r>
          </w:p>
        </w:tc>
      </w:tr>
      <w:tr>
        <w:tblPrEx>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auto"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color w:val="auto"/>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color w:val="auto"/>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463" w:leftChars="87" w:hanging="280" w:hangingChars="100"/>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生态效益指标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营造良好的生态环境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100%</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100%</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auto"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color w:val="auto"/>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color w:val="auto"/>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可持续影响指标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营造良好的生态环境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100%</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100%</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auto"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color w:val="auto"/>
                <w:sz w:val="28"/>
                <w:szCs w:val="28"/>
              </w:rPr>
            </w:pPr>
          </w:p>
        </w:tc>
        <w:tc>
          <w:tcPr>
            <w:tcW w:w="1142"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满意</w:t>
            </w:r>
            <w:r>
              <w:rPr>
                <w:rFonts w:hint="eastAsia" w:ascii="仿宋_GB2312" w:hAnsi="仿宋_GB2312" w:eastAsia="仿宋_GB2312" w:cs="仿宋_GB2312"/>
                <w:color w:val="auto"/>
                <w:kern w:val="0"/>
                <w:sz w:val="28"/>
                <w:szCs w:val="28"/>
              </w:rPr>
              <w:br w:type="textWrapping"/>
            </w:r>
            <w:r>
              <w:rPr>
                <w:rFonts w:hint="eastAsia" w:ascii="仿宋_GB2312" w:hAnsi="仿宋_GB2312" w:eastAsia="仿宋_GB2312" w:cs="仿宋_GB2312"/>
                <w:color w:val="auto"/>
                <w:kern w:val="0"/>
                <w:sz w:val="28"/>
                <w:szCs w:val="28"/>
              </w:rPr>
              <w:t>度指标</w:t>
            </w:r>
          </w:p>
        </w:tc>
        <w:tc>
          <w:tcPr>
            <w:tcW w:w="1635"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满意度</w:t>
            </w:r>
          </w:p>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市级目标考核</w:t>
            </w:r>
          </w:p>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满意度</w:t>
            </w:r>
          </w:p>
          <w:p>
            <w:pPr>
              <w:keepNext w:val="0"/>
              <w:keepLines w:val="0"/>
              <w:widowControl/>
              <w:suppressLineNumbers w:val="0"/>
              <w:jc w:val="center"/>
              <w:rPr>
                <w:rFonts w:hint="eastAsia" w:ascii="宋体" w:hAnsi="宋体" w:cs="宋体"/>
                <w:color w:val="auto"/>
                <w:kern w:val="0"/>
                <w:sz w:val="24"/>
                <w:lang w:val="en-US" w:eastAsia="zh-CN"/>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满意度≥97%</w:t>
            </w:r>
          </w:p>
          <w:p>
            <w:pPr>
              <w:keepNext w:val="0"/>
              <w:keepLines w:val="0"/>
              <w:widowControl/>
              <w:suppressLineNumbers w:val="0"/>
              <w:jc w:val="center"/>
              <w:rPr>
                <w:rFonts w:hint="eastAsia" w:ascii="宋体" w:hAnsi="宋体" w:cs="宋体"/>
                <w:color w:val="auto"/>
                <w:kern w:val="0"/>
                <w:sz w:val="24"/>
                <w:lang w:val="en-US" w:eastAsia="zh-CN"/>
              </w:rPr>
            </w:pP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满意度≥97%</w:t>
            </w:r>
          </w:p>
          <w:p>
            <w:pPr>
              <w:keepNext w:val="0"/>
              <w:keepLines w:val="0"/>
              <w:widowControl/>
              <w:suppressLineNumbers w:val="0"/>
              <w:jc w:val="center"/>
              <w:rPr>
                <w:rFonts w:hint="eastAsia" w:ascii="宋体" w:hAnsi="宋体" w:cs="宋体"/>
                <w:color w:val="auto"/>
                <w:kern w:val="0"/>
                <w:sz w:val="24"/>
                <w:lang w:val="en-US" w:eastAsia="zh-CN"/>
              </w:rPr>
            </w:pPr>
          </w:p>
        </w:tc>
      </w:tr>
      <w:tr>
        <w:tblPrEx>
          <w:tblCellMar>
            <w:top w:w="0" w:type="dxa"/>
            <w:left w:w="108" w:type="dxa"/>
            <w:bottom w:w="0" w:type="dxa"/>
            <w:right w:w="108" w:type="dxa"/>
          </w:tblCellMar>
        </w:tblPrEx>
        <w:trPr>
          <w:gridAfter w:val="1"/>
          <w:wAfter w:w="236" w:type="dxa"/>
          <w:trHeight w:val="530" w:hRule="atLeast"/>
        </w:trPr>
        <w:tc>
          <w:tcPr>
            <w:tcW w:w="1976" w:type="dxa"/>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color w:val="auto"/>
                <w:sz w:val="28"/>
                <w:szCs w:val="28"/>
              </w:rPr>
            </w:pPr>
          </w:p>
        </w:tc>
        <w:tc>
          <w:tcPr>
            <w:tcW w:w="1142" w:type="dxa"/>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color w:val="auto"/>
                <w:kern w:val="0"/>
                <w:sz w:val="28"/>
                <w:szCs w:val="28"/>
              </w:rPr>
            </w:pPr>
          </w:p>
        </w:tc>
        <w:tc>
          <w:tcPr>
            <w:tcW w:w="1635"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auto"/>
                <w:kern w:val="0"/>
                <w:sz w:val="28"/>
                <w:szCs w:val="28"/>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群众满意度</w:t>
            </w:r>
          </w:p>
          <w:p>
            <w:pPr>
              <w:keepNext w:val="0"/>
              <w:keepLines w:val="0"/>
              <w:widowControl/>
              <w:suppressLineNumbers w:val="0"/>
              <w:jc w:val="center"/>
              <w:rPr>
                <w:rFonts w:hint="eastAsia" w:ascii="宋体" w:hAnsi="宋体" w:cs="宋体"/>
                <w:color w:val="auto"/>
                <w:kern w:val="0"/>
                <w:sz w:val="24"/>
                <w:lang w:val="en-US" w:eastAsia="zh-CN"/>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满意度≥95%</w:t>
            </w:r>
          </w:p>
          <w:p>
            <w:pPr>
              <w:keepNext w:val="0"/>
              <w:keepLines w:val="0"/>
              <w:widowControl/>
              <w:suppressLineNumbers w:val="0"/>
              <w:jc w:val="center"/>
              <w:rPr>
                <w:rFonts w:hint="eastAsia" w:ascii="宋体" w:hAnsi="宋体" w:cs="宋体"/>
                <w:color w:val="auto"/>
                <w:kern w:val="0"/>
                <w:sz w:val="24"/>
                <w:lang w:val="en-US" w:eastAsia="zh-CN"/>
              </w:rPr>
            </w:pP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满意度≥95%</w:t>
            </w:r>
          </w:p>
          <w:p>
            <w:pPr>
              <w:keepNext w:val="0"/>
              <w:keepLines w:val="0"/>
              <w:widowControl/>
              <w:suppressLineNumbers w:val="0"/>
              <w:jc w:val="center"/>
              <w:rPr>
                <w:rFonts w:hint="eastAsia" w:ascii="宋体" w:hAnsi="宋体" w:cs="宋体"/>
                <w:color w:val="auto"/>
                <w:kern w:val="0"/>
                <w:sz w:val="24"/>
                <w:lang w:val="en-US" w:eastAsia="zh-CN"/>
              </w:rPr>
            </w:pPr>
          </w:p>
        </w:tc>
      </w:tr>
    </w:tbl>
    <w:p>
      <w:pPr>
        <w:spacing w:line="600" w:lineRule="exact"/>
        <w:jc w:val="center"/>
        <w:rPr>
          <w:rFonts w:hint="eastAsia" w:ascii="方正小标宋简体" w:hAnsi="方正小标宋简体" w:eastAsia="方正小标宋简体" w:cs="方正小标宋简体"/>
          <w:color w:val="auto"/>
          <w:sz w:val="40"/>
          <w:szCs w:val="40"/>
        </w:rPr>
      </w:pPr>
    </w:p>
    <w:p>
      <w:pPr>
        <w:spacing w:line="600" w:lineRule="exact"/>
        <w:jc w:val="center"/>
        <w:rPr>
          <w:rFonts w:hint="eastAsia" w:ascii="方正小标宋简体" w:hAnsi="方正小标宋简体" w:eastAsia="方正小标宋简体" w:cs="方正小标宋简体"/>
          <w:color w:val="auto"/>
          <w:sz w:val="40"/>
          <w:szCs w:val="40"/>
        </w:rPr>
      </w:pPr>
    </w:p>
    <w:p>
      <w:pPr>
        <w:spacing w:line="600" w:lineRule="exact"/>
        <w:jc w:val="center"/>
        <w:rPr>
          <w:rFonts w:hint="eastAsia" w:ascii="方正小标宋简体" w:hAnsi="方正小标宋简体" w:eastAsia="方正小标宋简体" w:cs="方正小标宋简体"/>
          <w:color w:val="auto"/>
          <w:sz w:val="40"/>
          <w:szCs w:val="40"/>
        </w:rPr>
      </w:pPr>
    </w:p>
    <w:p>
      <w:pPr>
        <w:spacing w:line="60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攀枝花市</w:t>
      </w:r>
      <w:r>
        <w:rPr>
          <w:rFonts w:hint="eastAsia" w:ascii="方正小标宋_GBK" w:hAnsi="方正小标宋_GBK" w:eastAsia="方正小标宋_GBK" w:cs="方正小标宋_GBK"/>
          <w:color w:val="auto"/>
          <w:sz w:val="44"/>
          <w:szCs w:val="44"/>
          <w:lang w:eastAsia="zh-CN"/>
        </w:rPr>
        <w:t>西</w:t>
      </w:r>
      <w:r>
        <w:rPr>
          <w:rFonts w:hint="eastAsia" w:ascii="方正小标宋_GBK" w:hAnsi="方正小标宋_GBK" w:eastAsia="方正小标宋_GBK" w:cs="方正小标宋_GBK"/>
          <w:color w:val="auto"/>
          <w:sz w:val="44"/>
          <w:szCs w:val="44"/>
        </w:rPr>
        <w:t xml:space="preserve">区水利局 </w:t>
      </w:r>
    </w:p>
    <w:p>
      <w:pPr>
        <w:spacing w:line="600" w:lineRule="exact"/>
        <w:jc w:val="center"/>
        <w:rPr>
          <w:rFonts w:hint="eastAsia" w:ascii="方正小标宋简体" w:hAnsi="方正小标宋简体" w:eastAsia="方正小标宋简体" w:cs="方正小标宋简体"/>
          <w:color w:val="auto"/>
          <w:sz w:val="40"/>
          <w:szCs w:val="40"/>
        </w:rPr>
      </w:pPr>
      <w:r>
        <w:rPr>
          <w:rFonts w:hint="eastAsia" w:ascii="方正小标宋_GBK" w:hAnsi="方正小标宋_GBK" w:eastAsia="方正小标宋_GBK" w:cs="方正小标宋_GBK"/>
          <w:color w:val="auto"/>
          <w:sz w:val="44"/>
          <w:szCs w:val="44"/>
        </w:rPr>
        <w:t>202</w:t>
      </w:r>
      <w:r>
        <w:rPr>
          <w:rFonts w:hint="eastAsia" w:ascii="方正小标宋_GBK" w:hAnsi="方正小标宋_GBK" w:eastAsia="方正小标宋_GBK" w:cs="方正小标宋_GBK"/>
          <w:color w:val="auto"/>
          <w:sz w:val="44"/>
          <w:szCs w:val="44"/>
          <w:lang w:val="en-US" w:eastAsia="zh-CN"/>
        </w:rPr>
        <w:t>1</w:t>
      </w:r>
      <w:r>
        <w:rPr>
          <w:rFonts w:hint="eastAsia" w:ascii="方正小标宋_GBK" w:hAnsi="方正小标宋_GBK" w:eastAsia="方正小标宋_GBK" w:cs="方正小标宋_GBK"/>
          <w:color w:val="auto"/>
          <w:sz w:val="44"/>
          <w:szCs w:val="44"/>
        </w:rPr>
        <w:t>年度部门预算项目支出绩效自评报告</w:t>
      </w:r>
    </w:p>
    <w:p>
      <w:pPr>
        <w:ind w:firstLine="400"/>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2021年</w:t>
      </w:r>
      <w:r>
        <w:rPr>
          <w:rFonts w:hint="default" w:ascii="Times New Roman" w:hAnsi="Times New Roman" w:eastAsia="楷体_GB2312" w:cs="Times New Roman"/>
          <w:sz w:val="32"/>
          <w:szCs w:val="32"/>
        </w:rPr>
        <w:t>防汛</w:t>
      </w:r>
      <w:r>
        <w:rPr>
          <w:rFonts w:hint="default" w:ascii="Times New Roman" w:hAnsi="Times New Roman" w:eastAsia="楷体_GB2312" w:cs="Times New Roman"/>
          <w:sz w:val="32"/>
          <w:szCs w:val="32"/>
          <w:lang w:val="en-US" w:eastAsia="zh-CN"/>
        </w:rPr>
        <w:t>抗旱</w:t>
      </w:r>
      <w:r>
        <w:rPr>
          <w:rFonts w:hint="default" w:ascii="Times New Roman" w:hAnsi="Times New Roman" w:eastAsia="楷体_GB2312" w:cs="Times New Roman"/>
          <w:sz w:val="32"/>
          <w:szCs w:val="32"/>
        </w:rPr>
        <w:t>经费）</w:t>
      </w:r>
    </w:p>
    <w:p>
      <w:pPr>
        <w:numPr>
          <w:ilvl w:val="0"/>
          <w:numId w:val="0"/>
        </w:numPr>
        <w:ind w:firstLine="640" w:firstLineChars="200"/>
        <w:jc w:val="both"/>
        <w:rPr>
          <w:rFonts w:hint="default" w:ascii="Times New Roman" w:hAnsi="Times New Roman" w:eastAsia="黑体" w:cs="Times New Roman"/>
          <w:sz w:val="32"/>
          <w:szCs w:val="32"/>
          <w:lang w:val="en-US" w:eastAsia="zh-CN"/>
        </w:rPr>
      </w:pPr>
    </w:p>
    <w:p>
      <w:pPr>
        <w:numPr>
          <w:ilvl w:val="0"/>
          <w:numId w:val="0"/>
        </w:numPr>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 xml:space="preserve">项目概况 </w:t>
      </w:r>
    </w:p>
    <w:p>
      <w:pPr>
        <w:numPr>
          <w:ilvl w:val="0"/>
          <w:numId w:val="0"/>
        </w:numPr>
        <w:ind w:firstLine="640" w:firstLineChars="200"/>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（一）项目基本情况。 </w:t>
      </w:r>
    </w:p>
    <w:p>
      <w:pPr>
        <w:numPr>
          <w:ilvl w:val="0"/>
          <w:numId w:val="0"/>
        </w:numPr>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 xml:space="preserve">落实综合防灾减灾规划相关要求，组织编制并实施洪水干旱灾害防治规划和防护标准；承担水情旱情监测预警工作；组织编制区内重要江河湖泊、水库和重要水工程的防御洪水、抗御旱灾调度和应急水量调度方案，按程序报批并组织实施；承担防御洪水应急抢险的技术保障工作。 </w:t>
      </w:r>
    </w:p>
    <w:p>
      <w:pPr>
        <w:numPr>
          <w:ilvl w:val="0"/>
          <w:numId w:val="0"/>
        </w:numPr>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资金申报依据：年初部门预算</w:t>
      </w:r>
      <w:r>
        <w:rPr>
          <w:rFonts w:hint="default" w:ascii="Times New Roman" w:hAnsi="Times New Roman" w:eastAsia="仿宋_GB2312" w:cs="Times New Roman"/>
          <w:sz w:val="32"/>
          <w:szCs w:val="32"/>
          <w:lang w:eastAsia="zh-CN"/>
        </w:rPr>
        <w:t>。</w:t>
      </w:r>
    </w:p>
    <w:p>
      <w:pPr>
        <w:numPr>
          <w:ilvl w:val="0"/>
          <w:numId w:val="0"/>
        </w:numPr>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资金管理办法制定情况：</w:t>
      </w:r>
      <w:r>
        <w:rPr>
          <w:rFonts w:hint="default" w:ascii="Times New Roman" w:hAnsi="Times New Roman" w:eastAsia="仿宋_GB2312" w:cs="Times New Roman"/>
          <w:color w:val="auto"/>
          <w:sz w:val="32"/>
          <w:szCs w:val="32"/>
          <w:lang w:val="en-US" w:eastAsia="zh-CN"/>
        </w:rPr>
        <w:t>7</w:t>
      </w:r>
      <w:r>
        <w:rPr>
          <w:rFonts w:hint="eastAsia" w:eastAsia="仿宋_GB2312" w:cs="Times New Roman"/>
          <w:color w:val="auto"/>
          <w:sz w:val="32"/>
          <w:szCs w:val="32"/>
          <w:lang w:val="en-US" w:eastAsia="zh-CN"/>
        </w:rPr>
        <w:t>.00万</w:t>
      </w:r>
      <w:r>
        <w:rPr>
          <w:rFonts w:hint="default" w:ascii="Times New Roman" w:hAnsi="Times New Roman" w:eastAsia="仿宋_GB2312" w:cs="Times New Roman"/>
          <w:sz w:val="32"/>
          <w:szCs w:val="32"/>
        </w:rPr>
        <w:t xml:space="preserve">元资金用于坚持以人为本、依法防控、科学防控，确保人民群众生命和财产安全，确保防汛工作顺利开展，通过银行转账方式进行支付。 </w:t>
      </w:r>
    </w:p>
    <w:p>
      <w:pPr>
        <w:numPr>
          <w:ilvl w:val="0"/>
          <w:numId w:val="0"/>
        </w:numPr>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资金分配</w:t>
      </w:r>
      <w:r>
        <w:rPr>
          <w:rFonts w:hint="default" w:ascii="Times New Roman" w:hAnsi="Times New Roman" w:eastAsia="仿宋_GB2312" w:cs="Times New Roman"/>
          <w:sz w:val="32"/>
          <w:szCs w:val="32"/>
          <w:lang w:val="en-US" w:eastAsia="zh-CN"/>
        </w:rPr>
        <w:t>主要</w:t>
      </w:r>
      <w:r>
        <w:rPr>
          <w:rFonts w:hint="default" w:ascii="Times New Roman" w:hAnsi="Times New Roman" w:eastAsia="仿宋_GB2312" w:cs="Times New Roman"/>
          <w:sz w:val="32"/>
          <w:szCs w:val="32"/>
        </w:rPr>
        <w:t>按照防汛</w:t>
      </w:r>
      <w:r>
        <w:rPr>
          <w:rFonts w:hint="default" w:ascii="Times New Roman" w:hAnsi="Times New Roman" w:eastAsia="仿宋_GB2312" w:cs="Times New Roman"/>
          <w:sz w:val="32"/>
          <w:szCs w:val="32"/>
          <w:lang w:val="en-US" w:eastAsia="zh-CN"/>
        </w:rPr>
        <w:t>值班电话</w:t>
      </w:r>
      <w:r>
        <w:rPr>
          <w:rFonts w:hint="default" w:ascii="Times New Roman" w:hAnsi="Times New Roman" w:eastAsia="仿宋_GB2312" w:cs="Times New Roman"/>
          <w:sz w:val="32"/>
          <w:szCs w:val="32"/>
        </w:rPr>
        <w:t>、防汛应急监测值守进行分配，值守人数</w:t>
      </w:r>
      <w:r>
        <w:rPr>
          <w:rFonts w:hint="default" w:ascii="Times New Roman" w:hAnsi="Times New Roman" w:eastAsia="仿宋_GB2312" w:cs="Times New Roman"/>
          <w:sz w:val="32"/>
          <w:szCs w:val="32"/>
          <w:lang w:val="en-US" w:eastAsia="zh-CN"/>
        </w:rPr>
        <w:t>为单位全体在编</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val="en-US" w:eastAsia="zh-CN"/>
        </w:rPr>
        <w:t>员。</w:t>
      </w:r>
    </w:p>
    <w:p>
      <w:pPr>
        <w:numPr>
          <w:ilvl w:val="0"/>
          <w:numId w:val="0"/>
        </w:numPr>
        <w:jc w:val="both"/>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 xml:space="preserve">项目绩效目标。 </w:t>
      </w:r>
    </w:p>
    <w:p>
      <w:pPr>
        <w:numPr>
          <w:ilvl w:val="0"/>
          <w:numId w:val="0"/>
        </w:numPr>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完成防汛</w:t>
      </w:r>
      <w:r>
        <w:rPr>
          <w:rFonts w:hint="default" w:ascii="Times New Roman" w:hAnsi="Times New Roman" w:eastAsia="仿宋_GB2312" w:cs="Times New Roman"/>
          <w:sz w:val="32"/>
          <w:szCs w:val="32"/>
          <w:lang w:val="en-US" w:eastAsia="zh-CN"/>
        </w:rPr>
        <w:t>值班电话通畅</w:t>
      </w:r>
      <w:r>
        <w:rPr>
          <w:rFonts w:hint="default" w:ascii="Times New Roman" w:hAnsi="Times New Roman" w:eastAsia="仿宋_GB2312" w:cs="Times New Roman"/>
          <w:sz w:val="32"/>
          <w:szCs w:val="32"/>
        </w:rPr>
        <w:t>，汛期开展值班值守，保障人民群众生命财产安全。2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开展防汛工作合计支出</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.42万</w:t>
      </w:r>
      <w:r>
        <w:rPr>
          <w:rFonts w:hint="default" w:ascii="Times New Roman" w:hAnsi="Times New Roman" w:eastAsia="仿宋_GB2312" w:cs="Times New Roman"/>
          <w:sz w:val="32"/>
          <w:szCs w:val="32"/>
        </w:rPr>
        <w:t>元，按照实际制作情况进行支付，项目已完成</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%。未完成支付是由于财经纪律</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要求，将</w:t>
      </w:r>
      <w:r>
        <w:rPr>
          <w:rFonts w:hint="eastAsia" w:eastAsia="仿宋_GB2312" w:cs="Times New Roman"/>
          <w:sz w:val="32"/>
          <w:szCs w:val="32"/>
          <w:lang w:val="en-US" w:eastAsia="zh-CN"/>
        </w:rPr>
        <w:t>1.07万</w:t>
      </w:r>
      <w:r>
        <w:rPr>
          <w:rFonts w:hint="default" w:ascii="Times New Roman" w:hAnsi="Times New Roman" w:eastAsia="仿宋_GB2312" w:cs="Times New Roman"/>
          <w:sz w:val="32"/>
          <w:szCs w:val="32"/>
        </w:rPr>
        <w:t>元值守费用退回至财政国库。3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申报内容与实际相符，申报目标合理可行。</w:t>
      </w:r>
    </w:p>
    <w:p>
      <w:pPr>
        <w:numPr>
          <w:ilvl w:val="0"/>
          <w:numId w:val="0"/>
        </w:numPr>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二、项目资金申报及使用情况 </w:t>
      </w:r>
    </w:p>
    <w:p>
      <w:pPr>
        <w:numPr>
          <w:ilvl w:val="0"/>
          <w:numId w:val="0"/>
        </w:numPr>
        <w:ind w:firstLine="640" w:firstLineChars="200"/>
        <w:jc w:val="both"/>
        <w:rPr>
          <w:rFonts w:hint="default" w:ascii="Times New Roman" w:hAnsi="Times New Roman" w:eastAsia="楷体" w:cs="Times New Roman"/>
          <w:sz w:val="32"/>
          <w:szCs w:val="32"/>
        </w:rPr>
      </w:pPr>
      <w:r>
        <w:rPr>
          <w:rFonts w:hint="default" w:ascii="Times New Roman" w:hAnsi="Times New Roman" w:eastAsia="楷体_GB2312" w:cs="Times New Roman"/>
          <w:sz w:val="32"/>
          <w:szCs w:val="32"/>
          <w:lang w:eastAsia="zh-CN"/>
        </w:rPr>
        <w:t>（一）项目资金申报及批复情况。</w:t>
      </w:r>
      <w:r>
        <w:rPr>
          <w:rFonts w:hint="default" w:ascii="Times New Roman" w:hAnsi="Times New Roman" w:eastAsia="楷体" w:cs="Times New Roman"/>
          <w:sz w:val="32"/>
          <w:szCs w:val="32"/>
        </w:rPr>
        <w:t xml:space="preserve"> </w:t>
      </w:r>
    </w:p>
    <w:p>
      <w:pPr>
        <w:numPr>
          <w:ilvl w:val="0"/>
          <w:numId w:val="0"/>
        </w:numPr>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该项目资金申报数为</w:t>
      </w:r>
      <w:r>
        <w:rPr>
          <w:rFonts w:hint="default" w:ascii="Times New Roman" w:hAnsi="Times New Roman" w:eastAsia="仿宋_GB2312" w:cs="Times New Roman"/>
          <w:color w:val="auto"/>
          <w:sz w:val="32"/>
          <w:szCs w:val="32"/>
          <w:lang w:val="en-US" w:eastAsia="zh-CN"/>
        </w:rPr>
        <w:t>7</w:t>
      </w:r>
      <w:r>
        <w:rPr>
          <w:rFonts w:hint="eastAsia" w:eastAsia="仿宋_GB2312" w:cs="Times New Roman"/>
          <w:color w:val="auto"/>
          <w:sz w:val="32"/>
          <w:szCs w:val="32"/>
          <w:lang w:val="en-US" w:eastAsia="zh-CN"/>
        </w:rPr>
        <w:t>.00万</w:t>
      </w:r>
      <w:r>
        <w:rPr>
          <w:rFonts w:hint="default" w:ascii="Times New Roman" w:hAnsi="Times New Roman" w:eastAsia="仿宋_GB2312" w:cs="Times New Roman"/>
          <w:sz w:val="32"/>
          <w:szCs w:val="32"/>
        </w:rPr>
        <w:t>元，年初预算数为</w:t>
      </w:r>
      <w:r>
        <w:rPr>
          <w:rFonts w:hint="default" w:ascii="Times New Roman" w:hAnsi="Times New Roman" w:eastAsia="仿宋_GB2312" w:cs="Times New Roman"/>
          <w:color w:val="auto"/>
          <w:sz w:val="32"/>
          <w:szCs w:val="32"/>
          <w:lang w:val="en-US" w:eastAsia="zh-CN"/>
        </w:rPr>
        <w:t>7</w:t>
      </w:r>
      <w:r>
        <w:rPr>
          <w:rFonts w:hint="eastAsia" w:eastAsia="仿宋_GB2312" w:cs="Times New Roman"/>
          <w:color w:val="auto"/>
          <w:sz w:val="32"/>
          <w:szCs w:val="32"/>
          <w:lang w:val="en-US" w:eastAsia="zh-CN"/>
        </w:rPr>
        <w:t>.00万</w:t>
      </w:r>
      <w:r>
        <w:rPr>
          <w:rFonts w:hint="default" w:ascii="Times New Roman" w:hAnsi="Times New Roman" w:eastAsia="仿宋_GB2312" w:cs="Times New Roman"/>
          <w:sz w:val="32"/>
          <w:szCs w:val="32"/>
        </w:rPr>
        <w:t xml:space="preserve">元。 </w:t>
      </w:r>
    </w:p>
    <w:p>
      <w:pPr>
        <w:numPr>
          <w:ilvl w:val="0"/>
          <w:numId w:val="0"/>
        </w:numPr>
        <w:ind w:firstLine="640" w:firstLineChars="200"/>
        <w:jc w:val="both"/>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（二）资金计划、到位及使用情况。</w:t>
      </w:r>
    </w:p>
    <w:p>
      <w:pPr>
        <w:numPr>
          <w:ilvl w:val="0"/>
          <w:numId w:val="0"/>
        </w:numPr>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资金计划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该项目为区级配套资金。 </w:t>
      </w:r>
    </w:p>
    <w:p>
      <w:pPr>
        <w:numPr>
          <w:ilvl w:val="0"/>
          <w:numId w:val="0"/>
        </w:numPr>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资金到位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该项目全区资金到位</w:t>
      </w:r>
      <w:r>
        <w:rPr>
          <w:rFonts w:hint="default" w:ascii="Times New Roman" w:hAnsi="Times New Roman" w:eastAsia="仿宋_GB2312" w:cs="Times New Roman"/>
          <w:color w:val="auto"/>
          <w:sz w:val="32"/>
          <w:szCs w:val="32"/>
          <w:lang w:val="en-US" w:eastAsia="zh-CN"/>
        </w:rPr>
        <w:t>7</w:t>
      </w:r>
      <w:r>
        <w:rPr>
          <w:rFonts w:hint="eastAsia" w:eastAsia="仿宋_GB2312" w:cs="Times New Roman"/>
          <w:color w:val="auto"/>
          <w:sz w:val="32"/>
          <w:szCs w:val="32"/>
          <w:lang w:val="en-US" w:eastAsia="zh-CN"/>
        </w:rPr>
        <w:t>.00万</w:t>
      </w:r>
      <w:r>
        <w:rPr>
          <w:rFonts w:hint="default" w:ascii="Times New Roman" w:hAnsi="Times New Roman" w:eastAsia="仿宋_GB2312" w:cs="Times New Roman"/>
          <w:sz w:val="32"/>
          <w:szCs w:val="32"/>
        </w:rPr>
        <w:t xml:space="preserve">元。 </w:t>
      </w:r>
    </w:p>
    <w:p>
      <w:pPr>
        <w:numPr>
          <w:ilvl w:val="0"/>
          <w:numId w:val="0"/>
        </w:numPr>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资金使用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该项目资金已于2021年</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月至10月支出</w:t>
      </w:r>
      <w:r>
        <w:rPr>
          <w:rFonts w:hint="eastAsia" w:eastAsia="仿宋_GB2312" w:cs="Times New Roman"/>
          <w:sz w:val="32"/>
          <w:szCs w:val="32"/>
          <w:lang w:val="en-US" w:eastAsia="zh-CN"/>
        </w:rPr>
        <w:t>1.42万</w:t>
      </w:r>
      <w:r>
        <w:rPr>
          <w:rFonts w:hint="default" w:ascii="Times New Roman" w:hAnsi="Times New Roman" w:eastAsia="仿宋_GB2312" w:cs="Times New Roman"/>
          <w:sz w:val="32"/>
          <w:szCs w:val="32"/>
        </w:rPr>
        <w:t>元，该项目资金支付范围、支付标准、支付进度、支付依据合规合法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与预算相符。</w:t>
      </w:r>
    </w:p>
    <w:p>
      <w:pPr>
        <w:numPr>
          <w:ilvl w:val="0"/>
          <w:numId w:val="0"/>
        </w:numPr>
        <w:ind w:firstLine="640" w:firstLineChars="200"/>
        <w:jc w:val="both"/>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（三）项目财务管理情况。</w:t>
      </w:r>
    </w:p>
    <w:p>
      <w:pPr>
        <w:numPr>
          <w:ilvl w:val="0"/>
          <w:numId w:val="0"/>
        </w:numPr>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我单位财务管理制度较健全，根据我单位内部控制制度， 对财务报销、资金支付、财务资料管理等细项做出了明确规 定。在经济活动的开展过程中，我单位严格执行财务管理制度报销、支付，并在次月初及时对上月资经济业务进行账务处理。 </w:t>
      </w:r>
    </w:p>
    <w:p>
      <w:pPr>
        <w:numPr>
          <w:ilvl w:val="0"/>
          <w:numId w:val="0"/>
        </w:numPr>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三、项目实施及管理情况</w:t>
      </w:r>
    </w:p>
    <w:p>
      <w:pPr>
        <w:numPr>
          <w:ilvl w:val="0"/>
          <w:numId w:val="0"/>
        </w:numPr>
        <w:ind w:firstLine="640" w:firstLineChars="200"/>
        <w:jc w:val="both"/>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（一）项目组织架构及实施流程。</w:t>
      </w:r>
    </w:p>
    <w:p>
      <w:pPr>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该项目由我单位防汛抗旱股室工作人员编制申报表报送财政申请财政资金，待财政资金下达后，由财务人员在大平台系统上申请财政指标，财政审核通过后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进行资金拨付。</w:t>
      </w:r>
    </w:p>
    <w:p>
      <w:pPr>
        <w:numPr>
          <w:ilvl w:val="0"/>
          <w:numId w:val="0"/>
        </w:numPr>
        <w:ind w:firstLine="640" w:firstLineChars="200"/>
        <w:jc w:val="both"/>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（二）项目管理情况。</w:t>
      </w:r>
    </w:p>
    <w:p>
      <w:pPr>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该项目经由防汛抗旱股室工作人员按照防汛工作、汛期值班值守情况，确保平稳度汛。</w:t>
      </w:r>
    </w:p>
    <w:p>
      <w:pPr>
        <w:numPr>
          <w:ilvl w:val="0"/>
          <w:numId w:val="0"/>
        </w:numPr>
        <w:ind w:firstLine="640" w:firstLineChars="200"/>
        <w:jc w:val="both"/>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lang w:eastAsia="zh-CN"/>
        </w:rPr>
        <w:t>）项目监管情况。</w:t>
      </w:r>
    </w:p>
    <w:p>
      <w:pPr>
        <w:numPr>
          <w:ilvl w:val="0"/>
          <w:numId w:val="0"/>
        </w:numPr>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为确保确保重点公共设施安全，确保重点水利工程安全，确保重要公路、铁路等交通干线安全，确保</w:t>
      </w:r>
      <w:r>
        <w:rPr>
          <w:rFonts w:hint="default" w:ascii="Times New Roman" w:hAnsi="Times New Roman" w:eastAsia="仿宋_GB2312" w:cs="Times New Roman"/>
          <w:sz w:val="32"/>
          <w:szCs w:val="32"/>
          <w:lang w:eastAsia="zh-CN"/>
        </w:rPr>
        <w:t>城镇</w:t>
      </w:r>
      <w:r>
        <w:rPr>
          <w:rFonts w:hint="default" w:ascii="Times New Roman" w:hAnsi="Times New Roman" w:eastAsia="仿宋_GB2312" w:cs="Times New Roman"/>
          <w:sz w:val="32"/>
          <w:szCs w:val="32"/>
        </w:rPr>
        <w:t xml:space="preserve">安全，主动向财政申请资金并及时进行项目资金的拨付，有效进行项目监管工作。 </w:t>
      </w:r>
    </w:p>
    <w:p>
      <w:pPr>
        <w:numPr>
          <w:ilvl w:val="0"/>
          <w:numId w:val="0"/>
        </w:numPr>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 xml:space="preserve">项目绩效情况 </w:t>
      </w:r>
    </w:p>
    <w:p>
      <w:pPr>
        <w:numPr>
          <w:ilvl w:val="0"/>
          <w:numId w:val="0"/>
        </w:numPr>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lang w:eastAsia="zh-CN"/>
        </w:rPr>
        <w:t>）项目完成情况</w:t>
      </w:r>
      <w:r>
        <w:rPr>
          <w:rFonts w:hint="default" w:ascii="Times New Roman" w:hAnsi="Times New Roman" w:eastAsia="楷体" w:cs="Times New Roman"/>
          <w:sz w:val="32"/>
          <w:szCs w:val="32"/>
          <w:lang w:eastAsia="zh-CN"/>
        </w:rPr>
        <w:t>。</w:t>
      </w:r>
      <w:r>
        <w:rPr>
          <w:rFonts w:hint="default" w:ascii="Times New Roman" w:hAnsi="Times New Roman" w:eastAsia="仿宋_GB2312" w:cs="Times New Roman"/>
          <w:sz w:val="32"/>
          <w:szCs w:val="32"/>
        </w:rPr>
        <w:t xml:space="preserve"> </w:t>
      </w:r>
    </w:p>
    <w:p>
      <w:pPr>
        <w:numPr>
          <w:ilvl w:val="0"/>
          <w:numId w:val="0"/>
        </w:numPr>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完成防汛物资采购，</w:t>
      </w:r>
      <w:r>
        <w:rPr>
          <w:rFonts w:hint="default" w:ascii="Times New Roman" w:hAnsi="Times New Roman" w:eastAsia="仿宋_GB2312" w:cs="Times New Roman"/>
          <w:sz w:val="32"/>
          <w:szCs w:val="32"/>
          <w:lang w:val="en-US" w:eastAsia="zh-CN"/>
        </w:rPr>
        <w:t>保障防汛值班电话畅通</w:t>
      </w:r>
      <w:r>
        <w:rPr>
          <w:rFonts w:hint="default" w:ascii="Times New Roman" w:hAnsi="Times New Roman" w:eastAsia="仿宋_GB2312" w:cs="Times New Roman"/>
          <w:sz w:val="32"/>
          <w:szCs w:val="32"/>
        </w:rPr>
        <w:t>，提高防汛</w:t>
      </w:r>
      <w:r>
        <w:rPr>
          <w:rFonts w:hint="default" w:ascii="Times New Roman" w:hAnsi="Times New Roman" w:eastAsia="仿宋_GB2312" w:cs="Times New Roman"/>
          <w:sz w:val="32"/>
          <w:szCs w:val="32"/>
          <w:lang w:val="en-US" w:eastAsia="zh-CN"/>
        </w:rPr>
        <w:t>减灾信息通达</w:t>
      </w:r>
      <w:r>
        <w:rPr>
          <w:rFonts w:hint="default" w:ascii="Times New Roman" w:hAnsi="Times New Roman" w:eastAsia="仿宋_GB2312" w:cs="Times New Roman"/>
          <w:sz w:val="32"/>
          <w:szCs w:val="32"/>
        </w:rPr>
        <w:t>能力；汛期</w:t>
      </w:r>
      <w:r>
        <w:rPr>
          <w:rFonts w:hint="default" w:ascii="Times New Roman" w:hAnsi="Times New Roman" w:eastAsia="仿宋_GB2312" w:cs="Times New Roman"/>
          <w:sz w:val="32"/>
          <w:szCs w:val="32"/>
          <w:lang w:val="en-US" w:eastAsia="zh-CN"/>
        </w:rPr>
        <w:t>全单位在编员工</w:t>
      </w:r>
      <w:r>
        <w:rPr>
          <w:rFonts w:hint="default" w:ascii="Times New Roman" w:hAnsi="Times New Roman" w:eastAsia="仿宋_GB2312" w:cs="Times New Roman"/>
          <w:sz w:val="32"/>
          <w:szCs w:val="32"/>
        </w:rPr>
        <w:t>开展值班值守，及时接收、传达上级有关防汛、抢险救灾的信息、调度计划、指令、决策等；及时了解本地区实时雨情、水情、灾情和防汛、抢险救灾情况，并报告带班领导、上级主管部门和区委、区政府。保障人民群众生命财产安全，已于2021年5月支付</w:t>
      </w:r>
      <w:r>
        <w:rPr>
          <w:rFonts w:hint="default" w:ascii="Times New Roman" w:hAnsi="Times New Roman" w:eastAsia="仿宋_GB2312" w:cs="Times New Roman"/>
          <w:sz w:val="32"/>
          <w:szCs w:val="32"/>
          <w:lang w:val="en-US" w:eastAsia="zh-CN"/>
        </w:rPr>
        <w:t>一次</w:t>
      </w:r>
      <w:r>
        <w:rPr>
          <w:rFonts w:hint="default" w:ascii="Times New Roman" w:hAnsi="Times New Roman" w:eastAsia="仿宋_GB2312" w:cs="Times New Roman"/>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 xml:space="preserve">（二）项目效益情况。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社会效益指标方面，全面提升全区汛期防汛应对能力，确保重点公共设施安全，确保重点水利工程安全，确保重要 公路、铁路等交通干线安全，确保城镇安全。 </w:t>
      </w:r>
    </w:p>
    <w:p>
      <w:pPr>
        <w:numPr>
          <w:ilvl w:val="0"/>
          <w:numId w:val="0"/>
        </w:numPr>
        <w:ind w:left="600" w:leftChars="0"/>
        <w:jc w:val="both"/>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 xml:space="preserve">评价结论及建议 </w:t>
      </w:r>
    </w:p>
    <w:p>
      <w:pPr>
        <w:numPr>
          <w:ilvl w:val="0"/>
          <w:numId w:val="0"/>
        </w:numPr>
        <w:ind w:leftChars="200"/>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lang w:eastAsia="zh-CN"/>
        </w:rPr>
        <w:t>）评价结论。</w:t>
      </w:r>
      <w:r>
        <w:rPr>
          <w:rFonts w:hint="default" w:ascii="Times New Roman" w:hAnsi="Times New Roman" w:eastAsia="楷体_GB2312" w:cs="Times New Roman"/>
          <w:sz w:val="32"/>
          <w:szCs w:val="32"/>
        </w:rPr>
        <w:t xml:space="preserve"> </w:t>
      </w:r>
    </w:p>
    <w:p>
      <w:pPr>
        <w:numPr>
          <w:ilvl w:val="0"/>
          <w:numId w:val="0"/>
        </w:numPr>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该项目实现了超过95%的群众满意度和区委、区政府和 上级主管部门满意度，按照时间节点完成资金拨付，保证全区提升汛期防汛应对能力，并有效进行管理，防汛工作顺利实现了100%的完成率。 </w:t>
      </w:r>
    </w:p>
    <w:p>
      <w:pPr>
        <w:numPr>
          <w:ilvl w:val="0"/>
          <w:numId w:val="0"/>
        </w:numPr>
        <w:ind w:leftChars="200"/>
        <w:jc w:val="both"/>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lang w:eastAsia="zh-CN"/>
        </w:rPr>
        <w:t>）存在的问题。</w:t>
      </w:r>
    </w:p>
    <w:p>
      <w:pPr>
        <w:numPr>
          <w:ilvl w:val="0"/>
          <w:numId w:val="0"/>
        </w:numPr>
        <w:ind w:leftChars="200" w:firstLine="320" w:firstLineChars="100"/>
        <w:jc w:val="both"/>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val="en-US" w:eastAsia="zh-CN"/>
        </w:rPr>
        <w:t>无</w:t>
      </w:r>
      <w:r>
        <w:rPr>
          <w:rFonts w:hint="eastAsia" w:ascii="楷体" w:hAnsi="楷体" w:eastAsia="楷体" w:cs="楷体"/>
          <w:sz w:val="32"/>
          <w:szCs w:val="32"/>
          <w:lang w:val="en-US" w:eastAsia="zh-CN"/>
        </w:rPr>
        <w:t>。</w:t>
      </w:r>
    </w:p>
    <w:tbl>
      <w:tblPr>
        <w:tblStyle w:val="13"/>
        <w:tblpPr w:leftFromText="180" w:rightFromText="180" w:vertAnchor="text" w:horzAnchor="page" w:tblpXSpec="center" w:tblpY="660"/>
        <w:tblOverlap w:val="never"/>
        <w:tblW w:w="9811" w:type="dxa"/>
        <w:jc w:val="center"/>
        <w:tblLayout w:type="fixed"/>
        <w:tblCellMar>
          <w:top w:w="0" w:type="dxa"/>
          <w:left w:w="108" w:type="dxa"/>
          <w:bottom w:w="0" w:type="dxa"/>
          <w:right w:w="108" w:type="dxa"/>
        </w:tblCellMar>
      </w:tblPr>
      <w:tblGrid>
        <w:gridCol w:w="1976"/>
        <w:gridCol w:w="1142"/>
        <w:gridCol w:w="1635"/>
        <w:gridCol w:w="1316"/>
        <w:gridCol w:w="1097"/>
        <w:gridCol w:w="2409"/>
        <w:gridCol w:w="236"/>
      </w:tblGrid>
      <w:tr>
        <w:tblPrEx>
          <w:tblCellMar>
            <w:top w:w="0" w:type="dxa"/>
            <w:left w:w="108" w:type="dxa"/>
            <w:bottom w:w="0" w:type="dxa"/>
            <w:right w:w="108" w:type="dxa"/>
          </w:tblCellMar>
        </w:tblPrEx>
        <w:trPr>
          <w:trHeight w:val="675" w:hRule="atLeast"/>
          <w:jc w:val="center"/>
        </w:trPr>
        <w:tc>
          <w:tcPr>
            <w:tcW w:w="9575" w:type="dxa"/>
            <w:gridSpan w:val="6"/>
            <w:tcBorders>
              <w:top w:val="nil"/>
              <w:left w:val="nil"/>
              <w:bottom w:val="nil"/>
              <w:right w:val="nil"/>
            </w:tcBorders>
            <w:shd w:val="clear" w:color="auto" w:fill="auto"/>
            <w:vAlign w:val="center"/>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2021年部门预算项目绩效目标自评</w:t>
            </w:r>
          </w:p>
          <w:p>
            <w:pPr>
              <w:keepNext w:val="0"/>
              <w:keepLines w:val="0"/>
              <w:widowControl/>
              <w:suppressLineNumbers w:val="0"/>
              <w:jc w:val="center"/>
              <w:rPr>
                <w:rFonts w:hint="eastAsia"/>
              </w:rPr>
            </w:pPr>
            <w:r>
              <w:rPr>
                <w:rFonts w:hint="eastAsia" w:ascii="宋体" w:hAnsi="宋体" w:cs="宋体"/>
                <w:color w:val="auto"/>
                <w:kern w:val="0"/>
                <w:sz w:val="24"/>
                <w:lang w:val="en-US" w:eastAsia="zh-CN"/>
              </w:rPr>
              <w:t>（2021年防汛抗旱经费）</w:t>
            </w:r>
          </w:p>
        </w:tc>
        <w:tc>
          <w:tcPr>
            <w:tcW w:w="236" w:type="dxa"/>
            <w:tcBorders>
              <w:top w:val="nil"/>
              <w:left w:val="nil"/>
              <w:bottom w:val="nil"/>
              <w:right w:val="nil"/>
            </w:tcBorders>
            <w:shd w:val="clear" w:color="auto" w:fill="auto"/>
            <w:vAlign w:val="center"/>
          </w:tcPr>
          <w:p>
            <w:pPr>
              <w:widowControl/>
              <w:jc w:val="center"/>
              <w:textAlignment w:val="center"/>
              <w:rPr>
                <w:rFonts w:hint="eastAsia" w:ascii="仿宋_GB2312" w:hAnsi="仿宋_GB2312" w:eastAsia="仿宋_GB2312" w:cs="仿宋_GB2312"/>
                <w:b/>
                <w:color w:val="auto"/>
                <w:kern w:val="0"/>
                <w:sz w:val="21"/>
                <w:szCs w:val="21"/>
              </w:rPr>
            </w:pPr>
          </w:p>
        </w:tc>
      </w:tr>
      <w:tr>
        <w:tblPrEx>
          <w:tblCellMar>
            <w:top w:w="0" w:type="dxa"/>
            <w:left w:w="108" w:type="dxa"/>
            <w:bottom w:w="0" w:type="dxa"/>
            <w:right w:w="108" w:type="dxa"/>
          </w:tblCellMar>
        </w:tblPrEx>
        <w:trPr>
          <w:gridAfter w:val="1"/>
          <w:wAfter w:w="236" w:type="dxa"/>
          <w:trHeight w:val="254" w:hRule="atLeast"/>
          <w:jc w:val="center"/>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主管部门及代码</w:t>
            </w:r>
          </w:p>
        </w:tc>
        <w:tc>
          <w:tcPr>
            <w:tcW w:w="29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rPr>
                <w:rFonts w:hint="eastAsia" w:ascii="宋体" w:hAnsi="宋体" w:cs="宋体"/>
                <w:color w:val="auto"/>
                <w:kern w:val="0"/>
                <w:sz w:val="24"/>
                <w:lang w:val="en-US" w:eastAsia="zh-CN"/>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攀枝花市西区水利局</w:t>
            </w:r>
          </w:p>
        </w:tc>
      </w:tr>
      <w:tr>
        <w:tblPrEx>
          <w:tblCellMar>
            <w:top w:w="0" w:type="dxa"/>
            <w:left w:w="108" w:type="dxa"/>
            <w:bottom w:w="0" w:type="dxa"/>
            <w:right w:w="108" w:type="dxa"/>
          </w:tblCellMar>
        </w:tblPrEx>
        <w:trPr>
          <w:gridAfter w:val="1"/>
          <w:wAfter w:w="236" w:type="dxa"/>
          <w:trHeight w:val="341" w:hRule="atLeast"/>
          <w:jc w:val="center"/>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项目预算</w:t>
            </w:r>
            <w:r>
              <w:rPr>
                <w:rFonts w:hint="eastAsia" w:ascii="宋体" w:hAnsi="宋体" w:cs="宋体"/>
                <w:color w:val="auto"/>
                <w:kern w:val="0"/>
                <w:sz w:val="24"/>
                <w:lang w:val="en-US" w:eastAsia="zh-CN"/>
              </w:rPr>
              <w:br w:type="textWrapping"/>
            </w:r>
            <w:r>
              <w:rPr>
                <w:rFonts w:hint="eastAsia" w:ascii="宋体" w:hAnsi="宋体" w:cs="宋体"/>
                <w:color w:val="auto"/>
                <w:kern w:val="0"/>
                <w:sz w:val="24"/>
                <w:lang w:val="en-US" w:eastAsia="zh-CN"/>
              </w:rPr>
              <w:t>执行情况</w:t>
            </w:r>
            <w:r>
              <w:rPr>
                <w:rFonts w:hint="eastAsia" w:ascii="宋体" w:hAnsi="宋体" w:cs="宋体"/>
                <w:color w:val="auto"/>
                <w:kern w:val="0"/>
                <w:sz w:val="24"/>
                <w:lang w:val="en-US" w:eastAsia="zh-CN"/>
              </w:rPr>
              <w:br w:type="textWrapping"/>
            </w:r>
            <w:r>
              <w:rPr>
                <w:rFonts w:hint="eastAsia" w:ascii="宋体" w:hAnsi="宋体" w:cs="宋体"/>
                <w:color w:val="auto"/>
                <w:kern w:val="0"/>
                <w:sz w:val="24"/>
                <w:lang w:val="en-US" w:eastAsia="zh-CN"/>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预算数：</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7</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1.4182</w:t>
            </w:r>
          </w:p>
        </w:tc>
      </w:tr>
      <w:tr>
        <w:tblPrEx>
          <w:tblCellMar>
            <w:top w:w="0" w:type="dxa"/>
            <w:left w:w="108" w:type="dxa"/>
            <w:bottom w:w="0" w:type="dxa"/>
            <w:right w:w="108" w:type="dxa"/>
          </w:tblCellMar>
        </w:tblPrEx>
        <w:trPr>
          <w:gridAfter w:val="1"/>
          <w:wAfter w:w="236" w:type="dxa"/>
          <w:trHeight w:val="555"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rPr>
                <w:rFonts w:hint="eastAsia" w:ascii="宋体" w:hAnsi="宋体" w:cs="宋体"/>
                <w:color w:val="auto"/>
                <w:kern w:val="0"/>
                <w:sz w:val="24"/>
                <w:lang w:val="en-US" w:eastAsia="zh-CN"/>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其中：</w:t>
            </w:r>
          </w:p>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财政拨款</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7</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其中：</w:t>
            </w:r>
          </w:p>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1.4182</w:t>
            </w:r>
          </w:p>
        </w:tc>
      </w:tr>
      <w:tr>
        <w:tblPrEx>
          <w:tblCellMar>
            <w:top w:w="0" w:type="dxa"/>
            <w:left w:w="108" w:type="dxa"/>
            <w:bottom w:w="0" w:type="dxa"/>
            <w:right w:w="108" w:type="dxa"/>
          </w:tblCellMar>
        </w:tblPrEx>
        <w:trPr>
          <w:gridAfter w:val="1"/>
          <w:wAfter w:w="236" w:type="dxa"/>
          <w:trHeight w:val="341"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rPr>
                <w:rFonts w:hint="eastAsia" w:ascii="宋体" w:hAnsi="宋体" w:cs="宋体"/>
                <w:color w:val="auto"/>
                <w:kern w:val="0"/>
                <w:sz w:val="24"/>
                <w:lang w:val="en-US" w:eastAsia="zh-CN"/>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其他资金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rPr>
                <w:rFonts w:hint="eastAsia" w:ascii="宋体" w:hAnsi="宋体" w:cs="宋体"/>
                <w:color w:val="auto"/>
                <w:kern w:val="0"/>
                <w:sz w:val="24"/>
                <w:lang w:val="en-US" w:eastAsia="zh-CN"/>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rPr>
                <w:rFonts w:hint="eastAsia" w:ascii="宋体" w:hAnsi="宋体" w:cs="宋体"/>
                <w:color w:val="auto"/>
                <w:kern w:val="0"/>
                <w:sz w:val="24"/>
                <w:lang w:val="en-US" w:eastAsia="zh-CN"/>
              </w:rPr>
            </w:pPr>
          </w:p>
        </w:tc>
      </w:tr>
      <w:tr>
        <w:tblPrEx>
          <w:tblCellMar>
            <w:top w:w="0" w:type="dxa"/>
            <w:left w:w="108" w:type="dxa"/>
            <w:bottom w:w="0" w:type="dxa"/>
            <w:right w:w="108" w:type="dxa"/>
          </w:tblCellMar>
        </w:tblPrEx>
        <w:trPr>
          <w:gridAfter w:val="1"/>
          <w:wAfter w:w="236" w:type="dxa"/>
          <w:trHeight w:val="217" w:hRule="atLeast"/>
          <w:jc w:val="center"/>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年度总体目标</w:t>
            </w:r>
          </w:p>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完成情况</w:t>
            </w:r>
          </w:p>
        </w:tc>
        <w:tc>
          <w:tcPr>
            <w:tcW w:w="409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预期目标</w:t>
            </w:r>
          </w:p>
        </w:tc>
        <w:tc>
          <w:tcPr>
            <w:tcW w:w="350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目标实际完成情况</w:t>
            </w:r>
          </w:p>
        </w:tc>
      </w:tr>
      <w:tr>
        <w:tblPrEx>
          <w:tblCellMar>
            <w:top w:w="0" w:type="dxa"/>
            <w:left w:w="108" w:type="dxa"/>
            <w:bottom w:w="0" w:type="dxa"/>
            <w:right w:w="108" w:type="dxa"/>
          </w:tblCellMar>
        </w:tblPrEx>
        <w:trPr>
          <w:gridAfter w:val="1"/>
          <w:wAfter w:w="236" w:type="dxa"/>
          <w:trHeight w:val="797" w:hRule="atLeast"/>
          <w:jc w:val="center"/>
        </w:trPr>
        <w:tc>
          <w:tcPr>
            <w:tcW w:w="1976" w:type="dxa"/>
            <w:vMerge w:val="continue"/>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widowControl/>
              <w:suppressLineNumbers w:val="0"/>
              <w:jc w:val="center"/>
              <w:rPr>
                <w:rFonts w:hint="eastAsia" w:ascii="宋体" w:hAnsi="宋体" w:cs="宋体"/>
                <w:color w:val="auto"/>
                <w:kern w:val="0"/>
                <w:sz w:val="24"/>
                <w:lang w:val="en-US" w:eastAsia="zh-CN"/>
              </w:rPr>
            </w:pPr>
          </w:p>
        </w:tc>
        <w:tc>
          <w:tcPr>
            <w:tcW w:w="4093" w:type="dxa"/>
            <w:gridSpan w:val="3"/>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坚持以人为本、依法防控、科学防控，确保人民群众生命财产安全。</w:t>
            </w:r>
          </w:p>
        </w:tc>
        <w:tc>
          <w:tcPr>
            <w:tcW w:w="3506" w:type="dxa"/>
            <w:gridSpan w:val="2"/>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防汛值班电话保畅，汛期开展值班值守，保障群众安全。</w:t>
            </w:r>
          </w:p>
        </w:tc>
      </w:tr>
      <w:tr>
        <w:tblPrEx>
          <w:tblCellMar>
            <w:top w:w="0" w:type="dxa"/>
            <w:left w:w="108" w:type="dxa"/>
            <w:bottom w:w="0" w:type="dxa"/>
            <w:right w:w="108" w:type="dxa"/>
          </w:tblCellMar>
        </w:tblPrEx>
        <w:trPr>
          <w:gridAfter w:val="1"/>
          <w:wAfter w:w="236" w:type="dxa"/>
          <w:trHeight w:val="693" w:hRule="atLeast"/>
          <w:jc w:val="center"/>
        </w:trPr>
        <w:tc>
          <w:tcPr>
            <w:tcW w:w="1976"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年度绩效指标完成情况</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一级</w:t>
            </w:r>
          </w:p>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指标</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二级</w:t>
            </w:r>
          </w:p>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指标</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三级</w:t>
            </w:r>
          </w:p>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指标</w:t>
            </w:r>
          </w:p>
        </w:tc>
        <w:tc>
          <w:tcPr>
            <w:tcW w:w="109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预期指标值</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实际完成指标值</w:t>
            </w:r>
          </w:p>
        </w:tc>
      </w:tr>
      <w:tr>
        <w:tblPrEx>
          <w:tblCellMar>
            <w:top w:w="0" w:type="dxa"/>
            <w:left w:w="108" w:type="dxa"/>
            <w:bottom w:w="0" w:type="dxa"/>
            <w:right w:w="108" w:type="dxa"/>
          </w:tblCellMar>
        </w:tblPrEx>
        <w:trPr>
          <w:gridAfter w:val="1"/>
          <w:wAfter w:w="236" w:type="dxa"/>
          <w:trHeight w:val="415" w:hRule="atLeast"/>
          <w:jc w:val="center"/>
        </w:trPr>
        <w:tc>
          <w:tcPr>
            <w:tcW w:w="197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rPr>
                <w:rFonts w:hint="eastAsia" w:ascii="宋体" w:hAnsi="宋体" w:cs="宋体"/>
                <w:color w:val="auto"/>
                <w:kern w:val="0"/>
                <w:sz w:val="24"/>
                <w:lang w:val="en-US" w:eastAsia="zh-CN"/>
              </w:rPr>
            </w:pPr>
          </w:p>
        </w:tc>
        <w:tc>
          <w:tcPr>
            <w:tcW w:w="1142"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完成</w:t>
            </w:r>
          </w:p>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指标</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数量指标</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值班通讯畅通，汛期开展防汛值班</w:t>
            </w:r>
          </w:p>
        </w:tc>
        <w:tc>
          <w:tcPr>
            <w:tcW w:w="109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5-10月</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已完成</w:t>
            </w:r>
          </w:p>
        </w:tc>
      </w:tr>
      <w:tr>
        <w:tblPrEx>
          <w:tblCellMar>
            <w:top w:w="0" w:type="dxa"/>
            <w:left w:w="108" w:type="dxa"/>
            <w:bottom w:w="0" w:type="dxa"/>
            <w:right w:w="108" w:type="dxa"/>
          </w:tblCellMar>
        </w:tblPrEx>
        <w:trPr>
          <w:gridAfter w:val="1"/>
          <w:wAfter w:w="236" w:type="dxa"/>
          <w:trHeight w:val="415" w:hRule="atLeast"/>
          <w:jc w:val="center"/>
        </w:trPr>
        <w:tc>
          <w:tcPr>
            <w:tcW w:w="197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rPr>
                <w:rFonts w:hint="eastAsia" w:ascii="宋体" w:hAnsi="宋体" w:cs="宋体"/>
                <w:color w:val="auto"/>
                <w:kern w:val="0"/>
                <w:sz w:val="24"/>
                <w:lang w:val="en-US" w:eastAsia="zh-CN"/>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rPr>
                <w:rFonts w:hint="eastAsia" w:ascii="宋体" w:hAnsi="宋体" w:cs="宋体"/>
                <w:color w:val="auto"/>
                <w:kern w:val="0"/>
                <w:sz w:val="24"/>
                <w:lang w:val="en-US" w:eastAsia="zh-CN"/>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质量指标</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rPr>
                <w:rFonts w:hint="eastAsia" w:ascii="宋体" w:hAnsi="宋体" w:cs="宋体"/>
                <w:color w:val="auto"/>
                <w:kern w:val="0"/>
                <w:sz w:val="24"/>
                <w:lang w:val="en-US" w:eastAsia="zh-CN"/>
              </w:rPr>
            </w:pPr>
          </w:p>
        </w:tc>
        <w:tc>
          <w:tcPr>
            <w:tcW w:w="109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rPr>
                <w:rFonts w:hint="eastAsia" w:ascii="宋体" w:hAnsi="宋体" w:cs="宋体"/>
                <w:color w:val="auto"/>
                <w:kern w:val="0"/>
                <w:sz w:val="24"/>
                <w:lang w:val="en-US" w:eastAsia="zh-CN"/>
              </w:rPr>
            </w:pPr>
          </w:p>
        </w:tc>
        <w:tc>
          <w:tcPr>
            <w:tcW w:w="24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rPr>
                <w:rFonts w:hint="eastAsia" w:ascii="宋体" w:hAnsi="宋体" w:cs="宋体"/>
                <w:color w:val="auto"/>
                <w:kern w:val="0"/>
                <w:sz w:val="24"/>
                <w:lang w:val="en-US" w:eastAsia="zh-CN"/>
              </w:rPr>
            </w:pPr>
          </w:p>
        </w:tc>
      </w:tr>
      <w:tr>
        <w:tblPrEx>
          <w:tblCellMar>
            <w:top w:w="0" w:type="dxa"/>
            <w:left w:w="108" w:type="dxa"/>
            <w:bottom w:w="0" w:type="dxa"/>
            <w:right w:w="108" w:type="dxa"/>
          </w:tblCellMar>
        </w:tblPrEx>
        <w:trPr>
          <w:gridAfter w:val="1"/>
          <w:wAfter w:w="236" w:type="dxa"/>
          <w:trHeight w:val="415" w:hRule="atLeast"/>
          <w:jc w:val="center"/>
        </w:trPr>
        <w:tc>
          <w:tcPr>
            <w:tcW w:w="197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rPr>
                <w:rFonts w:hint="eastAsia" w:ascii="宋体" w:hAnsi="宋体" w:cs="宋体"/>
                <w:color w:val="auto"/>
                <w:kern w:val="0"/>
                <w:sz w:val="24"/>
                <w:lang w:val="en-US" w:eastAsia="zh-CN"/>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rPr>
                <w:rFonts w:hint="eastAsia" w:ascii="宋体" w:hAnsi="宋体" w:cs="宋体"/>
                <w:color w:val="auto"/>
                <w:kern w:val="0"/>
                <w:sz w:val="24"/>
                <w:lang w:val="en-US" w:eastAsia="zh-CN"/>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时效指标</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2021年全年</w:t>
            </w:r>
          </w:p>
        </w:tc>
        <w:tc>
          <w:tcPr>
            <w:tcW w:w="109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2021年</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已完成</w:t>
            </w:r>
          </w:p>
        </w:tc>
      </w:tr>
      <w:tr>
        <w:tblPrEx>
          <w:tblCellMar>
            <w:top w:w="0" w:type="dxa"/>
            <w:left w:w="108" w:type="dxa"/>
            <w:bottom w:w="0" w:type="dxa"/>
            <w:right w:w="108" w:type="dxa"/>
          </w:tblCellMar>
        </w:tblPrEx>
        <w:trPr>
          <w:gridAfter w:val="1"/>
          <w:wAfter w:w="236" w:type="dxa"/>
          <w:trHeight w:val="480" w:hRule="atLeast"/>
          <w:jc w:val="center"/>
        </w:trPr>
        <w:tc>
          <w:tcPr>
            <w:tcW w:w="197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spacing w:line="320" w:lineRule="exact"/>
              <w:jc w:val="both"/>
              <w:rPr>
                <w:rFonts w:hint="eastAsia" w:ascii="仿宋_GB2312" w:hAnsi="仿宋_GB2312" w:eastAsia="仿宋_GB2312" w:cs="仿宋_GB2312"/>
                <w:color w:val="auto"/>
                <w:sz w:val="21"/>
                <w:szCs w:val="21"/>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spacing w:line="320" w:lineRule="exact"/>
              <w:jc w:val="both"/>
              <w:rPr>
                <w:rFonts w:hint="eastAsia" w:ascii="仿宋_GB2312" w:hAnsi="仿宋_GB2312" w:eastAsia="仿宋_GB2312" w:cs="仿宋_GB2312"/>
                <w:color w:val="auto"/>
                <w:sz w:val="21"/>
                <w:szCs w:val="21"/>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成本指标</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7</w:t>
            </w:r>
          </w:p>
        </w:tc>
        <w:tc>
          <w:tcPr>
            <w:tcW w:w="109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电话费、值班费、办公支出</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1.4182</w:t>
            </w:r>
          </w:p>
        </w:tc>
      </w:tr>
      <w:tr>
        <w:tblPrEx>
          <w:tblCellMar>
            <w:top w:w="0" w:type="dxa"/>
            <w:left w:w="108" w:type="dxa"/>
            <w:bottom w:w="0" w:type="dxa"/>
            <w:right w:w="108" w:type="dxa"/>
          </w:tblCellMar>
        </w:tblPrEx>
        <w:trPr>
          <w:gridAfter w:val="1"/>
          <w:wAfter w:w="236" w:type="dxa"/>
          <w:trHeight w:val="480" w:hRule="atLeast"/>
          <w:jc w:val="center"/>
        </w:trPr>
        <w:tc>
          <w:tcPr>
            <w:tcW w:w="197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spacing w:line="320" w:lineRule="exact"/>
              <w:jc w:val="both"/>
              <w:rPr>
                <w:rFonts w:hint="eastAsia" w:ascii="仿宋_GB2312" w:hAnsi="仿宋_GB2312" w:eastAsia="仿宋_GB2312" w:cs="仿宋_GB2312"/>
                <w:color w:val="auto"/>
                <w:sz w:val="21"/>
                <w:szCs w:val="21"/>
              </w:rPr>
            </w:pPr>
          </w:p>
        </w:tc>
        <w:tc>
          <w:tcPr>
            <w:tcW w:w="1142"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效益</w:t>
            </w:r>
            <w:r>
              <w:rPr>
                <w:rFonts w:hint="eastAsia" w:ascii="宋体" w:hAnsi="宋体" w:cs="宋体"/>
                <w:color w:val="auto"/>
                <w:kern w:val="0"/>
                <w:sz w:val="24"/>
                <w:lang w:val="en-US" w:eastAsia="zh-CN"/>
              </w:rPr>
              <w:br w:type="textWrapping"/>
            </w:r>
            <w:r>
              <w:rPr>
                <w:rFonts w:hint="eastAsia" w:ascii="宋体" w:hAnsi="宋体" w:cs="宋体"/>
                <w:color w:val="auto"/>
                <w:kern w:val="0"/>
                <w:sz w:val="24"/>
                <w:lang w:val="en-US" w:eastAsia="zh-CN"/>
              </w:rPr>
              <w:t>指标</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经济效益指标</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rPr>
                <w:rFonts w:hint="eastAsia" w:ascii="宋体" w:hAnsi="宋体" w:cs="宋体"/>
                <w:color w:val="auto"/>
                <w:kern w:val="0"/>
                <w:sz w:val="24"/>
                <w:lang w:val="en-US" w:eastAsia="zh-CN"/>
              </w:rPr>
            </w:pPr>
          </w:p>
        </w:tc>
        <w:tc>
          <w:tcPr>
            <w:tcW w:w="109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rPr>
                <w:rFonts w:hint="eastAsia" w:ascii="宋体" w:hAnsi="宋体" w:cs="宋体"/>
                <w:color w:val="auto"/>
                <w:kern w:val="0"/>
                <w:sz w:val="24"/>
                <w:lang w:val="en-US" w:eastAsia="zh-CN"/>
              </w:rPr>
            </w:pPr>
          </w:p>
        </w:tc>
        <w:tc>
          <w:tcPr>
            <w:tcW w:w="24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rPr>
                <w:rFonts w:hint="eastAsia" w:ascii="宋体" w:hAnsi="宋体" w:cs="宋体"/>
                <w:color w:val="auto"/>
                <w:kern w:val="0"/>
                <w:sz w:val="24"/>
                <w:lang w:val="en-US" w:eastAsia="zh-CN"/>
              </w:rPr>
            </w:pPr>
          </w:p>
        </w:tc>
      </w:tr>
      <w:tr>
        <w:tblPrEx>
          <w:tblCellMar>
            <w:top w:w="0" w:type="dxa"/>
            <w:left w:w="108" w:type="dxa"/>
            <w:bottom w:w="0" w:type="dxa"/>
            <w:right w:w="108" w:type="dxa"/>
          </w:tblCellMar>
        </w:tblPrEx>
        <w:trPr>
          <w:gridAfter w:val="1"/>
          <w:wAfter w:w="236" w:type="dxa"/>
          <w:trHeight w:val="480" w:hRule="atLeast"/>
          <w:jc w:val="center"/>
        </w:trPr>
        <w:tc>
          <w:tcPr>
            <w:tcW w:w="1976" w:type="dxa"/>
            <w:vMerge w:val="continue"/>
            <w:tcBorders>
              <w:top w:val="single" w:color="auto" w:sz="4" w:space="0"/>
              <w:left w:val="single" w:color="auto"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color w:val="auto"/>
                <w:sz w:val="21"/>
                <w:szCs w:val="21"/>
              </w:rPr>
            </w:pPr>
          </w:p>
        </w:tc>
        <w:tc>
          <w:tcPr>
            <w:tcW w:w="1142" w:type="dxa"/>
            <w:vMerge w:val="continue"/>
            <w:tcBorders>
              <w:top w:val="single" w:color="auto"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rPr>
                <w:rFonts w:hint="eastAsia" w:ascii="宋体" w:hAnsi="宋体" w:cs="宋体"/>
                <w:color w:val="auto"/>
                <w:kern w:val="0"/>
                <w:sz w:val="24"/>
                <w:lang w:val="en-US" w:eastAsia="zh-CN"/>
              </w:rPr>
            </w:pPr>
          </w:p>
        </w:tc>
        <w:tc>
          <w:tcPr>
            <w:tcW w:w="1635" w:type="dxa"/>
            <w:tcBorders>
              <w:top w:val="single" w:color="auto"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社会效益指标</w:t>
            </w:r>
          </w:p>
        </w:tc>
        <w:tc>
          <w:tcPr>
            <w:tcW w:w="1316" w:type="dxa"/>
            <w:tcBorders>
              <w:top w:val="single" w:color="auto"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全面提升全区汛期防汛应对能力</w:t>
            </w:r>
          </w:p>
        </w:tc>
        <w:tc>
          <w:tcPr>
            <w:tcW w:w="1097" w:type="dxa"/>
            <w:tcBorders>
              <w:top w:val="single" w:color="auto"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确保辖区安全度汛</w:t>
            </w:r>
          </w:p>
        </w:tc>
        <w:tc>
          <w:tcPr>
            <w:tcW w:w="2409" w:type="dxa"/>
            <w:tcBorders>
              <w:top w:val="single" w:color="auto"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已完成</w:t>
            </w:r>
          </w:p>
        </w:tc>
      </w:tr>
      <w:tr>
        <w:tblPrEx>
          <w:tblCellMar>
            <w:top w:w="0" w:type="dxa"/>
            <w:left w:w="108" w:type="dxa"/>
            <w:bottom w:w="0" w:type="dxa"/>
            <w:right w:w="108" w:type="dxa"/>
          </w:tblCellMar>
        </w:tblPrEx>
        <w:trPr>
          <w:gridAfter w:val="1"/>
          <w:wAfter w:w="236" w:type="dxa"/>
          <w:trHeight w:val="577" w:hRule="atLeast"/>
          <w:jc w:val="center"/>
        </w:trPr>
        <w:tc>
          <w:tcPr>
            <w:tcW w:w="1976" w:type="dxa"/>
            <w:vMerge w:val="continue"/>
            <w:tcBorders>
              <w:left w:val="single" w:color="auto"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color w:val="auto"/>
                <w:sz w:val="21"/>
                <w:szCs w:val="21"/>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rPr>
                <w:rFonts w:hint="eastAsia" w:ascii="宋体" w:hAnsi="宋体" w:cs="宋体"/>
                <w:color w:val="auto"/>
                <w:kern w:val="0"/>
                <w:sz w:val="24"/>
                <w:lang w:val="en-US" w:eastAsia="zh-CN"/>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生态效益指标</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rPr>
                <w:rFonts w:hint="eastAsia" w:ascii="宋体" w:hAnsi="宋体" w:cs="宋体"/>
                <w:color w:val="auto"/>
                <w:kern w:val="0"/>
                <w:sz w:val="24"/>
                <w:lang w:val="en-US" w:eastAsia="zh-CN"/>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rPr>
                <w:rFonts w:hint="eastAsia" w:ascii="宋体" w:hAnsi="宋体" w:cs="宋体"/>
                <w:color w:val="auto"/>
                <w:kern w:val="0"/>
                <w:sz w:val="24"/>
                <w:lang w:val="en-US" w:eastAsia="zh-CN"/>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rPr>
                <w:rFonts w:hint="eastAsia" w:ascii="宋体" w:hAnsi="宋体" w:cs="宋体"/>
                <w:color w:val="auto"/>
                <w:kern w:val="0"/>
                <w:sz w:val="24"/>
                <w:lang w:val="en-US" w:eastAsia="zh-CN"/>
              </w:rPr>
            </w:pPr>
          </w:p>
        </w:tc>
      </w:tr>
      <w:tr>
        <w:tblPrEx>
          <w:tblCellMar>
            <w:top w:w="0" w:type="dxa"/>
            <w:left w:w="108" w:type="dxa"/>
            <w:bottom w:w="0" w:type="dxa"/>
            <w:right w:w="108" w:type="dxa"/>
          </w:tblCellMar>
        </w:tblPrEx>
        <w:trPr>
          <w:gridAfter w:val="1"/>
          <w:wAfter w:w="236" w:type="dxa"/>
          <w:trHeight w:val="480" w:hRule="atLeast"/>
          <w:jc w:val="center"/>
        </w:trPr>
        <w:tc>
          <w:tcPr>
            <w:tcW w:w="1976" w:type="dxa"/>
            <w:vMerge w:val="continue"/>
            <w:tcBorders>
              <w:left w:val="single" w:color="auto"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color w:val="auto"/>
                <w:sz w:val="21"/>
                <w:szCs w:val="21"/>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rPr>
                <w:rFonts w:hint="eastAsia" w:ascii="宋体" w:hAnsi="宋体" w:cs="宋体"/>
                <w:color w:val="auto"/>
                <w:kern w:val="0"/>
                <w:sz w:val="24"/>
                <w:lang w:val="en-US" w:eastAsia="zh-CN"/>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可持续影响指标</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rPr>
                <w:rFonts w:hint="eastAsia" w:ascii="宋体" w:hAnsi="宋体" w:cs="宋体"/>
                <w:color w:val="auto"/>
                <w:kern w:val="0"/>
                <w:sz w:val="24"/>
                <w:lang w:val="en-US" w:eastAsia="zh-CN"/>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rPr>
                <w:rFonts w:hint="eastAsia" w:ascii="宋体" w:hAnsi="宋体" w:cs="宋体"/>
                <w:color w:val="auto"/>
                <w:kern w:val="0"/>
                <w:sz w:val="24"/>
                <w:lang w:val="en-US" w:eastAsia="zh-CN"/>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rPr>
                <w:rFonts w:hint="eastAsia" w:ascii="宋体" w:hAnsi="宋体" w:cs="宋体"/>
                <w:color w:val="auto"/>
                <w:kern w:val="0"/>
                <w:sz w:val="24"/>
                <w:lang w:val="en-US" w:eastAsia="zh-CN"/>
              </w:rPr>
            </w:pPr>
          </w:p>
        </w:tc>
      </w:tr>
      <w:tr>
        <w:tblPrEx>
          <w:tblCellMar>
            <w:top w:w="0" w:type="dxa"/>
            <w:left w:w="108" w:type="dxa"/>
            <w:bottom w:w="0" w:type="dxa"/>
            <w:right w:w="108" w:type="dxa"/>
          </w:tblCellMar>
        </w:tblPrEx>
        <w:trPr>
          <w:gridAfter w:val="1"/>
          <w:wAfter w:w="236" w:type="dxa"/>
          <w:trHeight w:val="530" w:hRule="atLeast"/>
          <w:jc w:val="center"/>
        </w:trPr>
        <w:tc>
          <w:tcPr>
            <w:tcW w:w="1976" w:type="dxa"/>
            <w:vMerge w:val="continue"/>
            <w:tcBorders>
              <w:left w:val="single" w:color="auto"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color w:val="auto"/>
                <w:sz w:val="21"/>
                <w:szCs w:val="21"/>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满意</w:t>
            </w:r>
            <w:r>
              <w:rPr>
                <w:rFonts w:hint="eastAsia" w:ascii="宋体" w:hAnsi="宋体" w:cs="宋体"/>
                <w:color w:val="auto"/>
                <w:kern w:val="0"/>
                <w:sz w:val="24"/>
                <w:lang w:val="en-US" w:eastAsia="zh-CN"/>
              </w:rPr>
              <w:br w:type="textWrapping"/>
            </w:r>
            <w:r>
              <w:rPr>
                <w:rFonts w:hint="eastAsia" w:ascii="宋体" w:hAnsi="宋体" w:cs="宋体"/>
                <w:color w:val="auto"/>
                <w:kern w:val="0"/>
                <w:sz w:val="24"/>
                <w:lang w:val="en-US" w:eastAsia="zh-CN"/>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满意度</w:t>
            </w:r>
          </w:p>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指标</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区委、政府和上级部门，群众满意度</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满意度≥ 95%</w:t>
            </w:r>
          </w:p>
          <w:p>
            <w:pPr>
              <w:keepNext w:val="0"/>
              <w:keepLines w:val="0"/>
              <w:widowControl/>
              <w:suppressLineNumbers w:val="0"/>
              <w:jc w:val="center"/>
              <w:rPr>
                <w:rFonts w:hint="eastAsia" w:ascii="宋体" w:hAnsi="宋体" w:cs="宋体"/>
                <w:color w:val="auto"/>
                <w:kern w:val="0"/>
                <w:sz w:val="24"/>
                <w:lang w:val="en-US" w:eastAsia="zh-CN"/>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满意度≥ 95%</w:t>
            </w:r>
          </w:p>
          <w:p>
            <w:pPr>
              <w:keepNext w:val="0"/>
              <w:keepLines w:val="0"/>
              <w:widowControl/>
              <w:suppressLineNumbers w:val="0"/>
              <w:jc w:val="center"/>
              <w:rPr>
                <w:rFonts w:hint="eastAsia" w:ascii="宋体" w:hAnsi="宋体" w:cs="宋体"/>
                <w:color w:val="auto"/>
                <w:kern w:val="0"/>
                <w:sz w:val="24"/>
                <w:lang w:val="en-US" w:eastAsia="zh-CN"/>
              </w:rPr>
            </w:pPr>
          </w:p>
        </w:tc>
      </w:tr>
    </w:tbl>
    <w:p>
      <w:pPr>
        <w:numPr>
          <w:ilvl w:val="0"/>
          <w:numId w:val="0"/>
        </w:numPr>
        <w:ind w:leftChars="200"/>
        <w:jc w:val="both"/>
        <w:rPr>
          <w:rFonts w:hint="default" w:ascii="楷体" w:hAnsi="楷体" w:eastAsia="楷体" w:cs="楷体"/>
          <w:sz w:val="32"/>
          <w:szCs w:val="32"/>
          <w:lang w:val="en-US" w:eastAsia="zh-CN"/>
        </w:rPr>
      </w:pPr>
    </w:p>
    <w:p>
      <w:pPr>
        <w:numPr>
          <w:ilvl w:val="0"/>
          <w:numId w:val="0"/>
        </w:numPr>
        <w:ind w:leftChars="200"/>
        <w:jc w:val="both"/>
        <w:rPr>
          <w:rFonts w:hint="default" w:ascii="楷体" w:hAnsi="楷体" w:eastAsia="楷体" w:cs="楷体"/>
          <w:sz w:val="32"/>
          <w:szCs w:val="32"/>
          <w:lang w:val="en-US" w:eastAsia="zh-CN"/>
        </w:rPr>
      </w:pPr>
    </w:p>
    <w:p>
      <w:pPr>
        <w:numPr>
          <w:ilvl w:val="0"/>
          <w:numId w:val="0"/>
        </w:numPr>
        <w:jc w:val="both"/>
        <w:rPr>
          <w:rFonts w:hint="default" w:ascii="楷体" w:hAnsi="楷体" w:eastAsia="楷体" w:cs="楷体"/>
          <w:sz w:val="32"/>
          <w:szCs w:val="32"/>
          <w:lang w:val="en-US" w:eastAsia="zh-CN"/>
        </w:rPr>
      </w:pPr>
    </w:p>
    <w:p>
      <w:pPr>
        <w:spacing w:line="600" w:lineRule="exact"/>
        <w:jc w:val="center"/>
        <w:rPr>
          <w:rFonts w:hint="eastAsia" w:ascii="方正小标宋简体" w:hAnsi="方正小标宋简体" w:eastAsia="方正小标宋简体" w:cs="方正小标宋简体"/>
          <w:color w:val="auto"/>
          <w:sz w:val="40"/>
          <w:szCs w:val="40"/>
        </w:rPr>
      </w:pPr>
    </w:p>
    <w:p>
      <w:pPr>
        <w:spacing w:line="600" w:lineRule="exact"/>
        <w:jc w:val="center"/>
        <w:rPr>
          <w:rFonts w:hint="eastAsia" w:ascii="方正小标宋简体" w:hAnsi="方正小标宋简体" w:eastAsia="方正小标宋简体" w:cs="方正小标宋简体"/>
          <w:color w:val="auto"/>
          <w:sz w:val="40"/>
          <w:szCs w:val="40"/>
        </w:rPr>
      </w:pPr>
    </w:p>
    <w:p>
      <w:pPr>
        <w:spacing w:line="600" w:lineRule="exact"/>
        <w:jc w:val="center"/>
        <w:rPr>
          <w:rFonts w:hint="eastAsia" w:ascii="方正小标宋简体" w:hAnsi="方正小标宋简体" w:eastAsia="方正小标宋简体" w:cs="方正小标宋简体"/>
          <w:color w:val="auto"/>
          <w:sz w:val="40"/>
          <w:szCs w:val="40"/>
        </w:rPr>
      </w:pPr>
    </w:p>
    <w:p>
      <w:pPr>
        <w:spacing w:line="600" w:lineRule="exact"/>
        <w:jc w:val="center"/>
        <w:rPr>
          <w:rFonts w:hint="eastAsia" w:ascii="方正小标宋简体" w:hAnsi="方正小标宋简体" w:eastAsia="方正小标宋简体" w:cs="方正小标宋简体"/>
          <w:color w:val="auto"/>
          <w:sz w:val="40"/>
          <w:szCs w:val="40"/>
        </w:rPr>
      </w:pPr>
    </w:p>
    <w:p>
      <w:pPr>
        <w:spacing w:line="600" w:lineRule="exact"/>
        <w:jc w:val="center"/>
        <w:rPr>
          <w:rFonts w:hint="eastAsia" w:ascii="方正小标宋简体" w:hAnsi="方正小标宋简体" w:eastAsia="方正小标宋简体" w:cs="方正小标宋简体"/>
          <w:color w:val="auto"/>
          <w:sz w:val="40"/>
          <w:szCs w:val="40"/>
        </w:rPr>
      </w:pPr>
    </w:p>
    <w:p>
      <w:pPr>
        <w:spacing w:line="600" w:lineRule="exact"/>
        <w:jc w:val="center"/>
        <w:rPr>
          <w:rFonts w:hint="eastAsia" w:ascii="方正小标宋简体" w:hAnsi="方正小标宋简体" w:eastAsia="方正小标宋简体" w:cs="方正小标宋简体"/>
          <w:color w:val="auto"/>
          <w:sz w:val="40"/>
          <w:szCs w:val="40"/>
        </w:rPr>
      </w:pPr>
    </w:p>
    <w:p>
      <w:pPr>
        <w:spacing w:line="600" w:lineRule="exact"/>
        <w:jc w:val="center"/>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攀枝花市</w:t>
      </w:r>
      <w:r>
        <w:rPr>
          <w:rFonts w:hint="eastAsia" w:ascii="方正小标宋_GBK" w:hAnsi="方正小标宋_GBK" w:eastAsia="方正小标宋_GBK" w:cs="方正小标宋_GBK"/>
          <w:b w:val="0"/>
          <w:bCs w:val="0"/>
          <w:color w:val="auto"/>
          <w:sz w:val="44"/>
          <w:szCs w:val="44"/>
          <w:lang w:eastAsia="zh-CN"/>
        </w:rPr>
        <w:t>西</w:t>
      </w:r>
      <w:r>
        <w:rPr>
          <w:rFonts w:hint="eastAsia" w:ascii="方正小标宋_GBK" w:hAnsi="方正小标宋_GBK" w:eastAsia="方正小标宋_GBK" w:cs="方正小标宋_GBK"/>
          <w:b w:val="0"/>
          <w:bCs w:val="0"/>
          <w:color w:val="auto"/>
          <w:sz w:val="44"/>
          <w:szCs w:val="44"/>
        </w:rPr>
        <w:t>区水利局</w:t>
      </w:r>
    </w:p>
    <w:p>
      <w:pPr>
        <w:spacing w:line="600" w:lineRule="exact"/>
        <w:jc w:val="center"/>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202</w:t>
      </w:r>
      <w:r>
        <w:rPr>
          <w:rFonts w:hint="eastAsia" w:ascii="方正小标宋_GBK" w:hAnsi="方正小标宋_GBK" w:eastAsia="方正小标宋_GBK" w:cs="方正小标宋_GBK"/>
          <w:b w:val="0"/>
          <w:bCs w:val="0"/>
          <w:color w:val="auto"/>
          <w:sz w:val="44"/>
          <w:szCs w:val="44"/>
          <w:lang w:val="en-US" w:eastAsia="zh-CN"/>
        </w:rPr>
        <w:t>1</w:t>
      </w:r>
      <w:r>
        <w:rPr>
          <w:rFonts w:hint="eastAsia" w:ascii="方正小标宋_GBK" w:hAnsi="方正小标宋_GBK" w:eastAsia="方正小标宋_GBK" w:cs="方正小标宋_GBK"/>
          <w:b w:val="0"/>
          <w:bCs w:val="0"/>
          <w:color w:val="auto"/>
          <w:sz w:val="44"/>
          <w:szCs w:val="44"/>
        </w:rPr>
        <w:t>年度部门预算项目支出绩效自评报告</w:t>
      </w:r>
    </w:p>
    <w:p>
      <w:pPr>
        <w:numPr>
          <w:ilvl w:val="0"/>
          <w:numId w:val="0"/>
        </w:numPr>
        <w:jc w:val="center"/>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（2021年山洪灾害防治县级非工程措施运行维保费）</w:t>
      </w:r>
    </w:p>
    <w:p>
      <w:pPr>
        <w:numPr>
          <w:ilvl w:val="0"/>
          <w:numId w:val="0"/>
        </w:numPr>
        <w:jc w:val="both"/>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一、项目概况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 xml:space="preserve">（一）项目基本情况。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 xml:space="preserve">落实综合防灾减灾规划相关要求，组织编制并实施洪水 干旱灾害防治规划和防护标准；承担水情旱情监测预警工作；组织编制区内重要江河湖泊、水库和重要水工程的防御洪水、抗御旱灾调度和应急水量调度方案，按程序报批并组织实施；承担防御洪水应急抢险的技术保障工作。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 xml:space="preserve">资金申报依据：年初部门预算。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资金管理办法制定情况：17</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80</w:t>
      </w:r>
      <w:r>
        <w:rPr>
          <w:rFonts w:hint="eastAsia" w:eastAsia="仿宋_GB2312" w:cs="Times New Roman"/>
          <w:sz w:val="32"/>
          <w:szCs w:val="32"/>
          <w:lang w:val="en-US" w:eastAsia="zh-CN"/>
        </w:rPr>
        <w:t>万</w:t>
      </w:r>
      <w:r>
        <w:rPr>
          <w:rFonts w:hint="default" w:ascii="Times New Roman" w:hAnsi="Times New Roman" w:eastAsia="仿宋_GB2312" w:cs="Times New Roman"/>
          <w:sz w:val="32"/>
          <w:szCs w:val="32"/>
          <w:lang w:val="en-US" w:eastAsia="zh-CN"/>
        </w:rPr>
        <w:t>元资金用于保障山洪灾害防治非工程措施系统正常运行，最大限度发挥防灾减灾 效益，保护人民群众生命财产安全，通过银行转账方式进行 支付。</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4.资金分配按照监测站点、县级预警平台、专线进行分配，共维护17个站点，维护2条专线，会商平台及前端设备。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（二）项目绩效目标。</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保障山洪灾害防治非工程措施系统正常运行，最大限度发挥防灾减灾效益，保护人民群众生命财产安全。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山洪灾害防治县级非工程措施运行维保费支出10</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 xml:space="preserve">00元，按照实际制作情况进行支付，项目已完成100%。完成60%支付是由于项目尾款属于跨年度使用，且进度款未足额支付。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 xml:space="preserve">申报内容与实际相符，申报目标合理可行。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二、项目资金申报及使用情况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 xml:space="preserve">（一）项目资金申报及批复情况。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该项目资金2021年申报数为17</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80</w:t>
      </w:r>
      <w:r>
        <w:rPr>
          <w:rFonts w:hint="eastAsia" w:eastAsia="仿宋_GB2312" w:cs="Times New Roman"/>
          <w:sz w:val="32"/>
          <w:szCs w:val="32"/>
          <w:lang w:val="en-US" w:eastAsia="zh-CN"/>
        </w:rPr>
        <w:t>万</w:t>
      </w:r>
      <w:r>
        <w:rPr>
          <w:rFonts w:hint="default" w:ascii="Times New Roman" w:hAnsi="Times New Roman" w:eastAsia="仿宋_GB2312" w:cs="Times New Roman"/>
          <w:sz w:val="32"/>
          <w:szCs w:val="32"/>
          <w:lang w:val="en-US" w:eastAsia="zh-CN"/>
        </w:rPr>
        <w:t>元，年初预算数为17</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80</w:t>
      </w:r>
      <w:r>
        <w:rPr>
          <w:rFonts w:hint="eastAsia" w:eastAsia="仿宋_GB2312" w:cs="Times New Roman"/>
          <w:sz w:val="32"/>
          <w:szCs w:val="32"/>
          <w:lang w:val="en-US" w:eastAsia="zh-CN"/>
        </w:rPr>
        <w:t>万</w:t>
      </w:r>
      <w:r>
        <w:rPr>
          <w:rFonts w:hint="default" w:ascii="Times New Roman" w:hAnsi="Times New Roman" w:eastAsia="仿宋_GB2312" w:cs="Times New Roman"/>
          <w:sz w:val="32"/>
          <w:szCs w:val="32"/>
          <w:lang w:val="en-US" w:eastAsia="zh-CN"/>
        </w:rPr>
        <w:t xml:space="preserve">元。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（二）资金计划、到位及使用情况。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1.资金计划。该项目为区级配套资金。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资金到位。该项目全区资金到位2021年共计17</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80</w:t>
      </w:r>
      <w:r>
        <w:rPr>
          <w:rFonts w:hint="eastAsia" w:eastAsia="仿宋_GB2312" w:cs="Times New Roman"/>
          <w:sz w:val="32"/>
          <w:szCs w:val="32"/>
          <w:lang w:val="en-US" w:eastAsia="zh-CN"/>
        </w:rPr>
        <w:t>万</w:t>
      </w:r>
      <w:r>
        <w:rPr>
          <w:rFonts w:hint="default" w:ascii="Times New Roman" w:hAnsi="Times New Roman" w:eastAsia="仿宋_GB2312" w:cs="Times New Roman"/>
          <w:sz w:val="32"/>
          <w:szCs w:val="32"/>
          <w:lang w:val="en-US" w:eastAsia="zh-CN"/>
        </w:rPr>
        <w:t xml:space="preserve">元。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资金使用。该项目资金已于2022年1月支付2021年度项目进度款10</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00元，该项目资金支付范围、支付标准、支付进度、支付依据合规合法。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（三）项目财务管理情况。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我单位财务管理制度较健全，根据我单位内部控制制度，对财务报销、资金支付、财务资料管理等细项做出了明确规定。在经济活动的开展过程中，我单位严格执行财务管理制度报销、支付，并在次月初及时对上月资经济业务进行账务处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 三、项目实施及管理情况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 xml:space="preserve">（一）项目组织架构及实施流程。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该项目由我单位防汛抗旱股室工作人员编制申报表报送财政申请财政资金，待财政资金下达后，由财务人员在原大平台系统上申请财政指标，财政审核通过后，进行资金拨付。</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（二）项目管理情况。</w:t>
      </w:r>
      <w:r>
        <w:rPr>
          <w:rFonts w:hint="default" w:ascii="Times New Roman" w:hAnsi="Times New Roman" w:eastAsia="仿宋_GB2312" w:cs="Times New Roman"/>
          <w:sz w:val="32"/>
          <w:szCs w:val="32"/>
          <w:lang w:val="en-US" w:eastAsia="zh-CN"/>
        </w:rPr>
        <w:t>该项目经由防汛抗旱股室工作人员按照山洪灾害防治县级非工程措施设施数量，核算维修费 用开支。</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（三）项目监管情况。</w:t>
      </w:r>
      <w:r>
        <w:rPr>
          <w:rFonts w:hint="default" w:ascii="Times New Roman" w:hAnsi="Times New Roman" w:eastAsia="仿宋_GB2312" w:cs="Times New Roman"/>
          <w:sz w:val="32"/>
          <w:szCs w:val="32"/>
          <w:lang w:val="en-US" w:eastAsia="zh-CN"/>
        </w:rPr>
        <w:t xml:space="preserve">通过对山洪灾害防治非工程措施 系统维修维护，最大限度发挥防灾减灾效益，保护人民群众生命财产安全，主动向财政申请资金并及时进行项目资金的拨付，有效进行项目监管工作。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四、项目绩效情况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（一）项目完成情况。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完成山洪灾害防治县级非工程措施设施监测站点17个和县级预警平台、专线2条的维护，通过对山洪灾害防治非工程措施系统维修维护，最大限度发挥防灾减灾效益，保护人民群众生命财产安全。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（二）项目效益情况。</w:t>
      </w:r>
      <w:r>
        <w:rPr>
          <w:rFonts w:hint="default" w:ascii="Times New Roman" w:hAnsi="Times New Roman" w:eastAsia="仿宋_GB2312" w:cs="Times New Roman"/>
          <w:sz w:val="32"/>
          <w:szCs w:val="32"/>
          <w:lang w:val="en-US" w:eastAsia="zh-CN"/>
        </w:rPr>
        <w:t>社会效益指标方面，通过维护，确保户外站点和系统运行正常，汛期提供准确数据，及时预警，确保人民生命财产安全。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 五、评价结论及建议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（一）评价结论。</w:t>
      </w:r>
      <w:r>
        <w:rPr>
          <w:rFonts w:hint="default" w:ascii="Times New Roman" w:hAnsi="Times New Roman" w:eastAsia="仿宋_GB2312" w:cs="Times New Roman"/>
          <w:sz w:val="32"/>
          <w:szCs w:val="32"/>
          <w:lang w:val="en-US" w:eastAsia="zh-CN"/>
        </w:rPr>
        <w:t>该项目实现了超过95%的群众满意度和区委、区政府和上级主管部门满意度，未按照时间节点完成资金拨付，保证全区提升汛期防汛应对能力，并有效进行管理，2021年防汛工作顺利完成。</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（二）存在的问题。</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无。</w:t>
      </w:r>
    </w:p>
    <w:tbl>
      <w:tblPr>
        <w:tblStyle w:val="13"/>
        <w:tblpPr w:leftFromText="180" w:rightFromText="180" w:vertAnchor="text" w:horzAnchor="page" w:tblpX="1255" w:tblpY="829"/>
        <w:tblOverlap w:val="never"/>
        <w:tblW w:w="9811" w:type="dxa"/>
        <w:jc w:val="center"/>
        <w:tblLayout w:type="fixed"/>
        <w:tblCellMar>
          <w:top w:w="0" w:type="dxa"/>
          <w:left w:w="108" w:type="dxa"/>
          <w:bottom w:w="0" w:type="dxa"/>
          <w:right w:w="108" w:type="dxa"/>
        </w:tblCellMar>
      </w:tblPr>
      <w:tblGrid>
        <w:gridCol w:w="1976"/>
        <w:gridCol w:w="1142"/>
        <w:gridCol w:w="1217"/>
        <w:gridCol w:w="1410"/>
        <w:gridCol w:w="1710"/>
        <w:gridCol w:w="2120"/>
        <w:gridCol w:w="236"/>
      </w:tblGrid>
      <w:tr>
        <w:tblPrEx>
          <w:tblCellMar>
            <w:top w:w="0" w:type="dxa"/>
            <w:left w:w="108" w:type="dxa"/>
            <w:bottom w:w="0" w:type="dxa"/>
            <w:right w:w="108" w:type="dxa"/>
          </w:tblCellMar>
        </w:tblPrEx>
        <w:trPr>
          <w:trHeight w:val="675" w:hRule="atLeast"/>
          <w:jc w:val="center"/>
        </w:trPr>
        <w:tc>
          <w:tcPr>
            <w:tcW w:w="9575" w:type="dxa"/>
            <w:gridSpan w:val="6"/>
            <w:tcBorders>
              <w:top w:val="nil"/>
              <w:left w:val="nil"/>
              <w:bottom w:val="single" w:color="auto" w:sz="4" w:space="0"/>
              <w:right w:val="nil"/>
            </w:tcBorders>
            <w:shd w:val="clear" w:color="auto" w:fill="auto"/>
            <w:vAlign w:val="center"/>
          </w:tcPr>
          <w:p>
            <w:pPr>
              <w:widowControl/>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2021年部门预算项目绩效目标自评</w:t>
            </w:r>
          </w:p>
          <w:p>
            <w:pPr>
              <w:pStyle w:val="5"/>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宋体" w:hAnsi="宋体" w:eastAsia="宋体" w:cs="宋体"/>
                <w:color w:val="auto"/>
                <w:sz w:val="28"/>
                <w:szCs w:val="28"/>
                <w:lang w:val="en-US" w:eastAsia="zh-CN"/>
              </w:rPr>
              <w:t>（2021年山洪灾害防治县级非工程措施运行维保费）</w:t>
            </w:r>
          </w:p>
        </w:tc>
        <w:tc>
          <w:tcPr>
            <w:tcW w:w="236" w:type="dxa"/>
            <w:tcBorders>
              <w:top w:val="nil"/>
              <w:left w:val="nil"/>
              <w:bottom w:val="nil"/>
              <w:right w:val="nil"/>
            </w:tcBorders>
            <w:shd w:val="clear" w:color="auto" w:fill="auto"/>
            <w:vAlign w:val="center"/>
          </w:tcPr>
          <w:p>
            <w:pPr>
              <w:widowControl/>
              <w:jc w:val="center"/>
              <w:textAlignment w:val="center"/>
              <w:rPr>
                <w:rFonts w:hint="eastAsia" w:ascii="仿宋_GB2312" w:hAnsi="仿宋_GB2312" w:eastAsia="仿宋_GB2312" w:cs="仿宋_GB2312"/>
                <w:b/>
                <w:color w:val="auto"/>
                <w:kern w:val="0"/>
                <w:sz w:val="21"/>
                <w:szCs w:val="21"/>
              </w:rPr>
            </w:pPr>
          </w:p>
        </w:tc>
      </w:tr>
      <w:tr>
        <w:tblPrEx>
          <w:tblCellMar>
            <w:top w:w="0" w:type="dxa"/>
            <w:left w:w="108" w:type="dxa"/>
            <w:bottom w:w="0" w:type="dxa"/>
            <w:right w:w="108" w:type="dxa"/>
          </w:tblCellMar>
        </w:tblPrEx>
        <w:trPr>
          <w:gridAfter w:val="1"/>
          <w:wAfter w:w="236" w:type="dxa"/>
          <w:trHeight w:val="254" w:hRule="atLeast"/>
          <w:jc w:val="center"/>
        </w:trPr>
        <w:tc>
          <w:tcPr>
            <w:tcW w:w="3118"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主管部门及代码</w:t>
            </w:r>
          </w:p>
        </w:tc>
        <w:tc>
          <w:tcPr>
            <w:tcW w:w="2627"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center"/>
              <w:textAlignment w:val="center"/>
              <w:rPr>
                <w:rFonts w:hint="eastAsia" w:ascii="宋体" w:hAnsi="宋体" w:eastAsia="宋体" w:cs="宋体"/>
                <w:color w:val="auto"/>
                <w:sz w:val="21"/>
                <w:szCs w:val="21"/>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ind w:left="0" w:leftChars="0"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实施单位</w:t>
            </w:r>
          </w:p>
        </w:tc>
        <w:tc>
          <w:tcPr>
            <w:tcW w:w="212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ind w:left="0" w:leftChars="0" w:firstLine="0" w:firstLineChar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攀枝花市西区水利局</w:t>
            </w:r>
          </w:p>
        </w:tc>
      </w:tr>
      <w:tr>
        <w:tblPrEx>
          <w:tblCellMar>
            <w:top w:w="0" w:type="dxa"/>
            <w:left w:w="108" w:type="dxa"/>
            <w:bottom w:w="0" w:type="dxa"/>
            <w:right w:w="108" w:type="dxa"/>
          </w:tblCellMar>
        </w:tblPrEx>
        <w:trPr>
          <w:gridAfter w:val="1"/>
          <w:wAfter w:w="236" w:type="dxa"/>
          <w:trHeight w:val="341" w:hRule="atLeast"/>
          <w:jc w:val="center"/>
        </w:trPr>
        <w:tc>
          <w:tcPr>
            <w:tcW w:w="311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项目预算</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执行情况</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（万元）</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ind w:left="0" w:leftChars="0"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预算数：</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17.8</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ind w:left="0" w:leftChars="0"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执行数：</w:t>
            </w:r>
          </w:p>
        </w:tc>
        <w:tc>
          <w:tcPr>
            <w:tcW w:w="212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r>
      <w:tr>
        <w:tblPrEx>
          <w:tblCellMar>
            <w:top w:w="0" w:type="dxa"/>
            <w:left w:w="108" w:type="dxa"/>
            <w:bottom w:w="0" w:type="dxa"/>
            <w:right w:w="108" w:type="dxa"/>
          </w:tblCellMar>
        </w:tblPrEx>
        <w:trPr>
          <w:gridAfter w:val="1"/>
          <w:wAfter w:w="236" w:type="dxa"/>
          <w:trHeight w:val="555" w:hRule="atLeast"/>
          <w:jc w:val="center"/>
        </w:trPr>
        <w:tc>
          <w:tcPr>
            <w:tcW w:w="311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top"/>
          </w:tcPr>
          <w:p>
            <w:pPr>
              <w:spacing w:line="320" w:lineRule="exact"/>
              <w:jc w:val="center"/>
              <w:rPr>
                <w:rFonts w:hint="eastAsia" w:ascii="宋体" w:hAnsi="宋体" w:eastAsia="宋体" w:cs="宋体"/>
                <w:color w:val="auto"/>
                <w:sz w:val="21"/>
                <w:szCs w:val="21"/>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ind w:left="0" w:leftChars="0" w:firstLine="0" w:firstLineChars="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其中：</w:t>
            </w:r>
          </w:p>
          <w:p>
            <w:pPr>
              <w:widowControl/>
              <w:spacing w:line="320" w:lineRule="exact"/>
              <w:ind w:left="0" w:leftChars="0"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财政拨款</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17.8</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ind w:left="0" w:leftChars="0" w:firstLine="0" w:firstLine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其中：</w:t>
            </w:r>
          </w:p>
          <w:p>
            <w:pPr>
              <w:widowControl/>
              <w:spacing w:line="320" w:lineRule="exact"/>
              <w:ind w:left="0" w:leftChars="0"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财政拨款</w:t>
            </w:r>
          </w:p>
        </w:tc>
        <w:tc>
          <w:tcPr>
            <w:tcW w:w="212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r>
      <w:tr>
        <w:tblPrEx>
          <w:tblCellMar>
            <w:top w:w="0" w:type="dxa"/>
            <w:left w:w="108" w:type="dxa"/>
            <w:bottom w:w="0" w:type="dxa"/>
            <w:right w:w="108" w:type="dxa"/>
          </w:tblCellMar>
        </w:tblPrEx>
        <w:trPr>
          <w:gridAfter w:val="1"/>
          <w:wAfter w:w="236" w:type="dxa"/>
          <w:trHeight w:val="341" w:hRule="atLeast"/>
          <w:jc w:val="center"/>
        </w:trPr>
        <w:tc>
          <w:tcPr>
            <w:tcW w:w="311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top"/>
          </w:tcPr>
          <w:p>
            <w:pPr>
              <w:spacing w:line="320" w:lineRule="exact"/>
              <w:jc w:val="center"/>
              <w:rPr>
                <w:rFonts w:hint="eastAsia" w:ascii="宋体" w:hAnsi="宋体" w:eastAsia="宋体" w:cs="宋体"/>
                <w:color w:val="auto"/>
                <w:sz w:val="21"/>
                <w:szCs w:val="21"/>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ind w:left="0" w:leftChars="0"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其他资金</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center"/>
              <w:textAlignment w:val="center"/>
              <w:rPr>
                <w:rFonts w:hint="eastAsia" w:ascii="宋体" w:hAnsi="宋体" w:eastAsia="宋体" w:cs="宋体"/>
                <w:color w:val="auto"/>
                <w:sz w:val="21"/>
                <w:szCs w:val="21"/>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ind w:left="0" w:leftChars="0"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其他资金</w:t>
            </w:r>
          </w:p>
        </w:tc>
        <w:tc>
          <w:tcPr>
            <w:tcW w:w="212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center"/>
              <w:textAlignment w:val="center"/>
              <w:rPr>
                <w:rFonts w:hint="eastAsia" w:ascii="宋体" w:hAnsi="宋体" w:eastAsia="宋体" w:cs="宋体"/>
                <w:color w:val="auto"/>
                <w:sz w:val="21"/>
                <w:szCs w:val="21"/>
              </w:rPr>
            </w:pPr>
          </w:p>
        </w:tc>
      </w:tr>
      <w:tr>
        <w:tblPrEx>
          <w:tblCellMar>
            <w:top w:w="0" w:type="dxa"/>
            <w:left w:w="108" w:type="dxa"/>
            <w:bottom w:w="0" w:type="dxa"/>
            <w:right w:w="108" w:type="dxa"/>
          </w:tblCellMar>
        </w:tblPrEx>
        <w:trPr>
          <w:gridAfter w:val="1"/>
          <w:wAfter w:w="236" w:type="dxa"/>
          <w:trHeight w:val="217" w:hRule="atLeast"/>
          <w:jc w:val="center"/>
        </w:trPr>
        <w:tc>
          <w:tcPr>
            <w:tcW w:w="1976"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年度总体目标</w:t>
            </w:r>
          </w:p>
          <w:p>
            <w:pPr>
              <w:widowControl/>
              <w:spacing w:line="32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完成情况</w:t>
            </w:r>
          </w:p>
        </w:tc>
        <w:tc>
          <w:tcPr>
            <w:tcW w:w="3769"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预期目标</w:t>
            </w:r>
          </w:p>
        </w:tc>
        <w:tc>
          <w:tcPr>
            <w:tcW w:w="383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目标实际完成情况</w:t>
            </w:r>
          </w:p>
        </w:tc>
      </w:tr>
      <w:tr>
        <w:tblPrEx>
          <w:tblCellMar>
            <w:top w:w="0" w:type="dxa"/>
            <w:left w:w="108" w:type="dxa"/>
            <w:bottom w:w="0" w:type="dxa"/>
            <w:right w:w="108" w:type="dxa"/>
          </w:tblCellMar>
        </w:tblPrEx>
        <w:trPr>
          <w:gridAfter w:val="1"/>
          <w:wAfter w:w="236" w:type="dxa"/>
          <w:trHeight w:val="797" w:hRule="atLeast"/>
          <w:jc w:val="center"/>
        </w:trPr>
        <w:tc>
          <w:tcPr>
            <w:tcW w:w="197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spacing w:line="320" w:lineRule="exact"/>
              <w:jc w:val="center"/>
              <w:rPr>
                <w:rFonts w:hint="eastAsia" w:ascii="宋体" w:hAnsi="宋体" w:eastAsia="宋体" w:cs="宋体"/>
                <w:color w:val="auto"/>
                <w:sz w:val="21"/>
                <w:szCs w:val="21"/>
              </w:rPr>
            </w:pPr>
          </w:p>
        </w:tc>
        <w:tc>
          <w:tcPr>
            <w:tcW w:w="3769"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center"/>
              <w:textAlignment w:val="top"/>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保障山洪灾害防治非工程措施系统正常运行，保护群众生命财产安全</w:t>
            </w:r>
          </w:p>
        </w:tc>
        <w:tc>
          <w:tcPr>
            <w:tcW w:w="383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ind w:left="0" w:leftChars="0" w:firstLine="0" w:firstLineChars="0"/>
              <w:jc w:val="center"/>
              <w:textAlignment w:val="top"/>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通过对山洪灾害防治非工程措施系统运维，最大限度发挥防灾减灾能力，保护群众生命财产安全</w:t>
            </w:r>
          </w:p>
        </w:tc>
      </w:tr>
      <w:tr>
        <w:tblPrEx>
          <w:tblCellMar>
            <w:top w:w="0" w:type="dxa"/>
            <w:left w:w="108" w:type="dxa"/>
            <w:bottom w:w="0" w:type="dxa"/>
            <w:right w:w="108" w:type="dxa"/>
          </w:tblCellMar>
        </w:tblPrEx>
        <w:trPr>
          <w:gridAfter w:val="1"/>
          <w:wAfter w:w="236" w:type="dxa"/>
          <w:trHeight w:val="693" w:hRule="atLeast"/>
          <w:jc w:val="center"/>
        </w:trPr>
        <w:tc>
          <w:tcPr>
            <w:tcW w:w="1976"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年度绩效指标完成情况</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ind w:left="0" w:leftChars="0" w:firstLine="0" w:firstLine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一级</w:t>
            </w:r>
          </w:p>
          <w:p>
            <w:pPr>
              <w:widowControl/>
              <w:spacing w:line="320" w:lineRule="exact"/>
              <w:ind w:left="0" w:leftChars="0"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指标</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ind w:left="0" w:leftChars="0" w:firstLine="0" w:firstLine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二级</w:t>
            </w:r>
          </w:p>
          <w:p>
            <w:pPr>
              <w:widowControl/>
              <w:spacing w:line="320" w:lineRule="exact"/>
              <w:ind w:left="0" w:leftChars="0"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指标</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ind w:left="0" w:leftChars="0" w:firstLine="0" w:firstLine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三级</w:t>
            </w:r>
          </w:p>
          <w:p>
            <w:pPr>
              <w:widowControl/>
              <w:spacing w:line="320" w:lineRule="exact"/>
              <w:ind w:left="0" w:leftChars="0"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指标</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ind w:left="0" w:leftChars="0"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预期指标值</w:t>
            </w:r>
          </w:p>
        </w:tc>
        <w:tc>
          <w:tcPr>
            <w:tcW w:w="212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ind w:left="0" w:leftChars="0"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实际完成指标值</w:t>
            </w:r>
          </w:p>
        </w:tc>
      </w:tr>
      <w:tr>
        <w:tblPrEx>
          <w:tblCellMar>
            <w:top w:w="0" w:type="dxa"/>
            <w:left w:w="108" w:type="dxa"/>
            <w:bottom w:w="0" w:type="dxa"/>
            <w:right w:w="108" w:type="dxa"/>
          </w:tblCellMar>
        </w:tblPrEx>
        <w:trPr>
          <w:gridAfter w:val="1"/>
          <w:wAfter w:w="236" w:type="dxa"/>
          <w:trHeight w:val="415" w:hRule="atLeast"/>
          <w:jc w:val="center"/>
        </w:trPr>
        <w:tc>
          <w:tcPr>
            <w:tcW w:w="197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spacing w:line="320" w:lineRule="exact"/>
              <w:jc w:val="center"/>
              <w:rPr>
                <w:rFonts w:hint="eastAsia" w:ascii="宋体" w:hAnsi="宋体" w:eastAsia="宋体" w:cs="宋体"/>
                <w:color w:val="auto"/>
                <w:sz w:val="21"/>
                <w:szCs w:val="21"/>
              </w:rPr>
            </w:pPr>
          </w:p>
        </w:tc>
        <w:tc>
          <w:tcPr>
            <w:tcW w:w="1142"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ind w:left="0" w:leftChars="0" w:firstLine="0" w:firstLineChars="0"/>
              <w:jc w:val="center"/>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完成</w:t>
            </w:r>
          </w:p>
          <w:p>
            <w:pPr>
              <w:widowControl/>
              <w:spacing w:line="320" w:lineRule="exact"/>
              <w:ind w:left="0" w:leftChars="0" w:firstLine="0" w:firstLineChars="0"/>
              <w:jc w:val="center"/>
              <w:textAlignment w:val="bottom"/>
              <w:rPr>
                <w:rFonts w:hint="eastAsia" w:ascii="宋体" w:hAnsi="宋体" w:eastAsia="宋体" w:cs="宋体"/>
                <w:color w:val="auto"/>
                <w:sz w:val="21"/>
                <w:szCs w:val="21"/>
              </w:rPr>
            </w:pPr>
            <w:r>
              <w:rPr>
                <w:rFonts w:hint="eastAsia" w:ascii="宋体" w:hAnsi="宋体" w:eastAsia="宋体" w:cs="宋体"/>
                <w:color w:val="auto"/>
                <w:kern w:val="0"/>
                <w:sz w:val="21"/>
                <w:szCs w:val="21"/>
              </w:rPr>
              <w:t>指标</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ind w:left="0" w:leftChars="0" w:firstLine="0" w:firstLineChars="0"/>
              <w:jc w:val="center"/>
              <w:textAlignment w:val="bottom"/>
              <w:rPr>
                <w:rFonts w:hint="eastAsia" w:ascii="宋体" w:hAnsi="宋体" w:eastAsia="宋体" w:cs="宋体"/>
                <w:color w:val="auto"/>
                <w:sz w:val="21"/>
                <w:szCs w:val="21"/>
              </w:rPr>
            </w:pPr>
            <w:r>
              <w:rPr>
                <w:rFonts w:hint="eastAsia" w:ascii="宋体" w:hAnsi="宋体" w:eastAsia="宋体" w:cs="宋体"/>
                <w:color w:val="auto"/>
                <w:kern w:val="0"/>
                <w:sz w:val="21"/>
                <w:szCs w:val="21"/>
              </w:rPr>
              <w:t>数量指标</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ind w:left="0" w:leftChars="0" w:firstLine="0" w:firstLineChars="0"/>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山洪灾害防治县级非工程措施维护数量</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ind w:left="0" w:leftChars="0" w:firstLine="0" w:firstLineChars="0"/>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监测站点17个、专线2条和会商平台维护</w:t>
            </w:r>
          </w:p>
        </w:tc>
        <w:tc>
          <w:tcPr>
            <w:tcW w:w="212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已完成</w:t>
            </w:r>
          </w:p>
        </w:tc>
      </w:tr>
      <w:tr>
        <w:tblPrEx>
          <w:tblCellMar>
            <w:top w:w="0" w:type="dxa"/>
            <w:left w:w="108" w:type="dxa"/>
            <w:bottom w:w="0" w:type="dxa"/>
            <w:right w:w="108" w:type="dxa"/>
          </w:tblCellMar>
        </w:tblPrEx>
        <w:trPr>
          <w:gridAfter w:val="1"/>
          <w:wAfter w:w="236" w:type="dxa"/>
          <w:trHeight w:val="1615" w:hRule="atLeast"/>
          <w:jc w:val="center"/>
        </w:trPr>
        <w:tc>
          <w:tcPr>
            <w:tcW w:w="197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spacing w:line="320" w:lineRule="exact"/>
              <w:jc w:val="center"/>
              <w:rPr>
                <w:rFonts w:hint="eastAsia" w:ascii="宋体" w:hAnsi="宋体" w:eastAsia="宋体" w:cs="宋体"/>
                <w:color w:val="auto"/>
                <w:sz w:val="21"/>
                <w:szCs w:val="21"/>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spacing w:line="320" w:lineRule="exact"/>
              <w:jc w:val="center"/>
              <w:rPr>
                <w:rFonts w:hint="eastAsia" w:ascii="宋体" w:hAnsi="宋体" w:eastAsia="宋体" w:cs="宋体"/>
                <w:color w:val="auto"/>
                <w:sz w:val="21"/>
                <w:szCs w:val="21"/>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ind w:left="0" w:leftChars="0" w:firstLine="0" w:firstLineChars="0"/>
              <w:jc w:val="center"/>
              <w:textAlignment w:val="bottom"/>
              <w:rPr>
                <w:rFonts w:hint="eastAsia" w:ascii="宋体" w:hAnsi="宋体" w:eastAsia="宋体" w:cs="宋体"/>
                <w:color w:val="auto"/>
                <w:sz w:val="21"/>
                <w:szCs w:val="21"/>
              </w:rPr>
            </w:pPr>
            <w:r>
              <w:rPr>
                <w:rFonts w:hint="eastAsia" w:ascii="宋体" w:hAnsi="宋体" w:eastAsia="宋体" w:cs="宋体"/>
                <w:color w:val="auto"/>
                <w:kern w:val="0"/>
                <w:sz w:val="21"/>
                <w:szCs w:val="21"/>
              </w:rPr>
              <w:t>质量指标</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ind w:left="0" w:leftChars="0" w:firstLine="0" w:firstLineChars="0"/>
              <w:jc w:val="center"/>
              <w:textAlignment w:val="bottom"/>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山洪灾害</w:t>
            </w:r>
          </w:p>
          <w:p>
            <w:pPr>
              <w:widowControl/>
              <w:spacing w:line="320" w:lineRule="exact"/>
              <w:ind w:left="0" w:leftChars="0" w:firstLine="0" w:firstLineChars="0"/>
              <w:jc w:val="center"/>
              <w:textAlignment w:val="bottom"/>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防治县级</w:t>
            </w:r>
          </w:p>
          <w:p>
            <w:pPr>
              <w:widowControl/>
              <w:spacing w:line="320" w:lineRule="exact"/>
              <w:ind w:left="0" w:leftChars="0" w:firstLine="0" w:firstLineChars="0"/>
              <w:jc w:val="center"/>
              <w:textAlignment w:val="bottom"/>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非工程措</w:t>
            </w:r>
          </w:p>
          <w:p>
            <w:pPr>
              <w:widowControl/>
              <w:spacing w:line="320" w:lineRule="exact"/>
              <w:ind w:left="0" w:leftChars="0" w:firstLine="0" w:firstLineChars="0"/>
              <w:jc w:val="center"/>
              <w:textAlignment w:val="bottom"/>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施设备运</w:t>
            </w:r>
          </w:p>
          <w:p>
            <w:pPr>
              <w:widowControl/>
              <w:spacing w:line="320" w:lineRule="exact"/>
              <w:ind w:left="0" w:leftChars="0" w:firstLine="0" w:firstLineChars="0"/>
              <w:jc w:val="center"/>
              <w:textAlignment w:val="bottom"/>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行率</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ind w:left="0" w:leftChars="0" w:firstLine="0" w:firstLineChars="0"/>
              <w:jc w:val="center"/>
              <w:textAlignment w:val="bottom"/>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运行率达到 100%</w:t>
            </w:r>
          </w:p>
          <w:p>
            <w:pPr>
              <w:widowControl/>
              <w:spacing w:line="320" w:lineRule="exact"/>
              <w:jc w:val="center"/>
              <w:textAlignment w:val="bottom"/>
              <w:rPr>
                <w:rFonts w:hint="eastAsia" w:ascii="宋体" w:hAnsi="宋体" w:eastAsia="宋体" w:cs="宋体"/>
                <w:color w:val="auto"/>
                <w:sz w:val="21"/>
                <w:szCs w:val="21"/>
              </w:rPr>
            </w:pPr>
          </w:p>
        </w:tc>
        <w:tc>
          <w:tcPr>
            <w:tcW w:w="212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center"/>
              <w:textAlignment w:val="bottom"/>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已完成</w:t>
            </w:r>
          </w:p>
        </w:tc>
      </w:tr>
      <w:tr>
        <w:tblPrEx>
          <w:tblCellMar>
            <w:top w:w="0" w:type="dxa"/>
            <w:left w:w="108" w:type="dxa"/>
            <w:bottom w:w="0" w:type="dxa"/>
            <w:right w:w="108" w:type="dxa"/>
          </w:tblCellMar>
        </w:tblPrEx>
        <w:trPr>
          <w:gridAfter w:val="1"/>
          <w:wAfter w:w="236" w:type="dxa"/>
          <w:trHeight w:val="415" w:hRule="atLeast"/>
          <w:jc w:val="center"/>
        </w:trPr>
        <w:tc>
          <w:tcPr>
            <w:tcW w:w="197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spacing w:line="320" w:lineRule="exact"/>
              <w:jc w:val="center"/>
              <w:rPr>
                <w:rFonts w:hint="eastAsia" w:ascii="宋体" w:hAnsi="宋体" w:eastAsia="宋体" w:cs="宋体"/>
                <w:color w:val="auto"/>
                <w:sz w:val="21"/>
                <w:szCs w:val="21"/>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spacing w:line="320" w:lineRule="exact"/>
              <w:jc w:val="center"/>
              <w:rPr>
                <w:rFonts w:hint="eastAsia" w:ascii="宋体" w:hAnsi="宋体" w:eastAsia="宋体" w:cs="宋体"/>
                <w:color w:val="auto"/>
                <w:sz w:val="21"/>
                <w:szCs w:val="21"/>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ind w:left="0" w:leftChars="0" w:firstLine="0" w:firstLineChars="0"/>
              <w:jc w:val="center"/>
              <w:textAlignment w:val="bottom"/>
              <w:rPr>
                <w:rFonts w:hint="eastAsia" w:ascii="宋体" w:hAnsi="宋体" w:eastAsia="宋体" w:cs="宋体"/>
                <w:color w:val="auto"/>
                <w:sz w:val="21"/>
                <w:szCs w:val="21"/>
              </w:rPr>
            </w:pPr>
            <w:r>
              <w:rPr>
                <w:rFonts w:hint="eastAsia" w:ascii="宋体" w:hAnsi="宋体" w:eastAsia="宋体" w:cs="宋体"/>
                <w:color w:val="auto"/>
                <w:kern w:val="0"/>
                <w:sz w:val="21"/>
                <w:szCs w:val="21"/>
              </w:rPr>
              <w:t>时效指标</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ind w:left="0" w:leftChars="0" w:firstLine="0" w:firstLineChars="0"/>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2021年度</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ind w:left="0" w:leftChars="0" w:firstLine="0" w:firstLineChars="0"/>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2021年</w:t>
            </w:r>
          </w:p>
        </w:tc>
        <w:tc>
          <w:tcPr>
            <w:tcW w:w="212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已完成</w:t>
            </w:r>
          </w:p>
        </w:tc>
      </w:tr>
      <w:tr>
        <w:tblPrEx>
          <w:tblCellMar>
            <w:top w:w="0" w:type="dxa"/>
            <w:left w:w="108" w:type="dxa"/>
            <w:bottom w:w="0" w:type="dxa"/>
            <w:right w:w="108" w:type="dxa"/>
          </w:tblCellMar>
        </w:tblPrEx>
        <w:trPr>
          <w:gridAfter w:val="1"/>
          <w:wAfter w:w="236" w:type="dxa"/>
          <w:trHeight w:val="480" w:hRule="atLeast"/>
          <w:jc w:val="center"/>
        </w:trPr>
        <w:tc>
          <w:tcPr>
            <w:tcW w:w="197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spacing w:line="320" w:lineRule="exact"/>
              <w:jc w:val="center"/>
              <w:rPr>
                <w:rFonts w:hint="eastAsia" w:ascii="宋体" w:hAnsi="宋体" w:eastAsia="宋体" w:cs="宋体"/>
                <w:color w:val="auto"/>
                <w:sz w:val="21"/>
                <w:szCs w:val="21"/>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spacing w:line="320" w:lineRule="exact"/>
              <w:jc w:val="center"/>
              <w:rPr>
                <w:rFonts w:hint="eastAsia" w:ascii="宋体" w:hAnsi="宋体" w:eastAsia="宋体" w:cs="宋体"/>
                <w:color w:val="auto"/>
                <w:sz w:val="21"/>
                <w:szCs w:val="21"/>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ind w:left="0" w:leftChars="0" w:firstLine="0" w:firstLineChars="0"/>
              <w:jc w:val="center"/>
              <w:textAlignment w:val="bottom"/>
              <w:rPr>
                <w:rFonts w:hint="eastAsia" w:ascii="宋体" w:hAnsi="宋体" w:eastAsia="宋体" w:cs="宋体"/>
                <w:color w:val="auto"/>
                <w:sz w:val="21"/>
                <w:szCs w:val="21"/>
              </w:rPr>
            </w:pPr>
            <w:r>
              <w:rPr>
                <w:rFonts w:hint="eastAsia" w:ascii="宋体" w:hAnsi="宋体" w:eastAsia="宋体" w:cs="宋体"/>
                <w:color w:val="auto"/>
                <w:kern w:val="0"/>
                <w:sz w:val="21"/>
                <w:szCs w:val="21"/>
              </w:rPr>
              <w:t>成本指标</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ind w:left="0" w:leftChars="0" w:firstLine="0" w:firstLineChars="0"/>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维护费</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ind w:left="0" w:leftChars="0" w:firstLine="0" w:firstLineChars="0"/>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17.8</w:t>
            </w:r>
          </w:p>
        </w:tc>
        <w:tc>
          <w:tcPr>
            <w:tcW w:w="212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center"/>
              <w:textAlignment w:val="bottom"/>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r>
      <w:tr>
        <w:tblPrEx>
          <w:tblCellMar>
            <w:top w:w="0" w:type="dxa"/>
            <w:left w:w="108" w:type="dxa"/>
            <w:bottom w:w="0" w:type="dxa"/>
            <w:right w:w="108" w:type="dxa"/>
          </w:tblCellMar>
        </w:tblPrEx>
        <w:trPr>
          <w:gridAfter w:val="1"/>
          <w:wAfter w:w="236" w:type="dxa"/>
          <w:trHeight w:val="480" w:hRule="atLeast"/>
          <w:jc w:val="center"/>
        </w:trPr>
        <w:tc>
          <w:tcPr>
            <w:tcW w:w="197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spacing w:line="320" w:lineRule="exact"/>
              <w:jc w:val="center"/>
              <w:rPr>
                <w:rFonts w:hint="eastAsia" w:ascii="宋体" w:hAnsi="宋体" w:eastAsia="宋体" w:cs="宋体"/>
                <w:color w:val="auto"/>
                <w:sz w:val="21"/>
                <w:szCs w:val="21"/>
              </w:rPr>
            </w:pPr>
          </w:p>
        </w:tc>
        <w:tc>
          <w:tcPr>
            <w:tcW w:w="1142"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ind w:left="0" w:leftChars="0" w:firstLine="0" w:firstLineChars="0"/>
              <w:jc w:val="center"/>
              <w:textAlignment w:val="bottom"/>
              <w:rPr>
                <w:rFonts w:hint="eastAsia" w:ascii="宋体" w:hAnsi="宋体" w:eastAsia="宋体" w:cs="宋体"/>
                <w:color w:val="auto"/>
                <w:sz w:val="21"/>
                <w:szCs w:val="21"/>
              </w:rPr>
            </w:pPr>
            <w:r>
              <w:rPr>
                <w:rFonts w:hint="eastAsia" w:ascii="宋体" w:hAnsi="宋体" w:eastAsia="宋体" w:cs="宋体"/>
                <w:color w:val="auto"/>
                <w:kern w:val="0"/>
                <w:sz w:val="21"/>
                <w:szCs w:val="21"/>
              </w:rPr>
              <w:t>效益</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指标</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ind w:left="0" w:leftChars="0" w:firstLine="0" w:firstLineChars="0"/>
              <w:jc w:val="center"/>
              <w:textAlignment w:val="bottom"/>
              <w:rPr>
                <w:rFonts w:hint="eastAsia" w:ascii="宋体" w:hAnsi="宋体" w:eastAsia="宋体" w:cs="宋体"/>
                <w:color w:val="auto"/>
                <w:sz w:val="21"/>
                <w:szCs w:val="21"/>
              </w:rPr>
            </w:pPr>
            <w:r>
              <w:rPr>
                <w:rFonts w:hint="eastAsia" w:ascii="宋体" w:hAnsi="宋体" w:eastAsia="宋体" w:cs="宋体"/>
                <w:color w:val="auto"/>
                <w:kern w:val="0"/>
                <w:sz w:val="21"/>
                <w:szCs w:val="21"/>
              </w:rPr>
              <w:t>经济效益指标</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center"/>
              <w:textAlignment w:val="bottom"/>
              <w:rPr>
                <w:rFonts w:hint="eastAsia" w:ascii="宋体" w:hAnsi="宋体" w:eastAsia="宋体" w:cs="宋体"/>
                <w:color w:val="auto"/>
                <w:sz w:val="21"/>
                <w:szCs w:val="21"/>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center"/>
              <w:textAlignment w:val="bottom"/>
              <w:rPr>
                <w:rFonts w:hint="eastAsia" w:ascii="宋体" w:hAnsi="宋体" w:eastAsia="宋体" w:cs="宋体"/>
                <w:color w:val="auto"/>
                <w:sz w:val="21"/>
                <w:szCs w:val="21"/>
              </w:rPr>
            </w:pPr>
          </w:p>
        </w:tc>
        <w:tc>
          <w:tcPr>
            <w:tcW w:w="212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center"/>
              <w:textAlignment w:val="bottom"/>
              <w:rPr>
                <w:rFonts w:hint="eastAsia" w:ascii="宋体" w:hAnsi="宋体" w:eastAsia="宋体" w:cs="宋体"/>
                <w:color w:val="auto"/>
                <w:sz w:val="21"/>
                <w:szCs w:val="21"/>
              </w:rPr>
            </w:pPr>
          </w:p>
        </w:tc>
      </w:tr>
      <w:tr>
        <w:tblPrEx>
          <w:tblCellMar>
            <w:top w:w="0" w:type="dxa"/>
            <w:left w:w="108" w:type="dxa"/>
            <w:bottom w:w="0" w:type="dxa"/>
            <w:right w:w="108" w:type="dxa"/>
          </w:tblCellMar>
        </w:tblPrEx>
        <w:trPr>
          <w:gridAfter w:val="1"/>
          <w:wAfter w:w="236" w:type="dxa"/>
          <w:trHeight w:val="480" w:hRule="atLeast"/>
          <w:jc w:val="center"/>
        </w:trPr>
        <w:tc>
          <w:tcPr>
            <w:tcW w:w="19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宋体" w:hAnsi="宋体" w:eastAsia="宋体" w:cs="宋体"/>
                <w:color w:val="auto"/>
                <w:sz w:val="21"/>
                <w:szCs w:val="21"/>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pPr>
              <w:spacing w:line="320" w:lineRule="exact"/>
              <w:jc w:val="center"/>
              <w:rPr>
                <w:rFonts w:hint="eastAsia" w:ascii="宋体" w:hAnsi="宋体" w:eastAsia="宋体" w:cs="宋体"/>
                <w:color w:val="auto"/>
                <w:sz w:val="21"/>
                <w:szCs w:val="21"/>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20" w:lineRule="exact"/>
              <w:ind w:left="0" w:leftChars="0" w:firstLine="0" w:firstLineChars="0"/>
              <w:jc w:val="center"/>
              <w:textAlignment w:val="bottom"/>
              <w:rPr>
                <w:rFonts w:hint="eastAsia" w:ascii="宋体" w:hAnsi="宋体" w:eastAsia="宋体" w:cs="宋体"/>
                <w:color w:val="auto"/>
                <w:sz w:val="21"/>
                <w:szCs w:val="21"/>
              </w:rPr>
            </w:pPr>
            <w:r>
              <w:rPr>
                <w:rFonts w:hint="eastAsia" w:ascii="宋体" w:hAnsi="宋体" w:eastAsia="宋体" w:cs="宋体"/>
                <w:color w:val="auto"/>
                <w:kern w:val="0"/>
                <w:sz w:val="21"/>
                <w:szCs w:val="21"/>
              </w:rPr>
              <w:t>社会效益指标</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20" w:lineRule="exact"/>
              <w:ind w:left="0" w:leftChars="0" w:firstLine="0" w:firstLineChars="0"/>
              <w:jc w:val="center"/>
              <w:textAlignment w:val="bottom"/>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通过维护，</w:t>
            </w:r>
          </w:p>
          <w:p>
            <w:pPr>
              <w:widowControl/>
              <w:spacing w:line="320" w:lineRule="exact"/>
              <w:ind w:left="0" w:leftChars="0" w:firstLine="0" w:firstLineChars="0"/>
              <w:jc w:val="center"/>
              <w:textAlignment w:val="bottom"/>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确保户外</w:t>
            </w:r>
          </w:p>
          <w:p>
            <w:pPr>
              <w:widowControl/>
              <w:spacing w:line="320" w:lineRule="exact"/>
              <w:ind w:left="0" w:leftChars="0" w:firstLine="0" w:firstLineChars="0"/>
              <w:jc w:val="center"/>
              <w:textAlignment w:val="bottom"/>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站点和系</w:t>
            </w:r>
          </w:p>
          <w:p>
            <w:pPr>
              <w:widowControl/>
              <w:spacing w:line="320" w:lineRule="exact"/>
              <w:ind w:left="0" w:leftChars="0" w:firstLine="0" w:firstLineChars="0"/>
              <w:jc w:val="center"/>
              <w:textAlignment w:val="bottom"/>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统运行正</w:t>
            </w:r>
          </w:p>
          <w:p>
            <w:pPr>
              <w:widowControl/>
              <w:spacing w:line="320" w:lineRule="exact"/>
              <w:ind w:left="0" w:leftChars="0" w:firstLine="0" w:firstLineChars="0"/>
              <w:jc w:val="center"/>
              <w:textAlignment w:val="bottom"/>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常，汛期提</w:t>
            </w:r>
          </w:p>
          <w:p>
            <w:pPr>
              <w:widowControl/>
              <w:spacing w:line="320" w:lineRule="exact"/>
              <w:ind w:left="0" w:leftChars="0" w:firstLine="0" w:firstLineChars="0"/>
              <w:jc w:val="center"/>
              <w:textAlignment w:val="bottom"/>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供准确数</w:t>
            </w:r>
          </w:p>
          <w:p>
            <w:pPr>
              <w:widowControl/>
              <w:spacing w:line="320" w:lineRule="exact"/>
              <w:ind w:left="0" w:leftChars="0" w:firstLine="0" w:firstLineChars="0"/>
              <w:jc w:val="center"/>
              <w:textAlignment w:val="bottom"/>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据，及时预</w:t>
            </w:r>
          </w:p>
          <w:p>
            <w:pPr>
              <w:widowControl/>
              <w:spacing w:line="320" w:lineRule="exact"/>
              <w:ind w:left="0" w:leftChars="0" w:firstLine="0" w:firstLineChars="0"/>
              <w:jc w:val="center"/>
              <w:textAlignment w:val="bottom"/>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警，确保人</w:t>
            </w:r>
          </w:p>
          <w:p>
            <w:pPr>
              <w:widowControl/>
              <w:spacing w:line="320" w:lineRule="exact"/>
              <w:ind w:left="0" w:leftChars="0" w:firstLine="0" w:firstLineChars="0"/>
              <w:jc w:val="center"/>
              <w:textAlignment w:val="bottom"/>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民生命财</w:t>
            </w:r>
          </w:p>
          <w:p>
            <w:pPr>
              <w:widowControl/>
              <w:spacing w:line="320" w:lineRule="exact"/>
              <w:ind w:left="0" w:leftChars="0" w:firstLine="0" w:firstLineChars="0"/>
              <w:jc w:val="center"/>
              <w:textAlignment w:val="bottom"/>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产安全。</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20" w:lineRule="exact"/>
              <w:ind w:left="0" w:leftChars="0" w:firstLine="0" w:firstLineChars="0"/>
              <w:jc w:val="center"/>
              <w:textAlignment w:val="bottom"/>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通过维护，确保户外站点和系统运行正常</w:t>
            </w:r>
          </w:p>
          <w:p>
            <w:pPr>
              <w:widowControl/>
              <w:spacing w:line="320" w:lineRule="exact"/>
              <w:jc w:val="center"/>
              <w:textAlignment w:val="bottom"/>
              <w:rPr>
                <w:rFonts w:hint="eastAsia" w:ascii="宋体" w:hAnsi="宋体" w:eastAsia="宋体" w:cs="宋体"/>
                <w:color w:val="auto"/>
                <w:sz w:val="21"/>
                <w:szCs w:val="21"/>
              </w:rPr>
            </w:pPr>
          </w:p>
        </w:tc>
        <w:tc>
          <w:tcPr>
            <w:tcW w:w="212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20" w:lineRule="exact"/>
              <w:ind w:left="0" w:leftChars="0" w:firstLine="0" w:firstLineChars="0"/>
              <w:jc w:val="center"/>
              <w:textAlignment w:val="bottom"/>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汛期提供准确数</w:t>
            </w:r>
          </w:p>
          <w:p>
            <w:pPr>
              <w:widowControl/>
              <w:spacing w:line="320" w:lineRule="exact"/>
              <w:ind w:left="0" w:leftChars="0" w:firstLine="0" w:firstLineChars="0"/>
              <w:jc w:val="center"/>
              <w:textAlignment w:val="bottom"/>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据，及时预警，确</w:t>
            </w:r>
          </w:p>
          <w:p>
            <w:pPr>
              <w:widowControl/>
              <w:spacing w:line="320" w:lineRule="exact"/>
              <w:ind w:left="0" w:leftChars="0" w:firstLine="0" w:firstLineChars="0"/>
              <w:jc w:val="center"/>
              <w:textAlignment w:val="bottom"/>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保人民生命财产安</w:t>
            </w:r>
          </w:p>
          <w:p>
            <w:pPr>
              <w:widowControl/>
              <w:spacing w:line="320" w:lineRule="exact"/>
              <w:ind w:left="0" w:leftChars="0" w:firstLine="0" w:firstLineChars="0"/>
              <w:jc w:val="center"/>
              <w:textAlignment w:val="bottom"/>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全</w:t>
            </w:r>
          </w:p>
          <w:p>
            <w:pPr>
              <w:widowControl/>
              <w:spacing w:line="320" w:lineRule="exact"/>
              <w:jc w:val="center"/>
              <w:textAlignment w:val="bottom"/>
              <w:rPr>
                <w:rFonts w:hint="eastAsia" w:ascii="宋体" w:hAnsi="宋体" w:eastAsia="宋体" w:cs="宋体"/>
                <w:color w:val="auto"/>
                <w:sz w:val="21"/>
                <w:szCs w:val="21"/>
              </w:rPr>
            </w:pPr>
          </w:p>
        </w:tc>
      </w:tr>
      <w:tr>
        <w:tblPrEx>
          <w:tblCellMar>
            <w:top w:w="0" w:type="dxa"/>
            <w:left w:w="108" w:type="dxa"/>
            <w:bottom w:w="0" w:type="dxa"/>
            <w:right w:w="108" w:type="dxa"/>
          </w:tblCellMar>
        </w:tblPrEx>
        <w:trPr>
          <w:gridAfter w:val="1"/>
          <w:wAfter w:w="236" w:type="dxa"/>
          <w:trHeight w:val="577" w:hRule="atLeast"/>
          <w:jc w:val="center"/>
        </w:trPr>
        <w:tc>
          <w:tcPr>
            <w:tcW w:w="19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宋体" w:hAnsi="宋体" w:eastAsia="宋体" w:cs="宋体"/>
                <w:color w:val="auto"/>
                <w:sz w:val="21"/>
                <w:szCs w:val="21"/>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pPr>
              <w:spacing w:line="320" w:lineRule="exact"/>
              <w:jc w:val="center"/>
              <w:rPr>
                <w:rFonts w:hint="eastAsia" w:ascii="宋体" w:hAnsi="宋体" w:eastAsia="宋体" w:cs="宋体"/>
                <w:color w:val="auto"/>
                <w:sz w:val="21"/>
                <w:szCs w:val="21"/>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20" w:lineRule="exact"/>
              <w:ind w:left="0" w:leftChars="0" w:firstLine="0" w:firstLineChars="0"/>
              <w:jc w:val="center"/>
              <w:textAlignment w:val="bottom"/>
              <w:rPr>
                <w:rFonts w:hint="eastAsia" w:ascii="宋体" w:hAnsi="宋体" w:eastAsia="宋体" w:cs="宋体"/>
                <w:color w:val="auto"/>
                <w:sz w:val="21"/>
                <w:szCs w:val="21"/>
              </w:rPr>
            </w:pPr>
            <w:r>
              <w:rPr>
                <w:rFonts w:hint="eastAsia" w:ascii="宋体" w:hAnsi="宋体" w:eastAsia="宋体" w:cs="宋体"/>
                <w:color w:val="auto"/>
                <w:kern w:val="0"/>
                <w:sz w:val="21"/>
                <w:szCs w:val="21"/>
              </w:rPr>
              <w:t>生态效益指标</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20" w:lineRule="exact"/>
              <w:jc w:val="center"/>
              <w:textAlignment w:val="bottom"/>
              <w:rPr>
                <w:rFonts w:hint="eastAsia" w:ascii="宋体" w:hAnsi="宋体" w:eastAsia="宋体" w:cs="宋体"/>
                <w:color w:val="auto"/>
                <w:sz w:val="21"/>
                <w:szCs w:val="21"/>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20" w:lineRule="exact"/>
              <w:jc w:val="center"/>
              <w:textAlignment w:val="bottom"/>
              <w:rPr>
                <w:rFonts w:hint="eastAsia" w:ascii="宋体" w:hAnsi="宋体" w:eastAsia="宋体" w:cs="宋体"/>
                <w:color w:val="auto"/>
                <w:sz w:val="21"/>
                <w:szCs w:val="21"/>
              </w:rPr>
            </w:pPr>
          </w:p>
        </w:tc>
        <w:tc>
          <w:tcPr>
            <w:tcW w:w="212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20" w:lineRule="exact"/>
              <w:jc w:val="center"/>
              <w:textAlignment w:val="bottom"/>
              <w:rPr>
                <w:rFonts w:hint="eastAsia" w:ascii="宋体" w:hAnsi="宋体" w:eastAsia="宋体" w:cs="宋体"/>
                <w:color w:val="auto"/>
                <w:sz w:val="21"/>
                <w:szCs w:val="21"/>
              </w:rPr>
            </w:pPr>
          </w:p>
        </w:tc>
      </w:tr>
      <w:tr>
        <w:tblPrEx>
          <w:tblCellMar>
            <w:top w:w="0" w:type="dxa"/>
            <w:left w:w="108" w:type="dxa"/>
            <w:bottom w:w="0" w:type="dxa"/>
            <w:right w:w="108" w:type="dxa"/>
          </w:tblCellMar>
        </w:tblPrEx>
        <w:trPr>
          <w:gridAfter w:val="1"/>
          <w:wAfter w:w="236" w:type="dxa"/>
          <w:trHeight w:val="480" w:hRule="atLeast"/>
          <w:jc w:val="center"/>
        </w:trPr>
        <w:tc>
          <w:tcPr>
            <w:tcW w:w="19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宋体" w:hAnsi="宋体" w:eastAsia="宋体" w:cs="宋体"/>
                <w:color w:val="auto"/>
                <w:sz w:val="21"/>
                <w:szCs w:val="21"/>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pPr>
              <w:spacing w:line="320" w:lineRule="exact"/>
              <w:jc w:val="center"/>
              <w:rPr>
                <w:rFonts w:hint="eastAsia" w:ascii="宋体" w:hAnsi="宋体" w:eastAsia="宋体" w:cs="宋体"/>
                <w:color w:val="auto"/>
                <w:sz w:val="21"/>
                <w:szCs w:val="21"/>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20" w:lineRule="exact"/>
              <w:ind w:left="0" w:leftChars="0" w:firstLine="0" w:firstLineChars="0"/>
              <w:jc w:val="center"/>
              <w:textAlignment w:val="bottom"/>
              <w:rPr>
                <w:rFonts w:hint="eastAsia" w:ascii="宋体" w:hAnsi="宋体" w:eastAsia="宋体" w:cs="宋体"/>
                <w:color w:val="auto"/>
                <w:sz w:val="21"/>
                <w:szCs w:val="21"/>
              </w:rPr>
            </w:pPr>
            <w:r>
              <w:rPr>
                <w:rFonts w:hint="eastAsia" w:ascii="宋体" w:hAnsi="宋体" w:eastAsia="宋体" w:cs="宋体"/>
                <w:color w:val="auto"/>
                <w:kern w:val="0"/>
                <w:sz w:val="21"/>
                <w:szCs w:val="21"/>
              </w:rPr>
              <w:t>可持续影响指标</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20" w:lineRule="exact"/>
              <w:jc w:val="center"/>
              <w:textAlignment w:val="bottom"/>
              <w:rPr>
                <w:rFonts w:hint="eastAsia" w:ascii="宋体" w:hAnsi="宋体" w:eastAsia="宋体" w:cs="宋体"/>
                <w:color w:val="auto"/>
                <w:sz w:val="21"/>
                <w:szCs w:val="21"/>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20" w:lineRule="exact"/>
              <w:jc w:val="center"/>
              <w:textAlignment w:val="bottom"/>
              <w:rPr>
                <w:rFonts w:hint="eastAsia" w:ascii="宋体" w:hAnsi="宋体" w:eastAsia="宋体" w:cs="宋体"/>
                <w:color w:val="auto"/>
                <w:sz w:val="21"/>
                <w:szCs w:val="21"/>
              </w:rPr>
            </w:pPr>
          </w:p>
        </w:tc>
        <w:tc>
          <w:tcPr>
            <w:tcW w:w="212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20" w:lineRule="exact"/>
              <w:jc w:val="center"/>
              <w:textAlignment w:val="bottom"/>
              <w:rPr>
                <w:rFonts w:hint="eastAsia" w:ascii="宋体" w:hAnsi="宋体" w:eastAsia="宋体" w:cs="宋体"/>
                <w:color w:val="auto"/>
                <w:sz w:val="21"/>
                <w:szCs w:val="21"/>
              </w:rPr>
            </w:pPr>
          </w:p>
        </w:tc>
      </w:tr>
      <w:tr>
        <w:tblPrEx>
          <w:tblCellMar>
            <w:top w:w="0" w:type="dxa"/>
            <w:left w:w="108" w:type="dxa"/>
            <w:bottom w:w="0" w:type="dxa"/>
            <w:right w:w="108" w:type="dxa"/>
          </w:tblCellMar>
        </w:tblPrEx>
        <w:trPr>
          <w:gridAfter w:val="1"/>
          <w:wAfter w:w="236" w:type="dxa"/>
          <w:trHeight w:val="530" w:hRule="atLeast"/>
          <w:jc w:val="center"/>
        </w:trPr>
        <w:tc>
          <w:tcPr>
            <w:tcW w:w="19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宋体" w:hAnsi="宋体" w:eastAsia="宋体" w:cs="宋体"/>
                <w:color w:val="auto"/>
                <w:sz w:val="21"/>
                <w:szCs w:val="21"/>
              </w:rPr>
            </w:pPr>
          </w:p>
        </w:tc>
        <w:tc>
          <w:tcPr>
            <w:tcW w:w="1142"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20" w:lineRule="exact"/>
              <w:ind w:left="0" w:leftChars="0" w:firstLine="0" w:firstLineChars="0"/>
              <w:jc w:val="center"/>
              <w:textAlignment w:val="bottom"/>
              <w:rPr>
                <w:rFonts w:hint="eastAsia" w:ascii="宋体" w:hAnsi="宋体" w:eastAsia="宋体" w:cs="宋体"/>
                <w:color w:val="auto"/>
                <w:sz w:val="21"/>
                <w:szCs w:val="21"/>
              </w:rPr>
            </w:pPr>
            <w:r>
              <w:rPr>
                <w:rFonts w:hint="eastAsia" w:ascii="宋体" w:hAnsi="宋体" w:eastAsia="宋体" w:cs="宋体"/>
                <w:color w:val="auto"/>
                <w:kern w:val="0"/>
                <w:sz w:val="21"/>
                <w:szCs w:val="21"/>
              </w:rPr>
              <w:t>满意</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度指标</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20" w:lineRule="exact"/>
              <w:ind w:left="0" w:leftChars="0" w:firstLine="0" w:firstLineChars="0"/>
              <w:jc w:val="center"/>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满意度</w:t>
            </w:r>
          </w:p>
          <w:p>
            <w:pPr>
              <w:widowControl/>
              <w:spacing w:line="320" w:lineRule="exact"/>
              <w:ind w:left="0" w:leftChars="0" w:firstLine="0" w:firstLineChars="0"/>
              <w:jc w:val="center"/>
              <w:textAlignment w:val="bottom"/>
              <w:rPr>
                <w:rFonts w:hint="eastAsia" w:ascii="宋体" w:hAnsi="宋体" w:eastAsia="宋体" w:cs="宋体"/>
                <w:color w:val="auto"/>
                <w:sz w:val="21"/>
                <w:szCs w:val="21"/>
              </w:rPr>
            </w:pPr>
            <w:r>
              <w:rPr>
                <w:rFonts w:hint="eastAsia" w:ascii="宋体" w:hAnsi="宋体" w:eastAsia="宋体" w:cs="宋体"/>
                <w:color w:val="auto"/>
                <w:kern w:val="0"/>
                <w:sz w:val="21"/>
                <w:szCs w:val="21"/>
              </w:rPr>
              <w:t>指标</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20" w:lineRule="exact"/>
              <w:ind w:left="0" w:leftChars="0" w:firstLine="0" w:firstLineChars="0"/>
              <w:jc w:val="center"/>
              <w:textAlignment w:val="bottom"/>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区委、政府和上级部门，群众满意度</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20" w:lineRule="exact"/>
              <w:ind w:left="0" w:leftChars="0" w:firstLine="0" w:firstLineChars="0"/>
              <w:jc w:val="center"/>
              <w:textAlignment w:val="bottom"/>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满意度≥ 95%</w:t>
            </w:r>
          </w:p>
          <w:p>
            <w:pPr>
              <w:widowControl/>
              <w:spacing w:line="320" w:lineRule="exact"/>
              <w:ind w:firstLine="420" w:firstLineChars="200"/>
              <w:jc w:val="center"/>
              <w:textAlignment w:val="bottom"/>
              <w:rPr>
                <w:rFonts w:hint="eastAsia" w:ascii="宋体" w:hAnsi="宋体" w:eastAsia="宋体" w:cs="宋体"/>
                <w:color w:val="auto"/>
                <w:sz w:val="21"/>
                <w:szCs w:val="21"/>
              </w:rPr>
            </w:pPr>
          </w:p>
        </w:tc>
        <w:tc>
          <w:tcPr>
            <w:tcW w:w="212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20" w:lineRule="exact"/>
              <w:ind w:left="0" w:leftChars="0" w:firstLine="0" w:firstLineChars="0"/>
              <w:jc w:val="center"/>
              <w:textAlignment w:val="bottom"/>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满意度≥ 95%</w:t>
            </w:r>
          </w:p>
          <w:p>
            <w:pPr>
              <w:widowControl/>
              <w:spacing w:line="320" w:lineRule="exact"/>
              <w:ind w:firstLine="420" w:firstLineChars="200"/>
              <w:jc w:val="center"/>
              <w:textAlignment w:val="bottom"/>
              <w:rPr>
                <w:rFonts w:hint="eastAsia" w:ascii="宋体" w:hAnsi="宋体" w:eastAsia="宋体" w:cs="宋体"/>
                <w:color w:val="auto"/>
                <w:sz w:val="21"/>
                <w:szCs w:val="21"/>
              </w:rPr>
            </w:pPr>
          </w:p>
        </w:tc>
      </w:tr>
    </w:tbl>
    <w:p>
      <w:pPr>
        <w:numPr>
          <w:ilvl w:val="0"/>
          <w:numId w:val="0"/>
        </w:numPr>
        <w:ind w:firstLine="420" w:firstLineChars="200"/>
        <w:jc w:val="center"/>
        <w:rPr>
          <w:rFonts w:hint="eastAsia" w:ascii="宋体" w:hAnsi="宋体" w:eastAsia="宋体" w:cs="宋体"/>
          <w:sz w:val="21"/>
          <w:szCs w:val="21"/>
          <w:lang w:val="en-US" w:eastAsia="zh-CN"/>
        </w:rPr>
      </w:pPr>
    </w:p>
    <w:p>
      <w:pPr>
        <w:spacing w:line="600" w:lineRule="exact"/>
        <w:jc w:val="center"/>
        <w:rPr>
          <w:rFonts w:hint="eastAsia" w:ascii="宋体" w:hAnsi="宋体" w:eastAsia="宋体" w:cs="宋体"/>
          <w:color w:val="auto"/>
          <w:sz w:val="21"/>
          <w:szCs w:val="21"/>
        </w:rPr>
      </w:pPr>
    </w:p>
    <w:p>
      <w:pPr>
        <w:spacing w:line="600" w:lineRule="exact"/>
        <w:jc w:val="center"/>
        <w:rPr>
          <w:rFonts w:hint="eastAsia" w:ascii="方正小标宋简体" w:hAnsi="方正小标宋简体" w:eastAsia="方正小标宋简体" w:cs="方正小标宋简体"/>
          <w:color w:val="auto"/>
          <w:sz w:val="40"/>
          <w:szCs w:val="40"/>
        </w:rPr>
      </w:pPr>
    </w:p>
    <w:p>
      <w:pPr>
        <w:spacing w:line="600" w:lineRule="exact"/>
        <w:jc w:val="center"/>
        <w:rPr>
          <w:rFonts w:hint="eastAsia" w:ascii="方正小标宋简体" w:hAnsi="方正小标宋简体" w:eastAsia="方正小标宋简体" w:cs="方正小标宋简体"/>
          <w:color w:val="auto"/>
          <w:sz w:val="40"/>
          <w:szCs w:val="40"/>
        </w:rPr>
      </w:pPr>
    </w:p>
    <w:p>
      <w:pPr>
        <w:spacing w:line="600" w:lineRule="exact"/>
        <w:jc w:val="center"/>
        <w:rPr>
          <w:rFonts w:hint="eastAsia" w:ascii="方正小标宋简体" w:hAnsi="方正小标宋简体" w:eastAsia="方正小标宋简体" w:cs="方正小标宋简体"/>
          <w:color w:val="auto"/>
          <w:sz w:val="40"/>
          <w:szCs w:val="40"/>
        </w:rPr>
      </w:pPr>
    </w:p>
    <w:p>
      <w:pPr>
        <w:spacing w:line="600" w:lineRule="exact"/>
        <w:jc w:val="center"/>
        <w:rPr>
          <w:rFonts w:hint="eastAsia" w:ascii="方正小标宋简体" w:hAnsi="方正小标宋简体" w:eastAsia="方正小标宋简体" w:cs="方正小标宋简体"/>
          <w:color w:val="auto"/>
          <w:sz w:val="40"/>
          <w:szCs w:val="40"/>
        </w:rPr>
      </w:pPr>
    </w:p>
    <w:p>
      <w:pPr>
        <w:spacing w:line="600" w:lineRule="exact"/>
        <w:jc w:val="center"/>
        <w:rPr>
          <w:rFonts w:hint="eastAsia" w:ascii="方正小标宋简体" w:hAnsi="方正小标宋简体" w:eastAsia="方正小标宋简体" w:cs="方正小标宋简体"/>
          <w:color w:val="auto"/>
          <w:sz w:val="40"/>
          <w:szCs w:val="40"/>
        </w:rPr>
      </w:pPr>
    </w:p>
    <w:p>
      <w:pPr>
        <w:spacing w:line="600" w:lineRule="exact"/>
        <w:jc w:val="center"/>
        <w:rPr>
          <w:rFonts w:hint="eastAsia" w:ascii="方正小标宋简体" w:hAnsi="方正小标宋简体" w:eastAsia="方正小标宋简体" w:cs="方正小标宋简体"/>
          <w:color w:val="auto"/>
          <w:sz w:val="40"/>
          <w:szCs w:val="40"/>
        </w:rPr>
      </w:pPr>
    </w:p>
    <w:p>
      <w:pPr>
        <w:spacing w:line="600" w:lineRule="exact"/>
        <w:jc w:val="center"/>
        <w:rPr>
          <w:rFonts w:hint="eastAsia" w:ascii="方正小标宋简体" w:hAnsi="方正小标宋简体" w:eastAsia="方正小标宋简体" w:cs="方正小标宋简体"/>
          <w:color w:val="auto"/>
          <w:sz w:val="40"/>
          <w:szCs w:val="40"/>
        </w:rPr>
      </w:pPr>
    </w:p>
    <w:p>
      <w:pPr>
        <w:spacing w:line="600" w:lineRule="exact"/>
        <w:jc w:val="center"/>
        <w:rPr>
          <w:rFonts w:hint="eastAsia" w:ascii="方正小标宋简体" w:hAnsi="方正小标宋简体" w:eastAsia="方正小标宋简体" w:cs="方正小标宋简体"/>
          <w:color w:val="auto"/>
          <w:sz w:val="40"/>
          <w:szCs w:val="40"/>
        </w:rPr>
      </w:pPr>
    </w:p>
    <w:p>
      <w:pPr>
        <w:spacing w:line="60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攀枝花市</w:t>
      </w:r>
      <w:r>
        <w:rPr>
          <w:rFonts w:hint="eastAsia" w:ascii="方正小标宋_GBK" w:hAnsi="方正小标宋_GBK" w:eastAsia="方正小标宋_GBK" w:cs="方正小标宋_GBK"/>
          <w:color w:val="auto"/>
          <w:sz w:val="44"/>
          <w:szCs w:val="44"/>
          <w:lang w:eastAsia="zh-CN"/>
        </w:rPr>
        <w:t>西</w:t>
      </w:r>
      <w:r>
        <w:rPr>
          <w:rFonts w:hint="eastAsia" w:ascii="方正小标宋_GBK" w:hAnsi="方正小标宋_GBK" w:eastAsia="方正小标宋_GBK" w:cs="方正小标宋_GBK"/>
          <w:color w:val="auto"/>
          <w:sz w:val="44"/>
          <w:szCs w:val="44"/>
        </w:rPr>
        <w:t xml:space="preserve">区水利局 </w:t>
      </w:r>
    </w:p>
    <w:p>
      <w:pPr>
        <w:spacing w:line="60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202</w:t>
      </w:r>
      <w:r>
        <w:rPr>
          <w:rFonts w:hint="eastAsia" w:ascii="方正小标宋_GBK" w:hAnsi="方正小标宋_GBK" w:eastAsia="方正小标宋_GBK" w:cs="方正小标宋_GBK"/>
          <w:color w:val="auto"/>
          <w:sz w:val="44"/>
          <w:szCs w:val="44"/>
          <w:lang w:val="en-US" w:eastAsia="zh-CN"/>
        </w:rPr>
        <w:t>1</w:t>
      </w:r>
      <w:r>
        <w:rPr>
          <w:rFonts w:hint="eastAsia" w:ascii="方正小标宋_GBK" w:hAnsi="方正小标宋_GBK" w:eastAsia="方正小标宋_GBK" w:cs="方正小标宋_GBK"/>
          <w:color w:val="auto"/>
          <w:sz w:val="44"/>
          <w:szCs w:val="44"/>
        </w:rPr>
        <w:t>年度部门预算项目支出绩效自评报告</w:t>
      </w:r>
    </w:p>
    <w:p>
      <w:pPr>
        <w:numPr>
          <w:ilvl w:val="0"/>
          <w:numId w:val="0"/>
        </w:numPr>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（2020年中央水利救灾资金建设项目）</w:t>
      </w:r>
    </w:p>
    <w:tbl>
      <w:tblPr>
        <w:tblStyle w:val="13"/>
        <w:tblpPr w:leftFromText="180" w:rightFromText="180" w:vertAnchor="text" w:horzAnchor="page" w:tblpX="1112" w:tblpY="1279"/>
        <w:tblOverlap w:val="never"/>
        <w:tblW w:w="9811" w:type="dxa"/>
        <w:jc w:val="center"/>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jc w:val="center"/>
        </w:trPr>
        <w:tc>
          <w:tcPr>
            <w:tcW w:w="9575" w:type="dxa"/>
            <w:gridSpan w:val="6"/>
            <w:tcBorders>
              <w:top w:val="nil"/>
              <w:left w:val="nil"/>
              <w:bottom w:val="nil"/>
              <w:right w:val="nil"/>
            </w:tcBorders>
            <w:shd w:val="clear" w:color="auto" w:fill="auto"/>
            <w:vAlign w:val="center"/>
          </w:tcPr>
          <w:p>
            <w:pPr>
              <w:widowControl/>
              <w:ind w:firstLine="2520" w:firstLineChars="900"/>
              <w:jc w:val="both"/>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2021年部门预算项目绩效目标自评</w:t>
            </w:r>
          </w:p>
          <w:p>
            <w:pPr>
              <w:pStyle w:val="5"/>
              <w:ind w:left="0" w:leftChars="0" w:firstLine="0" w:firstLine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28"/>
                <w:szCs w:val="28"/>
                <w:lang w:val="en-US" w:eastAsia="zh-CN"/>
              </w:rPr>
              <w:t>（2020年中央水利救灾资金建设项目）</w:t>
            </w:r>
          </w:p>
        </w:tc>
        <w:tc>
          <w:tcPr>
            <w:tcW w:w="236" w:type="dxa"/>
            <w:tcBorders>
              <w:top w:val="nil"/>
              <w:left w:val="nil"/>
              <w:bottom w:val="nil"/>
              <w:right w:val="nil"/>
            </w:tcBorders>
            <w:shd w:val="clear" w:color="auto" w:fill="auto"/>
            <w:vAlign w:val="center"/>
          </w:tcPr>
          <w:p>
            <w:pPr>
              <w:widowControl/>
              <w:jc w:val="center"/>
              <w:textAlignment w:val="center"/>
              <w:rPr>
                <w:rFonts w:hint="eastAsia" w:ascii="宋体" w:hAnsi="宋体" w:eastAsia="宋体" w:cs="宋体"/>
                <w:b/>
                <w:color w:val="auto"/>
                <w:kern w:val="0"/>
                <w:sz w:val="18"/>
                <w:szCs w:val="18"/>
              </w:rPr>
            </w:pPr>
          </w:p>
        </w:tc>
      </w:tr>
      <w:tr>
        <w:tblPrEx>
          <w:tblCellMar>
            <w:top w:w="0" w:type="dxa"/>
            <w:left w:w="108" w:type="dxa"/>
            <w:bottom w:w="0" w:type="dxa"/>
            <w:right w:w="108" w:type="dxa"/>
          </w:tblCellMar>
        </w:tblPrEx>
        <w:trPr>
          <w:gridAfter w:val="1"/>
          <w:wAfter w:w="236" w:type="dxa"/>
          <w:trHeight w:val="254" w:hRule="atLeast"/>
          <w:jc w:val="center"/>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center"/>
              <w:rPr>
                <w:rFonts w:hint="eastAsia" w:ascii="宋体" w:hAnsi="宋体" w:eastAsia="宋体" w:cs="宋体"/>
                <w:color w:val="auto"/>
                <w:sz w:val="18"/>
                <w:szCs w:val="1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ind w:left="0" w:leftChars="0" w:firstLine="0" w:firstLineChars="0"/>
              <w:jc w:val="both"/>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ind w:left="0" w:leftChars="0" w:firstLine="0" w:firstLineChars="0"/>
              <w:jc w:val="both"/>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攀枝花市西区水利局</w:t>
            </w:r>
          </w:p>
        </w:tc>
      </w:tr>
      <w:tr>
        <w:tblPrEx>
          <w:tblCellMar>
            <w:top w:w="0" w:type="dxa"/>
            <w:left w:w="108" w:type="dxa"/>
            <w:bottom w:w="0" w:type="dxa"/>
            <w:right w:w="108" w:type="dxa"/>
          </w:tblCellMar>
        </w:tblPrEx>
        <w:trPr>
          <w:gridAfter w:val="1"/>
          <w:wAfter w:w="236" w:type="dxa"/>
          <w:trHeight w:val="341" w:hRule="atLeast"/>
          <w:jc w:val="center"/>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项目预算</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执行情况</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ind w:left="0" w:leftChars="0" w:firstLine="0" w:firstLineChars="0"/>
              <w:jc w:val="both"/>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215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ind w:left="0" w:leftChars="0" w:firstLine="0" w:firstLineChars="0"/>
              <w:jc w:val="both"/>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gridAfter w:val="1"/>
          <w:wAfter w:w="236" w:type="dxa"/>
          <w:trHeight w:val="555"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320" w:lineRule="exact"/>
              <w:jc w:val="both"/>
              <w:rPr>
                <w:rFonts w:hint="eastAsia" w:ascii="宋体" w:hAnsi="宋体" w:eastAsia="宋体" w:cs="宋体"/>
                <w:color w:val="auto"/>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ind w:left="0" w:leftChars="0" w:firstLine="0" w:firstLineChars="0"/>
              <w:jc w:val="both"/>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其中：</w:t>
            </w:r>
          </w:p>
          <w:p>
            <w:pPr>
              <w:widowControl/>
              <w:spacing w:line="320" w:lineRule="exact"/>
              <w:ind w:left="0" w:leftChars="0" w:firstLine="0" w:firstLineChars="0"/>
              <w:jc w:val="both"/>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215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ind w:left="0" w:leftChars="0" w:firstLine="0" w:firstLineChars="0"/>
              <w:jc w:val="both"/>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其中：</w:t>
            </w:r>
          </w:p>
          <w:p>
            <w:pPr>
              <w:widowControl/>
              <w:spacing w:line="320" w:lineRule="exact"/>
              <w:ind w:left="0" w:leftChars="0" w:firstLine="0" w:firstLineChars="0"/>
              <w:jc w:val="both"/>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55.5909</w:t>
            </w:r>
          </w:p>
        </w:tc>
      </w:tr>
      <w:tr>
        <w:tblPrEx>
          <w:tblCellMar>
            <w:top w:w="0" w:type="dxa"/>
            <w:left w:w="108" w:type="dxa"/>
            <w:bottom w:w="0" w:type="dxa"/>
            <w:right w:w="108" w:type="dxa"/>
          </w:tblCellMar>
        </w:tblPrEx>
        <w:trPr>
          <w:gridAfter w:val="1"/>
          <w:wAfter w:w="236" w:type="dxa"/>
          <w:trHeight w:val="341"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320" w:lineRule="exact"/>
              <w:jc w:val="both"/>
              <w:rPr>
                <w:rFonts w:hint="eastAsia" w:ascii="宋体" w:hAnsi="宋体" w:eastAsia="宋体" w:cs="宋体"/>
                <w:color w:val="auto"/>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ind w:left="0" w:leftChars="0" w:firstLine="0" w:firstLineChars="0"/>
              <w:jc w:val="both"/>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center"/>
              <w:rPr>
                <w:rFonts w:hint="eastAsia" w:ascii="宋体" w:hAnsi="宋体" w:eastAsia="宋体" w:cs="宋体"/>
                <w:color w:val="auto"/>
                <w:sz w:val="18"/>
                <w:szCs w:val="1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ind w:left="0" w:leftChars="0" w:firstLine="0" w:firstLineChars="0"/>
              <w:jc w:val="both"/>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gridAfter w:val="1"/>
          <w:wAfter w:w="236" w:type="dxa"/>
          <w:trHeight w:val="217" w:hRule="atLeast"/>
          <w:jc w:val="center"/>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年度总体目标</w:t>
            </w:r>
          </w:p>
          <w:p>
            <w:pPr>
              <w:widowControl/>
              <w:spacing w:line="320" w:lineRule="exact"/>
              <w:jc w:val="both"/>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目标实际完成情况</w:t>
            </w:r>
          </w:p>
        </w:tc>
      </w:tr>
      <w:tr>
        <w:tblPrEx>
          <w:tblCellMar>
            <w:top w:w="0" w:type="dxa"/>
            <w:left w:w="108" w:type="dxa"/>
            <w:bottom w:w="0" w:type="dxa"/>
            <w:right w:w="108" w:type="dxa"/>
          </w:tblCellMar>
        </w:tblPrEx>
        <w:trPr>
          <w:gridAfter w:val="1"/>
          <w:wAfter w:w="236" w:type="dxa"/>
          <w:trHeight w:val="797" w:hRule="atLeast"/>
          <w:jc w:val="center"/>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320" w:lineRule="exact"/>
              <w:jc w:val="both"/>
              <w:rPr>
                <w:rFonts w:hint="eastAsia" w:ascii="宋体" w:hAnsi="宋体" w:eastAsia="宋体" w:cs="宋体"/>
                <w:color w:val="auto"/>
                <w:sz w:val="18"/>
                <w:szCs w:val="18"/>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top"/>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在格里坪镇金家村新建2口共计2000m³的抗旱水源蓄水池；进一步完善金家村市政自来水管网延伸工程二期；金家村4社3口已建的200m³抗旱蓄水池进行维修整治。</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ind w:left="0" w:leftChars="0" w:firstLine="0" w:firstLineChars="0"/>
              <w:jc w:val="both"/>
              <w:textAlignment w:val="top"/>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已完成格里坪镇金家村新建2口共计2000m³的抗旱水源蓄水池；金家村市政自来水管网延伸工程二期中主管道已铺设完成、泵房修建完成；金家村4社3口已建的200m³抗旱蓄水池维修整治完成。</w:t>
            </w:r>
          </w:p>
        </w:tc>
      </w:tr>
      <w:tr>
        <w:tblPrEx>
          <w:tblCellMar>
            <w:top w:w="0" w:type="dxa"/>
            <w:left w:w="108" w:type="dxa"/>
            <w:bottom w:w="0" w:type="dxa"/>
            <w:right w:w="108" w:type="dxa"/>
          </w:tblCellMar>
        </w:tblPrEx>
        <w:trPr>
          <w:gridAfter w:val="1"/>
          <w:wAfter w:w="236" w:type="dxa"/>
          <w:trHeight w:val="693" w:hRule="atLeast"/>
          <w:jc w:val="center"/>
        </w:trPr>
        <w:tc>
          <w:tcPr>
            <w:tcW w:w="1976" w:type="dxa"/>
            <w:vMerge w:val="restart"/>
            <w:tcBorders>
              <w:top w:val="single" w:color="000000" w:sz="4" w:space="0"/>
              <w:left w:val="single" w:color="000000" w:sz="4" w:space="0"/>
              <w:right w:val="single" w:color="000000" w:sz="4" w:space="0"/>
            </w:tcBorders>
            <w:shd w:val="clear" w:color="auto" w:fill="auto"/>
            <w:vAlign w:val="top"/>
          </w:tcPr>
          <w:p>
            <w:pPr>
              <w:widowControl/>
              <w:spacing w:line="320" w:lineRule="exact"/>
              <w:jc w:val="both"/>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top"/>
          </w:tcPr>
          <w:p>
            <w:pPr>
              <w:widowControl/>
              <w:spacing w:line="320" w:lineRule="exact"/>
              <w:ind w:left="0" w:leftChars="0" w:firstLine="0" w:firstLineChars="0"/>
              <w:jc w:val="both"/>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一级</w:t>
            </w:r>
          </w:p>
          <w:p>
            <w:pPr>
              <w:widowControl/>
              <w:spacing w:line="320" w:lineRule="exact"/>
              <w:ind w:left="0" w:leftChars="0" w:firstLine="0" w:firstLineChars="0"/>
              <w:jc w:val="both"/>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ind w:left="0" w:leftChars="0" w:firstLine="0" w:firstLineChars="0"/>
              <w:jc w:val="both"/>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二级</w:t>
            </w:r>
          </w:p>
          <w:p>
            <w:pPr>
              <w:widowControl/>
              <w:spacing w:line="320" w:lineRule="exact"/>
              <w:ind w:left="0" w:leftChars="0" w:firstLine="0" w:firstLineChars="0"/>
              <w:jc w:val="both"/>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ind w:left="0" w:leftChars="0" w:firstLine="0" w:firstLineChars="0"/>
              <w:jc w:val="both"/>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三级</w:t>
            </w:r>
          </w:p>
          <w:p>
            <w:pPr>
              <w:widowControl/>
              <w:spacing w:line="320" w:lineRule="exact"/>
              <w:ind w:left="0" w:leftChars="0" w:firstLine="0" w:firstLineChars="0"/>
              <w:jc w:val="both"/>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ind w:left="0" w:leftChars="0" w:firstLine="0" w:firstLineChars="0"/>
              <w:jc w:val="both"/>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ind w:left="0" w:leftChars="0" w:firstLine="0" w:firstLineChars="0"/>
              <w:jc w:val="both"/>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实际完成指标值</w:t>
            </w:r>
          </w:p>
        </w:tc>
      </w:tr>
      <w:tr>
        <w:tblPrEx>
          <w:tblCellMar>
            <w:top w:w="0" w:type="dxa"/>
            <w:left w:w="108" w:type="dxa"/>
            <w:bottom w:w="0" w:type="dxa"/>
            <w:right w:w="108" w:type="dxa"/>
          </w:tblCellMar>
        </w:tblPrEx>
        <w:trPr>
          <w:gridAfter w:val="1"/>
          <w:wAfter w:w="236" w:type="dxa"/>
          <w:trHeight w:val="415" w:hRule="atLeast"/>
          <w:jc w:val="center"/>
        </w:trPr>
        <w:tc>
          <w:tcPr>
            <w:tcW w:w="1976" w:type="dxa"/>
            <w:vMerge w:val="continue"/>
            <w:tcBorders>
              <w:left w:val="single" w:color="000000" w:sz="4" w:space="0"/>
              <w:right w:val="single" w:color="000000" w:sz="4" w:space="0"/>
            </w:tcBorders>
            <w:shd w:val="clear" w:color="auto" w:fill="auto"/>
            <w:vAlign w:val="top"/>
          </w:tcPr>
          <w:p>
            <w:pPr>
              <w:spacing w:line="320" w:lineRule="exact"/>
              <w:jc w:val="both"/>
              <w:rPr>
                <w:rFonts w:hint="eastAsia" w:ascii="宋体" w:hAnsi="宋体" w:eastAsia="宋体" w:cs="宋体"/>
                <w:color w:val="auto"/>
                <w:sz w:val="18"/>
                <w:szCs w:val="1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ind w:left="0" w:leftChars="0" w:firstLine="0" w:firstLineChars="0"/>
              <w:jc w:val="both"/>
              <w:textAlignment w:val="bottom"/>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完成</w:t>
            </w:r>
          </w:p>
          <w:p>
            <w:pPr>
              <w:widowControl/>
              <w:spacing w:line="320" w:lineRule="exact"/>
              <w:ind w:left="0" w:leftChars="0" w:firstLine="0" w:firstLineChars="0"/>
              <w:jc w:val="both"/>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ind w:left="0" w:leftChars="0" w:firstLine="0" w:firstLineChars="0"/>
              <w:jc w:val="both"/>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ind w:left="0" w:leftChars="0" w:firstLine="0" w:firstLineChars="0"/>
              <w:jc w:val="both"/>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完成格里坪镇金家村新建2口共2000m³的抗旱水源蓄水池；完善金家村市政自来水管网延伸工程二期；金家村4社3口已建的200m³抗旱蓄水池进行维修整治</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ind w:left="0" w:leftChars="0" w:firstLine="0" w:firstLineChars="0"/>
              <w:jc w:val="both"/>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3个水毁项目、2口水池新建、主管道铺设和泵房修建</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已完成90%（支管未铺设、入户水表未安装）</w:t>
            </w:r>
          </w:p>
        </w:tc>
      </w:tr>
      <w:tr>
        <w:tblPrEx>
          <w:tblCellMar>
            <w:top w:w="0" w:type="dxa"/>
            <w:left w:w="108" w:type="dxa"/>
            <w:bottom w:w="0" w:type="dxa"/>
            <w:right w:w="108" w:type="dxa"/>
          </w:tblCellMar>
        </w:tblPrEx>
        <w:trPr>
          <w:gridAfter w:val="1"/>
          <w:wAfter w:w="236" w:type="dxa"/>
          <w:trHeight w:val="415" w:hRule="atLeast"/>
          <w:jc w:val="center"/>
        </w:trPr>
        <w:tc>
          <w:tcPr>
            <w:tcW w:w="1976" w:type="dxa"/>
            <w:vMerge w:val="continue"/>
            <w:tcBorders>
              <w:left w:val="single" w:color="000000" w:sz="4" w:space="0"/>
              <w:right w:val="single" w:color="000000" w:sz="4" w:space="0"/>
            </w:tcBorders>
            <w:shd w:val="clear" w:color="auto" w:fill="auto"/>
            <w:vAlign w:val="top"/>
          </w:tcPr>
          <w:p>
            <w:pPr>
              <w:spacing w:line="320" w:lineRule="exact"/>
              <w:jc w:val="both"/>
              <w:rPr>
                <w:rFonts w:hint="eastAsia" w:ascii="宋体" w:hAnsi="宋体" w:eastAsia="宋体" w:cs="宋体"/>
                <w:color w:val="auto"/>
                <w:sz w:val="18"/>
                <w:szCs w:val="1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320" w:lineRule="exact"/>
              <w:jc w:val="both"/>
              <w:rPr>
                <w:rFonts w:hint="eastAsia" w:ascii="宋体" w:hAnsi="宋体" w:eastAsia="宋体" w:cs="宋体"/>
                <w:color w:val="auto"/>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ind w:left="0" w:leftChars="0" w:firstLine="0" w:firstLineChars="0"/>
              <w:jc w:val="both"/>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ind w:left="0" w:leftChars="0" w:firstLine="0" w:firstLineChars="0"/>
              <w:jc w:val="both"/>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符合水利工程建设质量标准，通过监理、业主、行 业单位验收</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运行率达符合水利工程建设质量 标准，通过相关部门验收</w:t>
            </w:r>
          </w:p>
          <w:p>
            <w:pPr>
              <w:widowControl/>
              <w:spacing w:line="320" w:lineRule="exact"/>
              <w:jc w:val="both"/>
              <w:textAlignment w:val="bottom"/>
              <w:rPr>
                <w:rFonts w:hint="eastAsia" w:ascii="宋体" w:hAnsi="宋体" w:eastAsia="宋体" w:cs="宋体"/>
                <w:color w:val="auto"/>
                <w:sz w:val="18"/>
                <w:szCs w:val="1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已完成</w:t>
            </w:r>
          </w:p>
        </w:tc>
      </w:tr>
      <w:tr>
        <w:tblPrEx>
          <w:tblCellMar>
            <w:top w:w="0" w:type="dxa"/>
            <w:left w:w="108" w:type="dxa"/>
            <w:bottom w:w="0" w:type="dxa"/>
            <w:right w:w="108" w:type="dxa"/>
          </w:tblCellMar>
        </w:tblPrEx>
        <w:trPr>
          <w:gridAfter w:val="1"/>
          <w:wAfter w:w="236" w:type="dxa"/>
          <w:trHeight w:val="415" w:hRule="atLeast"/>
          <w:jc w:val="center"/>
        </w:trPr>
        <w:tc>
          <w:tcPr>
            <w:tcW w:w="1976" w:type="dxa"/>
            <w:vMerge w:val="continue"/>
            <w:tcBorders>
              <w:left w:val="single" w:color="000000" w:sz="4" w:space="0"/>
              <w:right w:val="single" w:color="000000" w:sz="4" w:space="0"/>
            </w:tcBorders>
            <w:shd w:val="clear" w:color="auto" w:fill="auto"/>
            <w:vAlign w:val="top"/>
          </w:tcPr>
          <w:p>
            <w:pPr>
              <w:spacing w:line="320" w:lineRule="exact"/>
              <w:jc w:val="both"/>
              <w:rPr>
                <w:rFonts w:hint="eastAsia" w:ascii="宋体" w:hAnsi="宋体" w:eastAsia="宋体" w:cs="宋体"/>
                <w:color w:val="auto"/>
                <w:sz w:val="18"/>
                <w:szCs w:val="1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320" w:lineRule="exact"/>
              <w:jc w:val="both"/>
              <w:rPr>
                <w:rFonts w:hint="eastAsia" w:ascii="宋体" w:hAnsi="宋体" w:eastAsia="宋体" w:cs="宋体"/>
                <w:color w:val="auto"/>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ind w:left="0" w:leftChars="0" w:firstLine="0" w:firstLineChars="0"/>
              <w:jc w:val="both"/>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ind w:left="0" w:leftChars="0" w:firstLine="0" w:firstLineChars="0"/>
              <w:jc w:val="both"/>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2021年12月底完工并完成支付</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ind w:left="0" w:leftChars="0" w:firstLine="0" w:firstLineChars="0"/>
              <w:jc w:val="both"/>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2021年12月完工并完成支付</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ind w:left="0" w:leftChars="0" w:firstLine="0" w:firstLineChars="0"/>
              <w:jc w:val="both"/>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项目12月前主体工程已完工、金家村的蓄水池新建和维修整治已完工并投入运行，支付未完成</w:t>
            </w:r>
          </w:p>
        </w:tc>
      </w:tr>
      <w:tr>
        <w:tblPrEx>
          <w:tblCellMar>
            <w:top w:w="0" w:type="dxa"/>
            <w:left w:w="108" w:type="dxa"/>
            <w:bottom w:w="0" w:type="dxa"/>
            <w:right w:w="108" w:type="dxa"/>
          </w:tblCellMar>
        </w:tblPrEx>
        <w:trPr>
          <w:gridAfter w:val="1"/>
          <w:wAfter w:w="236" w:type="dxa"/>
          <w:trHeight w:val="480" w:hRule="atLeast"/>
          <w:jc w:val="center"/>
        </w:trPr>
        <w:tc>
          <w:tcPr>
            <w:tcW w:w="1976" w:type="dxa"/>
            <w:vMerge w:val="continue"/>
            <w:tcBorders>
              <w:left w:val="single" w:color="000000" w:sz="4" w:space="0"/>
              <w:right w:val="single" w:color="000000" w:sz="4" w:space="0"/>
            </w:tcBorders>
            <w:shd w:val="clear" w:color="auto" w:fill="auto"/>
            <w:vAlign w:val="top"/>
          </w:tcPr>
          <w:p>
            <w:pPr>
              <w:spacing w:line="320" w:lineRule="exact"/>
              <w:jc w:val="both"/>
              <w:rPr>
                <w:rFonts w:hint="eastAsia" w:ascii="宋体" w:hAnsi="宋体" w:eastAsia="宋体" w:cs="宋体"/>
                <w:color w:val="auto"/>
                <w:sz w:val="18"/>
                <w:szCs w:val="1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320" w:lineRule="exact"/>
              <w:jc w:val="both"/>
              <w:rPr>
                <w:rFonts w:hint="eastAsia" w:ascii="宋体" w:hAnsi="宋体" w:eastAsia="宋体" w:cs="宋体"/>
                <w:color w:val="auto"/>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ind w:left="0" w:leftChars="0" w:firstLine="0" w:firstLineChars="0"/>
              <w:jc w:val="both"/>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ind w:left="0" w:leftChars="0" w:firstLine="0" w:firstLineChars="0"/>
              <w:jc w:val="both"/>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上级救灾资金</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ind w:left="0" w:leftChars="0" w:firstLine="0" w:firstLineChars="0"/>
              <w:jc w:val="both"/>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215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55.5909</w:t>
            </w:r>
          </w:p>
        </w:tc>
      </w:tr>
      <w:tr>
        <w:tblPrEx>
          <w:tblCellMar>
            <w:top w:w="0" w:type="dxa"/>
            <w:left w:w="108" w:type="dxa"/>
            <w:bottom w:w="0" w:type="dxa"/>
            <w:right w:w="108" w:type="dxa"/>
          </w:tblCellMar>
        </w:tblPrEx>
        <w:trPr>
          <w:gridAfter w:val="1"/>
          <w:wAfter w:w="236" w:type="dxa"/>
          <w:trHeight w:val="480" w:hRule="atLeast"/>
          <w:jc w:val="center"/>
        </w:trPr>
        <w:tc>
          <w:tcPr>
            <w:tcW w:w="1976" w:type="dxa"/>
            <w:vMerge w:val="continue"/>
            <w:tcBorders>
              <w:left w:val="single" w:color="000000" w:sz="4" w:space="0"/>
              <w:right w:val="single" w:color="000000" w:sz="4" w:space="0"/>
            </w:tcBorders>
            <w:shd w:val="clear" w:color="auto" w:fill="auto"/>
            <w:vAlign w:val="top"/>
          </w:tcPr>
          <w:p>
            <w:pPr>
              <w:spacing w:line="320" w:lineRule="exact"/>
              <w:jc w:val="both"/>
              <w:rPr>
                <w:rFonts w:hint="eastAsia" w:ascii="宋体" w:hAnsi="宋体" w:eastAsia="宋体" w:cs="宋体"/>
                <w:color w:val="auto"/>
                <w:sz w:val="18"/>
                <w:szCs w:val="1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ind w:left="0" w:leftChars="0" w:firstLine="0" w:firstLineChars="0"/>
              <w:jc w:val="both"/>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rPr>
              <w:t>效益</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ind w:left="0" w:leftChars="0" w:firstLine="0" w:firstLineChars="0"/>
              <w:jc w:val="both"/>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rPr>
              <w:t>经济效益指标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bottom"/>
              <w:rPr>
                <w:rFonts w:hint="eastAsia" w:ascii="宋体" w:hAnsi="宋体" w:eastAsia="宋体" w:cs="宋体"/>
                <w:color w:val="auto"/>
                <w:sz w:val="18"/>
                <w:szCs w:val="1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bottom"/>
              <w:rPr>
                <w:rFonts w:hint="eastAsia" w:ascii="宋体" w:hAnsi="宋体" w:eastAsia="宋体" w:cs="宋体"/>
                <w:color w:val="auto"/>
                <w:sz w:val="18"/>
                <w:szCs w:val="1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bottom"/>
              <w:rPr>
                <w:rFonts w:hint="eastAsia" w:ascii="宋体" w:hAnsi="宋体" w:eastAsia="宋体" w:cs="宋体"/>
                <w:color w:val="auto"/>
                <w:sz w:val="18"/>
                <w:szCs w:val="18"/>
              </w:rPr>
            </w:pPr>
          </w:p>
        </w:tc>
      </w:tr>
      <w:tr>
        <w:tblPrEx>
          <w:tblCellMar>
            <w:top w:w="0" w:type="dxa"/>
            <w:left w:w="108" w:type="dxa"/>
            <w:bottom w:w="0" w:type="dxa"/>
            <w:right w:w="108" w:type="dxa"/>
          </w:tblCellMar>
        </w:tblPrEx>
        <w:trPr>
          <w:gridAfter w:val="1"/>
          <w:wAfter w:w="236" w:type="dxa"/>
          <w:trHeight w:val="480" w:hRule="atLeast"/>
          <w:jc w:val="center"/>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宋体" w:hAnsi="宋体" w:eastAsia="宋体" w:cs="宋体"/>
                <w:color w:val="auto"/>
                <w:sz w:val="18"/>
                <w:szCs w:val="1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宋体" w:hAnsi="宋体" w:eastAsia="宋体" w:cs="宋体"/>
                <w:color w:val="auto"/>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0" w:leftChars="0" w:firstLine="0" w:firstLineChars="0"/>
              <w:jc w:val="both"/>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rPr>
              <w:t>社会效益指标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0" w:leftChars="0" w:firstLine="0" w:firstLineChars="0"/>
              <w:jc w:val="both"/>
              <w:textAlignment w:val="bottom"/>
              <w:rPr>
                <w:rFonts w:hint="eastAsia" w:ascii="宋体" w:hAnsi="宋体" w:eastAsia="宋体" w:cs="宋体"/>
                <w:color w:val="auto"/>
                <w:sz w:val="18"/>
                <w:szCs w:val="18"/>
                <w:lang w:val="en-US"/>
              </w:rPr>
            </w:pPr>
            <w:r>
              <w:rPr>
                <w:rFonts w:hint="eastAsia" w:ascii="宋体" w:hAnsi="宋体" w:eastAsia="宋体" w:cs="宋体"/>
                <w:color w:val="auto"/>
                <w:sz w:val="18"/>
                <w:szCs w:val="18"/>
                <w:lang w:val="en-US" w:eastAsia="zh-CN"/>
              </w:rPr>
              <w:t>通过项目实施，解决目标区域农业生产问题和人饮问题</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0" w:leftChars="0" w:firstLine="0" w:firstLineChars="0"/>
              <w:jc w:val="both"/>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通过项目实施，解决目标区域农业生产问题和人饮问题</w:t>
            </w:r>
          </w:p>
          <w:p>
            <w:pPr>
              <w:widowControl/>
              <w:spacing w:line="320" w:lineRule="exact"/>
              <w:jc w:val="center"/>
              <w:textAlignment w:val="bottom"/>
              <w:rPr>
                <w:rFonts w:hint="eastAsia" w:ascii="宋体" w:hAnsi="宋体" w:eastAsia="宋体" w:cs="宋体"/>
                <w:color w:val="auto"/>
                <w:sz w:val="18"/>
                <w:szCs w:val="1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0" w:leftChars="0" w:firstLine="0" w:firstLineChars="0"/>
              <w:jc w:val="both"/>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已完成</w:t>
            </w:r>
          </w:p>
          <w:p>
            <w:pPr>
              <w:widowControl/>
              <w:spacing w:line="320" w:lineRule="exact"/>
              <w:jc w:val="center"/>
              <w:textAlignment w:val="bottom"/>
              <w:rPr>
                <w:rFonts w:hint="eastAsia" w:ascii="宋体" w:hAnsi="宋体" w:eastAsia="宋体" w:cs="宋体"/>
                <w:color w:val="auto"/>
                <w:sz w:val="18"/>
                <w:szCs w:val="18"/>
              </w:rPr>
            </w:pPr>
          </w:p>
        </w:tc>
      </w:tr>
      <w:tr>
        <w:tblPrEx>
          <w:tblCellMar>
            <w:top w:w="0" w:type="dxa"/>
            <w:left w:w="108" w:type="dxa"/>
            <w:bottom w:w="0" w:type="dxa"/>
            <w:right w:w="108" w:type="dxa"/>
          </w:tblCellMar>
        </w:tblPrEx>
        <w:trPr>
          <w:gridAfter w:val="1"/>
          <w:wAfter w:w="236" w:type="dxa"/>
          <w:trHeight w:val="577" w:hRule="atLeast"/>
          <w:jc w:val="center"/>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宋体" w:hAnsi="宋体" w:eastAsia="宋体" w:cs="宋体"/>
                <w:color w:val="auto"/>
                <w:sz w:val="18"/>
                <w:szCs w:val="1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宋体" w:hAnsi="宋体" w:eastAsia="宋体" w:cs="宋体"/>
                <w:color w:val="auto"/>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0" w:leftChars="0" w:firstLine="0" w:firstLineChars="0"/>
              <w:jc w:val="left"/>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rPr>
              <w:t>生态效益指标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eastAsia="宋体" w:cs="宋体"/>
                <w:color w:val="auto"/>
                <w:sz w:val="18"/>
                <w:szCs w:val="1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eastAsia="宋体" w:cs="宋体"/>
                <w:color w:val="auto"/>
                <w:sz w:val="18"/>
                <w:szCs w:val="1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eastAsia="宋体" w:cs="宋体"/>
                <w:color w:val="auto"/>
                <w:sz w:val="18"/>
                <w:szCs w:val="18"/>
              </w:rPr>
            </w:pPr>
          </w:p>
        </w:tc>
      </w:tr>
      <w:tr>
        <w:tblPrEx>
          <w:tblCellMar>
            <w:top w:w="0" w:type="dxa"/>
            <w:left w:w="108" w:type="dxa"/>
            <w:bottom w:w="0" w:type="dxa"/>
            <w:right w:w="108" w:type="dxa"/>
          </w:tblCellMar>
        </w:tblPrEx>
        <w:trPr>
          <w:gridAfter w:val="1"/>
          <w:wAfter w:w="236" w:type="dxa"/>
          <w:trHeight w:val="480" w:hRule="atLeast"/>
          <w:jc w:val="center"/>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宋体" w:hAnsi="宋体" w:eastAsia="宋体" w:cs="宋体"/>
                <w:color w:val="auto"/>
                <w:sz w:val="18"/>
                <w:szCs w:val="1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宋体" w:hAnsi="宋体" w:eastAsia="宋体" w:cs="宋体"/>
                <w:color w:val="auto"/>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0" w:leftChars="0" w:firstLine="0" w:firstLineChars="0"/>
              <w:jc w:val="both"/>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rPr>
              <w:t>可持续影响指标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eastAsia="宋体" w:cs="宋体"/>
                <w:color w:val="auto"/>
                <w:sz w:val="18"/>
                <w:szCs w:val="1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eastAsia="宋体" w:cs="宋体"/>
                <w:color w:val="auto"/>
                <w:sz w:val="18"/>
                <w:szCs w:val="1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宋体" w:hAnsi="宋体" w:eastAsia="宋体" w:cs="宋体"/>
                <w:color w:val="auto"/>
                <w:sz w:val="18"/>
                <w:szCs w:val="18"/>
              </w:rPr>
            </w:pPr>
          </w:p>
        </w:tc>
      </w:tr>
      <w:tr>
        <w:tblPrEx>
          <w:tblCellMar>
            <w:top w:w="0" w:type="dxa"/>
            <w:left w:w="108" w:type="dxa"/>
            <w:bottom w:w="0" w:type="dxa"/>
            <w:right w:w="108" w:type="dxa"/>
          </w:tblCellMar>
        </w:tblPrEx>
        <w:trPr>
          <w:gridAfter w:val="1"/>
          <w:wAfter w:w="236" w:type="dxa"/>
          <w:trHeight w:val="530" w:hRule="atLeast"/>
          <w:jc w:val="center"/>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宋体" w:hAnsi="宋体" w:eastAsia="宋体" w:cs="宋体"/>
                <w:color w:val="auto"/>
                <w:sz w:val="18"/>
                <w:szCs w:val="1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0" w:leftChars="0" w:firstLine="0" w:firstLineChars="0"/>
              <w:jc w:val="both"/>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rPr>
              <w:t>满意</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0" w:leftChars="0" w:firstLine="0" w:firstLineChars="0"/>
              <w:jc w:val="both"/>
              <w:textAlignment w:val="bottom"/>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满意度</w:t>
            </w:r>
          </w:p>
          <w:p>
            <w:pPr>
              <w:widowControl/>
              <w:spacing w:line="320" w:lineRule="exact"/>
              <w:ind w:left="0" w:leftChars="0" w:firstLine="0" w:firstLineChars="0"/>
              <w:jc w:val="both"/>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0" w:leftChars="0" w:firstLine="0" w:firstLineChars="0"/>
              <w:jc w:val="both"/>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区委、政府和上级部门，群众满意度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0" w:leftChars="0" w:firstLine="0" w:firstLineChars="0"/>
              <w:jc w:val="both"/>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满意度≥ 95%</w:t>
            </w:r>
          </w:p>
          <w:p>
            <w:pPr>
              <w:widowControl/>
              <w:spacing w:line="320" w:lineRule="exact"/>
              <w:ind w:firstLine="360" w:firstLineChars="200"/>
              <w:jc w:val="center"/>
              <w:textAlignment w:val="bottom"/>
              <w:rPr>
                <w:rFonts w:hint="eastAsia" w:ascii="宋体" w:hAnsi="宋体" w:eastAsia="宋体" w:cs="宋体"/>
                <w:color w:val="auto"/>
                <w:sz w:val="18"/>
                <w:szCs w:val="1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0" w:leftChars="0" w:firstLine="0" w:firstLineChars="0"/>
              <w:jc w:val="both"/>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满意度≥ 95%</w:t>
            </w:r>
          </w:p>
          <w:p>
            <w:pPr>
              <w:widowControl/>
              <w:spacing w:line="320" w:lineRule="exact"/>
              <w:ind w:firstLine="360" w:firstLineChars="200"/>
              <w:jc w:val="center"/>
              <w:textAlignment w:val="bottom"/>
              <w:rPr>
                <w:rFonts w:hint="eastAsia" w:ascii="宋体" w:hAnsi="宋体" w:eastAsia="宋体" w:cs="宋体"/>
                <w:color w:val="auto"/>
                <w:sz w:val="18"/>
                <w:szCs w:val="18"/>
              </w:rPr>
            </w:pPr>
          </w:p>
        </w:tc>
      </w:tr>
    </w:tbl>
    <w:p>
      <w:pPr>
        <w:spacing w:line="600" w:lineRule="exact"/>
        <w:jc w:val="center"/>
        <w:rPr>
          <w:rFonts w:hint="eastAsia" w:ascii="宋体" w:hAnsi="宋体" w:eastAsia="宋体" w:cs="宋体"/>
          <w:color w:val="auto"/>
          <w:sz w:val="18"/>
          <w:szCs w:val="18"/>
        </w:rPr>
      </w:pPr>
    </w:p>
    <w:p>
      <w:pPr>
        <w:spacing w:line="600" w:lineRule="exact"/>
        <w:jc w:val="center"/>
        <w:rPr>
          <w:rFonts w:hint="eastAsia" w:ascii="方正小标宋简体" w:hAnsi="方正小标宋简体" w:eastAsia="方正小标宋简体" w:cs="方正小标宋简体"/>
          <w:color w:val="auto"/>
          <w:sz w:val="40"/>
          <w:szCs w:val="40"/>
        </w:rPr>
      </w:pPr>
    </w:p>
    <w:p>
      <w:pPr>
        <w:spacing w:line="600" w:lineRule="exact"/>
        <w:jc w:val="center"/>
        <w:rPr>
          <w:rFonts w:hint="eastAsia" w:ascii="方正小标宋_GBK" w:hAnsi="方正小标宋_GBK" w:eastAsia="方正小标宋_GBK" w:cs="方正小标宋_GBK"/>
          <w:color w:val="auto"/>
          <w:sz w:val="44"/>
          <w:szCs w:val="44"/>
        </w:rPr>
      </w:pPr>
    </w:p>
    <w:p>
      <w:pPr>
        <w:spacing w:line="600" w:lineRule="exact"/>
        <w:jc w:val="center"/>
        <w:rPr>
          <w:rFonts w:hint="eastAsia" w:ascii="方正小标宋_GBK" w:hAnsi="方正小标宋_GBK" w:eastAsia="方正小标宋_GBK" w:cs="方正小标宋_GBK"/>
          <w:color w:val="auto"/>
          <w:sz w:val="44"/>
          <w:szCs w:val="44"/>
        </w:rPr>
      </w:pPr>
    </w:p>
    <w:p>
      <w:pPr>
        <w:spacing w:line="60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攀枝花市</w:t>
      </w:r>
      <w:r>
        <w:rPr>
          <w:rFonts w:hint="eastAsia" w:ascii="方正小标宋_GBK" w:hAnsi="方正小标宋_GBK" w:eastAsia="方正小标宋_GBK" w:cs="方正小标宋_GBK"/>
          <w:color w:val="auto"/>
          <w:sz w:val="44"/>
          <w:szCs w:val="44"/>
          <w:lang w:eastAsia="zh-CN"/>
        </w:rPr>
        <w:t>西</w:t>
      </w:r>
      <w:r>
        <w:rPr>
          <w:rFonts w:hint="eastAsia" w:ascii="方正小标宋_GBK" w:hAnsi="方正小标宋_GBK" w:eastAsia="方正小标宋_GBK" w:cs="方正小标宋_GBK"/>
          <w:color w:val="auto"/>
          <w:sz w:val="44"/>
          <w:szCs w:val="44"/>
        </w:rPr>
        <w:t xml:space="preserve">区水利局 </w:t>
      </w:r>
    </w:p>
    <w:p>
      <w:pPr>
        <w:spacing w:line="60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202</w:t>
      </w:r>
      <w:r>
        <w:rPr>
          <w:rFonts w:hint="eastAsia" w:ascii="方正小标宋_GBK" w:hAnsi="方正小标宋_GBK" w:eastAsia="方正小标宋_GBK" w:cs="方正小标宋_GBK"/>
          <w:color w:val="auto"/>
          <w:sz w:val="44"/>
          <w:szCs w:val="44"/>
          <w:lang w:val="en-US" w:eastAsia="zh-CN"/>
        </w:rPr>
        <w:t>1</w:t>
      </w:r>
      <w:r>
        <w:rPr>
          <w:rFonts w:hint="eastAsia" w:ascii="方正小标宋_GBK" w:hAnsi="方正小标宋_GBK" w:eastAsia="方正小标宋_GBK" w:cs="方正小标宋_GBK"/>
          <w:color w:val="auto"/>
          <w:sz w:val="44"/>
          <w:szCs w:val="44"/>
        </w:rPr>
        <w:t>年度部门预算项目支出绩效自评报告</w:t>
      </w:r>
    </w:p>
    <w:p>
      <w:pPr>
        <w:ind w:firstLine="40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2021年水资源、水土保持专项经费</w:t>
      </w:r>
      <w:r>
        <w:rPr>
          <w:rFonts w:hint="eastAsia" w:ascii="楷体_GB2312" w:hAnsi="楷体_GB2312" w:eastAsia="楷体_GB2312" w:cs="楷体_GB2312"/>
          <w:sz w:val="32"/>
          <w:szCs w:val="32"/>
        </w:rPr>
        <w:t>）</w:t>
      </w:r>
    </w:p>
    <w:p>
      <w:pPr>
        <w:numPr>
          <w:ilvl w:val="0"/>
          <w:numId w:val="0"/>
        </w:numPr>
        <w:ind w:firstLine="640" w:firstLineChars="200"/>
        <w:jc w:val="both"/>
        <w:rPr>
          <w:rFonts w:hint="eastAsia" w:ascii="黑体" w:hAnsi="黑体" w:eastAsia="黑体" w:cs="黑体"/>
          <w:sz w:val="32"/>
          <w:szCs w:val="32"/>
          <w:lang w:val="en-US" w:eastAsia="zh-CN"/>
        </w:rPr>
      </w:pPr>
    </w:p>
    <w:p>
      <w:pPr>
        <w:numPr>
          <w:ilvl w:val="0"/>
          <w:numId w:val="0"/>
        </w:numPr>
        <w:ind w:firstLine="640" w:firstLineChars="200"/>
        <w:jc w:val="both"/>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 xml:space="preserve">项目概况 </w:t>
      </w:r>
    </w:p>
    <w:p>
      <w:pPr>
        <w:numPr>
          <w:ilvl w:val="0"/>
          <w:numId w:val="0"/>
        </w:numPr>
        <w:ind w:firstLine="640" w:firstLineChars="200"/>
        <w:jc w:val="both"/>
        <w:rPr>
          <w:rFonts w:hint="eastAsia" w:ascii="楷体" w:hAnsi="楷体" w:eastAsia="楷体" w:cs="楷体"/>
          <w:sz w:val="32"/>
          <w:szCs w:val="32"/>
        </w:rPr>
      </w:pPr>
      <w:r>
        <w:rPr>
          <w:rFonts w:hint="eastAsia" w:ascii="楷体_GB2312" w:hAnsi="楷体_GB2312" w:eastAsia="楷体_GB2312" w:cs="楷体_GB2312"/>
          <w:b w:val="0"/>
          <w:bCs w:val="0"/>
          <w:sz w:val="32"/>
          <w:szCs w:val="32"/>
        </w:rPr>
        <w:t>（一）项目基本情况。</w:t>
      </w:r>
      <w:r>
        <w:rPr>
          <w:rFonts w:hint="eastAsia" w:ascii="楷体" w:hAnsi="楷体" w:eastAsia="楷体" w:cs="楷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1.落实</w:t>
      </w:r>
      <w:r>
        <w:rPr>
          <w:rFonts w:hint="eastAsia" w:ascii="仿宋_GB2312" w:hAnsi="仿宋_GB2312" w:eastAsia="仿宋_GB2312" w:cs="仿宋_GB2312"/>
          <w:sz w:val="32"/>
          <w:szCs w:val="32"/>
        </w:rPr>
        <w:t>全区水资源保护工作，参与编制水功能区划分和指导入河排污口设置管理工作。指导地下水开发利用和地下水资源管理保护工作；指导地下水超采区综合治理工作；指导饮用水水源保护有关工作；负责拟定全区节约用水政策和指导节水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落实</w:t>
      </w:r>
      <w:r>
        <w:rPr>
          <w:rFonts w:hint="eastAsia" w:ascii="仿宋_GB2312" w:hAnsi="仿宋_GB2312" w:eastAsia="仿宋_GB2312" w:cs="仿宋_GB2312"/>
          <w:sz w:val="32"/>
          <w:szCs w:val="32"/>
        </w:rPr>
        <w:t>全区水土保持工作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拟订水土保持规划并监督实施，负责全区水土流失综合治理及监测工作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负责权限范围内开发建设项目水土保持的审批、实施、监督及水土保持设施的验收工作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完成水资源、水土保持市级目标绩效考核任务。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资金申报依据：年初部门预算</w:t>
      </w:r>
      <w:r>
        <w:rPr>
          <w:rFonts w:hint="eastAsia" w:ascii="仿宋_GB2312" w:hAnsi="仿宋_GB2312" w:eastAsia="仿宋_GB2312" w:cs="仿宋_GB2312"/>
          <w:sz w:val="32"/>
          <w:szCs w:val="32"/>
          <w:lang w:eastAsia="zh-CN"/>
        </w:rPr>
        <w:t>，攀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西</w:t>
      </w:r>
      <w:r>
        <w:rPr>
          <w:rFonts w:hint="eastAsia" w:ascii="仿宋_GB2312" w:hAnsi="仿宋_GB2312" w:eastAsia="仿宋_GB2312" w:cs="仿宋_GB2312"/>
          <w:color w:val="000000" w:themeColor="text1"/>
          <w:sz w:val="32"/>
          <w:szCs w:val="32"/>
          <w:lang w:eastAsia="zh-CN"/>
          <w14:textFill>
            <w14:solidFill>
              <w14:schemeClr w14:val="tx1"/>
            </w14:solidFill>
          </w14:textFill>
        </w:rPr>
        <w:t>财【2021】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6-40</w:t>
      </w:r>
      <w:r>
        <w:rPr>
          <w:rFonts w:hint="eastAsia" w:ascii="仿宋_GB2312" w:hAnsi="仿宋_GB2312" w:eastAsia="仿宋_GB2312" w:cs="仿宋_GB2312"/>
          <w:color w:val="000000" w:themeColor="text1"/>
          <w:sz w:val="32"/>
          <w:szCs w:val="32"/>
          <w:lang w:eastAsia="zh-CN"/>
          <w14:textFill>
            <w14:solidFill>
              <w14:schemeClr w14:val="tx1"/>
            </w14:solidFill>
          </w14:textFill>
        </w:rPr>
        <w:t>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资金管理办法制定情况：</w:t>
      </w:r>
      <w:r>
        <w:rPr>
          <w:rFonts w:hint="eastAsia" w:ascii="仿宋_GB2312" w:hAnsi="仿宋_GB2312" w:eastAsia="仿宋_GB2312" w:cs="仿宋_GB2312"/>
          <w:sz w:val="32"/>
          <w:szCs w:val="32"/>
          <w:lang w:val="en-US" w:eastAsia="zh-CN"/>
        </w:rPr>
        <w:t>16.00万</w:t>
      </w:r>
      <w:r>
        <w:rPr>
          <w:rFonts w:hint="eastAsia" w:ascii="仿宋_GB2312" w:hAnsi="仿宋_GB2312" w:eastAsia="仿宋_GB2312" w:cs="仿宋_GB2312"/>
          <w:sz w:val="32"/>
          <w:szCs w:val="32"/>
        </w:rPr>
        <w:t>元资金用于</w:t>
      </w:r>
      <w:r>
        <w:rPr>
          <w:rFonts w:hint="eastAsia" w:ascii="仿宋_GB2312" w:hAnsi="仿宋_GB2312" w:eastAsia="仿宋_GB2312" w:cs="仿宋_GB2312"/>
          <w:sz w:val="32"/>
          <w:szCs w:val="32"/>
          <w:lang w:val="en-US" w:eastAsia="zh-CN"/>
        </w:rPr>
        <w:t>水资源、水土保持、行政执法、行政审批等方面支出。以专家评审费、法律法规宣传、县域节水型社会创建及卫星遥感监测现场复核四个方面支出为主</w:t>
      </w: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资金分配</w:t>
      </w:r>
      <w:r>
        <w:rPr>
          <w:rFonts w:hint="eastAsia" w:ascii="仿宋_GB2312" w:hAnsi="仿宋_GB2312" w:eastAsia="仿宋_GB2312" w:cs="仿宋_GB2312"/>
          <w:sz w:val="32"/>
          <w:szCs w:val="32"/>
          <w:lang w:val="en-US" w:eastAsia="zh-CN"/>
        </w:rPr>
        <w:t>主要</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val="en-US" w:eastAsia="zh-CN"/>
        </w:rPr>
        <w:t>专家评审费、法律法规宣传、县域节水型社会创建及卫星遥感监测现场复核等，涵盖水资源、水土保持、行政执法等方面。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 xml:space="preserve">项目绩效目标。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16" w:firstLineChars="200"/>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w:t>
      </w:r>
      <w:r>
        <w:rPr>
          <w:rFonts w:hint="eastAsia" w:ascii="仿宋_GB2312" w:hAnsi="仿宋_GB2312" w:eastAsia="仿宋_GB2312" w:cs="仿宋_GB2312"/>
          <w:spacing w:val="-6"/>
          <w:sz w:val="32"/>
          <w:szCs w:val="32"/>
          <w:lang w:val="en-US" w:eastAsia="zh-CN"/>
        </w:rPr>
        <w:t>.开展水资源、水土保持日常监管、行政执法及行政审批工作</w:t>
      </w:r>
      <w:r>
        <w:rPr>
          <w:rFonts w:hint="eastAsia" w:ascii="仿宋_GB2312" w:hAnsi="仿宋_GB2312" w:eastAsia="仿宋_GB2312" w:cs="仿宋_GB2312"/>
          <w:spacing w:val="-6"/>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.开展节约用水、卫星遥感监测现场复核工作</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完成西区水资源、水土保持市级目标考核任务</w:t>
      </w:r>
      <w:r>
        <w:rPr>
          <w:rFonts w:hint="eastAsia" w:ascii="仿宋_GB2312" w:hAnsi="仿宋_GB2312" w:eastAsia="仿宋_GB2312" w:cs="仿宋_GB2312"/>
          <w:sz w:val="32"/>
          <w:szCs w:val="32"/>
        </w:rPr>
        <w:t>。</w:t>
      </w:r>
    </w:p>
    <w:p>
      <w:pPr>
        <w:numPr>
          <w:ilvl w:val="0"/>
          <w:numId w:val="0"/>
        </w:numPr>
        <w:ind w:firstLine="640" w:firstLineChars="200"/>
        <w:jc w:val="both"/>
        <w:rPr>
          <w:rFonts w:hint="eastAsia" w:ascii="黑体" w:hAnsi="黑体" w:eastAsia="黑体" w:cs="黑体"/>
          <w:sz w:val="32"/>
          <w:szCs w:val="32"/>
        </w:rPr>
      </w:pPr>
      <w:r>
        <w:rPr>
          <w:rFonts w:hint="eastAsia" w:ascii="黑体" w:hAnsi="黑体" w:eastAsia="黑体" w:cs="黑体"/>
          <w:sz w:val="32"/>
          <w:szCs w:val="32"/>
        </w:rPr>
        <w:t xml:space="preserve">二、项目资金申报及使用情况 </w:t>
      </w:r>
    </w:p>
    <w:p>
      <w:pPr>
        <w:numPr>
          <w:ilvl w:val="0"/>
          <w:numId w:val="0"/>
        </w:numPr>
        <w:ind w:firstLine="640" w:firstLineChars="200"/>
        <w:jc w:val="both"/>
        <w:rPr>
          <w:rFonts w:hint="eastAsia" w:ascii="楷体" w:hAnsi="楷体" w:eastAsia="楷体" w:cs="楷体"/>
          <w:sz w:val="32"/>
          <w:szCs w:val="32"/>
        </w:rPr>
      </w:pPr>
      <w:r>
        <w:rPr>
          <w:rFonts w:hint="eastAsia" w:ascii="楷体_GB2312" w:hAnsi="楷体_GB2312" w:eastAsia="楷体_GB2312" w:cs="楷体_GB2312"/>
          <w:b w:val="0"/>
          <w:bCs w:val="0"/>
          <w:sz w:val="32"/>
          <w:szCs w:val="32"/>
        </w:rPr>
        <w:t>（一）项目资金申报及批复情况。</w:t>
      </w:r>
      <w:r>
        <w:rPr>
          <w:rFonts w:hint="eastAsia" w:ascii="楷体" w:hAnsi="楷体" w:eastAsia="楷体" w:cs="楷体"/>
          <w:sz w:val="32"/>
          <w:szCs w:val="32"/>
        </w:rPr>
        <w:t xml:space="preserve"> </w:t>
      </w:r>
    </w:p>
    <w:p>
      <w:pPr>
        <w:numPr>
          <w:ilvl w:val="0"/>
          <w:numId w:val="0"/>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该项目资金申报数为</w:t>
      </w:r>
      <w:r>
        <w:rPr>
          <w:rFonts w:hint="eastAsia" w:ascii="仿宋_GB2312" w:hAnsi="仿宋_GB2312" w:eastAsia="仿宋_GB2312" w:cs="仿宋_GB2312"/>
          <w:sz w:val="32"/>
          <w:szCs w:val="32"/>
          <w:lang w:val="en-US" w:eastAsia="zh-CN"/>
        </w:rPr>
        <w:t>16.00万</w:t>
      </w:r>
      <w:r>
        <w:rPr>
          <w:rFonts w:hint="eastAsia" w:ascii="仿宋_GB2312" w:hAnsi="仿宋_GB2312" w:eastAsia="仿宋_GB2312" w:cs="仿宋_GB2312"/>
          <w:sz w:val="32"/>
          <w:szCs w:val="32"/>
        </w:rPr>
        <w:t>元，年初预算数为</w:t>
      </w:r>
      <w:r>
        <w:rPr>
          <w:rFonts w:hint="eastAsia" w:ascii="仿宋_GB2312" w:hAnsi="仿宋_GB2312" w:eastAsia="仿宋_GB2312" w:cs="仿宋_GB2312"/>
          <w:sz w:val="32"/>
          <w:szCs w:val="32"/>
          <w:lang w:val="en-US" w:eastAsia="zh-CN"/>
        </w:rPr>
        <w:t>16.00万</w:t>
      </w:r>
      <w:r>
        <w:rPr>
          <w:rFonts w:hint="eastAsia" w:ascii="仿宋_GB2312" w:hAnsi="仿宋_GB2312" w:eastAsia="仿宋_GB2312" w:cs="仿宋_GB2312"/>
          <w:sz w:val="32"/>
          <w:szCs w:val="32"/>
        </w:rPr>
        <w:t xml:space="preserve">元。 </w:t>
      </w:r>
    </w:p>
    <w:p>
      <w:pPr>
        <w:numPr>
          <w:ilvl w:val="0"/>
          <w:numId w:val="0"/>
        </w:numPr>
        <w:ind w:firstLine="640" w:firstLineChars="200"/>
        <w:jc w:val="both"/>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（二）资金计划、到位及使用情况。</w:t>
      </w:r>
    </w:p>
    <w:p>
      <w:pPr>
        <w:numPr>
          <w:ilvl w:val="0"/>
          <w:numId w:val="0"/>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资金计划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该项目为区级资金。 </w:t>
      </w:r>
    </w:p>
    <w:p>
      <w:pPr>
        <w:numPr>
          <w:ilvl w:val="0"/>
          <w:numId w:val="0"/>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资金到位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该项目全区资金到位</w:t>
      </w:r>
      <w:r>
        <w:rPr>
          <w:rFonts w:hint="eastAsia" w:ascii="仿宋_GB2312" w:hAnsi="仿宋_GB2312" w:eastAsia="仿宋_GB2312" w:cs="仿宋_GB2312"/>
          <w:sz w:val="32"/>
          <w:szCs w:val="32"/>
          <w:lang w:val="en-US" w:eastAsia="zh-CN"/>
        </w:rPr>
        <w:t>16.00万</w:t>
      </w:r>
      <w:r>
        <w:rPr>
          <w:rFonts w:hint="eastAsia" w:ascii="仿宋_GB2312" w:hAnsi="仿宋_GB2312" w:eastAsia="仿宋_GB2312" w:cs="仿宋_GB2312"/>
          <w:sz w:val="32"/>
          <w:szCs w:val="32"/>
        </w:rPr>
        <w:t xml:space="preserve">元。 </w:t>
      </w:r>
    </w:p>
    <w:p>
      <w:pPr>
        <w:numPr>
          <w:ilvl w:val="0"/>
          <w:numId w:val="0"/>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资金使用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该项目资金已于2021年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月至</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月支出</w:t>
      </w:r>
      <w:r>
        <w:rPr>
          <w:rFonts w:hint="eastAsia" w:ascii="仿宋_GB2312" w:hAnsi="仿宋_GB2312" w:eastAsia="仿宋_GB2312" w:cs="仿宋_GB2312"/>
          <w:sz w:val="32"/>
          <w:szCs w:val="32"/>
          <w:lang w:val="en-US" w:eastAsia="zh-CN"/>
        </w:rPr>
        <w:t>10.00万</w:t>
      </w:r>
      <w:r>
        <w:rPr>
          <w:rFonts w:hint="eastAsia" w:ascii="仿宋_GB2312" w:hAnsi="仿宋_GB2312" w:eastAsia="仿宋_GB2312" w:cs="仿宋_GB2312"/>
          <w:sz w:val="32"/>
          <w:szCs w:val="32"/>
        </w:rPr>
        <w:t>元，该项目资金支付范围、支付标准、支付进度、支付依据合规合法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与预算相符。</w:t>
      </w:r>
    </w:p>
    <w:p>
      <w:pPr>
        <w:numPr>
          <w:ilvl w:val="0"/>
          <w:numId w:val="0"/>
        </w:numPr>
        <w:ind w:firstLine="640" w:firstLineChars="200"/>
        <w:jc w:val="both"/>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（三）项目财务管理情况。</w:t>
      </w:r>
    </w:p>
    <w:p>
      <w:pPr>
        <w:numPr>
          <w:ilvl w:val="0"/>
          <w:numId w:val="0"/>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我单位财务管理制度较健全，根据我单位内部控制制度， 对财务报销、资金支付、财务资料管理等细项做出了明确规 定。在经济活动的开展过程中，我单位严格执行财务管理制度报销、支付，并在次月初及时对上月资经济业务进行账务处理。 </w:t>
      </w:r>
    </w:p>
    <w:p>
      <w:pPr>
        <w:numPr>
          <w:ilvl w:val="0"/>
          <w:numId w:val="0"/>
        </w:numPr>
        <w:ind w:firstLine="640" w:firstLineChars="200"/>
        <w:jc w:val="both"/>
        <w:rPr>
          <w:rFonts w:hint="eastAsia" w:ascii="黑体" w:hAnsi="黑体" w:eastAsia="黑体" w:cs="黑体"/>
          <w:sz w:val="32"/>
          <w:szCs w:val="32"/>
        </w:rPr>
      </w:pPr>
      <w:r>
        <w:rPr>
          <w:rFonts w:hint="eastAsia" w:ascii="黑体" w:hAnsi="黑体" w:eastAsia="黑体" w:cs="黑体"/>
          <w:sz w:val="32"/>
          <w:szCs w:val="32"/>
        </w:rPr>
        <w:t>三、项目实施及管理情况</w:t>
      </w:r>
    </w:p>
    <w:p>
      <w:pPr>
        <w:numPr>
          <w:ilvl w:val="0"/>
          <w:numId w:val="0"/>
        </w:numPr>
        <w:ind w:firstLine="640" w:firstLineChars="200"/>
        <w:jc w:val="both"/>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（一）项目组织架构及实施流程。</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该项目由我单位</w:t>
      </w:r>
      <w:r>
        <w:rPr>
          <w:rFonts w:hint="eastAsia" w:ascii="仿宋_GB2312" w:hAnsi="仿宋_GB2312" w:eastAsia="仿宋_GB2312" w:cs="仿宋_GB2312"/>
          <w:sz w:val="32"/>
          <w:szCs w:val="32"/>
          <w:lang w:val="en-US" w:eastAsia="zh-CN"/>
        </w:rPr>
        <w:t>水资源和河道管理</w:t>
      </w:r>
      <w:r>
        <w:rPr>
          <w:rFonts w:hint="eastAsia" w:ascii="仿宋_GB2312" w:hAnsi="仿宋_GB2312" w:eastAsia="仿宋_GB2312" w:cs="仿宋_GB2312"/>
          <w:sz w:val="32"/>
          <w:szCs w:val="32"/>
        </w:rPr>
        <w:t>股室工作人员编制申报表报送财政申请财政资金，待财政资金下达后，由财务人员在大平台系统上申请财政指标，财政审核通过后，进行资金拨付。</w:t>
      </w:r>
    </w:p>
    <w:p>
      <w:pPr>
        <w:numPr>
          <w:ilvl w:val="0"/>
          <w:numId w:val="0"/>
        </w:numPr>
        <w:ind w:firstLine="640" w:firstLineChars="200"/>
        <w:jc w:val="both"/>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（二）项目管理情况。</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该项目由</w:t>
      </w:r>
      <w:r>
        <w:rPr>
          <w:rFonts w:hint="eastAsia" w:ascii="仿宋_GB2312" w:hAnsi="仿宋_GB2312" w:eastAsia="仿宋_GB2312" w:cs="仿宋_GB2312"/>
          <w:sz w:val="32"/>
          <w:szCs w:val="32"/>
          <w:lang w:val="en-US" w:eastAsia="zh-CN"/>
        </w:rPr>
        <w:t>水资源和河道管理</w:t>
      </w:r>
      <w:r>
        <w:rPr>
          <w:rFonts w:hint="eastAsia" w:ascii="仿宋_GB2312" w:hAnsi="仿宋_GB2312" w:eastAsia="仿宋_GB2312" w:cs="仿宋_GB2312"/>
          <w:sz w:val="32"/>
          <w:szCs w:val="32"/>
        </w:rPr>
        <w:t>股室工作人员按照</w:t>
      </w:r>
      <w:r>
        <w:rPr>
          <w:rFonts w:hint="eastAsia" w:ascii="仿宋_GB2312" w:hAnsi="仿宋_GB2312" w:eastAsia="仿宋_GB2312" w:cs="仿宋_GB2312"/>
          <w:sz w:val="32"/>
          <w:szCs w:val="32"/>
          <w:lang w:val="en-US" w:eastAsia="zh-CN"/>
        </w:rPr>
        <w:t>股室工作职责，开展日常监管工作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做到“强监管、优服务”</w:t>
      </w:r>
      <w:r>
        <w:rPr>
          <w:rFonts w:hint="eastAsia" w:ascii="仿宋_GB2312" w:hAnsi="仿宋_GB2312" w:eastAsia="仿宋_GB2312" w:cs="仿宋_GB2312"/>
          <w:sz w:val="32"/>
          <w:szCs w:val="32"/>
        </w:rPr>
        <w:t>。</w:t>
      </w:r>
    </w:p>
    <w:p>
      <w:pPr>
        <w:numPr>
          <w:ilvl w:val="0"/>
          <w:numId w:val="0"/>
        </w:numPr>
        <w:ind w:left="600" w:leftChars="0"/>
        <w:jc w:val="both"/>
        <w:rPr>
          <w:rFonts w:hint="eastAsia" w:ascii="黑体" w:hAnsi="黑体" w:eastAsia="黑体" w:cs="黑体"/>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项目监管情况</w:t>
      </w:r>
    </w:p>
    <w:p>
      <w:pPr>
        <w:numPr>
          <w:ilvl w:val="0"/>
          <w:numId w:val="0"/>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落实绿色、高质量发展指标，完成市级绩效考核任务，实行水资源高效利用，水土流失治理工作稳步推进</w:t>
      </w:r>
      <w:r>
        <w:rPr>
          <w:rFonts w:hint="eastAsia" w:ascii="仿宋_GB2312" w:hAnsi="仿宋_GB2312" w:eastAsia="仿宋_GB2312" w:cs="仿宋_GB2312"/>
          <w:sz w:val="32"/>
          <w:szCs w:val="32"/>
        </w:rPr>
        <w:t xml:space="preserve">，，主动向财政申请资金并及时进行项目资金的拨付，有效进行项目监管工作。 </w:t>
      </w:r>
    </w:p>
    <w:p>
      <w:pPr>
        <w:numPr>
          <w:ilvl w:val="0"/>
          <w:numId w:val="0"/>
        </w:numPr>
        <w:ind w:left="600" w:leftChars="0"/>
        <w:jc w:val="both"/>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 xml:space="preserve">项目绩效情况 </w:t>
      </w:r>
    </w:p>
    <w:p>
      <w:pPr>
        <w:numPr>
          <w:ilvl w:val="0"/>
          <w:numId w:val="0"/>
        </w:numPr>
        <w:ind w:firstLine="640" w:firstLineChars="200"/>
        <w:jc w:val="both"/>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lang w:eastAsia="zh-CN"/>
        </w:rPr>
        <w:t xml:space="preserve">）项目完成情况。 </w:t>
      </w:r>
    </w:p>
    <w:p>
      <w:pPr>
        <w:numPr>
          <w:ilvl w:val="0"/>
          <w:numId w:val="0"/>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val="en-US" w:eastAsia="zh-CN"/>
        </w:rPr>
        <w:t>用水总量统计工作，配合做好水资源税及水土保持费征收工作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其中水资源税：861.08万元，水土保持补偿费396.30万元；全面完成水利部、省水利厅下发的卫星遥感图斑现场复核工作</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顺利通过县域节水型社会创建省级验收；完成西区2021年市级绩效目标考核任务。</w:t>
      </w:r>
    </w:p>
    <w:p>
      <w:pPr>
        <w:numPr>
          <w:ilvl w:val="0"/>
          <w:numId w:val="0"/>
        </w:numPr>
        <w:ind w:firstLine="640" w:firstLineChars="200"/>
        <w:jc w:val="both"/>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lang w:eastAsia="zh-CN"/>
        </w:rPr>
        <w:t xml:space="preserve">）项目效益情况。 </w:t>
      </w:r>
    </w:p>
    <w:p>
      <w:pPr>
        <w:numPr>
          <w:ilvl w:val="0"/>
          <w:numId w:val="0"/>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社会效益指标方面，全面提升</w:t>
      </w:r>
      <w:r>
        <w:rPr>
          <w:rFonts w:hint="eastAsia" w:ascii="仿宋_GB2312" w:hAnsi="仿宋_GB2312" w:eastAsia="仿宋_GB2312" w:cs="仿宋_GB2312"/>
          <w:sz w:val="32"/>
          <w:szCs w:val="32"/>
          <w:lang w:val="en-US" w:eastAsia="zh-CN"/>
        </w:rPr>
        <w:t>水资源、水土保持监管水平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践行绿色发展理念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实行经济社会高质量发展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水生态环境、水土保持涵养逐步改善</w:t>
      </w:r>
      <w:r>
        <w:rPr>
          <w:rFonts w:hint="eastAsia" w:ascii="仿宋_GB2312" w:hAnsi="仿宋_GB2312" w:eastAsia="仿宋_GB2312" w:cs="仿宋_GB2312"/>
          <w:sz w:val="32"/>
          <w:szCs w:val="32"/>
        </w:rPr>
        <w:t xml:space="preserve">。 </w:t>
      </w:r>
    </w:p>
    <w:p>
      <w:pPr>
        <w:numPr>
          <w:ilvl w:val="0"/>
          <w:numId w:val="0"/>
        </w:numPr>
        <w:ind w:left="600" w:leftChars="0"/>
        <w:jc w:val="both"/>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 xml:space="preserve">评价结论及建议 </w:t>
      </w:r>
    </w:p>
    <w:p>
      <w:pPr>
        <w:numPr>
          <w:ilvl w:val="0"/>
          <w:numId w:val="0"/>
        </w:numPr>
        <w:ind w:firstLine="640" w:firstLineChars="200"/>
        <w:jc w:val="both"/>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lang w:eastAsia="zh-CN"/>
        </w:rPr>
        <w:t xml:space="preserve">）评价结论。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该项目实现了超过9</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%的群众满意度，按照时间节点完成资金拨付，</w:t>
      </w:r>
      <w:r>
        <w:rPr>
          <w:rFonts w:hint="eastAsia" w:ascii="仿宋_GB2312" w:hAnsi="仿宋_GB2312" w:eastAsia="仿宋_GB2312" w:cs="仿宋_GB2312"/>
          <w:sz w:val="32"/>
          <w:szCs w:val="32"/>
          <w:lang w:val="en-US" w:eastAsia="zh-CN"/>
        </w:rPr>
        <w:t>持续强化水资源、水土保持行业监管力度</w:t>
      </w:r>
      <w:r>
        <w:rPr>
          <w:rFonts w:hint="eastAsia" w:ascii="仿宋_GB2312" w:hAnsi="仿宋_GB2312" w:eastAsia="仿宋_GB2312" w:cs="仿宋_GB2312"/>
          <w:sz w:val="32"/>
          <w:szCs w:val="32"/>
        </w:rPr>
        <w:t>，并有效进行管理，</w:t>
      </w:r>
      <w:r>
        <w:rPr>
          <w:rFonts w:hint="eastAsia" w:ascii="仿宋_GB2312" w:hAnsi="仿宋_GB2312" w:eastAsia="仿宋_GB2312" w:cs="仿宋_GB2312"/>
          <w:sz w:val="32"/>
          <w:szCs w:val="32"/>
          <w:lang w:val="en-US" w:eastAsia="zh-CN"/>
        </w:rPr>
        <w:t>水资源</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val="en-US" w:eastAsia="zh-CN"/>
        </w:rPr>
        <w:t>圆满完成，市级绩效目标考核为优秀</w:t>
      </w:r>
      <w:r>
        <w:rPr>
          <w:rFonts w:hint="eastAsia" w:ascii="仿宋_GB2312" w:hAnsi="仿宋_GB2312" w:eastAsia="仿宋_GB2312" w:cs="仿宋_GB2312"/>
          <w:sz w:val="32"/>
          <w:szCs w:val="32"/>
        </w:rPr>
        <w:t xml:space="preserve">。 </w:t>
      </w:r>
    </w:p>
    <w:p>
      <w:pPr>
        <w:numPr>
          <w:ilvl w:val="0"/>
          <w:numId w:val="0"/>
        </w:numPr>
        <w:ind w:firstLine="640" w:firstLineChars="200"/>
        <w:jc w:val="both"/>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lang w:eastAsia="zh-CN"/>
        </w:rPr>
        <w:t>）存在的问题。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tbl>
      <w:tblPr>
        <w:tblStyle w:val="13"/>
        <w:tblpPr w:leftFromText="180" w:rightFromText="180" w:vertAnchor="text" w:horzAnchor="page" w:tblpX="1510" w:tblpY="1233"/>
        <w:tblOverlap w:val="never"/>
        <w:tblW w:w="9811" w:type="dxa"/>
        <w:tblInd w:w="0" w:type="dxa"/>
        <w:tblLayout w:type="fixed"/>
        <w:tblCellMar>
          <w:top w:w="0" w:type="dxa"/>
          <w:left w:w="108" w:type="dxa"/>
          <w:bottom w:w="0" w:type="dxa"/>
          <w:right w:w="108" w:type="dxa"/>
        </w:tblCellMar>
      </w:tblPr>
      <w:tblGrid>
        <w:gridCol w:w="1976"/>
        <w:gridCol w:w="964"/>
        <w:gridCol w:w="1635"/>
        <w:gridCol w:w="1320"/>
        <w:gridCol w:w="1395"/>
        <w:gridCol w:w="2285"/>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single" w:color="auto" w:sz="4" w:space="0"/>
              <w:right w:val="nil"/>
            </w:tcBorders>
            <w:shd w:val="clear" w:color="auto" w:fill="auto"/>
            <w:vAlign w:val="center"/>
          </w:tcPr>
          <w:p>
            <w:pPr>
              <w:widowControl/>
              <w:jc w:val="center"/>
              <w:textAlignment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五</w:t>
            </w:r>
            <w:r>
              <w:rPr>
                <w:rFonts w:hint="eastAsia" w:asciiTheme="majorEastAsia" w:hAnsiTheme="majorEastAsia" w:eastAsiaTheme="majorEastAsia" w:cstheme="majorEastAsia"/>
                <w:sz w:val="28"/>
                <w:szCs w:val="28"/>
              </w:rPr>
              <w:t>2021年部门预算项目绩效目标自评</w:t>
            </w:r>
          </w:p>
          <w:p>
            <w:pPr>
              <w:pStyle w:val="5"/>
              <w:jc w:val="center"/>
              <w:rPr>
                <w:rFonts w:hint="eastAsia"/>
              </w:rPr>
            </w:pP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en-US" w:eastAsia="zh-CN"/>
              </w:rPr>
              <w:t>2021年水资源、水土保持专项经费</w:t>
            </w:r>
            <w:r>
              <w:rPr>
                <w:rFonts w:hint="eastAsia" w:asciiTheme="majorEastAsia" w:hAnsiTheme="majorEastAsia" w:eastAsiaTheme="majorEastAsia" w:cstheme="majorEastAsia"/>
                <w:sz w:val="28"/>
                <w:szCs w:val="28"/>
              </w:rPr>
              <w:t>）</w:t>
            </w:r>
          </w:p>
        </w:tc>
        <w:tc>
          <w:tcPr>
            <w:tcW w:w="236" w:type="dxa"/>
            <w:tcBorders>
              <w:top w:val="nil"/>
              <w:left w:val="nil"/>
              <w:bottom w:val="nil"/>
              <w:right w:val="nil"/>
            </w:tcBorders>
            <w:shd w:val="clear" w:color="auto" w:fill="auto"/>
            <w:vAlign w:val="center"/>
          </w:tcPr>
          <w:p>
            <w:pPr>
              <w:widowControl/>
              <w:jc w:val="center"/>
              <w:textAlignment w:val="center"/>
              <w:rPr>
                <w:rFonts w:hint="eastAsia" w:ascii="仿宋_GB2312" w:hAnsi="仿宋_GB2312" w:eastAsia="仿宋_GB2312" w:cs="仿宋_GB2312"/>
                <w:b/>
                <w:color w:val="auto"/>
                <w:kern w:val="0"/>
                <w:sz w:val="21"/>
                <w:szCs w:val="21"/>
              </w:rPr>
            </w:pPr>
          </w:p>
        </w:tc>
      </w:tr>
      <w:tr>
        <w:tblPrEx>
          <w:tblCellMar>
            <w:top w:w="0" w:type="dxa"/>
            <w:left w:w="108" w:type="dxa"/>
            <w:bottom w:w="0" w:type="dxa"/>
            <w:right w:w="108" w:type="dxa"/>
          </w:tblCellMar>
        </w:tblPrEx>
        <w:trPr>
          <w:gridAfter w:val="1"/>
          <w:wAfter w:w="236" w:type="dxa"/>
          <w:trHeight w:val="254" w:hRule="atLeast"/>
        </w:trPr>
        <w:tc>
          <w:tcPr>
            <w:tcW w:w="294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主管部门及代码</w:t>
            </w:r>
          </w:p>
        </w:tc>
        <w:tc>
          <w:tcPr>
            <w:tcW w:w="2955"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攀枝花市西区水利局</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实施单位</w:t>
            </w:r>
          </w:p>
        </w:tc>
        <w:tc>
          <w:tcPr>
            <w:tcW w:w="22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攀枝花市西区水利局</w:t>
            </w:r>
          </w:p>
        </w:tc>
      </w:tr>
      <w:tr>
        <w:tblPrEx>
          <w:tblCellMar>
            <w:top w:w="0" w:type="dxa"/>
            <w:left w:w="108" w:type="dxa"/>
            <w:bottom w:w="0" w:type="dxa"/>
            <w:right w:w="108" w:type="dxa"/>
          </w:tblCellMar>
        </w:tblPrEx>
        <w:trPr>
          <w:gridAfter w:val="1"/>
          <w:wAfter w:w="236" w:type="dxa"/>
          <w:trHeight w:val="341" w:hRule="atLeast"/>
        </w:trPr>
        <w:tc>
          <w:tcPr>
            <w:tcW w:w="294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项目预算</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执行情况</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（万元）</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预算数：</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16</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执行数：</w:t>
            </w:r>
          </w:p>
        </w:tc>
        <w:tc>
          <w:tcPr>
            <w:tcW w:w="22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w:t>
            </w:r>
          </w:p>
        </w:tc>
      </w:tr>
      <w:tr>
        <w:tblPrEx>
          <w:tblCellMar>
            <w:top w:w="0" w:type="dxa"/>
            <w:left w:w="108" w:type="dxa"/>
            <w:bottom w:w="0" w:type="dxa"/>
            <w:right w:w="108" w:type="dxa"/>
          </w:tblCellMar>
        </w:tblPrEx>
        <w:trPr>
          <w:gridAfter w:val="1"/>
          <w:wAfter w:w="236" w:type="dxa"/>
          <w:trHeight w:val="555" w:hRule="atLeast"/>
        </w:trPr>
        <w:tc>
          <w:tcPr>
            <w:tcW w:w="294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color w:val="auto"/>
                <w:sz w:val="18"/>
                <w:szCs w:val="18"/>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其中：</w:t>
            </w: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财政拨款</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16</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其中：</w:t>
            </w: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财政拨款</w:t>
            </w:r>
          </w:p>
        </w:tc>
        <w:tc>
          <w:tcPr>
            <w:tcW w:w="22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16</w:t>
            </w:r>
          </w:p>
        </w:tc>
      </w:tr>
      <w:tr>
        <w:tblPrEx>
          <w:tblCellMar>
            <w:top w:w="0" w:type="dxa"/>
            <w:left w:w="108" w:type="dxa"/>
            <w:bottom w:w="0" w:type="dxa"/>
            <w:right w:w="108" w:type="dxa"/>
          </w:tblCellMar>
        </w:tblPrEx>
        <w:trPr>
          <w:gridAfter w:val="1"/>
          <w:wAfter w:w="236" w:type="dxa"/>
          <w:trHeight w:val="341" w:hRule="atLeast"/>
        </w:trPr>
        <w:tc>
          <w:tcPr>
            <w:tcW w:w="294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color w:val="auto"/>
                <w:sz w:val="18"/>
                <w:szCs w:val="18"/>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其他资金</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sz w:val="18"/>
                <w:szCs w:val="18"/>
              </w:rPr>
            </w:pPr>
          </w:p>
        </w:tc>
        <w:tc>
          <w:tcPr>
            <w:tcW w:w="13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其他资金</w:t>
            </w:r>
          </w:p>
        </w:tc>
        <w:tc>
          <w:tcPr>
            <w:tcW w:w="22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年度总体目标</w:t>
            </w: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完成情况</w:t>
            </w:r>
          </w:p>
        </w:tc>
        <w:tc>
          <w:tcPr>
            <w:tcW w:w="3919"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预期目标</w:t>
            </w:r>
          </w:p>
        </w:tc>
        <w:tc>
          <w:tcPr>
            <w:tcW w:w="368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color w:val="auto"/>
                <w:sz w:val="18"/>
                <w:szCs w:val="18"/>
              </w:rPr>
            </w:pPr>
          </w:p>
        </w:tc>
        <w:tc>
          <w:tcPr>
            <w:tcW w:w="3919"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jc w:val="both"/>
              <w:textAlignment w:val="top"/>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按照三定方案要求，承担水资源、水土保持行业监管及行政审批、行政执法、项目申报实施。</w:t>
            </w:r>
          </w:p>
        </w:tc>
        <w:tc>
          <w:tcPr>
            <w:tcW w:w="368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top"/>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2021年预定工作已基本完成，目前6万元县域节水型社会建设达标验收支撑材料编制费尚未完成支付。</w:t>
            </w:r>
          </w:p>
        </w:tc>
      </w:tr>
      <w:tr>
        <w:tblPrEx>
          <w:tblCellMar>
            <w:top w:w="0" w:type="dxa"/>
            <w:left w:w="108" w:type="dxa"/>
            <w:bottom w:w="0" w:type="dxa"/>
            <w:right w:w="108" w:type="dxa"/>
          </w:tblCellMar>
        </w:tblPrEx>
        <w:trPr>
          <w:gridAfter w:val="1"/>
          <w:wAfter w:w="236" w:type="dxa"/>
          <w:trHeight w:val="603" w:hRule="atLeast"/>
        </w:trPr>
        <w:tc>
          <w:tcPr>
            <w:tcW w:w="1976"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年度绩效指标完成情况</w:t>
            </w:r>
          </w:p>
        </w:tc>
        <w:tc>
          <w:tcPr>
            <w:tcW w:w="96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一级</w:t>
            </w: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指标</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二级</w:t>
            </w: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指标</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三级</w:t>
            </w: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指标</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预期指标值</w:t>
            </w:r>
          </w:p>
        </w:tc>
        <w:tc>
          <w:tcPr>
            <w:tcW w:w="22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实际完成指标值</w:t>
            </w:r>
          </w:p>
        </w:tc>
      </w:tr>
      <w:tr>
        <w:tblPrEx>
          <w:tblCellMar>
            <w:top w:w="0" w:type="dxa"/>
            <w:left w:w="108" w:type="dxa"/>
            <w:bottom w:w="0" w:type="dxa"/>
            <w:right w:w="108" w:type="dxa"/>
          </w:tblCellMar>
        </w:tblPrEx>
        <w:trPr>
          <w:gridAfter w:val="1"/>
          <w:wAfter w:w="236" w:type="dxa"/>
          <w:trHeight w:val="414" w:hRule="atLeast"/>
        </w:trPr>
        <w:tc>
          <w:tcPr>
            <w:tcW w:w="197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color w:val="auto"/>
                <w:sz w:val="18"/>
                <w:szCs w:val="18"/>
              </w:rPr>
            </w:pPr>
          </w:p>
        </w:tc>
        <w:tc>
          <w:tcPr>
            <w:tcW w:w="964"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bottom"/>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完成</w:t>
            </w: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rPr>
              <w:t>指标</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bottom"/>
              <w:rPr>
                <w:rFonts w:hint="eastAsia" w:ascii="宋体" w:hAnsi="宋体" w:eastAsia="宋体" w:cs="宋体"/>
                <w:color w:val="auto"/>
                <w:sz w:val="18"/>
                <w:szCs w:val="18"/>
                <w:lang w:eastAsia="zh-CN"/>
              </w:rPr>
            </w:pPr>
            <w:r>
              <w:rPr>
                <w:rFonts w:hint="eastAsia" w:ascii="宋体" w:hAnsi="宋体" w:eastAsia="宋体" w:cs="宋体"/>
                <w:color w:val="auto"/>
                <w:sz w:val="18"/>
                <w:szCs w:val="18"/>
              </w:rPr>
              <w:t>水资源水保方案审批</w:t>
            </w:r>
            <w:r>
              <w:rPr>
                <w:rFonts w:hint="eastAsia" w:ascii="宋体" w:hAnsi="宋体" w:eastAsia="宋体" w:cs="宋体"/>
                <w:color w:val="auto"/>
                <w:sz w:val="18"/>
                <w:szCs w:val="18"/>
                <w:lang w:eastAsia="zh-CN"/>
              </w:rPr>
              <w:t>；违法行为查处；执法设备采购、宣传等日常工作</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2021年全年审批20份,审批费用5万；开展卫星遥感现场复核工作,清理水资源水保违法行为，按全市委托第三方价格，外包费用6万；按照司法局要求，完善执法全过程记录，采购执法记录仪、摄像机、录音设备，开展日常工作宣传等，费用5万</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1-12月</w:t>
            </w:r>
          </w:p>
        </w:tc>
        <w:tc>
          <w:tcPr>
            <w:tcW w:w="22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jc w:val="both"/>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已完成</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color w:val="auto"/>
                <w:sz w:val="18"/>
                <w:szCs w:val="18"/>
              </w:rPr>
            </w:pPr>
          </w:p>
        </w:tc>
        <w:tc>
          <w:tcPr>
            <w:tcW w:w="964"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color w:val="auto"/>
                <w:sz w:val="18"/>
                <w:szCs w:val="18"/>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rPr>
              <w:t>质量指标</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bottom"/>
              <w:rPr>
                <w:rFonts w:hint="eastAsia" w:ascii="宋体" w:hAnsi="宋体" w:eastAsia="宋体" w:cs="宋体"/>
                <w:color w:val="auto"/>
                <w:sz w:val="18"/>
                <w:szCs w:val="18"/>
                <w:lang w:eastAsia="zh-CN"/>
              </w:rPr>
            </w:pPr>
            <w:r>
              <w:rPr>
                <w:rFonts w:hint="eastAsia" w:ascii="宋体" w:hAnsi="宋体" w:eastAsia="宋体" w:cs="宋体"/>
                <w:color w:val="auto"/>
                <w:sz w:val="18"/>
                <w:szCs w:val="18"/>
              </w:rPr>
              <w:t>严格监管水资源、水保</w:t>
            </w:r>
            <w:r>
              <w:rPr>
                <w:rFonts w:hint="eastAsia" w:ascii="宋体" w:hAnsi="宋体" w:eastAsia="宋体" w:cs="宋体"/>
                <w:color w:val="auto"/>
                <w:sz w:val="18"/>
                <w:szCs w:val="18"/>
                <w:lang w:eastAsia="zh-CN"/>
              </w:rPr>
              <w:t>；有效打击违法行为</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bottom"/>
              <w:rPr>
                <w:rFonts w:hint="eastAsia" w:ascii="宋体" w:hAnsi="宋体" w:eastAsia="宋体" w:cs="宋体"/>
                <w:color w:val="auto"/>
                <w:sz w:val="18"/>
                <w:szCs w:val="18"/>
                <w:lang w:eastAsia="zh-CN"/>
              </w:rPr>
            </w:pPr>
            <w:r>
              <w:rPr>
                <w:rFonts w:hint="eastAsia" w:ascii="宋体" w:hAnsi="宋体" w:eastAsia="宋体" w:cs="宋体"/>
                <w:color w:val="auto"/>
                <w:sz w:val="18"/>
                <w:szCs w:val="18"/>
              </w:rPr>
              <w:t>严格水资源水保审批，规范取水、水土保持工作</w:t>
            </w:r>
            <w:r>
              <w:rPr>
                <w:rFonts w:hint="eastAsia" w:ascii="宋体" w:hAnsi="宋体" w:eastAsia="宋体" w:cs="宋体"/>
                <w:color w:val="auto"/>
                <w:sz w:val="18"/>
                <w:szCs w:val="18"/>
                <w:lang w:eastAsia="zh-CN"/>
              </w:rPr>
              <w:t>；通过打击违法行为，杜绝违法取水，严格控制水土流失</w:t>
            </w:r>
          </w:p>
        </w:tc>
        <w:tc>
          <w:tcPr>
            <w:tcW w:w="22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jc w:val="both"/>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已完成</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color w:val="auto"/>
                <w:sz w:val="18"/>
                <w:szCs w:val="18"/>
              </w:rPr>
            </w:pPr>
          </w:p>
        </w:tc>
        <w:tc>
          <w:tcPr>
            <w:tcW w:w="964"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color w:val="auto"/>
                <w:sz w:val="18"/>
                <w:szCs w:val="18"/>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rPr>
              <w:t>时效指标</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全年按计划进行</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2021年全年完成</w:t>
            </w:r>
          </w:p>
        </w:tc>
        <w:tc>
          <w:tcPr>
            <w:tcW w:w="22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jc w:val="left"/>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已完成</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color w:val="auto"/>
                <w:sz w:val="18"/>
                <w:szCs w:val="18"/>
              </w:rPr>
            </w:pPr>
          </w:p>
        </w:tc>
        <w:tc>
          <w:tcPr>
            <w:tcW w:w="964"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color w:val="auto"/>
                <w:sz w:val="18"/>
                <w:szCs w:val="18"/>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rPr>
              <w:t>成本指标</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工作经费总额10万元</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专家审查费用按照500元/人次发放，卫星遥感复核工作按照全市平均价格</w:t>
            </w:r>
          </w:p>
        </w:tc>
        <w:tc>
          <w:tcPr>
            <w:tcW w:w="22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jc w:val="both"/>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已完成</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color w:val="auto"/>
                <w:sz w:val="18"/>
                <w:szCs w:val="18"/>
              </w:rPr>
            </w:pPr>
          </w:p>
        </w:tc>
        <w:tc>
          <w:tcPr>
            <w:tcW w:w="964"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rPr>
              <w:t>效益</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指标</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rPr>
              <w:t>经济效益指标</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加强水资源水保监管，促进可持续发展</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保护水、土资源，优化生态环境</w:t>
            </w:r>
          </w:p>
        </w:tc>
        <w:tc>
          <w:tcPr>
            <w:tcW w:w="22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jc w:val="both"/>
              <w:textAlignment w:val="bottom"/>
              <w:rPr>
                <w:rFonts w:hint="eastAsia" w:ascii="宋体" w:hAnsi="宋体" w:eastAsia="宋体" w:cs="宋体"/>
                <w:color w:val="auto"/>
                <w:sz w:val="18"/>
                <w:szCs w:val="18"/>
              </w:rPr>
            </w:pP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color w:val="auto"/>
                <w:sz w:val="18"/>
                <w:szCs w:val="18"/>
              </w:rPr>
            </w:pPr>
          </w:p>
        </w:tc>
        <w:tc>
          <w:tcPr>
            <w:tcW w:w="964"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color w:val="auto"/>
                <w:sz w:val="18"/>
                <w:szCs w:val="18"/>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rPr>
              <w:t>社会效益指标</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提高水资源水保社会认知</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加强社会公众知晓度</w:t>
            </w:r>
          </w:p>
        </w:tc>
        <w:tc>
          <w:tcPr>
            <w:tcW w:w="228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80" w:lineRule="exact"/>
              <w:ind w:left="0" w:leftChars="0" w:firstLine="360" w:firstLineChars="200"/>
              <w:jc w:val="both"/>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已完成</w:t>
            </w:r>
          </w:p>
        </w:tc>
      </w:tr>
      <w:tr>
        <w:tblPrEx>
          <w:tblCellMar>
            <w:top w:w="0" w:type="dxa"/>
            <w:left w:w="108" w:type="dxa"/>
            <w:bottom w:w="0" w:type="dxa"/>
            <w:right w:w="108" w:type="dxa"/>
          </w:tblCellMar>
        </w:tblPrEx>
        <w:trPr>
          <w:gridAfter w:val="1"/>
          <w:wAfter w:w="236" w:type="dxa"/>
          <w:trHeight w:val="577" w:hRule="atLeast"/>
        </w:trPr>
        <w:tc>
          <w:tcPr>
            <w:tcW w:w="19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color w:val="auto"/>
                <w:sz w:val="18"/>
                <w:szCs w:val="18"/>
              </w:rPr>
            </w:pPr>
          </w:p>
        </w:tc>
        <w:tc>
          <w:tcPr>
            <w:tcW w:w="964"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color w:val="auto"/>
                <w:sz w:val="18"/>
                <w:szCs w:val="18"/>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rPr>
              <w:t>生态效益指标</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营造良好生态环境</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为人民营造良好生态环境</w:t>
            </w:r>
          </w:p>
        </w:tc>
        <w:tc>
          <w:tcPr>
            <w:tcW w:w="228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80" w:lineRule="exact"/>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已完成</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color w:val="auto"/>
                <w:sz w:val="18"/>
                <w:szCs w:val="18"/>
              </w:rPr>
            </w:pPr>
          </w:p>
        </w:tc>
        <w:tc>
          <w:tcPr>
            <w:tcW w:w="964"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color w:val="auto"/>
                <w:sz w:val="18"/>
                <w:szCs w:val="18"/>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rPr>
              <w:t>可持续影响指标</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保护水土资源，促进水土资源可持续利用</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为人民营造良好生态环境</w:t>
            </w:r>
          </w:p>
        </w:tc>
        <w:tc>
          <w:tcPr>
            <w:tcW w:w="228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80" w:lineRule="exact"/>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已完成</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color w:val="auto"/>
                <w:sz w:val="18"/>
                <w:szCs w:val="18"/>
              </w:rPr>
            </w:pPr>
          </w:p>
        </w:tc>
        <w:tc>
          <w:tcPr>
            <w:tcW w:w="964"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rPr>
              <w:t>满意</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度指标</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bottom"/>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满意度</w:t>
            </w: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rPr>
              <w:t>指标</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群众满意度</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抽样达到满意度90%以上</w:t>
            </w:r>
          </w:p>
        </w:tc>
        <w:tc>
          <w:tcPr>
            <w:tcW w:w="228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满意度≥ 90%</w:t>
            </w:r>
          </w:p>
          <w:p>
            <w:pPr>
              <w:keepNext w:val="0"/>
              <w:keepLines w:val="0"/>
              <w:pageBreakBefore w:val="0"/>
              <w:widowControl/>
              <w:kinsoku/>
              <w:wordWrap/>
              <w:overflowPunct/>
              <w:topLinePunct w:val="0"/>
              <w:autoSpaceDE/>
              <w:autoSpaceDN/>
              <w:bidi w:val="0"/>
              <w:adjustRightInd/>
              <w:snapToGrid/>
              <w:spacing w:line="280" w:lineRule="exact"/>
              <w:jc w:val="center"/>
              <w:textAlignment w:val="bottom"/>
              <w:rPr>
                <w:rFonts w:hint="eastAsia" w:ascii="宋体" w:hAnsi="宋体" w:eastAsia="宋体" w:cs="宋体"/>
                <w:color w:val="auto"/>
                <w:sz w:val="18"/>
                <w:szCs w:val="18"/>
              </w:rPr>
            </w:pPr>
          </w:p>
        </w:tc>
      </w:tr>
    </w:tbl>
    <w:p>
      <w:pPr>
        <w:ind w:firstLine="400"/>
        <w:jc w:val="center"/>
        <w:rPr>
          <w:rFonts w:hint="eastAsia" w:ascii="方正小标宋_GBK" w:hAnsi="方正小标宋_GBK" w:eastAsia="方正小标宋_GBK" w:cs="方正小标宋_GBK"/>
          <w:sz w:val="36"/>
          <w:szCs w:val="36"/>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攀枝花市</w:t>
      </w:r>
      <w:r>
        <w:rPr>
          <w:rFonts w:hint="eastAsia" w:ascii="方正小标宋_GBK" w:hAnsi="方正小标宋_GBK" w:eastAsia="方正小标宋_GBK" w:cs="方正小标宋_GBK"/>
          <w:sz w:val="44"/>
          <w:szCs w:val="44"/>
          <w:lang w:val="en-US" w:eastAsia="zh-CN"/>
        </w:rPr>
        <w:t>西区</w:t>
      </w:r>
      <w:r>
        <w:rPr>
          <w:rFonts w:hint="eastAsia" w:ascii="方正小标宋_GBK" w:hAnsi="方正小标宋_GBK" w:eastAsia="方正小标宋_GBK" w:cs="方正小标宋_GBK"/>
          <w:sz w:val="44"/>
          <w:szCs w:val="44"/>
        </w:rPr>
        <w:t>水利局</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2021年度部门预算项目支出绩效自评报告</w:t>
      </w:r>
    </w:p>
    <w:p>
      <w:pPr>
        <w:ind w:firstLine="40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2021年水利建设与运行管理支出费用</w:t>
      </w:r>
      <w:r>
        <w:rPr>
          <w:rFonts w:hint="eastAsia" w:ascii="楷体_GB2312" w:hAnsi="楷体_GB2312" w:eastAsia="楷体_GB2312" w:cs="楷体_GB2312"/>
          <w:sz w:val="32"/>
          <w:szCs w:val="32"/>
        </w:rPr>
        <w:t>）</w:t>
      </w:r>
    </w:p>
    <w:p>
      <w:pPr>
        <w:numPr>
          <w:ilvl w:val="0"/>
          <w:numId w:val="0"/>
        </w:numPr>
        <w:ind w:firstLine="640" w:firstLineChars="200"/>
        <w:jc w:val="both"/>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 xml:space="preserve">项目概况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_GB2312" w:cs="Times New Roman"/>
          <w:sz w:val="32"/>
          <w:szCs w:val="32"/>
        </w:rPr>
        <w:t>（一）项目基本情况。</w:t>
      </w:r>
      <w:r>
        <w:rPr>
          <w:rFonts w:hint="default" w:ascii="Times New Roman" w:hAnsi="Times New Roman" w:eastAsia="楷体" w:cs="Times New Roman"/>
          <w:sz w:val="32"/>
          <w:szCs w:val="32"/>
        </w:rPr>
        <w:t xml:space="preserve"> </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综合治理庄上小流域水土流失面积</w:t>
      </w:r>
      <w:r>
        <w:rPr>
          <w:rFonts w:hint="default" w:ascii="Times New Roman" w:hAnsi="Times New Roman" w:eastAsia="仿宋_GB2312" w:cs="Times New Roman"/>
          <w:sz w:val="32"/>
          <w:szCs w:val="32"/>
          <w:lang w:val="en-US" w:eastAsia="zh-CN"/>
        </w:rPr>
        <w:t>14.29平方公里；补助西区2座水库水管单位体制改革公益性管理人员经费3</w:t>
      </w:r>
      <w:r>
        <w:rPr>
          <w:rFonts w:hint="eastAsia" w:ascii="Times New Roman" w:cs="Times New Roman"/>
          <w:sz w:val="32"/>
          <w:szCs w:val="32"/>
          <w:lang w:val="en-US" w:eastAsia="zh-CN"/>
        </w:rPr>
        <w:t>.00</w:t>
      </w:r>
      <w:r>
        <w:rPr>
          <w:rFonts w:hint="default" w:ascii="Times New Roman" w:hAnsi="Times New Roman" w:eastAsia="仿宋_GB2312" w:cs="Times New Roman"/>
          <w:sz w:val="32"/>
          <w:szCs w:val="32"/>
          <w:lang w:val="en-US" w:eastAsia="zh-CN"/>
        </w:rPr>
        <w:t>万元；开展小型水库维修养护项目1个；补助2021年农业水价综合改革市级资金1万元。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资金申报依据：</w:t>
      </w:r>
      <w:r>
        <w:rPr>
          <w:rFonts w:hint="default" w:ascii="Times New Roman" w:hAnsi="Times New Roman" w:eastAsia="仿宋_GB2312" w:cs="Times New Roman"/>
          <w:sz w:val="32"/>
          <w:szCs w:val="32"/>
          <w:lang w:eastAsia="zh-CN"/>
        </w:rPr>
        <w:t>中省水利发展资金、市级补助资金、一般债券资金。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资金管理办法制定情况：</w:t>
      </w:r>
      <w:r>
        <w:rPr>
          <w:rFonts w:hint="default" w:ascii="Times New Roman" w:hAnsi="Times New Roman" w:eastAsia="仿宋_GB2312" w:cs="Times New Roman"/>
          <w:sz w:val="32"/>
          <w:szCs w:val="32"/>
          <w:lang w:eastAsia="zh-CN"/>
        </w:rPr>
        <w:t>中央水利发展资金</w:t>
      </w:r>
      <w:r>
        <w:rPr>
          <w:rFonts w:hint="default" w:ascii="Times New Roman" w:hAnsi="Times New Roman" w:eastAsia="仿宋_GB2312" w:cs="Times New Roman"/>
          <w:sz w:val="32"/>
          <w:szCs w:val="32"/>
          <w:lang w:val="en-US" w:eastAsia="zh-CN"/>
        </w:rPr>
        <w:t>493</w:t>
      </w:r>
      <w:r>
        <w:rPr>
          <w:rFonts w:hint="eastAsia" w:eastAsia="仿宋_GB2312" w:cs="Times New Roman"/>
          <w:sz w:val="32"/>
          <w:szCs w:val="32"/>
          <w:lang w:val="en-US" w:eastAsia="zh-CN"/>
        </w:rPr>
        <w:t>.00</w:t>
      </w:r>
      <w:r>
        <w:rPr>
          <w:rFonts w:hint="default" w:ascii="Times New Roman" w:hAnsi="Times New Roman" w:eastAsia="仿宋_GB2312" w:cs="Times New Roman"/>
          <w:sz w:val="32"/>
          <w:szCs w:val="32"/>
          <w:lang w:val="en-US" w:eastAsia="zh-CN"/>
        </w:rPr>
        <w:t>万元用于水土保持建设，2021年水管单位体制改革公益性管理人员经费市级补助</w:t>
      </w:r>
      <w:r>
        <w:rPr>
          <w:rFonts w:hint="default" w:ascii="Times New Roman" w:hAnsi="Times New Roman" w:eastAsia="仿宋_GB2312" w:cs="Times New Roman"/>
          <w:sz w:val="32"/>
          <w:szCs w:val="32"/>
        </w:rPr>
        <w:t>资金</w:t>
      </w:r>
      <w:r>
        <w:rPr>
          <w:rFonts w:hint="default" w:ascii="Times New Roman" w:hAnsi="Times New Roman" w:eastAsia="仿宋_GB2312" w:cs="Times New Roman"/>
          <w:sz w:val="32"/>
          <w:szCs w:val="32"/>
          <w:lang w:val="en-US" w:eastAsia="zh-CN"/>
        </w:rPr>
        <w:t>3</w:t>
      </w:r>
      <w:r>
        <w:rPr>
          <w:rFonts w:hint="eastAsia" w:eastAsia="仿宋_GB2312" w:cs="Times New Roman"/>
          <w:sz w:val="32"/>
          <w:szCs w:val="32"/>
          <w:lang w:val="en-US" w:eastAsia="zh-CN"/>
        </w:rPr>
        <w:t>.00</w:t>
      </w:r>
      <w:r>
        <w:rPr>
          <w:rFonts w:hint="default" w:ascii="Times New Roman" w:hAnsi="Times New Roman" w:eastAsia="仿宋_GB2312" w:cs="Times New Roman"/>
          <w:sz w:val="32"/>
          <w:szCs w:val="32"/>
          <w:lang w:val="en-US" w:eastAsia="zh-CN"/>
        </w:rPr>
        <w:t>万元，用于龙洞水库和梅子箐水库管理人员补助，2021年一般债券项目经费（小型水库安全运行经费）4</w:t>
      </w:r>
      <w:r>
        <w:rPr>
          <w:rFonts w:hint="eastAsia" w:eastAsia="仿宋_GB2312" w:cs="Times New Roman"/>
          <w:sz w:val="32"/>
          <w:szCs w:val="32"/>
          <w:lang w:val="en-US" w:eastAsia="zh-CN"/>
        </w:rPr>
        <w:t>.00</w:t>
      </w:r>
      <w:r>
        <w:rPr>
          <w:rFonts w:hint="default" w:ascii="Times New Roman" w:hAnsi="Times New Roman" w:eastAsia="仿宋_GB2312" w:cs="Times New Roman"/>
          <w:sz w:val="32"/>
          <w:szCs w:val="32"/>
          <w:lang w:val="en-US" w:eastAsia="zh-CN"/>
        </w:rPr>
        <w:t>万元，用于龙洞水库维修养护，2021年农业水价综合改革市级补助资金</w:t>
      </w:r>
      <w:r>
        <w:rPr>
          <w:rFonts w:hint="default" w:ascii="Times New Roman" w:hAnsi="Times New Roman" w:eastAsia="仿宋_GB2312" w:cs="Times New Roman"/>
          <w:sz w:val="32"/>
          <w:szCs w:val="32"/>
          <w:lang w:eastAsia="zh-CN"/>
        </w:rPr>
        <w:t>用于金家村农业灌溉管网维护</w:t>
      </w:r>
      <w:r>
        <w:rPr>
          <w:rFonts w:hint="default" w:ascii="Times New Roman" w:hAnsi="Times New Roman" w:eastAsia="仿宋_GB2312" w:cs="Times New Roman"/>
          <w:sz w:val="32"/>
          <w:szCs w:val="32"/>
        </w:rPr>
        <w:t xml:space="preserve">，通过银行转账方式进行支付。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项目绩效目标。</w:t>
      </w:r>
      <w:r>
        <w:rPr>
          <w:rFonts w:hint="default" w:ascii="Times New Roman" w:hAnsi="Times New Roman" w:eastAsia="楷体" w:cs="Times New Roman"/>
          <w:sz w:val="32"/>
          <w:szCs w:val="32"/>
        </w:rPr>
        <w:t xml:space="preserve"> </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综合治理庄上小流域水土流失面积</w:t>
      </w:r>
      <w:r>
        <w:rPr>
          <w:rFonts w:hint="default" w:ascii="Times New Roman" w:hAnsi="Times New Roman" w:eastAsia="仿宋_GB2312" w:cs="Times New Roman"/>
          <w:sz w:val="32"/>
          <w:szCs w:val="32"/>
          <w:lang w:val="en-US" w:eastAsia="zh-CN"/>
        </w:rPr>
        <w:t>14.29平方公里；西区2座水库水管管理较好，正常运行；完成龙洞水库维修养护，引水渠运行良好；完成金家村提灌站维护1座，安装农业灌溉管道2公里及计量设施更换。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全年共计支出</w:t>
      </w:r>
      <w:r>
        <w:rPr>
          <w:rFonts w:hint="default" w:ascii="Times New Roman" w:hAnsi="Times New Roman" w:eastAsia="仿宋_GB2312" w:cs="Times New Roman"/>
          <w:sz w:val="32"/>
          <w:szCs w:val="32"/>
          <w:lang w:val="en-US" w:eastAsia="zh-CN"/>
        </w:rPr>
        <w:t>51</w:t>
      </w:r>
      <w:r>
        <w:rPr>
          <w:rFonts w:hint="eastAsia" w:eastAsia="仿宋_GB2312" w:cs="Times New Roman"/>
          <w:sz w:val="32"/>
          <w:szCs w:val="32"/>
          <w:lang w:val="en-US" w:eastAsia="zh-CN"/>
        </w:rPr>
        <w:t>.00</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全部为庄上小流域水土流失治理项目工程款，未按</w:t>
      </w:r>
      <w:r>
        <w:rPr>
          <w:rFonts w:hint="default" w:ascii="Times New Roman" w:hAnsi="Times New Roman" w:eastAsia="仿宋_GB2312" w:cs="Times New Roman"/>
          <w:sz w:val="32"/>
          <w:szCs w:val="32"/>
        </w:rPr>
        <w:t>按照实际</w:t>
      </w:r>
      <w:r>
        <w:rPr>
          <w:rFonts w:hint="default" w:ascii="Times New Roman" w:hAnsi="Times New Roman" w:eastAsia="仿宋_GB2312" w:cs="Times New Roman"/>
          <w:sz w:val="32"/>
          <w:szCs w:val="32"/>
          <w:lang w:eastAsia="zh-CN"/>
        </w:rPr>
        <w:t>进展</w:t>
      </w:r>
      <w:r>
        <w:rPr>
          <w:rFonts w:hint="default" w:ascii="Times New Roman" w:hAnsi="Times New Roman" w:eastAsia="仿宋_GB2312" w:cs="Times New Roman"/>
          <w:sz w:val="32"/>
          <w:szCs w:val="32"/>
        </w:rPr>
        <w:t>情况进行支付，项目已完成</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%。未完成100%支付是 2022年</w:t>
      </w:r>
      <w:r>
        <w:rPr>
          <w:rFonts w:hint="default" w:ascii="Times New Roman" w:hAnsi="Times New Roman" w:eastAsia="仿宋_GB2312" w:cs="Times New Roman"/>
          <w:sz w:val="32"/>
          <w:szCs w:val="32"/>
          <w:lang w:eastAsia="zh-CN"/>
        </w:rPr>
        <w:t>区级财政困难</w:t>
      </w:r>
      <w:r>
        <w:rPr>
          <w:rFonts w:hint="default" w:ascii="Times New Roman" w:hAnsi="Times New Roman" w:eastAsia="仿宋_GB2312" w:cs="Times New Roman"/>
          <w:sz w:val="32"/>
          <w:szCs w:val="32"/>
        </w:rPr>
        <w:t>，将</w:t>
      </w:r>
      <w:r>
        <w:rPr>
          <w:rFonts w:hint="default" w:ascii="Times New Roman" w:hAnsi="Times New Roman" w:eastAsia="仿宋_GB2312" w:cs="Times New Roman"/>
          <w:sz w:val="32"/>
          <w:szCs w:val="32"/>
          <w:lang w:val="en-US" w:eastAsia="zh-CN"/>
        </w:rPr>
        <w:t>未支付费用全部</w:t>
      </w:r>
      <w:r>
        <w:rPr>
          <w:rFonts w:hint="default" w:ascii="Times New Roman" w:hAnsi="Times New Roman" w:eastAsia="仿宋_GB2312" w:cs="Times New Roman"/>
          <w:sz w:val="32"/>
          <w:szCs w:val="32"/>
        </w:rPr>
        <w:t>退回至财政国库。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申报内容与实际相符，申报目标合理可行。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二、项目资金申报及使用情况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（一）项目资金申报及批复情况。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该项目资金申报数为</w:t>
      </w:r>
      <w:r>
        <w:rPr>
          <w:rFonts w:hint="default" w:ascii="Times New Roman" w:hAnsi="Times New Roman" w:eastAsia="仿宋_GB2312" w:cs="Times New Roman"/>
          <w:sz w:val="32"/>
          <w:szCs w:val="32"/>
          <w:lang w:val="en-US" w:eastAsia="zh-CN"/>
        </w:rPr>
        <w:t>501</w:t>
      </w:r>
      <w:r>
        <w:rPr>
          <w:rFonts w:hint="eastAsia" w:eastAsia="仿宋_GB2312" w:cs="Times New Roman"/>
          <w:sz w:val="32"/>
          <w:szCs w:val="32"/>
          <w:lang w:val="en-US" w:eastAsia="zh-CN"/>
        </w:rPr>
        <w:t>.00</w:t>
      </w:r>
      <w:r>
        <w:rPr>
          <w:rFonts w:hint="default"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rPr>
        <w:t>元，年初预算数为</w:t>
      </w:r>
      <w:r>
        <w:rPr>
          <w:rFonts w:hint="default" w:ascii="Times New Roman" w:hAnsi="Times New Roman" w:eastAsia="仿宋_GB2312" w:cs="Times New Roman"/>
          <w:sz w:val="32"/>
          <w:szCs w:val="32"/>
          <w:lang w:val="en-US" w:eastAsia="zh-CN"/>
        </w:rPr>
        <w:t>501</w:t>
      </w:r>
      <w:r>
        <w:rPr>
          <w:rFonts w:hint="eastAsia" w:eastAsia="仿宋_GB2312" w:cs="Times New Roman"/>
          <w:sz w:val="32"/>
          <w:szCs w:val="32"/>
          <w:lang w:val="en-US" w:eastAsia="zh-CN"/>
        </w:rPr>
        <w:t>.00</w:t>
      </w:r>
      <w:r>
        <w:rPr>
          <w:rFonts w:hint="default"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rPr>
        <w:t xml:space="preserve">元。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（二）资金计划、到位及使用情况。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资金计划</w:t>
      </w:r>
      <w:r>
        <w:rPr>
          <w:rFonts w:hint="default" w:ascii="Times New Roman" w:hAnsi="Times New Roman" w:eastAsia="仿宋_GB2312" w:cs="Times New Roman"/>
          <w:sz w:val="32"/>
          <w:szCs w:val="32"/>
          <w:lang w:eastAsia="zh-CN"/>
        </w:rPr>
        <w:t>：项目涉及资金为中央和省级资金</w:t>
      </w:r>
      <w:r>
        <w:rPr>
          <w:rFonts w:hint="default" w:ascii="Times New Roman" w:hAnsi="Times New Roman" w:eastAsia="仿宋_GB2312" w:cs="Times New Roman"/>
          <w:sz w:val="32"/>
          <w:szCs w:val="32"/>
          <w:lang w:val="en-US" w:eastAsia="zh-CN"/>
        </w:rPr>
        <w:t>493</w:t>
      </w:r>
      <w:r>
        <w:rPr>
          <w:rFonts w:hint="eastAsia" w:eastAsia="仿宋_GB2312" w:cs="Times New Roman"/>
          <w:sz w:val="32"/>
          <w:szCs w:val="32"/>
          <w:lang w:val="en-US" w:eastAsia="zh-CN"/>
        </w:rPr>
        <w:t>.00</w:t>
      </w:r>
      <w:r>
        <w:rPr>
          <w:rFonts w:hint="default" w:ascii="Times New Roman" w:hAnsi="Times New Roman" w:eastAsia="仿宋_GB2312" w:cs="Times New Roman"/>
          <w:sz w:val="32"/>
          <w:szCs w:val="32"/>
          <w:lang w:val="en-US" w:eastAsia="zh-CN"/>
        </w:rPr>
        <w:t>万元，市级补助</w:t>
      </w:r>
      <w:r>
        <w:rPr>
          <w:rFonts w:hint="default" w:ascii="Times New Roman" w:hAnsi="Times New Roman" w:eastAsia="仿宋_GB2312" w:cs="Times New Roman"/>
          <w:sz w:val="32"/>
          <w:szCs w:val="32"/>
        </w:rPr>
        <w:t>资金</w:t>
      </w:r>
      <w:r>
        <w:rPr>
          <w:rFonts w:hint="default" w:ascii="Times New Roman" w:hAnsi="Times New Roman" w:eastAsia="仿宋_GB2312" w:cs="Times New Roman"/>
          <w:sz w:val="32"/>
          <w:szCs w:val="32"/>
          <w:lang w:val="en-US" w:eastAsia="zh-CN"/>
        </w:rPr>
        <w:t>4</w:t>
      </w:r>
      <w:r>
        <w:rPr>
          <w:rFonts w:hint="eastAsia" w:eastAsia="仿宋_GB2312" w:cs="Times New Roman"/>
          <w:sz w:val="32"/>
          <w:szCs w:val="32"/>
          <w:lang w:val="en-US" w:eastAsia="zh-CN"/>
        </w:rPr>
        <w:t>.00</w:t>
      </w:r>
      <w:r>
        <w:rPr>
          <w:rFonts w:hint="default" w:ascii="Times New Roman" w:hAnsi="Times New Roman" w:eastAsia="仿宋_GB2312" w:cs="Times New Roman"/>
          <w:sz w:val="32"/>
          <w:szCs w:val="32"/>
          <w:lang w:val="en-US" w:eastAsia="zh-CN"/>
        </w:rPr>
        <w:t>万元，2021年一般债券4</w:t>
      </w:r>
      <w:r>
        <w:rPr>
          <w:rFonts w:hint="eastAsia" w:eastAsia="仿宋_GB2312" w:cs="Times New Roman"/>
          <w:sz w:val="32"/>
          <w:szCs w:val="32"/>
          <w:lang w:val="en-US" w:eastAsia="zh-CN"/>
        </w:rPr>
        <w:t>.00</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资金到位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全区资金到位</w:t>
      </w:r>
      <w:r>
        <w:rPr>
          <w:rFonts w:hint="default" w:ascii="Times New Roman" w:hAnsi="Times New Roman" w:eastAsia="仿宋_GB2312" w:cs="Times New Roman"/>
          <w:sz w:val="32"/>
          <w:szCs w:val="32"/>
          <w:lang w:val="en-US" w:eastAsia="zh-CN"/>
        </w:rPr>
        <w:t>501</w:t>
      </w:r>
      <w:r>
        <w:rPr>
          <w:rFonts w:hint="eastAsia" w:eastAsia="仿宋_GB2312" w:cs="Times New Roman"/>
          <w:sz w:val="32"/>
          <w:szCs w:val="32"/>
          <w:lang w:val="en-US" w:eastAsia="zh-CN"/>
        </w:rPr>
        <w:t>.00</w:t>
      </w:r>
      <w:r>
        <w:rPr>
          <w:rFonts w:hint="default"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rPr>
        <w:t xml:space="preserve">元。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资金使用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项目资金已于2021年</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月至</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月支出</w:t>
      </w:r>
      <w:r>
        <w:rPr>
          <w:rFonts w:hint="default" w:ascii="Times New Roman" w:hAnsi="Times New Roman" w:eastAsia="仿宋_GB2312" w:cs="Times New Roman"/>
          <w:sz w:val="32"/>
          <w:szCs w:val="32"/>
          <w:lang w:val="en-US" w:eastAsia="zh-CN"/>
        </w:rPr>
        <w:t>51</w:t>
      </w:r>
      <w:r>
        <w:rPr>
          <w:rFonts w:hint="eastAsia" w:eastAsia="仿宋_GB2312" w:cs="Times New Roman"/>
          <w:sz w:val="32"/>
          <w:szCs w:val="32"/>
          <w:lang w:val="en-US" w:eastAsia="zh-CN"/>
        </w:rPr>
        <w:t>.00</w:t>
      </w:r>
      <w:r>
        <w:rPr>
          <w:rFonts w:hint="default"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rPr>
        <w:t>元，项目资金支付范围、支付标准、支付进度、支付依据合规合法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与预算相符。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（三）项目财务管理情况。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我单位财务管理制度较健全，根据我单位内部控制制度， 对财务报销、资金支付、财务资料管理等细项做出了明确规 定。在经济活动的开展过程中，我单位严格执行财务管理制度报销、支付，并在次月初及时对上月资经济业务进行账务处理。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三、项目实施及管理情况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（一）项目组织架构及实施流程。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所有涉及</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eastAsia="zh-CN"/>
        </w:rPr>
        <w:t>均</w:t>
      </w:r>
      <w:r>
        <w:rPr>
          <w:rFonts w:hint="default" w:ascii="Times New Roman" w:hAnsi="Times New Roman" w:eastAsia="仿宋_GB2312" w:cs="Times New Roman"/>
          <w:sz w:val="32"/>
          <w:szCs w:val="32"/>
        </w:rPr>
        <w:t>由我单位防汛抗旱股室工作人员编制申报表报送财政申请财政资金，待财政资金下达后，由财务人员在原大平台系统上申请财政指标，财政审核通过后，进行资金拨付。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（二）项目管理情况。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所有涉及</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eastAsia="zh-CN"/>
        </w:rPr>
        <w:t>均</w:t>
      </w: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水利建设与运行管理股根据股室工作职责，按照项目合同约定，确保项目顺利实施</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lang w:eastAsia="zh-CN"/>
        </w:rPr>
        <w:t>）项目监管情况。</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项目实施过程中，项目主管部门严格进行项目质量、安全、进度、合同等管理，实际完成综合治理庄上小流域水土流失面积</w:t>
      </w:r>
      <w:r>
        <w:rPr>
          <w:rFonts w:hint="default" w:ascii="Times New Roman" w:hAnsi="Times New Roman" w:eastAsia="仿宋_GB2312" w:cs="Times New Roman"/>
          <w:sz w:val="32"/>
          <w:szCs w:val="32"/>
          <w:lang w:val="en-US" w:eastAsia="zh-CN"/>
        </w:rPr>
        <w:t>14.29平方公里；完成2座水库水管正常运行管理；完成龙洞水库引水渠维修养护；完成金家村提灌站维护1座，安装农业灌溉管道2公里及计量设施更换</w:t>
      </w:r>
      <w:r>
        <w:rPr>
          <w:rFonts w:hint="default" w:ascii="Times New Roman" w:hAnsi="Times New Roman" w:eastAsia="仿宋_GB2312" w:cs="Times New Roman"/>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0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 xml:space="preserve">项目绩效情况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5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lang w:eastAsia="zh-CN"/>
        </w:rPr>
        <w:t>）</w:t>
      </w:r>
      <w:r>
        <w:rPr>
          <w:rFonts w:hint="default" w:ascii="Times New Roman" w:hAnsi="Times New Roman" w:eastAsia="楷体" w:cs="Times New Roman"/>
          <w:sz w:val="32"/>
          <w:szCs w:val="32"/>
          <w:lang w:eastAsia="zh-CN"/>
        </w:rPr>
        <w:t>项目完成情况。</w:t>
      </w:r>
      <w:r>
        <w:rPr>
          <w:rFonts w:hint="default" w:ascii="Times New Roman" w:hAnsi="Times New Roman" w:eastAsia="仿宋_GB2312" w:cs="Times New Roman"/>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完成综合治理庄上小流域水土流失面积</w:t>
      </w:r>
      <w:r>
        <w:rPr>
          <w:rFonts w:hint="default" w:ascii="Times New Roman" w:hAnsi="Times New Roman" w:eastAsia="仿宋_GB2312" w:cs="Times New Roman"/>
          <w:sz w:val="32"/>
          <w:szCs w:val="32"/>
          <w:lang w:val="en-US" w:eastAsia="zh-CN"/>
        </w:rPr>
        <w:t>14.29平方公里；完成2座水库水管正常运行管理；完成龙洞水库引水渠维修养护；完成金家村提灌站维护1座，安装农业灌溉管道2公里及计量设施更换</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截至</w:t>
      </w:r>
      <w:r>
        <w:rPr>
          <w:rFonts w:hint="default" w:ascii="Times New Roman" w:hAnsi="Times New Roman" w:eastAsia="仿宋_GB2312" w:cs="Times New Roman"/>
          <w:sz w:val="32"/>
          <w:szCs w:val="32"/>
          <w:lang w:val="en-US" w:eastAsia="zh-CN"/>
        </w:rPr>
        <w:t>2021年12月底，4个项目完成率100%</w:t>
      </w:r>
      <w:r>
        <w:rPr>
          <w:rFonts w:hint="default" w:ascii="Times New Roman" w:hAnsi="Times New Roman" w:eastAsia="仿宋_GB2312" w:cs="Times New Roman"/>
          <w:sz w:val="32"/>
          <w:szCs w:val="32"/>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1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lang w:eastAsia="zh-CN"/>
        </w:rPr>
        <w:t>项目效益情况。</w:t>
      </w:r>
      <w:r>
        <w:rPr>
          <w:rFonts w:hint="default" w:ascii="Times New Roman" w:hAnsi="Times New Roman" w:eastAsia="仿宋_GB2312" w:cs="Times New Roman"/>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综合治理水土流失面积</w:t>
      </w:r>
      <w:r>
        <w:rPr>
          <w:rFonts w:hint="default" w:ascii="Times New Roman" w:hAnsi="Times New Roman" w:eastAsia="仿宋_GB2312" w:cs="Times New Roman"/>
          <w:sz w:val="32"/>
          <w:szCs w:val="32"/>
          <w:lang w:val="en-US" w:eastAsia="zh-CN"/>
        </w:rPr>
        <w:t>14.29平凡公里，有效遏制了项目区水土流失，全区2座水库运行良好，农业水价综合改革效果明显，水资源得到更充分利用，农民节水意识不断增强</w:t>
      </w:r>
      <w:r>
        <w:rPr>
          <w:rFonts w:hint="default" w:ascii="Times New Roman" w:hAnsi="Times New Roman" w:eastAsia="仿宋_GB2312" w:cs="Times New Roman"/>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0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 xml:space="preserve">评价结论及建议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一</w:t>
      </w:r>
      <w:r>
        <w:rPr>
          <w:rFonts w:hint="default" w:ascii="Times New Roman" w:hAnsi="Times New Roman" w:eastAsia="楷体" w:cs="Times New Roman"/>
          <w:sz w:val="32"/>
          <w:szCs w:val="32"/>
          <w:lang w:eastAsia="zh-CN"/>
        </w:rPr>
        <w:t>）评价结论。</w:t>
      </w:r>
      <w:r>
        <w:rPr>
          <w:rFonts w:hint="default" w:ascii="Times New Roman" w:hAnsi="Times New Roman" w:eastAsia="仿宋_GB2312" w:cs="Times New Roman"/>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每个项目都</w:t>
      </w:r>
      <w:r>
        <w:rPr>
          <w:rFonts w:hint="default" w:ascii="Times New Roman" w:hAnsi="Times New Roman" w:eastAsia="仿宋_GB2312" w:cs="Times New Roman"/>
          <w:sz w:val="32"/>
          <w:szCs w:val="32"/>
        </w:rPr>
        <w:t>实现了超过95%的群众满意度，按照时间节点完成</w:t>
      </w:r>
      <w:r>
        <w:rPr>
          <w:rFonts w:hint="default" w:ascii="Times New Roman" w:hAnsi="Times New Roman" w:eastAsia="仿宋_GB2312" w:cs="Times New Roman"/>
          <w:sz w:val="32"/>
          <w:szCs w:val="32"/>
          <w:lang w:val="en-US" w:eastAsia="zh-CN"/>
        </w:rPr>
        <w:t>10.18%的资金拨付</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项目建设质量达到合格标准，并通过相关验收，项目完成率</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640" w:firstLineChars="200"/>
        <w:jc w:val="both"/>
        <w:textAlignment w:val="auto"/>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二</w:t>
      </w:r>
      <w:r>
        <w:rPr>
          <w:rFonts w:hint="default" w:ascii="Times New Roman" w:hAnsi="Times New Roman" w:eastAsia="楷体" w:cs="Times New Roman"/>
          <w:sz w:val="32"/>
          <w:szCs w:val="32"/>
          <w:lang w:eastAsia="zh-CN"/>
        </w:rPr>
        <w:t>）存在的问题。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640" w:firstLineChars="200"/>
        <w:jc w:val="both"/>
        <w:textAlignment w:val="auto"/>
        <w:rPr>
          <w:rFonts w:hint="default" w:ascii="Times New Roman" w:hAnsi="Times New Roman" w:eastAsia="楷体" w:cs="Times New Roman"/>
          <w:sz w:val="32"/>
          <w:szCs w:val="32"/>
          <w:lang w:val="en-US" w:eastAsia="zh-CN"/>
        </w:rPr>
      </w:pPr>
      <w:r>
        <w:rPr>
          <w:rFonts w:hint="default" w:ascii="Times New Roman" w:hAnsi="Times New Roman" w:eastAsia="仿宋_GB2312" w:cs="Times New Roman"/>
          <w:sz w:val="32"/>
          <w:szCs w:val="32"/>
          <w:lang w:val="en-US" w:eastAsia="zh-CN"/>
        </w:rPr>
        <w:t>无</w:t>
      </w:r>
      <w:r>
        <w:rPr>
          <w:rFonts w:hint="default" w:ascii="Times New Roman" w:hAnsi="Times New Roman" w:eastAsia="楷体" w:cs="Times New Roman"/>
          <w:sz w:val="32"/>
          <w:szCs w:val="32"/>
          <w:lang w:val="en-US" w:eastAsia="zh-CN"/>
        </w:rPr>
        <w:t>。</w:t>
      </w:r>
    </w:p>
    <w:tbl>
      <w:tblPr>
        <w:tblStyle w:val="13"/>
        <w:tblpPr w:leftFromText="180" w:rightFromText="180" w:vertAnchor="text" w:horzAnchor="page" w:tblpXSpec="center" w:tblpY="660"/>
        <w:tblOverlap w:val="never"/>
        <w:tblW w:w="9811" w:type="dxa"/>
        <w:jc w:val="center"/>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jc w:val="center"/>
        </w:trPr>
        <w:tc>
          <w:tcPr>
            <w:tcW w:w="9575" w:type="dxa"/>
            <w:gridSpan w:val="6"/>
            <w:tcBorders>
              <w:top w:val="nil"/>
              <w:left w:val="nil"/>
              <w:bottom w:val="single" w:color="auto" w:sz="4" w:space="0"/>
              <w:right w:val="nil"/>
            </w:tcBorders>
            <w:shd w:val="clear" w:color="auto" w:fill="auto"/>
            <w:vAlign w:val="center"/>
          </w:tcPr>
          <w:p>
            <w:pPr>
              <w:widowControl/>
              <w:jc w:val="center"/>
              <w:textAlignment w:val="center"/>
              <w:rPr>
                <w:rFonts w:hint="eastAsia" w:ascii="宋体" w:hAnsi="宋体" w:eastAsia="宋体" w:cs="宋体"/>
                <w:sz w:val="28"/>
                <w:szCs w:val="28"/>
              </w:rPr>
            </w:pPr>
            <w:r>
              <w:rPr>
                <w:rFonts w:hint="eastAsia" w:ascii="宋体" w:hAnsi="宋体" w:eastAsia="宋体" w:cs="宋体"/>
                <w:sz w:val="28"/>
                <w:szCs w:val="28"/>
              </w:rPr>
              <w:t>2021年部门预算项目绩效目标自评</w:t>
            </w:r>
          </w:p>
          <w:p>
            <w:pPr>
              <w:pStyle w:val="5"/>
              <w:jc w:val="center"/>
              <w:rPr>
                <w:rFonts w:hint="eastAsia"/>
              </w:rPr>
            </w:pPr>
            <w:r>
              <w:rPr>
                <w:rFonts w:hint="eastAsia" w:ascii="宋体" w:hAnsi="宋体" w:eastAsia="宋体" w:cs="宋体"/>
                <w:kern w:val="0"/>
                <w:sz w:val="28"/>
                <w:szCs w:val="28"/>
                <w:lang w:val="en-US" w:eastAsia="zh-CN" w:bidi="ar-SA"/>
              </w:rPr>
              <w:t>（2021年水利建设与运行管理支出费用）</w:t>
            </w:r>
          </w:p>
        </w:tc>
        <w:tc>
          <w:tcPr>
            <w:tcW w:w="236" w:type="dxa"/>
            <w:tcBorders>
              <w:top w:val="nil"/>
              <w:left w:val="nil"/>
              <w:bottom w:val="nil"/>
              <w:right w:val="nil"/>
            </w:tcBorders>
            <w:shd w:val="clear" w:color="auto" w:fill="auto"/>
            <w:vAlign w:val="center"/>
          </w:tcPr>
          <w:p>
            <w:pPr>
              <w:widowControl/>
              <w:jc w:val="center"/>
              <w:textAlignment w:val="center"/>
              <w:rPr>
                <w:rFonts w:hint="eastAsia" w:ascii="仿宋_GB2312" w:hAnsi="仿宋_GB2312" w:eastAsia="仿宋_GB2312" w:cs="仿宋_GB2312"/>
                <w:b/>
                <w:color w:val="auto"/>
                <w:kern w:val="0"/>
                <w:sz w:val="21"/>
                <w:szCs w:val="21"/>
              </w:rPr>
            </w:pPr>
          </w:p>
        </w:tc>
      </w:tr>
      <w:tr>
        <w:tblPrEx>
          <w:tblCellMar>
            <w:top w:w="0" w:type="dxa"/>
            <w:left w:w="108" w:type="dxa"/>
            <w:bottom w:w="0" w:type="dxa"/>
            <w:right w:w="108" w:type="dxa"/>
          </w:tblCellMar>
        </w:tblPrEx>
        <w:trPr>
          <w:gridAfter w:val="1"/>
          <w:wAfter w:w="236" w:type="dxa"/>
          <w:trHeight w:val="254" w:hRule="atLeast"/>
          <w:jc w:val="center"/>
        </w:trPr>
        <w:tc>
          <w:tcPr>
            <w:tcW w:w="3118"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both"/>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主管部门及代码</w:t>
            </w:r>
          </w:p>
        </w:tc>
        <w:tc>
          <w:tcPr>
            <w:tcW w:w="2824"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both"/>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攀枝花市西区水利局</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ind w:left="0" w:leftChars="0" w:firstLine="0" w:firstLineChars="0"/>
              <w:jc w:val="both"/>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实施单位</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ind w:left="0" w:leftChars="0" w:firstLine="0" w:firstLineChars="0"/>
              <w:jc w:val="both"/>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攀枝花市西区水利局</w:t>
            </w:r>
          </w:p>
        </w:tc>
      </w:tr>
      <w:tr>
        <w:tblPrEx>
          <w:tblCellMar>
            <w:top w:w="0" w:type="dxa"/>
            <w:left w:w="108" w:type="dxa"/>
            <w:bottom w:w="0" w:type="dxa"/>
            <w:right w:w="108" w:type="dxa"/>
          </w:tblCellMar>
        </w:tblPrEx>
        <w:trPr>
          <w:gridAfter w:val="1"/>
          <w:wAfter w:w="236" w:type="dxa"/>
          <w:trHeight w:val="341" w:hRule="atLeast"/>
          <w:jc w:val="center"/>
        </w:trPr>
        <w:tc>
          <w:tcPr>
            <w:tcW w:w="311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ind w:left="0" w:leftChars="0" w:firstLine="0" w:firstLineChars="0"/>
              <w:jc w:val="both"/>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项目预算</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执行情况</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（万元）</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ind w:left="0" w:leftChars="0" w:firstLine="0" w:firstLineChars="0"/>
              <w:jc w:val="both"/>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预算数：</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both"/>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501</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ind w:left="0" w:leftChars="0" w:firstLine="0" w:firstLineChars="0"/>
              <w:jc w:val="both"/>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执行数：</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both"/>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51</w:t>
            </w:r>
          </w:p>
        </w:tc>
      </w:tr>
      <w:tr>
        <w:tblPrEx>
          <w:tblCellMar>
            <w:top w:w="0" w:type="dxa"/>
            <w:left w:w="108" w:type="dxa"/>
            <w:bottom w:w="0" w:type="dxa"/>
            <w:right w:w="108" w:type="dxa"/>
          </w:tblCellMar>
        </w:tblPrEx>
        <w:trPr>
          <w:gridAfter w:val="1"/>
          <w:wAfter w:w="236" w:type="dxa"/>
          <w:trHeight w:val="555" w:hRule="atLeast"/>
          <w:jc w:val="center"/>
        </w:trPr>
        <w:tc>
          <w:tcPr>
            <w:tcW w:w="311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top"/>
          </w:tcPr>
          <w:p>
            <w:pPr>
              <w:spacing w:line="320" w:lineRule="exact"/>
              <w:jc w:val="both"/>
              <w:rPr>
                <w:rFonts w:hint="eastAsia" w:ascii="宋体" w:hAnsi="宋体" w:eastAsia="宋体" w:cs="宋体"/>
                <w:color w:val="auto"/>
                <w:sz w:val="18"/>
                <w:szCs w:val="18"/>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ind w:left="0" w:leftChars="0" w:firstLine="0" w:firstLineChars="0"/>
              <w:jc w:val="both"/>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其中：</w:t>
            </w:r>
          </w:p>
          <w:p>
            <w:pPr>
              <w:widowControl/>
              <w:spacing w:line="320" w:lineRule="exact"/>
              <w:ind w:left="0" w:leftChars="0" w:firstLine="0" w:firstLineChars="0"/>
              <w:jc w:val="both"/>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财政拨款</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both"/>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501</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ind w:left="0" w:leftChars="0" w:firstLine="0" w:firstLineChars="0"/>
              <w:jc w:val="both"/>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其中：</w:t>
            </w:r>
          </w:p>
          <w:p>
            <w:pPr>
              <w:widowControl/>
              <w:spacing w:line="320" w:lineRule="exact"/>
              <w:ind w:left="0" w:leftChars="0" w:firstLine="0" w:firstLineChars="0"/>
              <w:jc w:val="both"/>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财政拨款</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both"/>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51</w:t>
            </w:r>
          </w:p>
        </w:tc>
      </w:tr>
      <w:tr>
        <w:tblPrEx>
          <w:tblCellMar>
            <w:top w:w="0" w:type="dxa"/>
            <w:left w:w="108" w:type="dxa"/>
            <w:bottom w:w="0" w:type="dxa"/>
            <w:right w:w="108" w:type="dxa"/>
          </w:tblCellMar>
        </w:tblPrEx>
        <w:trPr>
          <w:gridAfter w:val="1"/>
          <w:wAfter w:w="236" w:type="dxa"/>
          <w:trHeight w:val="341" w:hRule="atLeast"/>
          <w:jc w:val="center"/>
        </w:trPr>
        <w:tc>
          <w:tcPr>
            <w:tcW w:w="311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top"/>
          </w:tcPr>
          <w:p>
            <w:pPr>
              <w:spacing w:line="320" w:lineRule="exact"/>
              <w:jc w:val="both"/>
              <w:rPr>
                <w:rFonts w:hint="eastAsia" w:ascii="宋体" w:hAnsi="宋体" w:eastAsia="宋体" w:cs="宋体"/>
                <w:color w:val="auto"/>
                <w:sz w:val="18"/>
                <w:szCs w:val="18"/>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ind w:left="0" w:leftChars="0" w:firstLine="0" w:firstLineChars="0"/>
              <w:jc w:val="both"/>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其他资金</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both"/>
              <w:textAlignment w:val="center"/>
              <w:rPr>
                <w:rFonts w:hint="eastAsia" w:ascii="宋体" w:hAnsi="宋体" w:eastAsia="宋体" w:cs="宋体"/>
                <w:color w:val="auto"/>
                <w:sz w:val="18"/>
                <w:szCs w:val="18"/>
              </w:rPr>
            </w:pPr>
          </w:p>
        </w:tc>
        <w:tc>
          <w:tcPr>
            <w:tcW w:w="1224"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ind w:left="0" w:leftChars="0" w:firstLine="0" w:firstLineChars="0"/>
              <w:jc w:val="both"/>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其他资金</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both"/>
              <w:textAlignment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gridAfter w:val="1"/>
          <w:wAfter w:w="236" w:type="dxa"/>
          <w:trHeight w:val="217" w:hRule="atLeast"/>
          <w:jc w:val="center"/>
        </w:trPr>
        <w:tc>
          <w:tcPr>
            <w:tcW w:w="1976"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ind w:left="0" w:leftChars="0" w:firstLine="0" w:firstLineChars="0"/>
              <w:jc w:val="both"/>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年度总体目标</w:t>
            </w:r>
          </w:p>
          <w:p>
            <w:pPr>
              <w:widowControl/>
              <w:spacing w:line="320" w:lineRule="exact"/>
              <w:ind w:left="0" w:leftChars="0" w:firstLine="0" w:firstLineChars="0"/>
              <w:jc w:val="both"/>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完成情况</w:t>
            </w:r>
          </w:p>
        </w:tc>
        <w:tc>
          <w:tcPr>
            <w:tcW w:w="3966"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both"/>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预期目标</w:t>
            </w:r>
          </w:p>
        </w:tc>
        <w:tc>
          <w:tcPr>
            <w:tcW w:w="3633"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both"/>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目标实际完成情况</w:t>
            </w:r>
          </w:p>
        </w:tc>
      </w:tr>
      <w:tr>
        <w:tblPrEx>
          <w:tblCellMar>
            <w:top w:w="0" w:type="dxa"/>
            <w:left w:w="108" w:type="dxa"/>
            <w:bottom w:w="0" w:type="dxa"/>
            <w:right w:w="108" w:type="dxa"/>
          </w:tblCellMar>
        </w:tblPrEx>
        <w:trPr>
          <w:gridAfter w:val="1"/>
          <w:wAfter w:w="236" w:type="dxa"/>
          <w:trHeight w:val="797" w:hRule="atLeast"/>
          <w:jc w:val="center"/>
        </w:trPr>
        <w:tc>
          <w:tcPr>
            <w:tcW w:w="197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both"/>
              <w:textAlignment w:val="center"/>
              <w:rPr>
                <w:rFonts w:hint="eastAsia" w:ascii="宋体" w:hAnsi="宋体" w:eastAsia="宋体" w:cs="宋体"/>
                <w:color w:val="auto"/>
                <w:kern w:val="0"/>
                <w:sz w:val="18"/>
                <w:szCs w:val="18"/>
              </w:rPr>
            </w:pPr>
          </w:p>
        </w:tc>
        <w:tc>
          <w:tcPr>
            <w:tcW w:w="3966"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both"/>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完成综合治理庄上小流域水土流失面积</w:t>
            </w:r>
            <w:r>
              <w:rPr>
                <w:rFonts w:hint="eastAsia" w:ascii="宋体" w:hAnsi="宋体" w:eastAsia="宋体" w:cs="宋体"/>
                <w:color w:val="auto"/>
                <w:kern w:val="0"/>
                <w:sz w:val="18"/>
                <w:szCs w:val="18"/>
                <w:lang w:val="en-US" w:eastAsia="zh-CN"/>
              </w:rPr>
              <w:t>14.29平方公里；完成2座水库水管正常运行管理；完成龙洞水库引水渠维修养护；完成金家村提灌站维护1座，安装农业灌溉管道2公里及计量设施更换</w:t>
            </w:r>
            <w:r>
              <w:rPr>
                <w:rFonts w:hint="eastAsia" w:ascii="宋体" w:hAnsi="宋体" w:eastAsia="宋体" w:cs="宋体"/>
                <w:color w:val="auto"/>
                <w:kern w:val="0"/>
                <w:sz w:val="18"/>
                <w:szCs w:val="18"/>
              </w:rPr>
              <w:t>。</w:t>
            </w:r>
          </w:p>
        </w:tc>
        <w:tc>
          <w:tcPr>
            <w:tcW w:w="3633"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both"/>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完成综合治理庄上小流域水土流失面积</w:t>
            </w:r>
            <w:r>
              <w:rPr>
                <w:rFonts w:hint="eastAsia" w:ascii="宋体" w:hAnsi="宋体" w:eastAsia="宋体" w:cs="宋体"/>
                <w:color w:val="auto"/>
                <w:kern w:val="0"/>
                <w:sz w:val="18"/>
                <w:szCs w:val="18"/>
                <w:lang w:val="en-US" w:eastAsia="zh-CN"/>
              </w:rPr>
              <w:t>14.29平方公里；完成2座水库水管正常运行管理；完成龙洞水库引水渠维修养护；完成金家村提灌站维护1座，安装农业灌溉管道2公里及计量设施更换</w:t>
            </w: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gridAfter w:val="1"/>
          <w:wAfter w:w="236" w:type="dxa"/>
          <w:trHeight w:val="693" w:hRule="atLeast"/>
          <w:jc w:val="center"/>
        </w:trPr>
        <w:tc>
          <w:tcPr>
            <w:tcW w:w="1976"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both"/>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年度绩效指标完成情况</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both"/>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一级</w:t>
            </w:r>
          </w:p>
          <w:p>
            <w:pPr>
              <w:widowControl/>
              <w:spacing w:line="320" w:lineRule="exact"/>
              <w:jc w:val="both"/>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both"/>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二级</w:t>
            </w:r>
          </w:p>
          <w:p>
            <w:pPr>
              <w:widowControl/>
              <w:spacing w:line="320" w:lineRule="exact"/>
              <w:jc w:val="both"/>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both"/>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三级</w:t>
            </w:r>
          </w:p>
          <w:p>
            <w:pPr>
              <w:widowControl/>
              <w:spacing w:line="320" w:lineRule="exact"/>
              <w:jc w:val="both"/>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ind w:left="0" w:leftChars="0" w:firstLine="0" w:firstLineChars="0"/>
              <w:jc w:val="both"/>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预期指标值</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both"/>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实际完成指标值</w:t>
            </w:r>
          </w:p>
        </w:tc>
      </w:tr>
      <w:tr>
        <w:tblPrEx>
          <w:tblCellMar>
            <w:top w:w="0" w:type="dxa"/>
            <w:left w:w="108" w:type="dxa"/>
            <w:bottom w:w="0" w:type="dxa"/>
            <w:right w:w="108" w:type="dxa"/>
          </w:tblCellMar>
        </w:tblPrEx>
        <w:trPr>
          <w:gridAfter w:val="1"/>
          <w:wAfter w:w="236" w:type="dxa"/>
          <w:trHeight w:val="415" w:hRule="atLeast"/>
          <w:jc w:val="center"/>
        </w:trPr>
        <w:tc>
          <w:tcPr>
            <w:tcW w:w="197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both"/>
              <w:textAlignment w:val="center"/>
              <w:rPr>
                <w:rFonts w:hint="eastAsia" w:ascii="宋体" w:hAnsi="宋体" w:eastAsia="宋体" w:cs="宋体"/>
                <w:color w:val="auto"/>
                <w:kern w:val="0"/>
                <w:sz w:val="18"/>
                <w:szCs w:val="18"/>
              </w:rPr>
            </w:pPr>
          </w:p>
        </w:tc>
        <w:tc>
          <w:tcPr>
            <w:tcW w:w="1142"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both"/>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完成</w:t>
            </w:r>
          </w:p>
          <w:p>
            <w:pPr>
              <w:widowControl/>
              <w:spacing w:line="320" w:lineRule="exact"/>
              <w:jc w:val="both"/>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16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ind w:left="0" w:leftChars="0" w:firstLine="0" w:firstLineChars="0"/>
              <w:jc w:val="both"/>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小型水库安全运行</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both"/>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1座</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ind w:firstLine="360" w:firstLineChars="200"/>
              <w:jc w:val="both"/>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1座</w:t>
            </w:r>
          </w:p>
        </w:tc>
      </w:tr>
      <w:tr>
        <w:tblPrEx>
          <w:tblCellMar>
            <w:top w:w="0" w:type="dxa"/>
            <w:left w:w="108" w:type="dxa"/>
            <w:bottom w:w="0" w:type="dxa"/>
            <w:right w:w="108" w:type="dxa"/>
          </w:tblCellMar>
        </w:tblPrEx>
        <w:trPr>
          <w:gridAfter w:val="1"/>
          <w:wAfter w:w="236" w:type="dxa"/>
          <w:trHeight w:val="415" w:hRule="atLeast"/>
          <w:jc w:val="center"/>
        </w:trPr>
        <w:tc>
          <w:tcPr>
            <w:tcW w:w="197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both"/>
              <w:textAlignment w:val="center"/>
              <w:rPr>
                <w:rFonts w:hint="eastAsia" w:ascii="宋体" w:hAnsi="宋体" w:eastAsia="宋体" w:cs="宋体"/>
                <w:color w:val="auto"/>
                <w:kern w:val="0"/>
                <w:sz w:val="18"/>
                <w:szCs w:val="18"/>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both"/>
              <w:textAlignment w:val="center"/>
              <w:rPr>
                <w:rFonts w:hint="eastAsia" w:ascii="宋体" w:hAnsi="宋体" w:eastAsia="宋体" w:cs="宋体"/>
                <w:color w:val="auto"/>
                <w:kern w:val="0"/>
                <w:sz w:val="18"/>
                <w:szCs w:val="18"/>
              </w:rPr>
            </w:pPr>
          </w:p>
        </w:tc>
        <w:tc>
          <w:tcPr>
            <w:tcW w:w="163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both"/>
              <w:textAlignment w:val="center"/>
              <w:rPr>
                <w:rFonts w:hint="eastAsia" w:ascii="宋体" w:hAnsi="宋体" w:eastAsia="宋体" w:cs="宋体"/>
                <w:color w:val="auto"/>
                <w:kern w:val="0"/>
                <w:sz w:val="18"/>
                <w:szCs w:val="18"/>
              </w:rPr>
            </w:pPr>
          </w:p>
        </w:tc>
        <w:tc>
          <w:tcPr>
            <w:tcW w:w="1189"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ind w:left="0" w:leftChars="0" w:firstLine="0" w:firstLineChars="0"/>
              <w:jc w:val="both"/>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水库运行管护</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both"/>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2座</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ind w:firstLine="360" w:firstLineChars="200"/>
              <w:jc w:val="both"/>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2座</w:t>
            </w:r>
          </w:p>
        </w:tc>
      </w:tr>
      <w:tr>
        <w:tblPrEx>
          <w:tblCellMar>
            <w:top w:w="0" w:type="dxa"/>
            <w:left w:w="108" w:type="dxa"/>
            <w:bottom w:w="0" w:type="dxa"/>
            <w:right w:w="108" w:type="dxa"/>
          </w:tblCellMar>
        </w:tblPrEx>
        <w:trPr>
          <w:gridAfter w:val="1"/>
          <w:wAfter w:w="236" w:type="dxa"/>
          <w:trHeight w:val="415" w:hRule="atLeast"/>
          <w:jc w:val="center"/>
        </w:trPr>
        <w:tc>
          <w:tcPr>
            <w:tcW w:w="197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both"/>
              <w:textAlignment w:val="center"/>
              <w:rPr>
                <w:rFonts w:hint="eastAsia" w:ascii="宋体" w:hAnsi="宋体" w:eastAsia="宋体" w:cs="宋体"/>
                <w:color w:val="auto"/>
                <w:kern w:val="0"/>
                <w:sz w:val="18"/>
                <w:szCs w:val="18"/>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both"/>
              <w:textAlignment w:val="center"/>
              <w:rPr>
                <w:rFonts w:hint="eastAsia" w:ascii="宋体" w:hAnsi="宋体" w:eastAsia="宋体" w:cs="宋体"/>
                <w:color w:val="auto"/>
                <w:kern w:val="0"/>
                <w:sz w:val="18"/>
                <w:szCs w:val="18"/>
              </w:rPr>
            </w:pPr>
          </w:p>
        </w:tc>
        <w:tc>
          <w:tcPr>
            <w:tcW w:w="163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both"/>
              <w:textAlignment w:val="center"/>
              <w:rPr>
                <w:rFonts w:hint="eastAsia" w:ascii="宋体" w:hAnsi="宋体" w:eastAsia="宋体" w:cs="宋体"/>
                <w:color w:val="auto"/>
                <w:kern w:val="0"/>
                <w:sz w:val="18"/>
                <w:szCs w:val="18"/>
              </w:rPr>
            </w:pPr>
          </w:p>
        </w:tc>
        <w:tc>
          <w:tcPr>
            <w:tcW w:w="1189"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ind w:left="0" w:leftChars="0" w:firstLine="0" w:firstLineChars="0"/>
              <w:jc w:val="both"/>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农业水价综合改革</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ind w:left="0" w:leftChars="0" w:firstLine="180" w:firstLineChars="100"/>
              <w:jc w:val="both"/>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0.3万亩</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ind w:left="0" w:leftChars="0" w:firstLine="180" w:firstLineChars="100"/>
              <w:jc w:val="both"/>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0.3万亩</w:t>
            </w:r>
          </w:p>
        </w:tc>
      </w:tr>
      <w:tr>
        <w:tblPrEx>
          <w:tblCellMar>
            <w:top w:w="0" w:type="dxa"/>
            <w:left w:w="108" w:type="dxa"/>
            <w:bottom w:w="0" w:type="dxa"/>
            <w:right w:w="108" w:type="dxa"/>
          </w:tblCellMar>
        </w:tblPrEx>
        <w:trPr>
          <w:gridAfter w:val="1"/>
          <w:wAfter w:w="236" w:type="dxa"/>
          <w:trHeight w:val="415" w:hRule="atLeast"/>
          <w:jc w:val="center"/>
        </w:trPr>
        <w:tc>
          <w:tcPr>
            <w:tcW w:w="197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both"/>
              <w:textAlignment w:val="center"/>
              <w:rPr>
                <w:rFonts w:hint="eastAsia" w:ascii="宋体" w:hAnsi="宋体" w:eastAsia="宋体" w:cs="宋体"/>
                <w:color w:val="auto"/>
                <w:kern w:val="0"/>
                <w:sz w:val="18"/>
                <w:szCs w:val="18"/>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both"/>
              <w:textAlignment w:val="center"/>
              <w:rPr>
                <w:rFonts w:hint="eastAsia" w:ascii="宋体" w:hAnsi="宋体" w:eastAsia="宋体" w:cs="宋体"/>
                <w:color w:val="auto"/>
                <w:kern w:val="0"/>
                <w:sz w:val="18"/>
                <w:szCs w:val="18"/>
              </w:rPr>
            </w:pPr>
          </w:p>
        </w:tc>
        <w:tc>
          <w:tcPr>
            <w:tcW w:w="163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both"/>
              <w:textAlignment w:val="center"/>
              <w:rPr>
                <w:rFonts w:hint="eastAsia" w:ascii="宋体" w:hAnsi="宋体" w:eastAsia="宋体" w:cs="宋体"/>
                <w:color w:val="auto"/>
                <w:kern w:val="0"/>
                <w:sz w:val="18"/>
                <w:szCs w:val="18"/>
              </w:rPr>
            </w:pPr>
          </w:p>
        </w:tc>
        <w:tc>
          <w:tcPr>
            <w:tcW w:w="1189"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ind w:left="0" w:leftChars="0" w:firstLine="0" w:firstLineChars="0"/>
              <w:jc w:val="both"/>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水土流失治理面积</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ind w:left="0" w:leftChars="0" w:firstLine="0" w:firstLineChars="0"/>
              <w:jc w:val="both"/>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14.29平方公里</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both"/>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14.29平方公里</w:t>
            </w:r>
          </w:p>
        </w:tc>
      </w:tr>
      <w:tr>
        <w:tblPrEx>
          <w:tblCellMar>
            <w:top w:w="0" w:type="dxa"/>
            <w:left w:w="108" w:type="dxa"/>
            <w:bottom w:w="0" w:type="dxa"/>
            <w:right w:w="108" w:type="dxa"/>
          </w:tblCellMar>
        </w:tblPrEx>
        <w:trPr>
          <w:gridAfter w:val="1"/>
          <w:wAfter w:w="236" w:type="dxa"/>
          <w:trHeight w:val="415" w:hRule="atLeast"/>
          <w:jc w:val="center"/>
        </w:trPr>
        <w:tc>
          <w:tcPr>
            <w:tcW w:w="197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both"/>
              <w:textAlignment w:val="center"/>
              <w:rPr>
                <w:rFonts w:hint="eastAsia" w:ascii="宋体" w:hAnsi="宋体" w:eastAsia="宋体" w:cs="宋体"/>
                <w:color w:val="auto"/>
                <w:kern w:val="0"/>
                <w:sz w:val="18"/>
                <w:szCs w:val="18"/>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both"/>
              <w:textAlignment w:val="center"/>
              <w:rPr>
                <w:rFonts w:hint="eastAsia" w:ascii="宋体" w:hAnsi="宋体" w:eastAsia="宋体" w:cs="宋体"/>
                <w:color w:val="auto"/>
                <w:kern w:val="0"/>
                <w:sz w:val="18"/>
                <w:szCs w:val="18"/>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both"/>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both"/>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合格</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both"/>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合格</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both"/>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合格</w:t>
            </w:r>
          </w:p>
        </w:tc>
      </w:tr>
      <w:tr>
        <w:tblPrEx>
          <w:tblCellMar>
            <w:top w:w="0" w:type="dxa"/>
            <w:left w:w="108" w:type="dxa"/>
            <w:bottom w:w="0" w:type="dxa"/>
            <w:right w:w="108" w:type="dxa"/>
          </w:tblCellMar>
        </w:tblPrEx>
        <w:trPr>
          <w:gridAfter w:val="1"/>
          <w:wAfter w:w="236" w:type="dxa"/>
          <w:trHeight w:val="415" w:hRule="atLeast"/>
          <w:jc w:val="center"/>
        </w:trPr>
        <w:tc>
          <w:tcPr>
            <w:tcW w:w="197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both"/>
              <w:textAlignment w:val="center"/>
              <w:rPr>
                <w:rFonts w:hint="eastAsia" w:ascii="宋体" w:hAnsi="宋体" w:eastAsia="宋体" w:cs="宋体"/>
                <w:color w:val="auto"/>
                <w:kern w:val="0"/>
                <w:sz w:val="18"/>
                <w:szCs w:val="18"/>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both"/>
              <w:textAlignment w:val="center"/>
              <w:rPr>
                <w:rFonts w:hint="eastAsia" w:ascii="宋体" w:hAnsi="宋体" w:eastAsia="宋体" w:cs="宋体"/>
                <w:color w:val="auto"/>
                <w:kern w:val="0"/>
                <w:sz w:val="18"/>
                <w:szCs w:val="18"/>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both"/>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ind w:left="0" w:leftChars="0" w:firstLine="0" w:firstLineChars="0"/>
              <w:jc w:val="both"/>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2021年12月</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ind w:left="0" w:leftChars="0" w:firstLine="0" w:firstLineChars="0"/>
              <w:jc w:val="both"/>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2021年12月</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both"/>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已完成</w:t>
            </w:r>
          </w:p>
        </w:tc>
      </w:tr>
      <w:tr>
        <w:tblPrEx>
          <w:tblCellMar>
            <w:top w:w="0" w:type="dxa"/>
            <w:left w:w="108" w:type="dxa"/>
            <w:bottom w:w="0" w:type="dxa"/>
            <w:right w:w="108" w:type="dxa"/>
          </w:tblCellMar>
        </w:tblPrEx>
        <w:trPr>
          <w:gridAfter w:val="1"/>
          <w:wAfter w:w="236" w:type="dxa"/>
          <w:trHeight w:val="480" w:hRule="atLeast"/>
          <w:jc w:val="center"/>
        </w:trPr>
        <w:tc>
          <w:tcPr>
            <w:tcW w:w="197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both"/>
              <w:textAlignment w:val="center"/>
              <w:rPr>
                <w:rFonts w:hint="eastAsia" w:ascii="宋体" w:hAnsi="宋体" w:eastAsia="宋体" w:cs="宋体"/>
                <w:color w:val="auto"/>
                <w:kern w:val="0"/>
                <w:sz w:val="18"/>
                <w:szCs w:val="18"/>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both"/>
              <w:textAlignment w:val="center"/>
              <w:rPr>
                <w:rFonts w:hint="eastAsia" w:ascii="宋体" w:hAnsi="宋体" w:eastAsia="宋体" w:cs="宋体"/>
                <w:color w:val="auto"/>
                <w:kern w:val="0"/>
                <w:sz w:val="18"/>
                <w:szCs w:val="18"/>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both"/>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ind w:left="0" w:leftChars="0" w:firstLine="0" w:firstLineChars="0"/>
              <w:jc w:val="both"/>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501万元</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ind w:left="0" w:leftChars="0" w:firstLine="0" w:firstLineChars="0"/>
              <w:jc w:val="both"/>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501万元</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both"/>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51万元</w:t>
            </w:r>
          </w:p>
        </w:tc>
      </w:tr>
      <w:tr>
        <w:tblPrEx>
          <w:tblCellMar>
            <w:top w:w="0" w:type="dxa"/>
            <w:left w:w="108" w:type="dxa"/>
            <w:bottom w:w="0" w:type="dxa"/>
            <w:right w:w="108" w:type="dxa"/>
          </w:tblCellMar>
        </w:tblPrEx>
        <w:trPr>
          <w:gridAfter w:val="1"/>
          <w:wAfter w:w="236" w:type="dxa"/>
          <w:trHeight w:val="480" w:hRule="atLeast"/>
          <w:jc w:val="center"/>
        </w:trPr>
        <w:tc>
          <w:tcPr>
            <w:tcW w:w="197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both"/>
              <w:textAlignment w:val="center"/>
              <w:rPr>
                <w:rFonts w:hint="eastAsia" w:ascii="宋体" w:hAnsi="宋体" w:eastAsia="宋体" w:cs="宋体"/>
                <w:color w:val="auto"/>
                <w:kern w:val="0"/>
                <w:sz w:val="18"/>
                <w:szCs w:val="18"/>
              </w:rPr>
            </w:pPr>
          </w:p>
        </w:tc>
        <w:tc>
          <w:tcPr>
            <w:tcW w:w="1142"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both"/>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效益</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指标</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ind w:left="0" w:leftChars="0" w:firstLine="0" w:firstLineChars="0"/>
              <w:jc w:val="both"/>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经济效益指标</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ind w:left="0" w:leftChars="0" w:firstLine="0" w:firstLineChars="0"/>
              <w:jc w:val="both"/>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改善灌溉面积</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ind w:left="0" w:leftChars="0" w:firstLine="0" w:firstLineChars="0"/>
              <w:jc w:val="both"/>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0.3万亩</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both"/>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0.3万亩</w:t>
            </w:r>
          </w:p>
        </w:tc>
      </w:tr>
      <w:tr>
        <w:tblPrEx>
          <w:tblCellMar>
            <w:top w:w="0" w:type="dxa"/>
            <w:left w:w="108" w:type="dxa"/>
            <w:bottom w:w="0" w:type="dxa"/>
            <w:right w:w="108" w:type="dxa"/>
          </w:tblCellMar>
        </w:tblPrEx>
        <w:trPr>
          <w:gridAfter w:val="1"/>
          <w:wAfter w:w="236" w:type="dxa"/>
          <w:trHeight w:val="480" w:hRule="atLeast"/>
          <w:jc w:val="center"/>
        </w:trPr>
        <w:tc>
          <w:tcPr>
            <w:tcW w:w="19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both"/>
              <w:textAlignment w:val="center"/>
              <w:rPr>
                <w:rFonts w:hint="eastAsia" w:ascii="宋体" w:hAnsi="宋体" w:eastAsia="宋体" w:cs="宋体"/>
                <w:color w:val="auto"/>
                <w:kern w:val="0"/>
                <w:sz w:val="18"/>
                <w:szCs w:val="18"/>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20" w:lineRule="exact"/>
              <w:jc w:val="both"/>
              <w:textAlignment w:val="center"/>
              <w:rPr>
                <w:rFonts w:hint="eastAsia" w:ascii="宋体" w:hAnsi="宋体" w:eastAsia="宋体" w:cs="宋体"/>
                <w:color w:val="auto"/>
                <w:kern w:val="0"/>
                <w:sz w:val="18"/>
                <w:szCs w:val="18"/>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20" w:lineRule="exact"/>
              <w:ind w:left="0" w:leftChars="0" w:firstLine="0" w:firstLineChars="0"/>
              <w:jc w:val="both"/>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社会效益指标</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20" w:lineRule="exact"/>
              <w:ind w:left="0" w:leftChars="0" w:firstLine="0" w:firstLineChars="0"/>
              <w:jc w:val="both"/>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水库覆盖人口</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20" w:lineRule="exact"/>
              <w:ind w:left="0" w:leftChars="0" w:firstLine="0" w:firstLineChars="0"/>
              <w:jc w:val="both"/>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0.2万人</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20" w:lineRule="exact"/>
              <w:jc w:val="both"/>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0.2万人</w:t>
            </w:r>
          </w:p>
        </w:tc>
      </w:tr>
      <w:tr>
        <w:tblPrEx>
          <w:tblCellMar>
            <w:top w:w="0" w:type="dxa"/>
            <w:left w:w="108" w:type="dxa"/>
            <w:bottom w:w="0" w:type="dxa"/>
            <w:right w:w="108" w:type="dxa"/>
          </w:tblCellMar>
        </w:tblPrEx>
        <w:trPr>
          <w:gridAfter w:val="1"/>
          <w:wAfter w:w="236" w:type="dxa"/>
          <w:trHeight w:val="577" w:hRule="atLeast"/>
          <w:jc w:val="center"/>
        </w:trPr>
        <w:tc>
          <w:tcPr>
            <w:tcW w:w="19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both"/>
              <w:textAlignment w:val="center"/>
              <w:rPr>
                <w:rFonts w:hint="eastAsia" w:ascii="宋体" w:hAnsi="宋体" w:eastAsia="宋体" w:cs="宋体"/>
                <w:color w:val="auto"/>
                <w:kern w:val="0"/>
                <w:sz w:val="18"/>
                <w:szCs w:val="18"/>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20" w:lineRule="exact"/>
              <w:jc w:val="both"/>
              <w:textAlignment w:val="center"/>
              <w:rPr>
                <w:rFonts w:hint="eastAsia" w:ascii="宋体" w:hAnsi="宋体" w:eastAsia="宋体" w:cs="宋体"/>
                <w:color w:val="auto"/>
                <w:kern w:val="0"/>
                <w:sz w:val="18"/>
                <w:szCs w:val="18"/>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20" w:lineRule="exact"/>
              <w:ind w:left="0" w:leftChars="0" w:firstLine="0" w:firstLineChars="0"/>
              <w:jc w:val="both"/>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生态效益指标</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20" w:lineRule="exact"/>
              <w:ind w:left="0" w:leftChars="0" w:firstLine="0" w:firstLineChars="0"/>
              <w:jc w:val="both"/>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治理水土流失面积</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20" w:lineRule="exact"/>
              <w:ind w:left="0" w:leftChars="0" w:firstLine="0" w:firstLineChars="0"/>
              <w:jc w:val="both"/>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14.29平方公里</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20" w:lineRule="exact"/>
              <w:jc w:val="both"/>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14.29平方公里</w:t>
            </w:r>
          </w:p>
        </w:tc>
      </w:tr>
      <w:tr>
        <w:tblPrEx>
          <w:tblCellMar>
            <w:top w:w="0" w:type="dxa"/>
            <w:left w:w="108" w:type="dxa"/>
            <w:bottom w:w="0" w:type="dxa"/>
            <w:right w:w="108" w:type="dxa"/>
          </w:tblCellMar>
        </w:tblPrEx>
        <w:trPr>
          <w:gridAfter w:val="1"/>
          <w:wAfter w:w="236" w:type="dxa"/>
          <w:trHeight w:val="480" w:hRule="atLeast"/>
          <w:jc w:val="center"/>
        </w:trPr>
        <w:tc>
          <w:tcPr>
            <w:tcW w:w="19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both"/>
              <w:textAlignment w:val="center"/>
              <w:rPr>
                <w:rFonts w:hint="eastAsia" w:ascii="宋体" w:hAnsi="宋体" w:eastAsia="宋体" w:cs="宋体"/>
                <w:color w:val="auto"/>
                <w:kern w:val="0"/>
                <w:sz w:val="18"/>
                <w:szCs w:val="18"/>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20" w:lineRule="exact"/>
              <w:jc w:val="both"/>
              <w:textAlignment w:val="center"/>
              <w:rPr>
                <w:rFonts w:hint="eastAsia" w:ascii="宋体" w:hAnsi="宋体" w:eastAsia="宋体" w:cs="宋体"/>
                <w:color w:val="auto"/>
                <w:kern w:val="0"/>
                <w:sz w:val="18"/>
                <w:szCs w:val="18"/>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20" w:lineRule="exact"/>
              <w:ind w:left="0" w:leftChars="0" w:firstLine="0" w:firstLineChars="0"/>
              <w:jc w:val="both"/>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可持续影响指标</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20" w:lineRule="exact"/>
              <w:ind w:left="0" w:leftChars="0" w:firstLine="0" w:firstLineChars="0"/>
              <w:jc w:val="both"/>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工程是否良性运行，符合设计使用年限</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20" w:lineRule="exact"/>
              <w:jc w:val="both"/>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是</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20" w:lineRule="exact"/>
              <w:jc w:val="both"/>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是</w:t>
            </w:r>
          </w:p>
        </w:tc>
      </w:tr>
      <w:tr>
        <w:tblPrEx>
          <w:tblCellMar>
            <w:top w:w="0" w:type="dxa"/>
            <w:left w:w="108" w:type="dxa"/>
            <w:bottom w:w="0" w:type="dxa"/>
            <w:right w:w="108" w:type="dxa"/>
          </w:tblCellMar>
        </w:tblPrEx>
        <w:trPr>
          <w:gridAfter w:val="1"/>
          <w:wAfter w:w="236" w:type="dxa"/>
          <w:trHeight w:val="530" w:hRule="atLeast"/>
          <w:jc w:val="center"/>
        </w:trPr>
        <w:tc>
          <w:tcPr>
            <w:tcW w:w="19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both"/>
              <w:textAlignment w:val="center"/>
              <w:rPr>
                <w:rFonts w:hint="eastAsia" w:ascii="宋体" w:hAnsi="宋体" w:eastAsia="宋体" w:cs="宋体"/>
                <w:color w:val="auto"/>
                <w:kern w:val="0"/>
                <w:sz w:val="18"/>
                <w:szCs w:val="18"/>
              </w:rPr>
            </w:pPr>
          </w:p>
        </w:tc>
        <w:tc>
          <w:tcPr>
            <w:tcW w:w="1142"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20" w:lineRule="exact"/>
              <w:jc w:val="both"/>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满意</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度指标</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20" w:lineRule="exact"/>
              <w:jc w:val="both"/>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满意度</w:t>
            </w:r>
          </w:p>
          <w:p>
            <w:pPr>
              <w:widowControl/>
              <w:spacing w:line="320" w:lineRule="exact"/>
              <w:jc w:val="both"/>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20" w:lineRule="exact"/>
              <w:ind w:left="0" w:leftChars="0" w:firstLine="0" w:firstLineChars="0"/>
              <w:jc w:val="both"/>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群众满意度</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20" w:lineRule="exact"/>
              <w:jc w:val="both"/>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97%</w:t>
            </w:r>
          </w:p>
          <w:p>
            <w:pPr>
              <w:widowControl/>
              <w:spacing w:line="320" w:lineRule="exact"/>
              <w:jc w:val="both"/>
              <w:textAlignment w:val="center"/>
              <w:rPr>
                <w:rFonts w:hint="eastAsia" w:ascii="宋体" w:hAnsi="宋体" w:eastAsia="宋体" w:cs="宋体"/>
                <w:color w:val="auto"/>
                <w:kern w:val="0"/>
                <w:sz w:val="18"/>
                <w:szCs w:val="18"/>
              </w:rPr>
            </w:pPr>
          </w:p>
        </w:tc>
        <w:tc>
          <w:tcPr>
            <w:tcW w:w="240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20" w:lineRule="exact"/>
              <w:jc w:val="both"/>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 xml:space="preserve"> 97%</w:t>
            </w:r>
          </w:p>
          <w:p>
            <w:pPr>
              <w:widowControl/>
              <w:spacing w:line="320" w:lineRule="exact"/>
              <w:jc w:val="both"/>
              <w:textAlignment w:val="center"/>
              <w:rPr>
                <w:rFonts w:hint="eastAsia" w:ascii="宋体" w:hAnsi="宋体" w:eastAsia="宋体" w:cs="宋体"/>
                <w:color w:val="auto"/>
                <w:kern w:val="0"/>
                <w:sz w:val="18"/>
                <w:szCs w:val="18"/>
              </w:rPr>
            </w:pPr>
          </w:p>
        </w:tc>
      </w:tr>
    </w:tbl>
    <w:p>
      <w:pPr>
        <w:widowControl/>
        <w:spacing w:line="320" w:lineRule="exact"/>
        <w:jc w:val="both"/>
        <w:textAlignment w:val="center"/>
        <w:rPr>
          <w:rFonts w:hint="default" w:ascii="仿宋_GB2312" w:hAnsi="仿宋_GB2312" w:eastAsia="仿宋_GB2312" w:cs="仿宋_GB2312"/>
          <w:color w:val="auto"/>
          <w:kern w:val="0"/>
          <w:sz w:val="21"/>
          <w:szCs w:val="21"/>
          <w:lang w:val="en-US" w:eastAsia="zh-CN"/>
        </w:rPr>
      </w:pPr>
    </w:p>
    <w:p>
      <w:pPr>
        <w:ind w:firstLine="400"/>
        <w:jc w:val="center"/>
        <w:rPr>
          <w:rFonts w:hint="eastAsia" w:ascii="方正小标宋_GBK" w:hAnsi="方正小标宋_GBK" w:eastAsia="方正小标宋_GBK" w:cs="方正小标宋_GBK"/>
          <w:sz w:val="36"/>
          <w:szCs w:val="36"/>
        </w:rPr>
      </w:pPr>
    </w:p>
    <w:p>
      <w:pPr>
        <w:ind w:firstLine="400"/>
        <w:jc w:val="center"/>
        <w:rPr>
          <w:rFonts w:hint="eastAsia" w:ascii="方正小标宋_GBK" w:hAnsi="方正小标宋_GBK" w:eastAsia="方正小标宋_GBK" w:cs="方正小标宋_GBK"/>
          <w:sz w:val="36"/>
          <w:szCs w:val="36"/>
        </w:rPr>
      </w:pPr>
    </w:p>
    <w:p>
      <w:pPr>
        <w:ind w:firstLine="400"/>
        <w:jc w:val="center"/>
        <w:rPr>
          <w:rFonts w:hint="eastAsia" w:ascii="方正小标宋_GBK" w:hAnsi="方正小标宋_GBK" w:eastAsia="方正小标宋_GBK" w:cs="方正小标宋_GBK"/>
          <w:sz w:val="36"/>
          <w:szCs w:val="36"/>
        </w:rPr>
      </w:pPr>
    </w:p>
    <w:p>
      <w:pPr>
        <w:ind w:firstLine="400"/>
        <w:jc w:val="center"/>
        <w:rPr>
          <w:rFonts w:hint="eastAsia" w:ascii="方正小标宋_GBK" w:hAnsi="方正小标宋_GBK" w:eastAsia="方正小标宋_GBK" w:cs="方正小标宋_GBK"/>
          <w:sz w:val="36"/>
          <w:szCs w:val="36"/>
        </w:rPr>
      </w:pPr>
    </w:p>
    <w:p>
      <w:pPr>
        <w:ind w:firstLine="400"/>
        <w:jc w:val="center"/>
        <w:rPr>
          <w:rFonts w:hint="eastAsia" w:ascii="方正小标宋_GBK" w:hAnsi="方正小标宋_GBK" w:eastAsia="方正小标宋_GBK" w:cs="方正小标宋_GBK"/>
          <w:sz w:val="36"/>
          <w:szCs w:val="36"/>
        </w:rPr>
      </w:pPr>
    </w:p>
    <w:p>
      <w:pPr>
        <w:ind w:firstLine="400"/>
        <w:jc w:val="center"/>
        <w:rPr>
          <w:rFonts w:hint="eastAsia" w:ascii="方正小标宋_GBK" w:hAnsi="方正小标宋_GBK" w:eastAsia="方正小标宋_GBK" w:cs="方正小标宋_GBK"/>
          <w:sz w:val="36"/>
          <w:szCs w:val="36"/>
        </w:rPr>
      </w:pPr>
    </w:p>
    <w:p>
      <w:pPr>
        <w:ind w:firstLine="400"/>
        <w:jc w:val="center"/>
        <w:rPr>
          <w:rFonts w:hint="eastAsia" w:ascii="方正小标宋_GBK" w:hAnsi="方正小标宋_GBK" w:eastAsia="方正小标宋_GBK" w:cs="方正小标宋_GBK"/>
          <w:sz w:val="36"/>
          <w:szCs w:val="36"/>
        </w:rPr>
      </w:pPr>
    </w:p>
    <w:p>
      <w:pPr>
        <w:ind w:firstLine="400"/>
        <w:jc w:val="center"/>
        <w:rPr>
          <w:rFonts w:hint="eastAsia" w:ascii="方正小标宋_GBK" w:hAnsi="方正小标宋_GBK" w:eastAsia="方正小标宋_GBK" w:cs="方正小标宋_GBK"/>
          <w:sz w:val="36"/>
          <w:szCs w:val="36"/>
        </w:rPr>
      </w:pPr>
    </w:p>
    <w:p>
      <w:pPr>
        <w:ind w:firstLine="40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攀枝花市</w:t>
      </w:r>
      <w:r>
        <w:rPr>
          <w:rFonts w:hint="eastAsia" w:ascii="方正小标宋_GBK" w:hAnsi="方正小标宋_GBK" w:eastAsia="方正小标宋_GBK" w:cs="方正小标宋_GBK"/>
          <w:sz w:val="44"/>
          <w:szCs w:val="44"/>
          <w:lang w:val="en-US" w:eastAsia="zh-CN"/>
        </w:rPr>
        <w:t>西区</w:t>
      </w:r>
      <w:r>
        <w:rPr>
          <w:rFonts w:hint="eastAsia" w:ascii="方正小标宋_GBK" w:hAnsi="方正小标宋_GBK" w:eastAsia="方正小标宋_GBK" w:cs="方正小标宋_GBK"/>
          <w:sz w:val="44"/>
          <w:szCs w:val="44"/>
        </w:rPr>
        <w:t>水利局</w:t>
      </w: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44"/>
          <w:szCs w:val="44"/>
        </w:rPr>
        <w:t>2021年度部门预算项目支出绩效自评报告</w:t>
      </w:r>
    </w:p>
    <w:p>
      <w:pPr>
        <w:spacing w:line="600" w:lineRule="exact"/>
        <w:jc w:val="center"/>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（梅子箐水库扩建工程项目）</w:t>
      </w:r>
    </w:p>
    <w:p>
      <w:pPr>
        <w:spacing w:line="600" w:lineRule="exact"/>
        <w:ind w:firstLine="640"/>
        <w:jc w:val="center"/>
        <w:rPr>
          <w:rFonts w:ascii="宋体" w:hAnsi="宋体"/>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（一）项目基本情况。</w:t>
      </w:r>
    </w:p>
    <w:p>
      <w:pPr>
        <w:keepNext w:val="0"/>
        <w:keepLines w:val="0"/>
        <w:pageBreakBefore w:val="0"/>
        <w:widowControl w:val="0"/>
        <w:kinsoku/>
        <w:wordWrap/>
        <w:overflowPunct/>
        <w:topLinePunct w:val="0"/>
        <w:autoSpaceDE/>
        <w:autoSpaceDN/>
        <w:bidi w:val="0"/>
        <w:spacing w:line="540" w:lineRule="exact"/>
        <w:ind w:firstLine="640"/>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梅子箐水库扩建工程是省、市重点中型水利建设项目，该项目于</w:t>
      </w:r>
      <w:r>
        <w:rPr>
          <w:rFonts w:hint="default" w:ascii="Times New Roman" w:hAnsi="Times New Roman" w:eastAsia="仿宋_GB2312" w:cs="Times New Roman"/>
          <w:color w:val="000000" w:themeColor="text1"/>
          <w:sz w:val="32"/>
          <w:szCs w:val="32"/>
          <w14:textFill>
            <w14:solidFill>
              <w14:schemeClr w14:val="tx1"/>
            </w14:solidFill>
          </w14:textFill>
        </w:rPr>
        <w:t>201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12</w:t>
      </w:r>
      <w:r>
        <w:rPr>
          <w:rFonts w:hint="default" w:ascii="Times New Roman" w:hAnsi="Times New Roman" w:eastAsia="仿宋_GB2312" w:cs="Times New Roman"/>
          <w:color w:val="000000" w:themeColor="text1"/>
          <w:sz w:val="32"/>
          <w:szCs w:val="32"/>
          <w14:textFill>
            <w14:solidFill>
              <w14:schemeClr w14:val="tx1"/>
            </w14:solidFill>
          </w14:textFill>
        </w:rPr>
        <w:t>月开工</w:t>
      </w:r>
      <w:r>
        <w:rPr>
          <w:rFonts w:hint="default" w:ascii="Times New Roman" w:hAnsi="Times New Roman" w:eastAsia="仿宋_GB2312" w:cs="Times New Roman"/>
          <w:sz w:val="32"/>
          <w:szCs w:val="32"/>
        </w:rPr>
        <w:t>，项目位于西区格里坪镇和仁和区福田镇境内，设计总库容2392 万m</w:t>
      </w:r>
      <w:r>
        <w:rPr>
          <w:rFonts w:hint="default" w:ascii="Times New Roman" w:hAnsi="Times New Roman" w:eastAsia="仿宋_GB2312" w:cs="Times New Roman"/>
          <w:sz w:val="32"/>
          <w:szCs w:val="32"/>
          <w:vertAlign w:val="superscript"/>
        </w:rPr>
        <w:t>3</w:t>
      </w:r>
      <w:r>
        <w:rPr>
          <w:rFonts w:hint="default" w:ascii="Times New Roman" w:hAnsi="Times New Roman" w:eastAsia="仿宋_GB2312" w:cs="Times New Roman"/>
          <w:sz w:val="32"/>
          <w:szCs w:val="32"/>
        </w:rPr>
        <w:t>，总灌面 5.8 万亩，可解决西区、仁和区灌区内 1.31万人和 2.2 万头牲畜的生产生活用水。工程由水库枢纽工程（含梅子箐水库扩建工程、三洞桥水库工程和高涧沟水库扩建工程）、充水渠工程、灌区工程组成，总投资 41340 万元。</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rPr>
        <w:t>项目立项、资金申报的依据。</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根据四川省水利厅关于攀枝花市西区梅子箐水库扩建我国概念车初步设计报告的批复（川水函[2012]2700号）。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zh-CN"/>
        </w:rPr>
        <w:t>制定了资金支付方案，资金支持项目必须为梅子箐水库扩建工程批复建设内容，资金支付必须以实际完成工程量为依据。</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4.资金分配根据项目设计批复建设内容，结合招标项目合同金额进行分配，做到专款专用。</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（二）项目绩效目标。</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rPr>
        <w:t>项目主要内容。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rPr>
        <w:t>工程由水库枢纽工程（含梅子箐水库扩建工程、三洞桥水库工程和高涧沟水库扩建工程）、充水渠工程、灌区工程组成</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梅子箐水库扩建工程总体完成94%，其中梅子箐水库枢纽工程（</w:t>
      </w:r>
      <w:r>
        <w:rPr>
          <w:rFonts w:hint="default" w:ascii="Times New Roman" w:hAnsi="Times New Roman" w:cs="Times New Roman"/>
          <w:sz w:val="32"/>
          <w:szCs w:val="32"/>
        </w:rPr>
        <w:t>Ⅰ</w:t>
      </w:r>
      <w:r>
        <w:rPr>
          <w:rFonts w:hint="default" w:ascii="Times New Roman" w:hAnsi="Times New Roman" w:eastAsia="仿宋_GB2312" w:cs="Times New Roman"/>
          <w:sz w:val="32"/>
          <w:szCs w:val="32"/>
        </w:rPr>
        <w:t>标段）、充水渠工程（</w:t>
      </w:r>
      <w:r>
        <w:rPr>
          <w:rFonts w:hint="default" w:ascii="Times New Roman" w:hAnsi="Times New Roman" w:cs="Times New Roman"/>
          <w:sz w:val="32"/>
          <w:szCs w:val="32"/>
        </w:rPr>
        <w:t>Ⅱ</w:t>
      </w:r>
      <w:r>
        <w:rPr>
          <w:rFonts w:hint="default" w:ascii="Times New Roman" w:hAnsi="Times New Roman" w:eastAsia="仿宋_GB2312" w:cs="Times New Roman"/>
          <w:sz w:val="32"/>
          <w:szCs w:val="32"/>
        </w:rPr>
        <w:t>标段）、三洞桥水库工程（</w:t>
      </w:r>
      <w:r>
        <w:rPr>
          <w:rFonts w:hint="default" w:ascii="Times New Roman" w:hAnsi="Times New Roman" w:cs="Times New Roman"/>
          <w:sz w:val="32"/>
          <w:szCs w:val="32"/>
        </w:rPr>
        <w:t>Ⅲ</w:t>
      </w:r>
      <w:r>
        <w:rPr>
          <w:rFonts w:hint="default" w:ascii="Times New Roman" w:hAnsi="Times New Roman" w:eastAsia="仿宋_GB2312" w:cs="Times New Roman"/>
          <w:sz w:val="32"/>
          <w:szCs w:val="32"/>
        </w:rPr>
        <w:t>标段）、高涧沟水库扩建工程（</w:t>
      </w:r>
      <w:r>
        <w:rPr>
          <w:rFonts w:hint="default" w:ascii="Times New Roman" w:hAnsi="Times New Roman" w:cs="Times New Roman"/>
          <w:sz w:val="32"/>
          <w:szCs w:val="32"/>
        </w:rPr>
        <w:t>Ⅳ</w:t>
      </w:r>
      <w:r>
        <w:rPr>
          <w:rFonts w:hint="default" w:ascii="Times New Roman" w:hAnsi="Times New Roman" w:eastAsia="仿宋_GB2312" w:cs="Times New Roman"/>
          <w:sz w:val="32"/>
          <w:szCs w:val="32"/>
        </w:rPr>
        <w:t>标段）、机电设备及金属结构（</w:t>
      </w:r>
      <w:r>
        <w:rPr>
          <w:rFonts w:hint="default" w:ascii="Times New Roman" w:hAnsi="Times New Roman" w:cs="Times New Roman"/>
          <w:sz w:val="32"/>
          <w:szCs w:val="32"/>
        </w:rPr>
        <w:t>Ⅵ</w:t>
      </w:r>
      <w:r>
        <w:rPr>
          <w:rFonts w:hint="default" w:ascii="Times New Roman" w:hAnsi="Times New Roman" w:eastAsia="仿宋_GB2312" w:cs="Times New Roman"/>
          <w:sz w:val="32"/>
          <w:szCs w:val="32"/>
        </w:rPr>
        <w:t>标段）、管理房（</w:t>
      </w:r>
      <w:r>
        <w:rPr>
          <w:rFonts w:hint="default" w:ascii="Times New Roman" w:hAnsi="Times New Roman" w:cs="Times New Roman"/>
          <w:sz w:val="32"/>
          <w:szCs w:val="32"/>
        </w:rPr>
        <w:t>Ⅶ</w:t>
      </w:r>
      <w:r>
        <w:rPr>
          <w:rFonts w:hint="default" w:ascii="Times New Roman" w:hAnsi="Times New Roman" w:eastAsia="仿宋_GB2312" w:cs="Times New Roman"/>
          <w:sz w:val="32"/>
          <w:szCs w:val="32"/>
        </w:rPr>
        <w:t>标段）、大坝监控、检测及水情测报（</w:t>
      </w:r>
      <w:r>
        <w:rPr>
          <w:rFonts w:hint="default" w:ascii="Times New Roman" w:hAnsi="Times New Roman" w:cs="Times New Roman"/>
          <w:sz w:val="32"/>
          <w:szCs w:val="32"/>
        </w:rPr>
        <w:t>Ⅷ</w:t>
      </w:r>
      <w:r>
        <w:rPr>
          <w:rFonts w:hint="default" w:ascii="Times New Roman" w:hAnsi="Times New Roman" w:eastAsia="仿宋_GB2312" w:cs="Times New Roman"/>
          <w:sz w:val="32"/>
          <w:szCs w:val="32"/>
        </w:rPr>
        <w:t>标段）已经基本完成</w:t>
      </w:r>
      <w:r>
        <w:rPr>
          <w:rFonts w:hint="default" w:ascii="Times New Roman" w:hAnsi="Times New Roman" w:eastAsia="仿宋_GB2312" w:cs="Times New Roman"/>
          <w:b/>
          <w:sz w:val="32"/>
          <w:szCs w:val="32"/>
        </w:rPr>
        <w:t>；</w:t>
      </w:r>
      <w:r>
        <w:rPr>
          <w:rFonts w:hint="default" w:ascii="Times New Roman" w:hAnsi="Times New Roman" w:eastAsia="仿宋_GB2312" w:cs="Times New Roman"/>
          <w:sz w:val="32"/>
          <w:szCs w:val="32"/>
        </w:rPr>
        <w:t>灌区工程含提灌站（</w:t>
      </w:r>
      <w:r>
        <w:rPr>
          <w:rFonts w:hint="default" w:ascii="Times New Roman" w:hAnsi="Times New Roman" w:cs="Times New Roman"/>
          <w:sz w:val="32"/>
          <w:szCs w:val="32"/>
        </w:rPr>
        <w:t>Ⅴ</w:t>
      </w:r>
      <w:r>
        <w:rPr>
          <w:rFonts w:hint="default" w:ascii="Times New Roman" w:hAnsi="Times New Roman" w:eastAsia="仿宋_GB2312" w:cs="Times New Roman"/>
          <w:sz w:val="32"/>
          <w:szCs w:val="32"/>
        </w:rPr>
        <w:t>标段）因林业手续问题正在加快推进。</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cs="Times New Roman"/>
          <w:sz w:val="32"/>
          <w:szCs w:val="32"/>
          <w:lang w:val="en-US" w:eastAsia="zh-CN"/>
        </w:rPr>
        <w:t>3.</w:t>
      </w:r>
      <w:r>
        <w:rPr>
          <w:rFonts w:hint="default" w:ascii="Times New Roman" w:hAnsi="Times New Roman" w:eastAsia="仿宋_GB2312" w:cs="Times New Roman"/>
          <w:sz w:val="32"/>
          <w:szCs w:val="32"/>
        </w:rPr>
        <w:t>基本完成梅子箐水库扩建工程全线的征地移民补偿工作及西区范围内的移民搬迁安置工作；完成了专业项目中的交通设施、输变电设施、福田水电站、渠道及文物古迹的迁建和补偿工作；仁和区域临时用地复垦工作已完成；移民重大设计变更已上报省扶贫开发局。</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（三）项目自评步骤及方法。</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项目采取自评方式，按照财政下达的项目支出绩效评价指标体系，从项目决策、项目管理、项目绩效等方面做出评价。</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梅子箐水库原为小（一）型水库，扩建成中型水库，为攀枝花市西区、仁和区5万亩耕地和1.3万余人提供灌溉用水和生活用水，对改善群众生活条件，促进经济社会发展具有重要作用。根据《四川省发改委关于攀枝花市西区梅子箐水库扩建工程可行性研究报告的批复》（川发改农</w:t>
      </w:r>
      <w:r>
        <w:rPr>
          <w:rFonts w:hint="default" w:ascii="Times New Roman" w:hAnsi="Times New Roman" w:cs="Times New Roman"/>
          <w:sz w:val="32"/>
          <w:szCs w:val="32"/>
        </w:rPr>
        <w:t>〔</w:t>
      </w:r>
      <w:r>
        <w:rPr>
          <w:rFonts w:hint="default" w:ascii="Times New Roman" w:hAnsi="Times New Roman" w:eastAsia="仿宋_GB2312" w:cs="Times New Roman"/>
          <w:sz w:val="32"/>
          <w:szCs w:val="32"/>
        </w:rPr>
        <w:t>2012</w:t>
      </w:r>
      <w:r>
        <w:rPr>
          <w:rFonts w:hint="default" w:ascii="Times New Roman" w:hAnsi="Times New Roman" w:cs="Times New Roman"/>
          <w:sz w:val="32"/>
          <w:szCs w:val="32"/>
        </w:rPr>
        <w:t>〕</w:t>
      </w:r>
      <w:r>
        <w:rPr>
          <w:rFonts w:hint="default" w:ascii="Times New Roman" w:hAnsi="Times New Roman" w:eastAsia="仿宋_GB2312" w:cs="Times New Roman"/>
          <w:sz w:val="32"/>
          <w:szCs w:val="32"/>
        </w:rPr>
        <w:t>1026号）和《四川省水利厅关于攀枝花市西区梅子箐水库扩建工程初步设计报告的批复》（川水函</w:t>
      </w:r>
      <w:r>
        <w:rPr>
          <w:rFonts w:hint="default" w:ascii="Times New Roman" w:hAnsi="Times New Roman" w:cs="Times New Roman"/>
          <w:sz w:val="32"/>
          <w:szCs w:val="32"/>
        </w:rPr>
        <w:t>〔</w:t>
      </w:r>
      <w:r>
        <w:rPr>
          <w:rFonts w:hint="default" w:ascii="Times New Roman" w:hAnsi="Times New Roman" w:eastAsia="仿宋_GB2312" w:cs="Times New Roman"/>
          <w:sz w:val="32"/>
          <w:szCs w:val="32"/>
        </w:rPr>
        <w:t>2012</w:t>
      </w:r>
      <w:r>
        <w:rPr>
          <w:rFonts w:hint="default" w:ascii="Times New Roman" w:hAnsi="Times New Roman" w:cs="Times New Roman"/>
          <w:sz w:val="32"/>
          <w:szCs w:val="32"/>
        </w:rPr>
        <w:t>〕</w:t>
      </w:r>
      <w:r>
        <w:rPr>
          <w:rFonts w:hint="default" w:ascii="Times New Roman" w:hAnsi="Times New Roman" w:eastAsia="仿宋_GB2312" w:cs="Times New Roman"/>
          <w:sz w:val="32"/>
          <w:szCs w:val="32"/>
        </w:rPr>
        <w:t>2700号）文件，项目业主为梅子箐水库扩建工程管理局，项目估算投资41340</w:t>
      </w:r>
      <w:r>
        <w:rPr>
          <w:rFonts w:hint="eastAsia" w:eastAsia="仿宋_GB2312" w:cs="Times New Roman"/>
          <w:sz w:val="32"/>
          <w:szCs w:val="32"/>
          <w:lang w:val="en-US" w:eastAsia="zh-CN"/>
        </w:rPr>
        <w:t>.00</w:t>
      </w:r>
      <w:r>
        <w:rPr>
          <w:rFonts w:hint="default" w:ascii="Times New Roman" w:hAnsi="Times New Roman" w:eastAsia="仿宋_GB2312" w:cs="Times New Roman"/>
          <w:sz w:val="32"/>
          <w:szCs w:val="32"/>
        </w:rPr>
        <w:t>万元，资金来源为中央资金20000</w:t>
      </w:r>
      <w:r>
        <w:rPr>
          <w:rFonts w:hint="eastAsia" w:eastAsia="仿宋_GB2312" w:cs="Times New Roman"/>
          <w:sz w:val="32"/>
          <w:szCs w:val="32"/>
          <w:lang w:val="en-US" w:eastAsia="zh-CN"/>
        </w:rPr>
        <w:t>.00</w:t>
      </w:r>
      <w:r>
        <w:rPr>
          <w:rFonts w:hint="default" w:ascii="Times New Roman" w:hAnsi="Times New Roman" w:eastAsia="仿宋_GB2312" w:cs="Times New Roman"/>
          <w:sz w:val="32"/>
          <w:szCs w:val="32"/>
        </w:rPr>
        <w:t>万元，省级资金8012</w:t>
      </w:r>
      <w:r>
        <w:rPr>
          <w:rFonts w:hint="eastAsia" w:eastAsia="仿宋_GB2312" w:cs="Times New Roman"/>
          <w:sz w:val="32"/>
          <w:szCs w:val="32"/>
          <w:lang w:val="en-US" w:eastAsia="zh-CN"/>
        </w:rPr>
        <w:t>.00</w:t>
      </w:r>
      <w:r>
        <w:rPr>
          <w:rFonts w:hint="default" w:ascii="Times New Roman" w:hAnsi="Times New Roman" w:eastAsia="仿宋_GB2312" w:cs="Times New Roman"/>
          <w:sz w:val="32"/>
          <w:szCs w:val="32"/>
        </w:rPr>
        <w:t>万元，市、区级资金各6664</w:t>
      </w:r>
      <w:r>
        <w:rPr>
          <w:rFonts w:hint="eastAsia" w:eastAsia="仿宋_GB2312" w:cs="Times New Roman"/>
          <w:sz w:val="32"/>
          <w:szCs w:val="32"/>
          <w:lang w:val="en-US" w:eastAsia="zh-CN"/>
        </w:rPr>
        <w:t>.00</w:t>
      </w:r>
      <w:r>
        <w:rPr>
          <w:rFonts w:hint="default"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default" w:ascii="Times New Roman" w:hAnsi="Times New Roman" w:eastAsia="仿宋_GB2312" w:cs="Times New Roman"/>
          <w:b w:val="0"/>
          <w:bCs/>
          <w:sz w:val="32"/>
          <w:szCs w:val="32"/>
          <w:lang w:val="zh-CN"/>
        </w:rPr>
      </w:pPr>
      <w:r>
        <w:rPr>
          <w:rFonts w:hint="default" w:ascii="Times New Roman" w:hAnsi="Times New Roman" w:eastAsia="楷体_GB2312" w:cs="Times New Roman"/>
          <w:b w:val="0"/>
          <w:bCs/>
          <w:sz w:val="32"/>
          <w:szCs w:val="32"/>
          <w:lang w:val="zh-CN"/>
        </w:rPr>
        <w:t>（二）资金计划、到位及使用情况（可用表格形式反映）。</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default" w:ascii="Times New Roman" w:hAnsi="Times New Roman" w:eastAsia="楷体_GB2312" w:cs="Times New Roman"/>
          <w:sz w:val="32"/>
          <w:szCs w:val="32"/>
          <w:lang w:val="zh-CN"/>
        </w:rPr>
      </w:pPr>
      <w:r>
        <w:rPr>
          <w:rFonts w:hint="default" w:ascii="Times New Roman" w:hAnsi="Times New Roman" w:eastAsia="楷体_GB2312" w:cs="Times New Roman"/>
          <w:sz w:val="32"/>
          <w:szCs w:val="32"/>
          <w:lang w:val="zh-CN"/>
        </w:rPr>
        <w:t>1</w:t>
      </w:r>
      <w:r>
        <w:rPr>
          <w:rFonts w:hint="default" w:ascii="Times New Roman" w:hAnsi="Times New Roman" w:eastAsia="楷体_GB2312" w:cs="Times New Roman"/>
          <w:sz w:val="32"/>
          <w:szCs w:val="32"/>
          <w:lang w:val="en-US" w:eastAsia="zh-CN"/>
        </w:rPr>
        <w:t>.</w:t>
      </w:r>
      <w:r>
        <w:rPr>
          <w:rFonts w:hint="default" w:ascii="Times New Roman" w:hAnsi="Times New Roman" w:eastAsia="楷体_GB2312" w:cs="Times New Roman"/>
          <w:sz w:val="32"/>
          <w:szCs w:val="32"/>
          <w:lang w:val="zh-CN"/>
        </w:rPr>
        <w:t>资金计划。</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default" w:ascii="Times New Roman" w:hAnsi="Times New Roman" w:eastAsia="楷体_GB2312" w:cs="Times New Roman"/>
          <w:sz w:val="32"/>
          <w:szCs w:val="32"/>
          <w:lang w:val="zh-CN"/>
        </w:rPr>
      </w:pPr>
      <w:r>
        <w:rPr>
          <w:rFonts w:hint="default" w:ascii="Times New Roman" w:hAnsi="Times New Roman" w:eastAsia="仿宋_GB2312" w:cs="Times New Roman"/>
          <w:sz w:val="32"/>
          <w:szCs w:val="32"/>
          <w:lang w:val="zh-CN"/>
        </w:rPr>
        <w:t>工程资金到位</w:t>
      </w:r>
      <w:r>
        <w:rPr>
          <w:rFonts w:hint="default" w:ascii="Times New Roman" w:hAnsi="Times New Roman" w:eastAsia="仿宋_GB2312" w:cs="Times New Roman"/>
          <w:sz w:val="32"/>
          <w:szCs w:val="32"/>
          <w:lang w:val="en-US" w:eastAsia="zh-CN"/>
        </w:rPr>
        <w:t>39753.39万</w:t>
      </w:r>
      <w:r>
        <w:rPr>
          <w:rFonts w:hint="default" w:ascii="Times New Roman" w:hAnsi="Times New Roman" w:eastAsia="仿宋_GB2312" w:cs="Times New Roman"/>
          <w:sz w:val="32"/>
          <w:szCs w:val="32"/>
          <w:lang w:val="zh-CN"/>
        </w:rPr>
        <w:t>元，计划中央资金</w:t>
      </w:r>
      <w:r>
        <w:rPr>
          <w:rFonts w:hint="default" w:ascii="Times New Roman" w:hAnsi="Times New Roman" w:eastAsia="仿宋_GB2312" w:cs="Times New Roman"/>
          <w:sz w:val="32"/>
          <w:szCs w:val="32"/>
          <w:lang w:val="en-US" w:eastAsia="zh-CN"/>
        </w:rPr>
        <w:t>20000</w:t>
      </w:r>
      <w:r>
        <w:rPr>
          <w:rFonts w:hint="eastAsia" w:eastAsia="仿宋_GB2312" w:cs="Times New Roman"/>
          <w:sz w:val="32"/>
          <w:szCs w:val="32"/>
          <w:lang w:val="en-US" w:eastAsia="zh-CN"/>
        </w:rPr>
        <w:t>.00</w:t>
      </w:r>
      <w:r>
        <w:rPr>
          <w:rFonts w:hint="default"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lang w:val="zh-CN"/>
        </w:rPr>
        <w:t>元，省级</w:t>
      </w:r>
      <w:r>
        <w:rPr>
          <w:rFonts w:hint="default" w:ascii="Times New Roman" w:hAnsi="Times New Roman" w:eastAsia="仿宋_GB2312" w:cs="Times New Roman"/>
          <w:sz w:val="32"/>
          <w:szCs w:val="32"/>
          <w:lang w:val="en-US" w:eastAsia="zh-CN"/>
        </w:rPr>
        <w:t>8012</w:t>
      </w:r>
      <w:r>
        <w:rPr>
          <w:rFonts w:hint="eastAsia" w:eastAsia="仿宋_GB2312" w:cs="Times New Roman"/>
          <w:sz w:val="32"/>
          <w:szCs w:val="32"/>
          <w:lang w:val="en-US" w:eastAsia="zh-CN"/>
        </w:rPr>
        <w:t>.00</w:t>
      </w:r>
      <w:r>
        <w:rPr>
          <w:rFonts w:hint="default" w:ascii="Times New Roman" w:hAnsi="Times New Roman" w:eastAsia="仿宋_GB2312" w:cs="Times New Roman"/>
          <w:sz w:val="32"/>
          <w:szCs w:val="32"/>
          <w:lang w:val="zh-CN"/>
        </w:rPr>
        <w:t>万元，市级</w:t>
      </w:r>
      <w:r>
        <w:rPr>
          <w:rFonts w:hint="default" w:ascii="Times New Roman" w:hAnsi="Times New Roman" w:eastAsia="仿宋_GB2312" w:cs="Times New Roman"/>
          <w:sz w:val="32"/>
          <w:szCs w:val="32"/>
          <w:lang w:val="en-US" w:eastAsia="zh-CN"/>
        </w:rPr>
        <w:t>3000</w:t>
      </w:r>
      <w:r>
        <w:rPr>
          <w:rFonts w:hint="eastAsia" w:eastAsia="仿宋_GB2312" w:cs="Times New Roman"/>
          <w:sz w:val="32"/>
          <w:szCs w:val="32"/>
          <w:lang w:val="en-US" w:eastAsia="zh-CN"/>
        </w:rPr>
        <w:t>.00</w:t>
      </w:r>
      <w:r>
        <w:rPr>
          <w:rFonts w:hint="default" w:ascii="Times New Roman" w:hAnsi="Times New Roman" w:eastAsia="仿宋_GB2312" w:cs="Times New Roman"/>
          <w:sz w:val="32"/>
          <w:szCs w:val="32"/>
          <w:lang w:val="zh-CN"/>
        </w:rPr>
        <w:t>万元，区级配套</w:t>
      </w:r>
      <w:r>
        <w:rPr>
          <w:rFonts w:hint="default" w:ascii="Times New Roman" w:hAnsi="Times New Roman" w:eastAsia="仿宋_GB2312" w:cs="Times New Roman"/>
          <w:sz w:val="32"/>
          <w:szCs w:val="32"/>
          <w:lang w:val="en-US" w:eastAsia="zh-CN"/>
        </w:rPr>
        <w:t>4241.39</w:t>
      </w:r>
      <w:r>
        <w:rPr>
          <w:rFonts w:hint="default" w:ascii="Times New Roman" w:hAnsi="Times New Roman" w:eastAsia="仿宋_GB2312" w:cs="Times New Roman"/>
          <w:sz w:val="32"/>
          <w:szCs w:val="32"/>
          <w:lang w:val="zh-CN"/>
        </w:rPr>
        <w:t>万元，专项债券</w:t>
      </w:r>
      <w:r>
        <w:rPr>
          <w:rFonts w:hint="default" w:ascii="Times New Roman" w:hAnsi="Times New Roman" w:eastAsia="仿宋_GB2312" w:cs="Times New Roman"/>
          <w:sz w:val="32"/>
          <w:szCs w:val="32"/>
          <w:lang w:val="en-US" w:eastAsia="zh-CN"/>
        </w:rPr>
        <w:t>4500</w:t>
      </w:r>
      <w:r>
        <w:rPr>
          <w:rFonts w:hint="eastAsia" w:eastAsia="仿宋_GB2312" w:cs="Times New Roman"/>
          <w:sz w:val="32"/>
          <w:szCs w:val="32"/>
          <w:lang w:val="en-US" w:eastAsia="zh-CN"/>
        </w:rPr>
        <w:t>.00</w:t>
      </w:r>
      <w:r>
        <w:rPr>
          <w:rFonts w:hint="default" w:ascii="Times New Roman" w:hAnsi="Times New Roman" w:eastAsia="仿宋_GB2312" w:cs="Times New Roman"/>
          <w:sz w:val="32"/>
          <w:szCs w:val="32"/>
          <w:lang w:val="zh-CN"/>
        </w:rPr>
        <w:t>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楷体_GB2312" w:cs="Times New Roman"/>
          <w:sz w:val="32"/>
          <w:szCs w:val="32"/>
          <w:lang w:val="zh-CN"/>
        </w:rPr>
      </w:pPr>
      <w:r>
        <w:rPr>
          <w:rFonts w:hint="default" w:ascii="Times New Roman" w:hAnsi="Times New Roman" w:eastAsia="楷体_GB2312" w:cs="Times New Roman"/>
          <w:sz w:val="32"/>
          <w:szCs w:val="32"/>
          <w:lang w:val="en-US" w:eastAsia="zh-CN"/>
        </w:rPr>
        <w:t>2.</w:t>
      </w:r>
      <w:r>
        <w:rPr>
          <w:rFonts w:hint="default" w:ascii="Times New Roman" w:hAnsi="Times New Roman" w:eastAsia="楷体_GB2312" w:cs="Times New Roman"/>
          <w:sz w:val="32"/>
          <w:szCs w:val="32"/>
          <w:lang w:val="zh-CN"/>
        </w:rPr>
        <w:t>资金到位。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楷体_GB2312" w:cs="Times New Roman"/>
          <w:sz w:val="32"/>
          <w:szCs w:val="32"/>
          <w:lang w:val="zh-CN"/>
        </w:rPr>
      </w:pPr>
      <w:r>
        <w:rPr>
          <w:rFonts w:hint="default" w:ascii="Times New Roman" w:hAnsi="Times New Roman" w:eastAsia="楷体_GB2312" w:cs="Times New Roman"/>
          <w:sz w:val="32"/>
          <w:szCs w:val="32"/>
          <w:lang w:val="zh-CN"/>
        </w:rPr>
        <w:t>2021年该项目资金到位1278.70万元。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1050" w:leftChars="0"/>
        <w:textAlignment w:val="auto"/>
        <w:rPr>
          <w:rFonts w:hint="default" w:ascii="Times New Roman" w:hAnsi="Times New Roman" w:eastAsia="楷体_GB2312" w:cs="Times New Roman"/>
          <w:sz w:val="32"/>
          <w:szCs w:val="32"/>
          <w:lang w:val="zh-CN"/>
        </w:rPr>
      </w:pPr>
      <w:r>
        <w:rPr>
          <w:rFonts w:hint="default" w:ascii="Times New Roman" w:hAnsi="Times New Roman" w:eastAsia="楷体_GB2312" w:cs="Times New Roman"/>
          <w:sz w:val="32"/>
          <w:szCs w:val="32"/>
          <w:lang w:val="en-US" w:eastAsia="zh-CN"/>
        </w:rPr>
        <w:t>3.</w:t>
      </w:r>
      <w:r>
        <w:rPr>
          <w:rFonts w:hint="default" w:ascii="Times New Roman" w:hAnsi="Times New Roman" w:eastAsia="楷体_GB2312" w:cs="Times New Roman"/>
          <w:sz w:val="32"/>
          <w:szCs w:val="32"/>
          <w:lang w:val="zh-CN"/>
        </w:rPr>
        <w:t>资金使用。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该项目2021年1-12月完成资金支付1278.70万元，执行率100%。该项目资金支付范围、支付标准、支付进度、支付依据合规合法，与预算相符。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720" w:leftChars="0"/>
        <w:textAlignment w:val="auto"/>
        <w:rPr>
          <w:rFonts w:hint="default" w:ascii="Times New Roman" w:hAnsi="Times New Roman" w:eastAsia="楷体_GB2312" w:cs="Times New Roman"/>
          <w:b w:val="0"/>
          <w:bCs w:val="0"/>
          <w:sz w:val="32"/>
          <w:szCs w:val="32"/>
          <w:lang w:val="zh-CN"/>
        </w:rPr>
      </w:pPr>
      <w:r>
        <w:rPr>
          <w:rFonts w:hint="default"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lang w:val="en-US" w:eastAsia="zh-CN"/>
        </w:rPr>
        <w:t>三</w:t>
      </w:r>
      <w:r>
        <w:rPr>
          <w:rFonts w:hint="default"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lang w:val="zh-CN"/>
        </w:rPr>
        <w:t>项目财务管理情况。</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我单位财务管理制度较健全，根据我单位内部控制制度，对财务报销、资金支付、财务资料管理等细项做出了明确规定，在经济活动的开展过程中，我单位严格执行财务管理制度报销、支付，并在次月初及时对上月资经济业务进行账务处理。</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三、项目实施及管理情况</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sz w:val="32"/>
          <w:szCs w:val="32"/>
          <w:lang w:val="zh-CN"/>
        </w:rPr>
        <w:t>（一）项目组织架构及实施流程。</w:t>
      </w:r>
      <w:r>
        <w:rPr>
          <w:rFonts w:hint="default" w:ascii="Times New Roman" w:hAnsi="Times New Roman" w:eastAsia="仿宋_GB2312" w:cs="Times New Roman"/>
          <w:sz w:val="32"/>
          <w:szCs w:val="32"/>
          <w:lang w:val="zh-CN"/>
        </w:rPr>
        <w:t>主要领导及其它相关部门主要负责人组成项目领导小组，领导小组下设项目建设办公室，由项目各单项负责人和财务、资产、监察、审计等相关人员组成，对资金实行专项管理，专户核算，将对资金的用途、项目进展情况进行实时监督，确保该项目资金发挥出应有的最大效益。</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sz w:val="32"/>
          <w:szCs w:val="32"/>
          <w:lang w:val="zh-CN"/>
        </w:rPr>
        <w:t>（二）项目管理情况。</w:t>
      </w:r>
      <w:r>
        <w:rPr>
          <w:rFonts w:hint="default" w:ascii="Times New Roman" w:hAnsi="Times New Roman" w:eastAsia="仿宋_GB2312" w:cs="Times New Roman"/>
          <w:sz w:val="32"/>
          <w:szCs w:val="32"/>
          <w:lang w:val="zh-CN"/>
        </w:rPr>
        <w:t>为了确保资金的正确合理使用，项目建设办公室将根据实际情况，按照工程项目计划的整体安排，制定具体的实施方案。全部项目将实行“阳光”采购，在“公开、公平、公正” 的原则下公开招标，确保采购物资设备的质优价廉，最大限度地发挥专项资金地使用效益。</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sz w:val="32"/>
          <w:szCs w:val="32"/>
          <w:lang w:val="zh-CN"/>
        </w:rPr>
        <w:t>（三）项目监管情况。</w:t>
      </w:r>
      <w:r>
        <w:rPr>
          <w:rFonts w:hint="default" w:ascii="Times New Roman" w:hAnsi="Times New Roman" w:eastAsia="仿宋_GB2312" w:cs="Times New Roman"/>
          <w:sz w:val="32"/>
          <w:szCs w:val="32"/>
          <w:lang w:val="zh-CN"/>
        </w:rPr>
        <w:t>加强对项目资金支付工作的审核与监督，资金实行专款专用，严格按工程进度情况进行支付，确保工程有序推进。</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default" w:ascii="Times New Roman" w:hAnsi="Times New Roman" w:eastAsia="仿宋_GB2312" w:cs="Times New Roman"/>
          <w:sz w:val="32"/>
          <w:szCs w:val="32"/>
          <w:lang w:val="zh-CN"/>
        </w:rPr>
      </w:pPr>
      <w:r>
        <w:rPr>
          <w:rFonts w:hint="default" w:ascii="Times New Roman" w:hAnsi="Times New Roman" w:eastAsia="黑体" w:cs="Times New Roman"/>
          <w:sz w:val="32"/>
          <w:szCs w:val="32"/>
        </w:rPr>
        <w:t>四、项目绩效情况</w:t>
      </w:r>
      <w:r>
        <w:rPr>
          <w:rFonts w:hint="default" w:ascii="Times New Roman" w:hAnsi="Times New Roman" w:eastAsia="仿宋_GB2312" w:cs="Times New Roman"/>
          <w:sz w:val="32"/>
          <w:szCs w:val="32"/>
          <w:lang w:val="zh-CN"/>
        </w:rPr>
        <w:tab/>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sz w:val="32"/>
          <w:szCs w:val="32"/>
          <w:lang w:val="zh-CN"/>
        </w:rPr>
        <w:t>（一）项目完成情况。</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cs="Times New Roman"/>
          <w:b w:val="0"/>
          <w:bCs/>
          <w:lang w:val="zh-CN"/>
        </w:rPr>
      </w:pPr>
      <w:r>
        <w:rPr>
          <w:rFonts w:hint="default" w:ascii="Times New Roman" w:hAnsi="Times New Roman" w:eastAsia="楷体_GB2312" w:cs="Times New Roman"/>
          <w:b w:val="0"/>
          <w:bCs/>
          <w:sz w:val="32"/>
          <w:szCs w:val="32"/>
          <w:lang w:val="zh-CN"/>
        </w:rPr>
        <w:t>工程方面：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工程施工方面计划完成施工V标段库提灌站2座、渠道3.5km、隧洞衬砌1.5km和3座渡槽施工任务；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完成VI标段提灌站和渠道等金属结构制安任务；完成VIII标段监测设备安装任务；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3.按</w:t>
      </w:r>
      <w:r>
        <w:rPr>
          <w:rFonts w:hint="default" w:ascii="Times New Roman" w:hAnsi="Times New Roman" w:eastAsia="仿宋_GB2312" w:cs="Times New Roman"/>
          <w:sz w:val="32"/>
          <w:szCs w:val="32"/>
        </w:rPr>
        <w:t>合同约定，退还已完工标段工程保留金。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移民方面：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完成西区段临时用地复垦报告编制、西区段临时用地用地报批和西区段林地使用报批、按时支付森林植被恢复费；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按照省扶贫开发局审定批复的移民重大设计报告和省、市移民开发部门统一要求开展相关工作，完成移民重大设计变更并支付变更相关费用；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落实项目验收第三方服务机构，完成省扶贫开发局、省水利厅下达的各项验收任务。</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sz w:val="32"/>
          <w:szCs w:val="32"/>
          <w:lang w:val="zh-CN"/>
        </w:rPr>
        <w:t>（二）项目效益情况。</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可解决西区格里坪镇和仁和区福田镇5.81万亩耕地灌溉用水问题，保障灌区乡村1.3万余人的饮水安全，对加快攀枝花市优质高效农业发展，促进项目区经济社会可持续发展具有重要意义。</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五、评价结论及建议</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default" w:ascii="Times New Roman" w:hAnsi="Times New Roman" w:eastAsia="楷体_GB2312" w:cs="Times New Roman"/>
          <w:sz w:val="32"/>
          <w:szCs w:val="32"/>
          <w:lang w:val="zh-CN"/>
        </w:rPr>
      </w:pPr>
      <w:r>
        <w:rPr>
          <w:rFonts w:hint="default" w:ascii="Times New Roman" w:hAnsi="Times New Roman" w:eastAsia="楷体_GB2312" w:cs="Times New Roman"/>
          <w:sz w:val="32"/>
          <w:szCs w:val="32"/>
          <w:lang w:val="zh-CN"/>
        </w:rPr>
        <w:t>（一）评价结论。</w:t>
      </w:r>
    </w:p>
    <w:p>
      <w:pPr>
        <w:keepNext w:val="0"/>
        <w:keepLines w:val="0"/>
        <w:pageBreakBefore w:val="0"/>
        <w:widowControl w:val="0"/>
        <w:kinsoku/>
        <w:wordWrap/>
        <w:overflowPunct/>
        <w:topLinePunct w:val="0"/>
        <w:autoSpaceDE/>
        <w:autoSpaceDN/>
        <w:bidi w:val="0"/>
        <w:adjustRightInd w:val="0"/>
        <w:snapToGrid w:val="0"/>
        <w:spacing w:line="540" w:lineRule="exact"/>
        <w:ind w:leftChars="0" w:firstLine="640" w:firstLineChars="200"/>
        <w:textAlignment w:val="auto"/>
        <w:rPr>
          <w:rFonts w:hint="default" w:ascii="Times New Roman" w:hAnsi="Times New Roman" w:eastAsia="仿宋_GB2312" w:cs="Times New Roman"/>
          <w:sz w:val="32"/>
          <w:szCs w:val="32"/>
          <w:bdr w:val="single" w:color="auto" w:sz="4" w:space="0"/>
          <w:lang w:val="zh-CN"/>
        </w:rPr>
      </w:pPr>
      <w:r>
        <w:rPr>
          <w:rFonts w:hint="default" w:ascii="Times New Roman" w:hAnsi="Times New Roman" w:eastAsia="仿宋_GB2312" w:cs="Times New Roman"/>
          <w:sz w:val="32"/>
          <w:szCs w:val="32"/>
        </w:rPr>
        <w:t>本项目依照区财政部门要求，依据充分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目标明确，程序合理；项目资金到位及时，实际使用资金</w:t>
      </w:r>
      <w:r>
        <w:rPr>
          <w:rFonts w:hint="default" w:ascii="Times New Roman" w:hAnsi="Times New Roman" w:eastAsia="仿宋_GB2312" w:cs="Times New Roman"/>
          <w:sz w:val="32"/>
          <w:szCs w:val="32"/>
          <w:lang w:val="en-US" w:eastAsia="zh-CN"/>
        </w:rPr>
        <w:t>1278.70万</w:t>
      </w:r>
      <w:r>
        <w:rPr>
          <w:rFonts w:hint="default" w:ascii="Times New Roman" w:hAnsi="Times New Roman" w:eastAsia="仿宋_GB2312" w:cs="Times New Roman"/>
          <w:sz w:val="32"/>
          <w:szCs w:val="32"/>
        </w:rPr>
        <w:t>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项目的组织管理符合项目的特殊性要求，项目的产出基本达到目标，项目效果良好，项目的绩效基本实现。</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default" w:ascii="Times New Roman" w:hAnsi="Times New Roman" w:eastAsia="楷体_GB2312" w:cs="Times New Roman"/>
          <w:sz w:val="32"/>
          <w:szCs w:val="32"/>
          <w:lang w:val="zh-CN"/>
        </w:rPr>
      </w:pPr>
      <w:r>
        <w:rPr>
          <w:rFonts w:hint="default" w:ascii="Times New Roman" w:hAnsi="Times New Roman" w:eastAsia="楷体_GB2312" w:cs="Times New Roman"/>
          <w:sz w:val="32"/>
          <w:szCs w:val="32"/>
          <w:lang w:val="zh-CN"/>
        </w:rPr>
        <w:t>（二）存在的问题。</w:t>
      </w:r>
    </w:p>
    <w:p>
      <w:pPr>
        <w:pStyle w:val="5"/>
        <w:keepNext w:val="0"/>
        <w:keepLines w:val="0"/>
        <w:pageBreakBefore w:val="0"/>
        <w:widowControl w:val="0"/>
        <w:numPr>
          <w:ilvl w:val="0"/>
          <w:numId w:val="0"/>
        </w:numPr>
        <w:kinsoku/>
        <w:wordWrap/>
        <w:overflowPunct/>
        <w:topLinePunct w:val="0"/>
        <w:autoSpaceDE/>
        <w:autoSpaceDN/>
        <w:bidi w:val="0"/>
        <w:spacing w:after="0" w:line="540" w:lineRule="exact"/>
        <w:ind w:leftChars="0" w:firstLine="640" w:firstLineChars="200"/>
        <w:textAlignment w:val="auto"/>
        <w:rPr>
          <w:rFonts w:hint="default" w:ascii="Times New Roman" w:hAnsi="Times New Roman" w:eastAsia="仿宋_GB2312" w:cs="Times New Roman"/>
          <w:b w:val="0"/>
          <w:bCs/>
          <w:sz w:val="32"/>
          <w:szCs w:val="32"/>
          <w:lang w:val="zh-CN"/>
        </w:rPr>
      </w:pPr>
      <w:r>
        <w:rPr>
          <w:rFonts w:hint="default" w:ascii="Times New Roman" w:hAnsi="Times New Roman" w:eastAsia="仿宋_GB2312" w:cs="Times New Roman"/>
          <w:b w:val="0"/>
          <w:bCs/>
          <w:sz w:val="32"/>
          <w:szCs w:val="32"/>
          <w:lang w:val="zh-CN"/>
        </w:rPr>
        <w:t>梅子箐水库扩建工程因设计变更的影响，导致工程进度滞后。</w:t>
      </w:r>
    </w:p>
    <w:p>
      <w:pPr>
        <w:pStyle w:val="5"/>
        <w:keepNext w:val="0"/>
        <w:keepLines w:val="0"/>
        <w:pageBreakBefore w:val="0"/>
        <w:widowControl w:val="0"/>
        <w:numPr>
          <w:ilvl w:val="0"/>
          <w:numId w:val="0"/>
        </w:numPr>
        <w:kinsoku/>
        <w:wordWrap/>
        <w:overflowPunct/>
        <w:topLinePunct w:val="0"/>
        <w:autoSpaceDE/>
        <w:autoSpaceDN/>
        <w:bidi w:val="0"/>
        <w:spacing w:after="0" w:line="540" w:lineRule="exact"/>
        <w:ind w:leftChars="0" w:firstLine="640" w:firstLineChars="200"/>
        <w:textAlignment w:val="auto"/>
        <w:rPr>
          <w:rFonts w:hint="default" w:ascii="Times New Roman" w:hAnsi="Times New Roman" w:eastAsia="仿宋_GB2312" w:cs="Times New Roman"/>
          <w:b w:val="0"/>
          <w:bCs/>
          <w:sz w:val="32"/>
          <w:szCs w:val="32"/>
          <w:lang w:val="zh-CN"/>
        </w:rPr>
      </w:pPr>
      <w:r>
        <w:rPr>
          <w:rFonts w:hint="default" w:ascii="Times New Roman" w:hAnsi="Times New Roman" w:eastAsia="楷体_GB2312" w:cs="Times New Roman"/>
          <w:kern w:val="2"/>
          <w:sz w:val="32"/>
          <w:szCs w:val="32"/>
          <w:lang w:val="zh-CN" w:eastAsia="zh-CN" w:bidi="ar-SA"/>
        </w:rPr>
        <w:t>（三）相关建议。</w:t>
      </w:r>
    </w:p>
    <w:p>
      <w:pPr>
        <w:pStyle w:val="5"/>
        <w:keepNext w:val="0"/>
        <w:keepLines w:val="0"/>
        <w:pageBreakBefore w:val="0"/>
        <w:widowControl w:val="0"/>
        <w:numPr>
          <w:ilvl w:val="0"/>
          <w:numId w:val="0"/>
        </w:numPr>
        <w:kinsoku/>
        <w:wordWrap/>
        <w:overflowPunct/>
        <w:topLinePunct w:val="0"/>
        <w:autoSpaceDE/>
        <w:autoSpaceDN/>
        <w:bidi w:val="0"/>
        <w:spacing w:after="0" w:line="540" w:lineRule="exact"/>
        <w:ind w:leftChars="0"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b w:val="0"/>
          <w:bCs/>
          <w:sz w:val="32"/>
          <w:szCs w:val="32"/>
          <w:lang w:val="zh-CN"/>
        </w:rPr>
        <w:t>项目因重大设计变更的影响，导致的工程进度滞后问题，后期项目业主将倒排工期，加快推进项目的后续建设，尽快实现梅子箐水库的各项功能及效益。</w:t>
      </w:r>
    </w:p>
    <w:tbl>
      <w:tblPr>
        <w:tblStyle w:val="13"/>
        <w:tblpPr w:leftFromText="180" w:rightFromText="180" w:vertAnchor="text" w:horzAnchor="page" w:tblpX="1281" w:tblpY="660"/>
        <w:tblOverlap w:val="never"/>
        <w:tblW w:w="9575" w:type="dxa"/>
        <w:tblInd w:w="0" w:type="dxa"/>
        <w:tblLayout w:type="fixed"/>
        <w:tblCellMar>
          <w:top w:w="0" w:type="dxa"/>
          <w:left w:w="108" w:type="dxa"/>
          <w:bottom w:w="0" w:type="dxa"/>
          <w:right w:w="108" w:type="dxa"/>
        </w:tblCellMar>
      </w:tblPr>
      <w:tblGrid>
        <w:gridCol w:w="1668"/>
        <w:gridCol w:w="1275"/>
        <w:gridCol w:w="1560"/>
        <w:gridCol w:w="250"/>
        <w:gridCol w:w="1189"/>
        <w:gridCol w:w="1224"/>
        <w:gridCol w:w="313"/>
        <w:gridCol w:w="2096"/>
      </w:tblGrid>
      <w:tr>
        <w:tblPrEx>
          <w:tblCellMar>
            <w:top w:w="0" w:type="dxa"/>
            <w:left w:w="108" w:type="dxa"/>
            <w:bottom w:w="0" w:type="dxa"/>
            <w:right w:w="108" w:type="dxa"/>
          </w:tblCellMar>
        </w:tblPrEx>
        <w:trPr>
          <w:trHeight w:val="675" w:hRule="atLeast"/>
        </w:trPr>
        <w:tc>
          <w:tcPr>
            <w:tcW w:w="9575" w:type="dxa"/>
            <w:gridSpan w:val="8"/>
            <w:tcBorders>
              <w:top w:val="nil"/>
              <w:left w:val="nil"/>
              <w:bottom w:val="nil"/>
              <w:right w:val="nil"/>
            </w:tcBorders>
            <w:shd w:val="clear" w:color="auto" w:fill="auto"/>
            <w:vAlign w:val="center"/>
          </w:tcPr>
          <w:p>
            <w:pPr>
              <w:widowControl/>
              <w:jc w:val="center"/>
              <w:textAlignment w:val="center"/>
              <w:rPr>
                <w:rFonts w:hint="eastAsia" w:ascii="宋体" w:hAnsi="宋体" w:eastAsia="宋体" w:cs="宋体"/>
                <w:b/>
                <w:bCs/>
                <w:sz w:val="32"/>
                <w:szCs w:val="32"/>
              </w:rPr>
            </w:pPr>
            <w:r>
              <w:rPr>
                <w:rFonts w:hint="eastAsia" w:ascii="宋体" w:hAnsi="宋体" w:eastAsia="宋体" w:cs="宋体"/>
                <w:b/>
                <w:bCs/>
                <w:sz w:val="32"/>
                <w:szCs w:val="32"/>
              </w:rPr>
              <w:t>2021年部门预算项目绩效目标自评</w:t>
            </w:r>
          </w:p>
          <w:p>
            <w:pPr>
              <w:pStyle w:val="5"/>
              <w:jc w:val="center"/>
              <w:rPr>
                <w:rFonts w:hint="eastAsia" w:eastAsia="仿宋_GB2312"/>
                <w:lang w:eastAsia="zh-CN"/>
              </w:rPr>
            </w:pPr>
            <w:r>
              <w:rPr>
                <w:rFonts w:hint="eastAsia" w:ascii="宋体" w:hAnsi="宋体" w:eastAsia="宋体" w:cs="宋体"/>
                <w:b/>
                <w:bCs/>
                <w:sz w:val="32"/>
                <w:szCs w:val="32"/>
                <w:lang w:eastAsia="zh-CN"/>
              </w:rPr>
              <w:t>梅子箐水库扩建工程项目</w:t>
            </w:r>
          </w:p>
        </w:tc>
      </w:tr>
      <w:tr>
        <w:tblPrEx>
          <w:tblCellMar>
            <w:top w:w="0" w:type="dxa"/>
            <w:left w:w="108" w:type="dxa"/>
            <w:bottom w:w="0" w:type="dxa"/>
            <w:right w:w="108" w:type="dxa"/>
          </w:tblCellMar>
        </w:tblPrEx>
        <w:trPr>
          <w:trHeight w:val="254" w:hRule="atLeast"/>
        </w:trPr>
        <w:tc>
          <w:tcPr>
            <w:tcW w:w="29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主管部门及代码</w:t>
            </w:r>
          </w:p>
        </w:tc>
        <w:tc>
          <w:tcPr>
            <w:tcW w:w="29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攀枝花市西区</w:t>
            </w:r>
            <w:r>
              <w:rPr>
                <w:rFonts w:hint="eastAsia" w:ascii="仿宋_GB2312" w:hAnsi="仿宋_GB2312" w:eastAsia="仿宋_GB2312" w:cs="仿宋_GB2312"/>
                <w:sz w:val="24"/>
                <w:szCs w:val="24"/>
                <w:lang w:eastAsia="zh-CN"/>
              </w:rPr>
              <w:t>水利局</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实施单位</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攀枝花市西区</w:t>
            </w:r>
            <w:r>
              <w:rPr>
                <w:rFonts w:hint="eastAsia" w:ascii="仿宋_GB2312" w:hAnsi="仿宋_GB2312" w:eastAsia="仿宋_GB2312" w:cs="仿宋_GB2312"/>
                <w:sz w:val="24"/>
                <w:szCs w:val="24"/>
                <w:lang w:eastAsia="zh-CN"/>
              </w:rPr>
              <w:t>水利工程运行中心</w:t>
            </w:r>
          </w:p>
        </w:tc>
      </w:tr>
      <w:tr>
        <w:tblPrEx>
          <w:tblCellMar>
            <w:top w:w="0" w:type="dxa"/>
            <w:left w:w="108" w:type="dxa"/>
            <w:bottom w:w="0" w:type="dxa"/>
            <w:right w:w="108" w:type="dxa"/>
          </w:tblCellMar>
        </w:tblPrEx>
        <w:trPr>
          <w:trHeight w:val="341" w:hRule="atLeast"/>
        </w:trPr>
        <w:tc>
          <w:tcPr>
            <w:tcW w:w="29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项目预算</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执行情况</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（万元）</w:t>
            </w: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1278.70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 xml:space="preserve"> 执行数：</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1278.70</w:t>
            </w:r>
          </w:p>
        </w:tc>
      </w:tr>
      <w:tr>
        <w:tblPrEx>
          <w:tblCellMar>
            <w:top w:w="0" w:type="dxa"/>
            <w:left w:w="108" w:type="dxa"/>
            <w:bottom w:w="0" w:type="dxa"/>
            <w:right w:w="108" w:type="dxa"/>
          </w:tblCellMar>
        </w:tblPrEx>
        <w:trPr>
          <w:trHeight w:val="555" w:hRule="atLeast"/>
        </w:trPr>
        <w:tc>
          <w:tcPr>
            <w:tcW w:w="29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w:t>
            </w:r>
          </w:p>
          <w:p>
            <w:pPr>
              <w:widowControl/>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1278.70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w:t>
            </w:r>
          </w:p>
          <w:p>
            <w:pPr>
              <w:widowControl/>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财政拨款</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1278.70</w:t>
            </w:r>
          </w:p>
        </w:tc>
      </w:tr>
      <w:tr>
        <w:tblPrEx>
          <w:tblCellMar>
            <w:top w:w="0" w:type="dxa"/>
            <w:left w:w="108" w:type="dxa"/>
            <w:bottom w:w="0" w:type="dxa"/>
            <w:right w:w="108" w:type="dxa"/>
          </w:tblCellMar>
        </w:tblPrEx>
        <w:trPr>
          <w:trHeight w:val="341" w:hRule="atLeast"/>
        </w:trPr>
        <w:tc>
          <w:tcPr>
            <w:tcW w:w="29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其他资金</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217" w:hRule="atLeast"/>
        </w:trPr>
        <w:tc>
          <w:tcPr>
            <w:tcW w:w="1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年度总体目标</w:t>
            </w:r>
          </w:p>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完成情况</w:t>
            </w:r>
          </w:p>
        </w:tc>
        <w:tc>
          <w:tcPr>
            <w:tcW w:w="42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预期目标</w:t>
            </w:r>
          </w:p>
        </w:tc>
        <w:tc>
          <w:tcPr>
            <w:tcW w:w="3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目标实际完成情况</w:t>
            </w:r>
          </w:p>
        </w:tc>
      </w:tr>
      <w:tr>
        <w:tblPrEx>
          <w:tblCellMar>
            <w:top w:w="0" w:type="dxa"/>
            <w:left w:w="108" w:type="dxa"/>
            <w:bottom w:w="0" w:type="dxa"/>
            <w:right w:w="108" w:type="dxa"/>
          </w:tblCellMar>
        </w:tblPrEx>
        <w:trPr>
          <w:trHeight w:val="797" w:hRule="atLeast"/>
        </w:trPr>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4274" w:type="dxa"/>
            <w:gridSpan w:val="4"/>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开展灌区提灌站、渡槽等主干渠建设，与灌区工程相关的机电和监控等设备，根据灌区工程进度进行安装。</w:t>
            </w:r>
          </w:p>
        </w:tc>
        <w:tc>
          <w:tcPr>
            <w:tcW w:w="3633"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完成</w:t>
            </w:r>
          </w:p>
        </w:tc>
      </w:tr>
      <w:tr>
        <w:tblPrEx>
          <w:tblCellMar>
            <w:top w:w="0" w:type="dxa"/>
            <w:left w:w="108" w:type="dxa"/>
            <w:bottom w:w="0" w:type="dxa"/>
            <w:right w:w="108" w:type="dxa"/>
          </w:tblCellMar>
        </w:tblPrEx>
        <w:trPr>
          <w:trHeight w:val="693" w:hRule="atLeast"/>
        </w:trPr>
        <w:tc>
          <w:tcPr>
            <w:tcW w:w="1668"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年度绩效指标完成情况</w:t>
            </w:r>
          </w:p>
        </w:tc>
        <w:tc>
          <w:tcPr>
            <w:tcW w:w="1275"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一级</w:t>
            </w:r>
          </w:p>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指标</w:t>
            </w: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二级</w:t>
            </w:r>
          </w:p>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三级</w:t>
            </w:r>
          </w:p>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指标</w:t>
            </w: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预期指标值</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实际完成指标值</w:t>
            </w:r>
          </w:p>
        </w:tc>
      </w:tr>
      <w:tr>
        <w:tblPrEx>
          <w:tblCellMar>
            <w:top w:w="0" w:type="dxa"/>
            <w:left w:w="108" w:type="dxa"/>
            <w:bottom w:w="0" w:type="dxa"/>
            <w:right w:w="108" w:type="dxa"/>
          </w:tblCellMar>
        </w:tblPrEx>
        <w:trPr>
          <w:trHeight w:val="415" w:hRule="atLeast"/>
        </w:trPr>
        <w:tc>
          <w:tcPr>
            <w:tcW w:w="1668"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完成</w:t>
            </w:r>
          </w:p>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数量指标</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涉及对象覆盖率</w:t>
            </w: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100%</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100%</w:t>
            </w:r>
          </w:p>
        </w:tc>
      </w:tr>
      <w:tr>
        <w:tblPrEx>
          <w:tblCellMar>
            <w:top w:w="0" w:type="dxa"/>
            <w:left w:w="108" w:type="dxa"/>
            <w:bottom w:w="0" w:type="dxa"/>
            <w:right w:w="108" w:type="dxa"/>
          </w:tblCellMar>
        </w:tblPrEx>
        <w:trPr>
          <w:trHeight w:val="415" w:hRule="atLeast"/>
        </w:trPr>
        <w:tc>
          <w:tcPr>
            <w:tcW w:w="1668"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4"/>
                <w:szCs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质量指标</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补助资金到位</w:t>
            </w: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100%</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100%</w:t>
            </w:r>
          </w:p>
        </w:tc>
      </w:tr>
      <w:tr>
        <w:tblPrEx>
          <w:tblCellMar>
            <w:top w:w="0" w:type="dxa"/>
            <w:left w:w="108" w:type="dxa"/>
            <w:bottom w:w="0" w:type="dxa"/>
            <w:right w:w="108" w:type="dxa"/>
          </w:tblCellMar>
        </w:tblPrEx>
        <w:trPr>
          <w:trHeight w:val="415" w:hRule="atLeast"/>
        </w:trPr>
        <w:tc>
          <w:tcPr>
            <w:tcW w:w="1668"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4"/>
                <w:szCs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时效指标</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完成时间</w:t>
            </w: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2021年底</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2021年12月</w:t>
            </w:r>
          </w:p>
        </w:tc>
      </w:tr>
      <w:tr>
        <w:tblPrEx>
          <w:tblCellMar>
            <w:top w:w="0" w:type="dxa"/>
            <w:left w:w="108" w:type="dxa"/>
            <w:bottom w:w="0" w:type="dxa"/>
            <w:right w:w="108" w:type="dxa"/>
          </w:tblCellMar>
        </w:tblPrEx>
        <w:trPr>
          <w:trHeight w:val="480" w:hRule="atLeast"/>
        </w:trPr>
        <w:tc>
          <w:tcPr>
            <w:tcW w:w="1668"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4"/>
                <w:szCs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成本指标</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补助资金</w:t>
            </w: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1278.7</w:t>
            </w:r>
            <w:r>
              <w:rPr>
                <w:rFonts w:hint="eastAsia" w:ascii="仿宋_GB2312" w:hAnsi="仿宋_GB2312" w:eastAsia="仿宋_GB2312" w:cs="仿宋_GB2312"/>
                <w:kern w:val="0"/>
                <w:sz w:val="24"/>
                <w:szCs w:val="24"/>
              </w:rPr>
              <w:t>万元</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1278.7</w:t>
            </w:r>
            <w:r>
              <w:rPr>
                <w:rFonts w:hint="eastAsia" w:ascii="仿宋_GB2312" w:hAnsi="仿宋_GB2312" w:eastAsia="仿宋_GB2312" w:cs="仿宋_GB2312"/>
                <w:kern w:val="0"/>
                <w:sz w:val="24"/>
                <w:szCs w:val="24"/>
              </w:rPr>
              <w:t>万元</w:t>
            </w:r>
          </w:p>
        </w:tc>
      </w:tr>
      <w:tr>
        <w:tblPrEx>
          <w:tblCellMar>
            <w:top w:w="0" w:type="dxa"/>
            <w:left w:w="108" w:type="dxa"/>
            <w:bottom w:w="0" w:type="dxa"/>
            <w:right w:w="108" w:type="dxa"/>
          </w:tblCellMar>
        </w:tblPrEx>
        <w:trPr>
          <w:trHeight w:val="480" w:hRule="atLeast"/>
        </w:trPr>
        <w:tc>
          <w:tcPr>
            <w:tcW w:w="1668"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效益</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经济效益  指标</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提高粮食产量、提高灌区农作物和经济作物产量</w:t>
            </w: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≥90%</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完成</w:t>
            </w:r>
          </w:p>
        </w:tc>
      </w:tr>
      <w:tr>
        <w:tblPrEx>
          <w:tblCellMar>
            <w:top w:w="0" w:type="dxa"/>
            <w:left w:w="108" w:type="dxa"/>
            <w:bottom w:w="0" w:type="dxa"/>
            <w:right w:w="108" w:type="dxa"/>
          </w:tblCellMar>
        </w:tblPrEx>
        <w:trPr>
          <w:trHeight w:val="480" w:hRule="atLeast"/>
        </w:trPr>
        <w:tc>
          <w:tcPr>
            <w:tcW w:w="1668"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4"/>
                <w:szCs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社会效益  指标</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民生工程促进社会和谐稳定</w:t>
            </w: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≥90%</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完成</w:t>
            </w:r>
          </w:p>
        </w:tc>
      </w:tr>
      <w:tr>
        <w:tblPrEx>
          <w:tblCellMar>
            <w:top w:w="0" w:type="dxa"/>
            <w:left w:w="108" w:type="dxa"/>
            <w:bottom w:w="0" w:type="dxa"/>
            <w:right w:w="108" w:type="dxa"/>
          </w:tblCellMar>
        </w:tblPrEx>
        <w:trPr>
          <w:trHeight w:val="577" w:hRule="atLeast"/>
        </w:trPr>
        <w:tc>
          <w:tcPr>
            <w:tcW w:w="1668"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4"/>
                <w:szCs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423" w:leftChars="87" w:hanging="240" w:hangingChars="100"/>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生态效益  指标</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4"/>
                <w:szCs w:val="24"/>
              </w:rPr>
            </w:pP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4"/>
                <w:szCs w:val="24"/>
              </w:rPr>
            </w:pP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480" w:hRule="atLeast"/>
        </w:trPr>
        <w:tc>
          <w:tcPr>
            <w:tcW w:w="1668"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4"/>
                <w:szCs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可持续影响 指标</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4"/>
                <w:szCs w:val="24"/>
              </w:rPr>
            </w:pP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4"/>
                <w:szCs w:val="24"/>
              </w:rPr>
            </w:pP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530" w:hRule="atLeast"/>
        </w:trPr>
        <w:tc>
          <w:tcPr>
            <w:tcW w:w="1668"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满意</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度指标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满意度</w:t>
            </w:r>
          </w:p>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指标</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群众满意度</w:t>
            </w: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w:t>
            </w:r>
            <w:r>
              <w:rPr>
                <w:rFonts w:hint="eastAsia" w:ascii="仿宋_GB2312" w:hAnsi="仿宋_GB2312" w:eastAsia="仿宋_GB2312" w:cs="仿宋_GB2312"/>
                <w:kern w:val="0"/>
                <w:sz w:val="24"/>
                <w:szCs w:val="24"/>
                <w:lang w:val="en-US" w:eastAsia="zh-CN"/>
              </w:rPr>
              <w:t>8</w:t>
            </w:r>
            <w:r>
              <w:rPr>
                <w:rFonts w:hint="eastAsia" w:ascii="仿宋_GB2312" w:hAnsi="仿宋_GB2312" w:eastAsia="仿宋_GB2312" w:cs="仿宋_GB2312"/>
                <w:kern w:val="0"/>
                <w:sz w:val="24"/>
                <w:szCs w:val="24"/>
              </w:rPr>
              <w:t>%</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完成</w:t>
            </w:r>
          </w:p>
        </w:tc>
      </w:tr>
    </w:tbl>
    <w:p>
      <w:pPr>
        <w:spacing w:line="600" w:lineRule="exact"/>
        <w:jc w:val="center"/>
        <w:outlineLvl w:val="0"/>
        <w:rPr>
          <w:rFonts w:hint="eastAsia" w:ascii="黑体" w:hAnsi="黑体" w:eastAsia="黑体"/>
          <w:sz w:val="44"/>
          <w:szCs w:val="44"/>
        </w:rPr>
      </w:pPr>
      <w:bookmarkStart w:id="56" w:name="_Toc15396618"/>
    </w:p>
    <w:p>
      <w:pPr>
        <w:spacing w:line="600" w:lineRule="exact"/>
        <w:jc w:val="center"/>
        <w:outlineLvl w:val="0"/>
        <w:rPr>
          <w:rStyle w:val="25"/>
          <w:rFonts w:hint="eastAsia" w:ascii="方正小标宋_GBK" w:hAnsi="方正小标宋_GBK" w:eastAsia="方正小标宋_GBK" w:cs="方正小标宋_GBK"/>
          <w:b w:val="0"/>
        </w:rPr>
      </w:pPr>
      <w:r>
        <w:rPr>
          <w:rFonts w:hint="eastAsia" w:ascii="方正小标宋_GBK" w:hAnsi="方正小标宋_GBK" w:eastAsia="方正小标宋_GBK" w:cs="方正小标宋_GBK"/>
          <w:sz w:val="44"/>
          <w:szCs w:val="44"/>
        </w:rPr>
        <w:t>第</w:t>
      </w:r>
      <w:r>
        <w:rPr>
          <w:rStyle w:val="25"/>
          <w:rFonts w:hint="eastAsia" w:ascii="方正小标宋_GBK" w:hAnsi="方正小标宋_GBK" w:eastAsia="方正小标宋_GBK" w:cs="方正小标宋_GBK"/>
          <w:b w:val="0"/>
        </w:rPr>
        <w:t>五部分 附表</w:t>
      </w:r>
      <w:bookmarkEnd w:id="54"/>
      <w:bookmarkEnd w:id="56"/>
      <w:bookmarkStart w:id="57" w:name="_Toc15396619"/>
    </w:p>
    <w:p>
      <w:pPr>
        <w:pageBreakBefore w:val="0"/>
        <w:widowControl w:val="0"/>
        <w:kinsoku/>
        <w:wordWrap/>
        <w:overflowPunct/>
        <w:topLinePunct w:val="0"/>
        <w:autoSpaceDE/>
        <w:autoSpaceDN/>
        <w:bidi w:val="0"/>
        <w:adjustRightInd/>
        <w:snapToGrid/>
        <w:spacing w:line="560" w:lineRule="exact"/>
        <w:jc w:val="both"/>
        <w:textAlignment w:val="auto"/>
        <w:outlineLvl w:val="0"/>
        <w:rPr>
          <w:rStyle w:val="26"/>
          <w:rFonts w:hint="eastAsia" w:ascii="仿宋" w:hAnsi="仿宋" w:eastAsia="仿宋"/>
          <w:b w:val="0"/>
          <w:bCs w:val="0"/>
          <w:lang w:val="en-US" w:eastAsia="zh-CN" w:bidi="ar-SA"/>
        </w:rPr>
      </w:pPr>
    </w:p>
    <w:p>
      <w:pPr>
        <w:pageBreakBefore w:val="0"/>
        <w:widowControl w:val="0"/>
        <w:kinsoku/>
        <w:wordWrap/>
        <w:overflowPunct/>
        <w:topLinePunct w:val="0"/>
        <w:autoSpaceDE/>
        <w:autoSpaceDN/>
        <w:bidi w:val="0"/>
        <w:adjustRightInd/>
        <w:snapToGrid/>
        <w:spacing w:line="560" w:lineRule="exact"/>
        <w:jc w:val="both"/>
        <w:textAlignment w:val="auto"/>
        <w:outlineLvl w:val="0"/>
        <w:rPr>
          <w:rStyle w:val="26"/>
          <w:rFonts w:hint="eastAsia" w:ascii="仿宋_GB2312" w:hAnsi="仿宋_GB2312" w:eastAsia="仿宋_GB2312" w:cs="仿宋_GB2312"/>
          <w:b w:val="0"/>
          <w:bCs w:val="0"/>
          <w:sz w:val="32"/>
          <w:szCs w:val="32"/>
          <w:lang w:val="en-US" w:eastAsia="zh-CN" w:bidi="ar-SA"/>
        </w:rPr>
      </w:pPr>
      <w:r>
        <w:rPr>
          <w:rStyle w:val="26"/>
          <w:rFonts w:hint="eastAsia" w:ascii="仿宋_GB2312" w:hAnsi="仿宋_GB2312" w:eastAsia="仿宋_GB2312" w:cs="仿宋_GB2312"/>
          <w:b w:val="0"/>
          <w:bCs w:val="0"/>
          <w:sz w:val="32"/>
          <w:szCs w:val="32"/>
          <w:lang w:val="en-US" w:eastAsia="zh-CN" w:bidi="ar-SA"/>
        </w:rPr>
        <w:t>一、收入支出决算总表</w:t>
      </w:r>
      <w:bookmarkEnd w:id="57"/>
    </w:p>
    <w:p>
      <w:pPr>
        <w:pStyle w:val="2"/>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58" w:name="_Toc15396620"/>
      <w:r>
        <w:rPr>
          <w:rFonts w:hint="eastAsia" w:ascii="仿宋_GB2312" w:hAnsi="仿宋_GB2312" w:eastAsia="仿宋_GB2312" w:cs="仿宋_GB2312"/>
          <w:b w:val="0"/>
          <w:sz w:val="32"/>
          <w:szCs w:val="32"/>
        </w:rPr>
        <w:t>二、收</w:t>
      </w:r>
      <w:r>
        <w:rPr>
          <w:rStyle w:val="26"/>
          <w:rFonts w:hint="eastAsia" w:ascii="仿宋_GB2312" w:hAnsi="仿宋_GB2312" w:eastAsia="仿宋_GB2312" w:cs="仿宋_GB2312"/>
          <w:b w:val="0"/>
          <w:bCs w:val="0"/>
          <w:sz w:val="32"/>
          <w:szCs w:val="32"/>
        </w:rPr>
        <w:t>入决算表</w:t>
      </w:r>
      <w:bookmarkEnd w:id="58"/>
    </w:p>
    <w:p>
      <w:pPr>
        <w:pStyle w:val="2"/>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59" w:name="_Toc15396621"/>
      <w:r>
        <w:rPr>
          <w:rStyle w:val="26"/>
          <w:rFonts w:hint="eastAsia" w:ascii="仿宋_GB2312" w:hAnsi="仿宋_GB2312" w:eastAsia="仿宋_GB2312" w:cs="仿宋_GB2312"/>
          <w:b w:val="0"/>
          <w:bCs w:val="0"/>
          <w:sz w:val="32"/>
          <w:szCs w:val="32"/>
        </w:rPr>
        <w:t>三、</w:t>
      </w:r>
      <w:r>
        <w:rPr>
          <w:rFonts w:hint="eastAsia" w:ascii="仿宋_GB2312" w:hAnsi="仿宋_GB2312" w:eastAsia="仿宋_GB2312" w:cs="仿宋_GB2312"/>
          <w:b w:val="0"/>
          <w:sz w:val="32"/>
          <w:szCs w:val="32"/>
        </w:rPr>
        <w:t>支</w:t>
      </w:r>
      <w:r>
        <w:rPr>
          <w:rStyle w:val="26"/>
          <w:rFonts w:hint="eastAsia" w:ascii="仿宋_GB2312" w:hAnsi="仿宋_GB2312" w:eastAsia="仿宋_GB2312" w:cs="仿宋_GB2312"/>
          <w:b w:val="0"/>
          <w:bCs w:val="0"/>
          <w:sz w:val="32"/>
          <w:szCs w:val="32"/>
        </w:rPr>
        <w:t>出决算表</w:t>
      </w:r>
      <w:bookmarkEnd w:id="59"/>
    </w:p>
    <w:p>
      <w:pPr>
        <w:pStyle w:val="2"/>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sz w:val="32"/>
          <w:szCs w:val="32"/>
        </w:rPr>
      </w:pPr>
      <w:bookmarkStart w:id="60" w:name="_Toc15396622"/>
      <w:r>
        <w:rPr>
          <w:rStyle w:val="26"/>
          <w:rFonts w:hint="eastAsia" w:ascii="仿宋_GB2312" w:hAnsi="仿宋_GB2312" w:eastAsia="仿宋_GB2312" w:cs="仿宋_GB2312"/>
          <w:b w:val="0"/>
          <w:bCs w:val="0"/>
          <w:sz w:val="32"/>
          <w:szCs w:val="32"/>
        </w:rPr>
        <w:t>四、</w:t>
      </w:r>
      <w:r>
        <w:rPr>
          <w:rFonts w:hint="eastAsia" w:ascii="仿宋_GB2312" w:hAnsi="仿宋_GB2312" w:eastAsia="仿宋_GB2312" w:cs="仿宋_GB2312"/>
          <w:b w:val="0"/>
          <w:sz w:val="32"/>
          <w:szCs w:val="32"/>
        </w:rPr>
        <w:t>财</w:t>
      </w:r>
      <w:r>
        <w:rPr>
          <w:rStyle w:val="26"/>
          <w:rFonts w:hint="eastAsia" w:ascii="仿宋_GB2312" w:hAnsi="仿宋_GB2312" w:eastAsia="仿宋_GB2312" w:cs="仿宋_GB2312"/>
          <w:b w:val="0"/>
          <w:bCs w:val="0"/>
          <w:sz w:val="32"/>
          <w:szCs w:val="32"/>
        </w:rPr>
        <w:t>政拨款收入支出决算总表</w:t>
      </w:r>
      <w:bookmarkEnd w:id="60"/>
    </w:p>
    <w:p>
      <w:pPr>
        <w:pStyle w:val="2"/>
        <w:pageBreakBefore w:val="0"/>
        <w:widowControl w:val="0"/>
        <w:kinsoku/>
        <w:wordWrap/>
        <w:overflowPunct/>
        <w:topLinePunct w:val="0"/>
        <w:autoSpaceDE/>
        <w:autoSpaceDN/>
        <w:bidi w:val="0"/>
        <w:adjustRightInd/>
        <w:snapToGrid/>
        <w:spacing w:line="560" w:lineRule="exact"/>
        <w:textAlignment w:val="auto"/>
        <w:rPr>
          <w:rStyle w:val="26"/>
          <w:rFonts w:hint="eastAsia" w:ascii="仿宋_GB2312" w:hAnsi="仿宋_GB2312" w:eastAsia="仿宋_GB2312" w:cs="仿宋_GB2312"/>
          <w:b w:val="0"/>
          <w:bCs w:val="0"/>
          <w:sz w:val="32"/>
          <w:szCs w:val="32"/>
        </w:rPr>
      </w:pPr>
      <w:bookmarkStart w:id="61" w:name="_Toc15396623"/>
      <w:r>
        <w:rPr>
          <w:rStyle w:val="26"/>
          <w:rFonts w:hint="eastAsia" w:ascii="仿宋_GB2312" w:hAnsi="仿宋_GB2312" w:eastAsia="仿宋_GB2312" w:cs="仿宋_GB2312"/>
          <w:b w:val="0"/>
          <w:bCs w:val="0"/>
          <w:sz w:val="32"/>
          <w:szCs w:val="32"/>
        </w:rPr>
        <w:t>五、</w:t>
      </w:r>
      <w:r>
        <w:rPr>
          <w:rFonts w:hint="eastAsia" w:ascii="仿宋_GB2312" w:hAnsi="仿宋_GB2312" w:eastAsia="仿宋_GB2312" w:cs="仿宋_GB2312"/>
          <w:b w:val="0"/>
          <w:sz w:val="32"/>
          <w:szCs w:val="32"/>
        </w:rPr>
        <w:t>财</w:t>
      </w:r>
      <w:r>
        <w:rPr>
          <w:rStyle w:val="26"/>
          <w:rFonts w:hint="eastAsia" w:ascii="仿宋_GB2312" w:hAnsi="仿宋_GB2312" w:eastAsia="仿宋_GB2312" w:cs="仿宋_GB2312"/>
          <w:b w:val="0"/>
          <w:bCs w:val="0"/>
          <w:sz w:val="32"/>
          <w:szCs w:val="32"/>
        </w:rPr>
        <w:t>政拨款支出决算明细表</w:t>
      </w:r>
      <w:bookmarkEnd w:id="61"/>
      <w:bookmarkStart w:id="62" w:name="_Toc15396624"/>
    </w:p>
    <w:p>
      <w:pPr>
        <w:pStyle w:val="2"/>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Style w:val="26"/>
          <w:rFonts w:hint="eastAsia" w:ascii="仿宋_GB2312" w:hAnsi="仿宋_GB2312" w:eastAsia="仿宋_GB2312" w:cs="仿宋_GB2312"/>
          <w:b w:val="0"/>
          <w:bCs w:val="0"/>
          <w:sz w:val="32"/>
          <w:szCs w:val="32"/>
        </w:rPr>
        <w:t>六、</w:t>
      </w:r>
      <w:r>
        <w:rPr>
          <w:rFonts w:hint="eastAsia" w:ascii="仿宋_GB2312" w:hAnsi="仿宋_GB2312" w:eastAsia="仿宋_GB2312" w:cs="仿宋_GB2312"/>
          <w:b w:val="0"/>
          <w:sz w:val="32"/>
          <w:szCs w:val="32"/>
        </w:rPr>
        <w:t>一</w:t>
      </w:r>
      <w:r>
        <w:rPr>
          <w:rStyle w:val="26"/>
          <w:rFonts w:hint="eastAsia" w:ascii="仿宋_GB2312" w:hAnsi="仿宋_GB2312" w:eastAsia="仿宋_GB2312" w:cs="仿宋_GB2312"/>
          <w:b w:val="0"/>
          <w:bCs w:val="0"/>
          <w:sz w:val="32"/>
          <w:szCs w:val="32"/>
        </w:rPr>
        <w:t>般公共预算财政拨款支出决算表</w:t>
      </w:r>
      <w:bookmarkEnd w:id="62"/>
    </w:p>
    <w:p>
      <w:pPr>
        <w:pStyle w:val="2"/>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63" w:name="_Toc15396625"/>
      <w:r>
        <w:rPr>
          <w:rStyle w:val="26"/>
          <w:rFonts w:hint="eastAsia" w:ascii="仿宋_GB2312" w:hAnsi="仿宋_GB2312" w:eastAsia="仿宋_GB2312" w:cs="仿宋_GB2312"/>
          <w:b w:val="0"/>
          <w:bCs w:val="0"/>
          <w:sz w:val="32"/>
          <w:szCs w:val="32"/>
        </w:rPr>
        <w:t>七、</w:t>
      </w:r>
      <w:r>
        <w:rPr>
          <w:rFonts w:hint="eastAsia" w:ascii="仿宋_GB2312" w:hAnsi="仿宋_GB2312" w:eastAsia="仿宋_GB2312" w:cs="仿宋_GB2312"/>
          <w:b w:val="0"/>
          <w:sz w:val="32"/>
          <w:szCs w:val="32"/>
        </w:rPr>
        <w:t>一</w:t>
      </w:r>
      <w:r>
        <w:rPr>
          <w:rStyle w:val="26"/>
          <w:rFonts w:hint="eastAsia" w:ascii="仿宋_GB2312" w:hAnsi="仿宋_GB2312" w:eastAsia="仿宋_GB2312" w:cs="仿宋_GB2312"/>
          <w:b w:val="0"/>
          <w:bCs w:val="0"/>
          <w:sz w:val="32"/>
          <w:szCs w:val="32"/>
        </w:rPr>
        <w:t>般公共预算财政拨款支出决算明细表</w:t>
      </w:r>
      <w:bookmarkEnd w:id="63"/>
    </w:p>
    <w:p>
      <w:pPr>
        <w:pStyle w:val="2"/>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64" w:name="_Toc15396626"/>
      <w:r>
        <w:rPr>
          <w:rStyle w:val="26"/>
          <w:rFonts w:hint="eastAsia" w:ascii="仿宋_GB2312" w:hAnsi="仿宋_GB2312" w:eastAsia="仿宋_GB2312" w:cs="仿宋_GB2312"/>
          <w:b w:val="0"/>
          <w:bCs w:val="0"/>
          <w:sz w:val="32"/>
          <w:szCs w:val="32"/>
        </w:rPr>
        <w:t>八、</w:t>
      </w:r>
      <w:r>
        <w:rPr>
          <w:rFonts w:hint="eastAsia" w:ascii="仿宋_GB2312" w:hAnsi="仿宋_GB2312" w:eastAsia="仿宋_GB2312" w:cs="仿宋_GB2312"/>
          <w:b w:val="0"/>
          <w:sz w:val="32"/>
          <w:szCs w:val="32"/>
        </w:rPr>
        <w:t>一</w:t>
      </w:r>
      <w:r>
        <w:rPr>
          <w:rStyle w:val="26"/>
          <w:rFonts w:hint="eastAsia" w:ascii="仿宋_GB2312" w:hAnsi="仿宋_GB2312" w:eastAsia="仿宋_GB2312" w:cs="仿宋_GB2312"/>
          <w:b w:val="0"/>
          <w:bCs w:val="0"/>
          <w:sz w:val="32"/>
          <w:szCs w:val="32"/>
        </w:rPr>
        <w:t>般公共预算财政拨款基本支出决算表</w:t>
      </w:r>
      <w:bookmarkEnd w:id="64"/>
    </w:p>
    <w:p>
      <w:pPr>
        <w:pStyle w:val="2"/>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65" w:name="_Toc15396627"/>
      <w:r>
        <w:rPr>
          <w:rStyle w:val="26"/>
          <w:rFonts w:hint="eastAsia" w:ascii="仿宋_GB2312" w:hAnsi="仿宋_GB2312" w:eastAsia="仿宋_GB2312" w:cs="仿宋_GB2312"/>
          <w:b w:val="0"/>
          <w:bCs w:val="0"/>
          <w:sz w:val="32"/>
          <w:szCs w:val="32"/>
        </w:rPr>
        <w:t>九、</w:t>
      </w:r>
      <w:r>
        <w:rPr>
          <w:rFonts w:hint="eastAsia" w:ascii="仿宋_GB2312" w:hAnsi="仿宋_GB2312" w:eastAsia="仿宋_GB2312" w:cs="仿宋_GB2312"/>
          <w:b w:val="0"/>
          <w:sz w:val="32"/>
          <w:szCs w:val="32"/>
        </w:rPr>
        <w:t>一</w:t>
      </w:r>
      <w:r>
        <w:rPr>
          <w:rStyle w:val="26"/>
          <w:rFonts w:hint="eastAsia" w:ascii="仿宋_GB2312" w:hAnsi="仿宋_GB2312" w:eastAsia="仿宋_GB2312" w:cs="仿宋_GB2312"/>
          <w:b w:val="0"/>
          <w:bCs w:val="0"/>
          <w:sz w:val="32"/>
          <w:szCs w:val="32"/>
        </w:rPr>
        <w:t>般公共预算财政拨款项目支出决算表</w:t>
      </w:r>
      <w:bookmarkEnd w:id="65"/>
    </w:p>
    <w:p>
      <w:pPr>
        <w:pStyle w:val="2"/>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66" w:name="_Toc15396628"/>
      <w:r>
        <w:rPr>
          <w:rStyle w:val="26"/>
          <w:rFonts w:hint="eastAsia" w:ascii="仿宋_GB2312" w:hAnsi="仿宋_GB2312" w:eastAsia="仿宋_GB2312" w:cs="仿宋_GB2312"/>
          <w:b w:val="0"/>
          <w:bCs w:val="0"/>
          <w:sz w:val="32"/>
          <w:szCs w:val="32"/>
        </w:rPr>
        <w:t>十、</w:t>
      </w:r>
      <w:r>
        <w:rPr>
          <w:rFonts w:hint="eastAsia" w:ascii="仿宋_GB2312" w:hAnsi="仿宋_GB2312" w:eastAsia="仿宋_GB2312" w:cs="仿宋_GB2312"/>
          <w:b w:val="0"/>
          <w:sz w:val="32"/>
          <w:szCs w:val="32"/>
        </w:rPr>
        <w:t>一</w:t>
      </w:r>
      <w:r>
        <w:rPr>
          <w:rStyle w:val="26"/>
          <w:rFonts w:hint="eastAsia" w:ascii="仿宋_GB2312" w:hAnsi="仿宋_GB2312" w:eastAsia="仿宋_GB2312" w:cs="仿宋_GB2312"/>
          <w:b w:val="0"/>
          <w:bCs w:val="0"/>
          <w:sz w:val="32"/>
          <w:szCs w:val="32"/>
        </w:rPr>
        <w:t>般公共预算财政拨款“三公”经费支出决算表</w:t>
      </w:r>
      <w:bookmarkEnd w:id="66"/>
    </w:p>
    <w:p>
      <w:pPr>
        <w:pStyle w:val="2"/>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67" w:name="_Toc15396629"/>
      <w:r>
        <w:rPr>
          <w:rStyle w:val="26"/>
          <w:rFonts w:hint="eastAsia" w:ascii="仿宋_GB2312" w:hAnsi="仿宋_GB2312" w:eastAsia="仿宋_GB2312" w:cs="仿宋_GB2312"/>
          <w:b w:val="0"/>
          <w:bCs w:val="0"/>
          <w:sz w:val="32"/>
          <w:szCs w:val="32"/>
        </w:rPr>
        <w:t>十一、</w:t>
      </w:r>
      <w:r>
        <w:rPr>
          <w:rFonts w:hint="eastAsia" w:ascii="仿宋_GB2312" w:hAnsi="仿宋_GB2312" w:eastAsia="仿宋_GB2312" w:cs="仿宋_GB2312"/>
          <w:b w:val="0"/>
          <w:sz w:val="32"/>
          <w:szCs w:val="32"/>
        </w:rPr>
        <w:t>政</w:t>
      </w:r>
      <w:r>
        <w:rPr>
          <w:rStyle w:val="26"/>
          <w:rFonts w:hint="eastAsia" w:ascii="仿宋_GB2312" w:hAnsi="仿宋_GB2312" w:eastAsia="仿宋_GB2312" w:cs="仿宋_GB2312"/>
          <w:b w:val="0"/>
          <w:bCs w:val="0"/>
          <w:sz w:val="32"/>
          <w:szCs w:val="32"/>
        </w:rPr>
        <w:t>府性基金预算财政拨款收入支出决算表</w:t>
      </w:r>
      <w:bookmarkEnd w:id="67"/>
    </w:p>
    <w:p>
      <w:pPr>
        <w:pStyle w:val="2"/>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68" w:name="_Toc15396630"/>
      <w:r>
        <w:rPr>
          <w:rStyle w:val="26"/>
          <w:rFonts w:hint="eastAsia" w:ascii="仿宋_GB2312" w:hAnsi="仿宋_GB2312" w:eastAsia="仿宋_GB2312" w:cs="仿宋_GB2312"/>
          <w:b w:val="0"/>
          <w:bCs w:val="0"/>
          <w:sz w:val="32"/>
          <w:szCs w:val="32"/>
        </w:rPr>
        <w:t>十二、</w:t>
      </w:r>
      <w:r>
        <w:rPr>
          <w:rFonts w:hint="eastAsia" w:ascii="仿宋_GB2312" w:hAnsi="仿宋_GB2312" w:eastAsia="仿宋_GB2312" w:cs="仿宋_GB2312"/>
          <w:b w:val="0"/>
          <w:sz w:val="32"/>
          <w:szCs w:val="32"/>
        </w:rPr>
        <w:t>政</w:t>
      </w:r>
      <w:r>
        <w:rPr>
          <w:rStyle w:val="26"/>
          <w:rFonts w:hint="eastAsia" w:ascii="仿宋_GB2312" w:hAnsi="仿宋_GB2312" w:eastAsia="仿宋_GB2312" w:cs="仿宋_GB2312"/>
          <w:b w:val="0"/>
          <w:bCs w:val="0"/>
          <w:sz w:val="32"/>
          <w:szCs w:val="32"/>
        </w:rPr>
        <w:t>府性基金预算财政拨款“三公”经费支出决算表</w:t>
      </w:r>
      <w:bookmarkEnd w:id="68"/>
    </w:p>
    <w:p>
      <w:pPr>
        <w:pStyle w:val="2"/>
        <w:pageBreakBefore w:val="0"/>
        <w:widowControl w:val="0"/>
        <w:kinsoku/>
        <w:wordWrap/>
        <w:overflowPunct/>
        <w:topLinePunct w:val="0"/>
        <w:autoSpaceDE/>
        <w:autoSpaceDN/>
        <w:bidi w:val="0"/>
        <w:adjustRightInd/>
        <w:snapToGrid/>
        <w:spacing w:line="560" w:lineRule="exact"/>
        <w:textAlignment w:val="auto"/>
        <w:rPr>
          <w:rStyle w:val="26"/>
          <w:rFonts w:hint="eastAsia" w:ascii="仿宋_GB2312" w:hAnsi="仿宋_GB2312" w:eastAsia="仿宋_GB2312" w:cs="仿宋_GB2312"/>
          <w:b w:val="0"/>
          <w:bCs w:val="0"/>
          <w:sz w:val="32"/>
          <w:szCs w:val="32"/>
        </w:rPr>
      </w:pPr>
      <w:bookmarkStart w:id="69" w:name="_Toc15396631"/>
      <w:r>
        <w:rPr>
          <w:rStyle w:val="26"/>
          <w:rFonts w:hint="eastAsia" w:ascii="仿宋_GB2312" w:hAnsi="仿宋_GB2312" w:eastAsia="仿宋_GB2312" w:cs="仿宋_GB2312"/>
          <w:b w:val="0"/>
          <w:bCs w:val="0"/>
          <w:sz w:val="32"/>
          <w:szCs w:val="32"/>
        </w:rPr>
        <w:t>十三、</w:t>
      </w:r>
      <w:r>
        <w:rPr>
          <w:rFonts w:hint="eastAsia" w:ascii="仿宋_GB2312" w:hAnsi="仿宋_GB2312" w:eastAsia="仿宋_GB2312" w:cs="仿宋_GB2312"/>
          <w:b w:val="0"/>
          <w:sz w:val="32"/>
          <w:szCs w:val="32"/>
        </w:rPr>
        <w:t>国</w:t>
      </w:r>
      <w:r>
        <w:rPr>
          <w:rStyle w:val="26"/>
          <w:rFonts w:hint="eastAsia" w:ascii="仿宋_GB2312" w:hAnsi="仿宋_GB2312" w:eastAsia="仿宋_GB2312" w:cs="仿宋_GB2312"/>
          <w:b w:val="0"/>
          <w:bCs w:val="0"/>
          <w:sz w:val="32"/>
          <w:szCs w:val="32"/>
        </w:rPr>
        <w:t>有资本经营预算财政拨款收入支出决算表</w:t>
      </w:r>
      <w:bookmarkEnd w:id="69"/>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Style w:val="26"/>
          <w:rFonts w:hint="eastAsia" w:ascii="仿宋_GB2312" w:hAnsi="仿宋_GB2312" w:eastAsia="仿宋_GB2312" w:cs="仿宋_GB2312"/>
          <w:b w:val="0"/>
          <w:bCs w:val="0"/>
          <w:sz w:val="32"/>
          <w:szCs w:val="32"/>
        </w:rPr>
        <w:t>十四、国有资本经营预算财政拨款支出决算表</w:t>
      </w:r>
    </w:p>
    <w:sectPr>
      <w:footerReference r:id="rId5" w:type="first"/>
      <w:footerReference r:id="rId4" w:type="default"/>
      <w:pgSz w:w="11906" w:h="16838"/>
      <w:pgMar w:top="2098" w:right="1474" w:bottom="1984" w:left="1588" w:header="851" w:footer="1134" w:gutter="0"/>
      <w:pgNumType w:fmt="numberInDash"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2010601030101010101"/>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9"/>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F56DE82A"/>
    <w:multiLevelType w:val="singleLevel"/>
    <w:tmpl w:val="F56DE82A"/>
    <w:lvl w:ilvl="0" w:tentative="0">
      <w:start w:val="1"/>
      <w:numFmt w:val="chineseCounting"/>
      <w:suff w:val="nothing"/>
      <w:lvlText w:val="（%1）"/>
      <w:lvlJc w:val="left"/>
      <w:pPr>
        <w:ind w:left="410"/>
      </w:pPr>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xMDQ1ZDU5MjBkMzE3MWYyZjUwMTQwNWE4ZGQ5ZTk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40E"/>
    <w:rsid w:val="00B77EA6"/>
    <w:rsid w:val="00B81598"/>
    <w:rsid w:val="00B841F1"/>
    <w:rsid w:val="00B944D6"/>
    <w:rsid w:val="00BA60E4"/>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A2658"/>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66E0107"/>
    <w:rsid w:val="067C6FD8"/>
    <w:rsid w:val="07996F6E"/>
    <w:rsid w:val="0A2032A3"/>
    <w:rsid w:val="101860EC"/>
    <w:rsid w:val="10C055FF"/>
    <w:rsid w:val="118107EC"/>
    <w:rsid w:val="13D50BC4"/>
    <w:rsid w:val="16BB723D"/>
    <w:rsid w:val="1B7D017E"/>
    <w:rsid w:val="1BE8440E"/>
    <w:rsid w:val="1D155CEE"/>
    <w:rsid w:val="23860B96"/>
    <w:rsid w:val="240371BF"/>
    <w:rsid w:val="29FD04D3"/>
    <w:rsid w:val="2C8A61B5"/>
    <w:rsid w:val="2CE53158"/>
    <w:rsid w:val="2D395CB4"/>
    <w:rsid w:val="2DF04E50"/>
    <w:rsid w:val="301A2564"/>
    <w:rsid w:val="3093114D"/>
    <w:rsid w:val="319F7F4E"/>
    <w:rsid w:val="35840533"/>
    <w:rsid w:val="36AA5135"/>
    <w:rsid w:val="37E16F03"/>
    <w:rsid w:val="39C82149"/>
    <w:rsid w:val="39C975F1"/>
    <w:rsid w:val="3D98207C"/>
    <w:rsid w:val="44E268DA"/>
    <w:rsid w:val="4A627F82"/>
    <w:rsid w:val="4AD15C98"/>
    <w:rsid w:val="4B4F25DA"/>
    <w:rsid w:val="4BE068DB"/>
    <w:rsid w:val="4D577224"/>
    <w:rsid w:val="4EAB630A"/>
    <w:rsid w:val="4ECE2238"/>
    <w:rsid w:val="59180BC0"/>
    <w:rsid w:val="5AF92295"/>
    <w:rsid w:val="5B005B5C"/>
    <w:rsid w:val="5CAC5D4A"/>
    <w:rsid w:val="5CD71FC4"/>
    <w:rsid w:val="5F667A92"/>
    <w:rsid w:val="5FDB617F"/>
    <w:rsid w:val="63291CB2"/>
    <w:rsid w:val="64D42933"/>
    <w:rsid w:val="671D76EA"/>
    <w:rsid w:val="6C4A05C8"/>
    <w:rsid w:val="6E471CE5"/>
    <w:rsid w:val="6E7E3605"/>
    <w:rsid w:val="6FF5CC65"/>
    <w:rsid w:val="715C0E4B"/>
    <w:rsid w:val="72734D90"/>
    <w:rsid w:val="73AD73D5"/>
    <w:rsid w:val="73B6EB34"/>
    <w:rsid w:val="7836249F"/>
    <w:rsid w:val="795A758A"/>
    <w:rsid w:val="79EE5BA4"/>
    <w:rsid w:val="7A894339"/>
    <w:rsid w:val="7E19418C"/>
    <w:rsid w:val="7EEF11D3"/>
    <w:rsid w:val="7FA30C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Plain Text"/>
    <w:basedOn w:val="1"/>
    <w:unhideWhenUsed/>
    <w:qFormat/>
    <w:uiPriority w:val="0"/>
    <w:pPr>
      <w:spacing w:beforeLines="0" w:afterLines="0"/>
    </w:pPr>
    <w:rPr>
      <w:rFonts w:hint="eastAsia" w:ascii="宋体" w:hAnsi="Courier New"/>
      <w:sz w:val="21"/>
      <w:szCs w:val="24"/>
    </w:r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2"/>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收、支决算总计变动图</a:t>
            </a:r>
          </a:p>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                    </a:t>
            </a:r>
            <a:r>
              <a:t>单位：万元</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[工作簿1]Sheet1!$A$1:$A$2</c:f>
              <c:strCache>
                <c:ptCount val="2"/>
                <c:pt idx="0">
                  <c:v>2020年</c:v>
                </c:pt>
                <c:pt idx="1">
                  <c:v>2021年</c:v>
                </c:pt>
              </c:strCache>
            </c:strRef>
          </c:cat>
          <c:val>
            <c:numRef>
              <c:f>[工作簿1]Sheet1!$B$1:$B$2</c:f>
              <c:numCache>
                <c:formatCode>General</c:formatCode>
                <c:ptCount val="2"/>
                <c:pt idx="0">
                  <c:v>6550.51</c:v>
                </c:pt>
                <c:pt idx="1">
                  <c:v>1879.13</c:v>
                </c:pt>
              </c:numCache>
            </c:numRef>
          </c:val>
        </c:ser>
        <c:dLbls>
          <c:showLegendKey val="0"/>
          <c:showVal val="1"/>
          <c:showCatName val="0"/>
          <c:showSerName val="0"/>
          <c:showPercent val="0"/>
          <c:showBubbleSize val="0"/>
        </c:dLbls>
        <c:gapWidth val="219"/>
        <c:overlap val="-27"/>
        <c:axId val="650924848"/>
        <c:axId val="365886965"/>
      </c:barChart>
      <c:catAx>
        <c:axId val="65092484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5886965"/>
        <c:crosses val="autoZero"/>
        <c:auto val="1"/>
        <c:lblAlgn val="ctr"/>
        <c:lblOffset val="100"/>
        <c:noMultiLvlLbl val="0"/>
      </c:catAx>
      <c:valAx>
        <c:axId val="36588696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0924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20" baseline="0">
                <a:solidFill>
                  <a:schemeClr val="tx1">
                    <a:lumMod val="50000"/>
                    <a:lumOff val="50000"/>
                  </a:schemeClr>
                </a:solidFill>
                <a:latin typeface="+mn-lt"/>
                <a:ea typeface="+mn-ea"/>
                <a:cs typeface="+mn-cs"/>
              </a:defRPr>
            </a:pPr>
            <a:r>
              <a:t>收入决算结构图</a:t>
            </a:r>
          </a:p>
          <a:p>
            <a:pPr defTabSz="914400">
              <a:defRPr lang="zh-CN" sz="1400" b="0" i="0" u="none" strike="noStrike" kern="1200" cap="none" spc="20" baseline="0">
                <a:solidFill>
                  <a:schemeClr val="tx1">
                    <a:lumMod val="50000"/>
                    <a:lumOff val="50000"/>
                  </a:schemeClr>
                </a:solidFill>
                <a:latin typeface="+mn-lt"/>
                <a:ea typeface="+mn-ea"/>
                <a:cs typeface="+mn-cs"/>
              </a:defRPr>
            </a:pPr>
            <a:r>
              <a:t>单位：万元</a:t>
            </a:r>
          </a:p>
        </c:rich>
      </c:tx>
      <c:layout/>
      <c:overlay val="0"/>
      <c:spPr>
        <a:noFill/>
        <a:ln>
          <a:noFill/>
        </a:ln>
        <a:effectLst/>
      </c:spPr>
    </c:title>
    <c:autoTitleDeleted val="0"/>
    <c:plotArea>
      <c:layout/>
      <c:pieChart>
        <c:varyColors val="1"/>
        <c:ser>
          <c:idx val="0"/>
          <c:order val="0"/>
          <c:spPr/>
          <c:explosion val="4"/>
          <c:dPt>
            <c:idx val="0"/>
            <c:bubble3D val="0"/>
            <c:explosion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dPt>
          <c:dPt>
            <c:idx val="1"/>
            <c:bubble3D val="0"/>
            <c:explosion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dPt>
          <c:dPt>
            <c:idx val="2"/>
            <c:bubble3D val="0"/>
            <c:explosion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[工作簿1]Sheet1!$A$15:$A$17</c:f>
              <c:strCache>
                <c:ptCount val="3"/>
                <c:pt idx="0">
                  <c:v>一般公共预算财政拨款收入</c:v>
                </c:pt>
                <c:pt idx="1">
                  <c:v>政府性基金预算财政拨款收入</c:v>
                </c:pt>
                <c:pt idx="2">
                  <c:v>其他收入</c:v>
                </c:pt>
              </c:strCache>
            </c:strRef>
          </c:cat>
          <c:val>
            <c:numRef>
              <c:f>[工作簿1]Sheet1!$B$15:$B$17</c:f>
              <c:numCache>
                <c:formatCode>General</c:formatCode>
                <c:ptCount val="3"/>
                <c:pt idx="0">
                  <c:v>454.83</c:v>
                </c:pt>
                <c:pt idx="1">
                  <c:v>1307.21</c:v>
                </c:pt>
                <c:pt idx="2">
                  <c:v>0.025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20" baseline="0">
                <a:solidFill>
                  <a:schemeClr val="tx1">
                    <a:lumMod val="50000"/>
                    <a:lumOff val="50000"/>
                  </a:schemeClr>
                </a:solidFill>
                <a:latin typeface="+mn-lt"/>
                <a:ea typeface="+mn-ea"/>
                <a:cs typeface="+mn-cs"/>
              </a:defRPr>
            </a:pPr>
            <a:r>
              <a:t>支出结算结构图</a:t>
            </a:r>
          </a:p>
        </c:rich>
      </c:tx>
      <c:layout/>
      <c:overlay val="0"/>
      <c:spPr>
        <a:noFill/>
        <a:ln>
          <a:noFill/>
        </a:ln>
        <a:effectLst/>
      </c:spPr>
    </c:title>
    <c:autoTitleDeleted val="0"/>
    <c:plotArea>
      <c:layout/>
      <c:pieChart>
        <c:varyColors val="1"/>
        <c:ser>
          <c:idx val="0"/>
          <c:order val="0"/>
          <c:spPr/>
          <c:explosion val="4"/>
          <c:dPt>
            <c:idx val="0"/>
            <c:bubble3D val="0"/>
            <c:explosion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dPt>
          <c:dPt>
            <c:idx val="1"/>
            <c:bubble3D val="0"/>
            <c:explosion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[工作簿1]Sheet1!$A$35:$A$36</c:f>
              <c:strCache>
                <c:ptCount val="2"/>
                <c:pt idx="0">
                  <c:v>基本支出</c:v>
                </c:pt>
                <c:pt idx="1">
                  <c:v>项目支出</c:v>
                </c:pt>
              </c:strCache>
            </c:strRef>
          </c:cat>
          <c:val>
            <c:numRef>
              <c:f>[工作簿1]Sheet1!$B$35:$B$36</c:f>
              <c:numCache>
                <c:formatCode>General</c:formatCode>
                <c:ptCount val="2"/>
                <c:pt idx="0">
                  <c:v>386.61</c:v>
                </c:pt>
                <c:pt idx="1">
                  <c:v>1488.51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a:t>
            </a:r>
          </a:p>
          <a:p>
            <a:pPr defTabSz="914400">
              <a:defRPr lang="zh-CN" sz="1400" b="0" i="0" u="none" strike="noStrike" kern="1200" spc="0" baseline="0">
                <a:solidFill>
                  <a:schemeClr val="tx1">
                    <a:lumMod val="65000"/>
                    <a:lumOff val="35000"/>
                  </a:schemeClr>
                </a:solidFill>
                <a:latin typeface="+mn-lt"/>
                <a:ea typeface="+mn-ea"/>
                <a:cs typeface="+mn-cs"/>
              </a:defRPr>
            </a:pPr>
            <a:r>
              <a:rPr sz="1000"/>
              <a:t>单位：万元</a:t>
            </a:r>
            <a:endParaRPr sz="1000"/>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[工作簿1]Sheet1!$A$50:$A$51</c:f>
              <c:strCache>
                <c:ptCount val="2"/>
                <c:pt idx="0">
                  <c:v>2020年</c:v>
                </c:pt>
                <c:pt idx="1">
                  <c:v>2021年</c:v>
                </c:pt>
              </c:strCache>
            </c:strRef>
          </c:cat>
          <c:val>
            <c:numRef>
              <c:f>[工作簿1]Sheet1!$B$50:$B$51</c:f>
              <c:numCache>
                <c:formatCode>General</c:formatCode>
                <c:ptCount val="2"/>
                <c:pt idx="0">
                  <c:v>6546.67</c:v>
                </c:pt>
                <c:pt idx="1">
                  <c:v>1875.39</c:v>
                </c:pt>
              </c:numCache>
            </c:numRef>
          </c:val>
        </c:ser>
        <c:dLbls>
          <c:showLegendKey val="0"/>
          <c:showVal val="1"/>
          <c:showCatName val="0"/>
          <c:showSerName val="0"/>
          <c:showPercent val="0"/>
          <c:showBubbleSize val="0"/>
        </c:dLbls>
        <c:gapWidth val="150"/>
        <c:overlap val="0"/>
        <c:axId val="844041720"/>
        <c:axId val="230962671"/>
      </c:barChart>
      <c:catAx>
        <c:axId val="8440417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0962671"/>
        <c:crosses val="autoZero"/>
        <c:auto val="1"/>
        <c:lblAlgn val="ctr"/>
        <c:lblOffset val="100"/>
        <c:noMultiLvlLbl val="0"/>
      </c:catAx>
      <c:valAx>
        <c:axId val="2309626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4041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一般公共预算财政拨款支出决算变动图</a:t>
            </a:r>
          </a:p>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manualLayout>
          <c:xMode val="edge"/>
          <c:yMode val="edge"/>
          <c:x val="0.105947351316217"/>
          <c:y val="0.0723518940215426"/>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[工作簿1]Sheet1!$A$67:$A$68</c:f>
              <c:strCache>
                <c:ptCount val="2"/>
                <c:pt idx="0">
                  <c:v>2020年</c:v>
                </c:pt>
                <c:pt idx="1">
                  <c:v>2021年</c:v>
                </c:pt>
              </c:strCache>
            </c:strRef>
          </c:cat>
          <c:val>
            <c:numRef>
              <c:f>[工作簿1]Sheet1!$B$67:$B$68</c:f>
              <c:numCache>
                <c:formatCode>General</c:formatCode>
                <c:ptCount val="2"/>
                <c:pt idx="0">
                  <c:v>1108.42</c:v>
                </c:pt>
                <c:pt idx="1">
                  <c:v>567.08</c:v>
                </c:pt>
              </c:numCache>
            </c:numRef>
          </c:val>
        </c:ser>
        <c:dLbls>
          <c:showLegendKey val="0"/>
          <c:showVal val="1"/>
          <c:showCatName val="0"/>
          <c:showSerName val="0"/>
          <c:showPercent val="0"/>
          <c:showBubbleSize val="0"/>
        </c:dLbls>
        <c:gapWidth val="219"/>
        <c:overlap val="-27"/>
        <c:axId val="538370826"/>
        <c:axId val="732692892"/>
      </c:barChart>
      <c:catAx>
        <c:axId val="53837082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2692892"/>
        <c:crosses val="autoZero"/>
        <c:auto val="1"/>
        <c:lblAlgn val="ctr"/>
        <c:lblOffset val="100"/>
        <c:noMultiLvlLbl val="0"/>
      </c:catAx>
      <c:valAx>
        <c:axId val="7326928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837082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mn-cs"/>
              </a:defRPr>
            </a:pPr>
            <a:r>
              <a:t>一般公共预算财政拨款支出决算结构图</a:t>
            </a:r>
          </a:p>
          <a:p>
            <a:pPr defTabSz="914400">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mn-cs"/>
              </a:defRPr>
            </a:pPr>
          </a:p>
        </c:rich>
      </c:tx>
      <c:layout>
        <c:manualLayout>
          <c:xMode val="edge"/>
          <c:yMode val="edge"/>
          <c:x val="0.111464948682089"/>
          <c:y val="0.0376626341018032"/>
        </c:manualLayout>
      </c:layout>
      <c:overlay val="0"/>
      <c:spPr>
        <a:noFill/>
        <a:ln>
          <a:noFill/>
        </a:ln>
        <a:effectLst/>
      </c:spPr>
    </c:title>
    <c:autoTitleDeleted val="0"/>
    <c:plotArea>
      <c:layout/>
      <c:pieChart>
        <c:varyColors val="1"/>
        <c:ser>
          <c:idx val="0"/>
          <c:order val="0"/>
          <c:spPr>
            <a:ln w="19050">
              <a:noFill/>
            </a:ln>
            <a:effectLst>
              <a:outerShdw blurRad="50800" dist="38100" dir="2700000" algn="tl" rotWithShape="0">
                <a:prstClr val="black">
                  <a:alpha val="40000"/>
                </a:prstClr>
              </a:outerShdw>
            </a:effectLst>
          </c:spPr>
          <c:explosion val="4"/>
          <c:dPt>
            <c:idx val="0"/>
            <c:bubble3D val="0"/>
            <c:explosion val="0"/>
            <c:spPr>
              <a:solidFill>
                <a:srgbClr val="C7C114"/>
              </a:solidFill>
              <a:ln w="19050">
                <a:noFill/>
              </a:ln>
              <a:effectLst>
                <a:outerShdw blurRad="50800" dist="38100" dir="2700000" algn="tl" rotWithShape="0">
                  <a:prstClr val="black">
                    <a:alpha val="40000"/>
                  </a:prstClr>
                </a:outerShdw>
              </a:effectLst>
            </c:spPr>
          </c:dPt>
          <c:dPt>
            <c:idx val="1"/>
            <c:bubble3D val="0"/>
            <c:explosion val="0"/>
            <c:spPr>
              <a:solidFill>
                <a:srgbClr val="77B50D"/>
              </a:solidFill>
              <a:ln w="19050">
                <a:noFill/>
              </a:ln>
              <a:effectLst>
                <a:outerShdw blurRad="50800" dist="38100" dir="2700000" algn="tl" rotWithShape="0">
                  <a:prstClr val="black">
                    <a:alpha val="40000"/>
                  </a:prstClr>
                </a:outerShdw>
              </a:effectLst>
            </c:spPr>
          </c:dPt>
          <c:dPt>
            <c:idx val="2"/>
            <c:bubble3D val="0"/>
            <c:explosion val="0"/>
            <c:spPr>
              <a:solidFill>
                <a:srgbClr val="2CA308"/>
              </a:solidFill>
              <a:ln w="19050">
                <a:noFill/>
              </a:ln>
              <a:effectLst>
                <a:outerShdw blurRad="50800" dist="38100" dir="2700000" algn="tl" rotWithShape="0">
                  <a:prstClr val="black">
                    <a:alpha val="40000"/>
                  </a:prstClr>
                </a:outerShdw>
              </a:effectLst>
            </c:spPr>
          </c:dPt>
          <c:dPt>
            <c:idx val="3"/>
            <c:bubble3D val="0"/>
            <c:explosion val="0"/>
            <c:spPr>
              <a:solidFill>
                <a:srgbClr val="03911B"/>
              </a:solidFill>
              <a:ln w="19050">
                <a:noFill/>
              </a:ln>
              <a:effectLst>
                <a:outerShdw blurRad="50800" dist="38100" dir="2700000" algn="tl" rotWithShape="0">
                  <a:prstClr val="black">
                    <a:alpha val="40000"/>
                  </a:prstClr>
                </a:outerShdw>
              </a:effectLst>
            </c:spPr>
          </c:dPt>
          <c:dLbls>
            <c:numFmt formatCode="General" sourceLinked="1"/>
            <c:spPr>
              <a:noFill/>
              <a:ln>
                <a:noFill/>
              </a:ln>
              <a:effectLst/>
            </c:spPr>
            <c:txPr>
              <a:bodyPr rot="0" spcFirstLastPara="0" vertOverflow="ellipsis" vert="horz" wrap="square" lIns="38100" tIns="19050" rIns="38100" bIns="19050" anchor="ctr" anchorCtr="1" forceAA="0">
                <a:spAutoFit/>
              </a:bodyPr>
              <a:lstStyle/>
              <a:p>
                <a:pPr>
                  <a:defRPr lang="zh-CN" sz="900" b="0" i="0" u="none" strike="noStrike" kern="1200" baseline="0">
                    <a:solidFill>
                      <a:schemeClr val="bg1"/>
                    </a:solidFill>
                    <a:latin typeface="微软雅黑" panose="020B0503020204020204" charset="-122"/>
                    <a:ea typeface="微软雅黑" panose="020B0503020204020204" charset="-122"/>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[工作簿1]Sheet1!$A$96:$A$99</c:f>
              <c:strCache>
                <c:ptCount val="4"/>
                <c:pt idx="0">
                  <c:v>社会保障和就业支出</c:v>
                </c:pt>
                <c:pt idx="1">
                  <c:v>卫生健康支出</c:v>
                </c:pt>
                <c:pt idx="2">
                  <c:v>农林水支出</c:v>
                </c:pt>
                <c:pt idx="3">
                  <c:v>住房保障支出</c:v>
                </c:pt>
              </c:strCache>
            </c:strRef>
          </c:cat>
          <c:val>
            <c:numRef>
              <c:f>[工作簿1]Sheet1!$B$96:$B$99</c:f>
              <c:numCache>
                <c:formatCode>General</c:formatCode>
                <c:ptCount val="4"/>
                <c:pt idx="0">
                  <c:v>40.48</c:v>
                </c:pt>
                <c:pt idx="1">
                  <c:v>18.4</c:v>
                </c:pt>
                <c:pt idx="2">
                  <c:v>479.08</c:v>
                </c:pt>
                <c:pt idx="3">
                  <c:v>30.22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gradFill flip="none" rotWithShape="1">
      <a:gsLst>
        <a:gs pos="0">
          <a:schemeClr val="bg1">
            <a:lumMod val="95000"/>
          </a:schemeClr>
        </a:gs>
        <a:gs pos="100000">
          <a:schemeClr val="bg1">
            <a:lumMod val="50000"/>
          </a:schemeClr>
        </a:gs>
      </a:gsLst>
      <a:path path="circle">
        <a:fillToRect l="50000" t="50000" r="50000" b="50000"/>
      </a:path>
      <a:tileRect/>
    </a:gra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65</Pages>
  <Words>24143</Words>
  <Characters>27867</Characters>
  <Lines>57</Lines>
  <Paragraphs>16</Paragraphs>
  <TotalTime>59</TotalTime>
  <ScaleCrop>false</ScaleCrop>
  <LinksUpToDate>false</LinksUpToDate>
  <CharactersWithSpaces>28056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爱在浪漫中舞蹈</cp:lastModifiedBy>
  <cp:lastPrinted>2022-08-08T09:11:00Z</cp:lastPrinted>
  <dcterms:modified xsi:type="dcterms:W3CDTF">2023-10-17T01:18:15Z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D9DB756A2AFE41FAB421CACE5690F340</vt:lpwstr>
  </property>
</Properties>
</file>