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475"/>
      <w:bookmarkStart w:id="1" w:name="_Toc15377425"/>
      <w:bookmarkStart w:id="2" w:name="_Toc15396597"/>
      <w:bookmarkStart w:id="3" w:name="_Toc15377193"/>
      <w:bookmarkStart w:id="4" w:name="_Toc15378441"/>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2309"/>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6"/>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8442"/>
      <w:bookmarkStart w:id="8" w:name="_Toc15396476"/>
      <w:bookmarkStart w:id="9" w:name="_Toc15377426"/>
      <w:bookmarkStart w:id="10" w:name="_Toc15396598"/>
      <w:bookmarkStart w:id="11" w:name="_Toc15377194"/>
      <w:bookmarkStart w:id="12" w:name="_Toc15306268"/>
      <w:bookmarkStart w:id="13" w:name="_Toc30233"/>
      <w:r>
        <w:rPr>
          <w:rFonts w:hint="eastAsia" w:ascii="方正小标宋简体" w:hAnsi="方正小标宋简体" w:eastAsia="方正小标宋简体" w:cs="方正小标宋简体"/>
          <w:sz w:val="72"/>
          <w:szCs w:val="72"/>
        </w:rPr>
        <w:t>四川省攀枝花市西区公务服务中心部门决算</w:t>
      </w:r>
      <w:bookmarkEnd w:id="7"/>
      <w:bookmarkEnd w:id="8"/>
      <w:bookmarkEnd w:id="9"/>
      <w:bookmarkEnd w:id="10"/>
      <w:bookmarkEnd w:id="11"/>
      <w:bookmarkEnd w:id="12"/>
      <w:bookmarkEnd w:id="13"/>
    </w:p>
    <w:p>
      <w:pPr>
        <w:adjustRightInd w:val="0"/>
        <w:snapToGrid w:val="0"/>
        <w:spacing w:line="360" w:lineRule="auto"/>
        <w:jc w:val="center"/>
        <w:outlineLvl w:val="0"/>
        <w:rPr>
          <w:rFonts w:ascii="黑体" w:hAnsi="黑体" w:eastAsia="黑体"/>
          <w:sz w:val="48"/>
          <w:szCs w:val="48"/>
        </w:rPr>
      </w:pPr>
      <w:r>
        <w:rPr>
          <w:rFonts w:ascii="方正小标宋简体" w:hAnsi="宋体" w:eastAsia="方正小标宋简体"/>
          <w:sz w:val="36"/>
          <w:szCs w:val="36"/>
        </w:rPr>
        <w:br w:type="page"/>
      </w:r>
      <w:bookmarkStart w:id="14" w:name="_Toc386"/>
      <w:r>
        <w:rPr>
          <w:rFonts w:hint="eastAsia" w:ascii="黑体" w:hAnsi="黑体" w:eastAsia="黑体"/>
          <w:sz w:val="48"/>
          <w:szCs w:val="48"/>
        </w:rPr>
        <w:t>目录</w:t>
      </w:r>
      <w:bookmarkEnd w:id="14"/>
    </w:p>
    <w:p>
      <w:pPr>
        <w:widowControl/>
        <w:jc w:val="center"/>
        <w:rPr>
          <w:rFonts w:ascii="黑体" w:hAnsi="黑体" w:eastAsia="黑体" w:cstheme="minorBidi"/>
          <w:sz w:val="28"/>
          <w:szCs w:val="28"/>
        </w:rPr>
      </w:pPr>
    </w:p>
    <w:p>
      <w:pPr>
        <w:pStyle w:val="11"/>
      </w:pPr>
      <w:r>
        <w:rPr>
          <w:rFonts w:hint="eastAsia"/>
        </w:rPr>
        <w:t>公开时间：2022年</w:t>
      </w:r>
      <w:r>
        <w:rPr>
          <w:rFonts w:hint="eastAsia"/>
          <w:lang w:val="en-US" w:eastAsia="zh-CN"/>
        </w:rPr>
        <w:t>9</w:t>
      </w:r>
      <w:r>
        <w:rPr>
          <w:rFonts w:hint="eastAsia"/>
        </w:rPr>
        <w:t>月29日</w:t>
      </w:r>
    </w:p>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...................................................4</w:t>
      </w:r>
    </w:p>
    <w:p>
      <w:pPr>
        <w:pStyle w:val="11"/>
        <w:adjustRightInd w:val="0"/>
        <w:snapToGrid w:val="0"/>
        <w:spacing w:before="0" w:line="440" w:lineRule="exact"/>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一、基本职能及主要工作......................................................................................4</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...........................................................................................................7</w:t>
      </w:r>
    </w:p>
    <w:p>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2021年度部门决算情况说明</w:t>
      </w:r>
      <w:r>
        <w:rPr>
          <w:rFonts w:hint="eastAsia"/>
          <w:sz w:val="24"/>
          <w:lang w:val="en-US" w:eastAsia="zh-CN"/>
        </w:rPr>
        <w:t>..................................8</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...........................................................................8</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...........................................................................................8</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...........................................................................................9</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...........................................................9</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.................................................10</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.........................................12</w:t>
      </w:r>
    </w:p>
    <w:p>
      <w:pPr>
        <w:adjustRightInd w:val="0"/>
        <w:snapToGrid w:val="0"/>
        <w:spacing w:line="440" w:lineRule="exact"/>
        <w:ind w:firstLine="420" w:firstLineChars="175"/>
        <w:jc w:val="left"/>
        <w:rPr>
          <w:rFonts w:hint="default" w:ascii="仿宋" w:hAnsi="仿宋" w:eastAsia="宋体" w:cstheme="minorBidi"/>
          <w:sz w:val="24"/>
          <w:lang w:val="en-US" w:eastAsia="zh-CN"/>
        </w:rPr>
      </w:pPr>
      <w:r>
        <w:rPr>
          <w:rFonts w:hint="eastAsia"/>
          <w:sz w:val="24"/>
        </w:rPr>
        <w:t>七、“三公”经费财政拨款支出决算情况说明</w:t>
      </w:r>
      <w:r>
        <w:rPr>
          <w:rFonts w:hint="eastAsia"/>
          <w:sz w:val="24"/>
          <w:lang w:val="en-US" w:eastAsia="zh-CN"/>
        </w:rPr>
        <w:t>.................................................12</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w:t>
      </w:r>
      <w:r>
        <w:rPr>
          <w:rFonts w:hint="eastAsia" w:ascii="Times New Roman" w:hAnsi="Times New Roman" w:eastAsia="宋体" w:cs="Times New Roman"/>
          <w:kern w:val="2"/>
          <w:sz w:val="24"/>
          <w:szCs w:val="24"/>
          <w:lang w:val="en-US" w:eastAsia="zh-CN" w:bidi="ar-SA"/>
        </w:rPr>
        <w:t>支出决算情况说明.............................................................</w:t>
      </w:r>
      <w:r>
        <w:rPr>
          <w:rFonts w:hint="eastAsia" w:cs="Times New Roman"/>
          <w:kern w:val="2"/>
          <w:sz w:val="24"/>
          <w:szCs w:val="24"/>
          <w:lang w:val="en-US" w:eastAsia="zh-CN" w:bidi="ar-SA"/>
        </w:rPr>
        <w:t>14</w:t>
      </w:r>
    </w:p>
    <w:p>
      <w:pPr>
        <w:pStyle w:val="12"/>
        <w:adjustRightInd w:val="0"/>
        <w:snapToGrid w:val="0"/>
        <w:spacing w:line="440" w:lineRule="exact"/>
        <w:jc w:val="left"/>
        <w:rPr>
          <w:rFonts w:hint="default"/>
          <w:sz w:val="24"/>
          <w:lang w:val="en-US" w:eastAsia="zh-CN"/>
        </w:rPr>
      </w:pPr>
      <w:r>
        <w:rPr>
          <w:rFonts w:hint="eastAsia"/>
          <w:sz w:val="24"/>
        </w:rPr>
        <w:t>九、国有资本经营预算支出决算</w:t>
      </w:r>
      <w:r>
        <w:rPr>
          <w:rFonts w:hint="eastAsia"/>
          <w:sz w:val="24"/>
          <w:lang w:eastAsia="zh-CN"/>
        </w:rPr>
        <w:t>情况说明</w:t>
      </w:r>
      <w:r>
        <w:rPr>
          <w:rFonts w:hint="eastAsia"/>
          <w:sz w:val="24"/>
          <w:lang w:val="en-US" w:eastAsia="zh-CN"/>
        </w:rPr>
        <w:t>........................................................14</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十、其他重要事项的情况说明..............................</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14</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..................................................16</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......................................................20</w:t>
      </w:r>
    </w:p>
    <w:p>
      <w:pPr>
        <w:pStyle w:val="11"/>
        <w:adjustRightInd w:val="0"/>
        <w:snapToGrid w:val="0"/>
        <w:spacing w:before="0" w:line="440" w:lineRule="exact"/>
        <w:jc w:val="left"/>
        <w:rPr>
          <w:rFonts w:hint="default"/>
          <w:sz w:val="24"/>
          <w:lang w:val="en-US" w:eastAsia="zh-CN"/>
        </w:rPr>
      </w:pPr>
      <w:r>
        <w:rPr>
          <w:rFonts w:hint="eastAsia"/>
          <w:sz w:val="24"/>
        </w:rPr>
        <w:t>第五部分 附表</w:t>
      </w:r>
      <w:r>
        <w:rPr>
          <w:rFonts w:hint="eastAsia"/>
          <w:sz w:val="24"/>
          <w:lang w:val="en-US" w:eastAsia="zh-CN"/>
        </w:rPr>
        <w:t>......................................................28</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一、</w:t>
      </w:r>
      <w:r>
        <w:rPr>
          <w:rFonts w:hint="eastAsia" w:ascii="Times New Roman" w:hAnsi="Times New Roman" w:eastAsia="宋体" w:cs="Times New Roman"/>
          <w:kern w:val="2"/>
          <w:sz w:val="24"/>
          <w:szCs w:val="24"/>
          <w:lang w:val="en-US" w:eastAsia="zh-CN" w:bidi="ar-SA"/>
        </w:rPr>
        <w:t>收入支出决算总表........................................................................................2</w:t>
      </w:r>
      <w:r>
        <w:rPr>
          <w:rFonts w:hint="eastAsia"/>
          <w:sz w:val="24"/>
          <w:lang w:val="en-US" w:eastAsia="zh-CN"/>
        </w:rPr>
        <w:t>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sz w:val="24"/>
        </w:rPr>
        <w:t>二</w:t>
      </w:r>
      <w:r>
        <w:rPr>
          <w:rFonts w:hint="eastAsia" w:ascii="Times New Roman" w:hAnsi="Times New Roman" w:eastAsia="宋体" w:cs="Times New Roman"/>
          <w:kern w:val="2"/>
          <w:sz w:val="24"/>
          <w:szCs w:val="24"/>
          <w:lang w:val="en-US" w:eastAsia="zh-CN" w:bidi="ar-SA"/>
        </w:rPr>
        <w:t>、收入决算表..................................................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sz w:val="24"/>
        </w:rPr>
        <w:t>三、支</w:t>
      </w:r>
      <w:r>
        <w:rPr>
          <w:rFonts w:hint="eastAsia" w:ascii="Times New Roman" w:hAnsi="Times New Roman" w:eastAsia="宋体" w:cs="Times New Roman"/>
          <w:kern w:val="2"/>
          <w:sz w:val="24"/>
          <w:szCs w:val="24"/>
          <w:lang w:val="en-US" w:eastAsia="zh-CN" w:bidi="ar-SA"/>
        </w:rPr>
        <w:t>出决算表......................................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四、财政拨款收入支出决算总表..............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五、财政拨款支出决算明细表................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六、一般公共预算财政拨款支出决算表..............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七、一般公共预算财政拨款支出决算明细表....................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八、一般公共预算财政拨款基本支出决算表..........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九、一般公共预算财政拨款项目支出决算表..............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十、一般公共预算财政拨款“三公”经费支出决算表..............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十一、政府性基金预算财政拨款收入支出决算表.............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十二、政府性基金预算财政拨款“三公”经费支出决算表.......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十三、国有资本经营预算财政拨款收入支出决算表.............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.......28</w:t>
      </w:r>
    </w:p>
    <w:p>
      <w:pPr>
        <w:adjustRightInd w:val="0"/>
        <w:snapToGrid w:val="0"/>
        <w:spacing w:line="440" w:lineRule="exact"/>
        <w:ind w:firstLine="420" w:firstLineChars="175"/>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十四、国有资本经营预算财政拨款支出决算表............</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28</w:t>
      </w:r>
    </w:p>
    <w:p>
      <w:pPr>
        <w:adjustRightInd w:val="0"/>
        <w:snapToGrid w:val="0"/>
        <w:spacing w:line="440" w:lineRule="exact"/>
        <w:ind w:firstLine="420" w:firstLineChars="175"/>
        <w:jc w:val="left"/>
        <w:rPr>
          <w:rFonts w:hint="eastAsia" w:ascii="Times New Roman" w:hAnsi="Times New Roman" w:eastAsia="宋体" w:cs="Times New Roman"/>
          <w:kern w:val="2"/>
          <w:sz w:val="24"/>
          <w:szCs w:val="24"/>
          <w:lang w:val="en-US" w:eastAsia="zh-CN" w:bidi="ar-SA"/>
        </w:rPr>
      </w:pPr>
    </w:p>
    <w:p>
      <w:pPr>
        <w:adjustRightInd w:val="0"/>
        <w:snapToGrid w:val="0"/>
        <w:spacing w:line="440" w:lineRule="exact"/>
        <w:ind w:firstLine="420" w:firstLineChars="175"/>
        <w:jc w:val="left"/>
        <w:rPr>
          <w:rFonts w:ascii="仿宋" w:hAnsi="仿宋" w:eastAsia="仿宋"/>
          <w:sz w:val="24"/>
          <w:highlight w:val="yellow"/>
        </w:rPr>
      </w:pPr>
    </w:p>
    <w:p>
      <w:pPr>
        <w:pStyle w:val="2"/>
        <w:rPr>
          <w:rFonts w:ascii="仿宋" w:hAnsi="仿宋" w:eastAsia="仿宋"/>
          <w:sz w:val="24"/>
          <w:highlight w:val="none"/>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rPr>
          <w:rFonts w:ascii="仿宋" w:hAnsi="仿宋" w:eastAsia="仿宋"/>
          <w:sz w:val="24"/>
          <w:highlight w:val="yellow"/>
        </w:rPr>
      </w:pPr>
    </w:p>
    <w:p>
      <w:pPr>
        <w:pStyle w:val="2"/>
        <w:rPr>
          <w:rFonts w:ascii="仿宋" w:hAnsi="仿宋" w:eastAsia="仿宋"/>
          <w:sz w:val="24"/>
          <w:highlight w:val="yellow"/>
        </w:rPr>
      </w:pPr>
    </w:p>
    <w:p>
      <w:pPr>
        <w:pStyle w:val="2"/>
      </w:pPr>
    </w:p>
    <w:p>
      <w:pPr>
        <w:widowControl/>
        <w:spacing w:line="440" w:lineRule="exact"/>
        <w:jc w:val="left"/>
        <w:rPr>
          <w:rFonts w:ascii="仿宋" w:hAnsi="仿宋" w:eastAsia="仿宋"/>
          <w:bCs/>
          <w:kern w:val="44"/>
          <w:sz w:val="24"/>
        </w:rPr>
      </w:pPr>
      <w:bookmarkStart w:id="15" w:name="_Toc15396599"/>
      <w:bookmarkStart w:id="16" w:name="_Toc15377196"/>
      <w:r>
        <w:rPr>
          <w:rFonts w:ascii="仿宋" w:hAnsi="仿宋" w:eastAsia="仿宋"/>
          <w:b/>
          <w:sz w:val="24"/>
        </w:rPr>
        <w:br w:type="page"/>
      </w:r>
    </w:p>
    <w:p>
      <w:pPr>
        <w:pStyle w:val="3"/>
        <w:jc w:val="center"/>
        <w:rPr>
          <w:rFonts w:ascii="黑体" w:eastAsia="黑体"/>
          <w:sz w:val="32"/>
          <w:szCs w:val="32"/>
        </w:rPr>
      </w:pPr>
      <w:bookmarkStart w:id="17" w:name="_Toc4567"/>
      <w:r>
        <w:rPr>
          <w:rFonts w:hint="eastAsia" w:ascii="黑体" w:hAnsi="黑体" w:eastAsia="黑体"/>
          <w:b w:val="0"/>
        </w:rPr>
        <w:t xml:space="preserve">第一部分 </w:t>
      </w:r>
      <w:r>
        <w:rPr>
          <w:rStyle w:val="25"/>
          <w:rFonts w:hint="eastAsia" w:ascii="黑体" w:hAnsi="黑体" w:eastAsia="黑体"/>
          <w:b w:val="0"/>
          <w:bCs w:val="0"/>
        </w:rPr>
        <w:t>部门概</w:t>
      </w:r>
      <w:bookmarkEnd w:id="15"/>
      <w:bookmarkEnd w:id="16"/>
      <w:r>
        <w:rPr>
          <w:rStyle w:val="25"/>
          <w:rFonts w:hint="eastAsia" w:ascii="黑体" w:hAnsi="黑体" w:eastAsia="黑体"/>
          <w:b w:val="0"/>
          <w:bCs w:val="0"/>
          <w:lang w:eastAsia="zh-CN"/>
        </w:rPr>
        <w:t>况</w:t>
      </w:r>
      <w:bookmarkEnd w:id="17"/>
    </w:p>
    <w:p>
      <w:pPr>
        <w:pStyle w:val="4"/>
        <w:rPr>
          <w:rStyle w:val="26"/>
          <w:rFonts w:ascii="仿宋" w:hAnsi="仿宋" w:eastAsia="仿宋"/>
          <w:b w:val="0"/>
          <w:bCs w:val="0"/>
        </w:rPr>
      </w:pPr>
      <w:bookmarkStart w:id="18" w:name="_Toc15377197"/>
      <w:bookmarkStart w:id="19"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8"/>
      <w:bookmarkEnd w:id="19"/>
    </w:p>
    <w:p>
      <w:pPr>
        <w:pStyle w:val="6"/>
        <w:adjustRightInd w:val="0"/>
        <w:snapToGrid w:val="0"/>
        <w:spacing w:before="93" w:line="600" w:lineRule="exact"/>
        <w:outlineLvl w:val="2"/>
        <w:rPr>
          <w:rFonts w:hint="eastAsia" w:ascii="仿宋" w:hAnsi="仿宋" w:eastAsia="仿宋"/>
          <w:bCs/>
          <w:sz w:val="32"/>
          <w:szCs w:val="32"/>
        </w:rPr>
      </w:pPr>
      <w:bookmarkStart w:id="20" w:name="_Toc15378445"/>
      <w:bookmarkStart w:id="21" w:name="_Toc15377198"/>
      <w:r>
        <w:rPr>
          <w:rFonts w:hint="eastAsia" w:ascii="仿宋" w:hAnsi="仿宋" w:eastAsia="仿宋"/>
          <w:bCs/>
          <w:sz w:val="32"/>
          <w:szCs w:val="32"/>
          <w:lang w:val="en-US" w:eastAsia="zh-CN"/>
        </w:rPr>
        <w:t xml:space="preserve">   </w:t>
      </w:r>
      <w:r>
        <w:rPr>
          <w:rFonts w:hint="eastAsia" w:ascii="仿宋" w:hAnsi="仿宋" w:eastAsia="仿宋"/>
          <w:bCs/>
          <w:sz w:val="32"/>
          <w:szCs w:val="32"/>
        </w:rPr>
        <w:t>（一）主要职能。</w:t>
      </w:r>
      <w:bookmarkEnd w:id="20"/>
      <w:bookmarkEnd w:id="21"/>
    </w:p>
    <w:p>
      <w:pPr>
        <w:pStyle w:val="6"/>
        <w:adjustRightInd w:val="0"/>
        <w:snapToGrid w:val="0"/>
        <w:spacing w:before="93" w:line="600" w:lineRule="exact"/>
        <w:ind w:firstLine="640"/>
        <w:outlineLvl w:val="2"/>
        <w:rPr>
          <w:rFonts w:hint="eastAsia" w:ascii="仿宋" w:hAnsi="仿宋" w:eastAsia="仿宋"/>
          <w:bCs/>
          <w:sz w:val="32"/>
          <w:szCs w:val="32"/>
          <w:lang w:eastAsia="zh-CN"/>
        </w:rPr>
      </w:pPr>
      <w:r>
        <w:rPr>
          <w:rFonts w:hAnsi="Times New Roman" w:eastAsia="仿宋_GB2312"/>
          <w:color w:val="000000"/>
          <w:sz w:val="32"/>
          <w:szCs w:val="32"/>
        </w:rPr>
        <w:t>承办区委、区政府领导有关公务服务工作的批示和决定，以及区委、区政府及有关部门转由公务服务中心办理的事项；完成区委、区人大、区政府、区政协四大班子及友邻市、县（区）来西区考察工作的公务服务工作；负责区内公务服务的组织、协调、指导、检查、督促，对区属各部门、各乡镇公务服务工作进行业务指导；协助落实在西区召开的省级及市内大型会议及各项大型重要活动的公务服务工作；负责安排到西区进行投资、洽谈业务等大型活动的服务工作</w:t>
      </w:r>
      <w:bookmarkStart w:id="22" w:name="_Toc15378446"/>
      <w:bookmarkStart w:id="23" w:name="_Toc15377199"/>
      <w:r>
        <w:rPr>
          <w:rFonts w:hint="eastAsia" w:ascii="仿宋" w:hAnsi="仿宋" w:eastAsia="仿宋"/>
          <w:bCs/>
          <w:sz w:val="32"/>
          <w:szCs w:val="32"/>
          <w:lang w:eastAsia="zh-CN"/>
        </w:rPr>
        <w:t>。</w:t>
      </w:r>
    </w:p>
    <w:p>
      <w:pPr>
        <w:pStyle w:val="6"/>
        <w:adjustRightInd w:val="0"/>
        <w:snapToGrid w:val="0"/>
        <w:spacing w:before="93" w:line="600" w:lineRule="exact"/>
        <w:ind w:firstLine="640"/>
        <w:outlineLvl w:val="2"/>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22"/>
      <w:bookmarkEnd w:id="23"/>
    </w:p>
    <w:p>
      <w:pPr>
        <w:spacing w:line="560" w:lineRule="exact"/>
        <w:ind w:firstLine="640" w:firstLineChars="200"/>
        <w:rPr>
          <w:rFonts w:eastAsia="楷体_GB2312"/>
          <w:sz w:val="32"/>
          <w:szCs w:val="32"/>
        </w:rPr>
      </w:pPr>
      <w:r>
        <w:rPr>
          <w:rFonts w:hint="eastAsia" w:eastAsia="楷体_GB2312"/>
          <w:sz w:val="32"/>
          <w:szCs w:val="32"/>
          <w:lang w:val="en-US" w:eastAsia="zh-CN"/>
        </w:rPr>
        <w:t>1.</w:t>
      </w:r>
      <w:r>
        <w:rPr>
          <w:rFonts w:hint="eastAsia" w:eastAsia="楷体_GB2312"/>
          <w:sz w:val="32"/>
          <w:szCs w:val="32"/>
        </w:rPr>
        <w:t>提高</w:t>
      </w:r>
      <w:r>
        <w:rPr>
          <w:rFonts w:eastAsia="楷体_GB2312"/>
          <w:sz w:val="32"/>
          <w:szCs w:val="32"/>
        </w:rPr>
        <w:t>防</w:t>
      </w:r>
      <w:r>
        <w:rPr>
          <w:rFonts w:hint="eastAsia" w:eastAsia="楷体_GB2312"/>
          <w:sz w:val="32"/>
          <w:szCs w:val="32"/>
        </w:rPr>
        <w:t>疫</w:t>
      </w:r>
      <w:r>
        <w:rPr>
          <w:rFonts w:eastAsia="楷体_GB2312"/>
          <w:sz w:val="32"/>
          <w:szCs w:val="32"/>
        </w:rPr>
        <w:t>意识</w:t>
      </w:r>
      <w:r>
        <w:rPr>
          <w:rFonts w:hint="eastAsia" w:eastAsia="楷体_GB2312"/>
          <w:sz w:val="32"/>
          <w:szCs w:val="32"/>
        </w:rPr>
        <w:t>，</w:t>
      </w:r>
      <w:r>
        <w:rPr>
          <w:rFonts w:eastAsia="楷体_GB2312"/>
          <w:sz w:val="32"/>
          <w:szCs w:val="32"/>
        </w:rPr>
        <w:t>规范接待模式</w:t>
      </w:r>
    </w:p>
    <w:p>
      <w:pPr>
        <w:spacing w:line="560" w:lineRule="exact"/>
        <w:ind w:firstLine="640" w:firstLineChars="200"/>
        <w:rPr>
          <w:rFonts w:hint="eastAsia" w:eastAsia="仿宋_GB2312"/>
          <w:sz w:val="32"/>
          <w:szCs w:val="32"/>
        </w:rPr>
      </w:pPr>
      <w:r>
        <w:rPr>
          <w:rFonts w:hint="eastAsia" w:ascii="仿宋_GB2312" w:eastAsia="仿宋_GB2312"/>
          <w:sz w:val="32"/>
          <w:szCs w:val="32"/>
        </w:rPr>
        <w:t>由于公务接待涉及到跨区域之间的党政机关人员往来，与疫情防控的关系非常紧密。我中心始终把疫情防控作为安全的底线红线抓紧抓牢，将防控要求前置，建立常态化疫情防控下的公务接待工作新机制，全面梳理接待住宿、餐饮等各个环节，确保防疫要求逐一落实。我中心安排接待用餐时</w:t>
      </w:r>
      <w:r>
        <w:rPr>
          <w:rFonts w:hint="eastAsia" w:eastAsia="仿宋_GB2312"/>
          <w:sz w:val="32"/>
          <w:szCs w:val="32"/>
        </w:rPr>
        <w:t>确保用餐座位人与人之间保持间隔1米以上</w:t>
      </w:r>
      <w:r>
        <w:rPr>
          <w:rFonts w:eastAsia="仿宋_GB2312"/>
          <w:sz w:val="32"/>
          <w:szCs w:val="32"/>
        </w:rPr>
        <w:t>的</w:t>
      </w:r>
      <w:r>
        <w:rPr>
          <w:rFonts w:hint="eastAsia" w:eastAsia="仿宋_GB2312"/>
          <w:sz w:val="32"/>
          <w:szCs w:val="32"/>
        </w:rPr>
        <w:t>安全距离</w:t>
      </w:r>
      <w:r>
        <w:rPr>
          <w:rFonts w:eastAsia="仿宋_GB2312"/>
          <w:sz w:val="32"/>
          <w:szCs w:val="32"/>
        </w:rPr>
        <w:t>，坚持使用</w:t>
      </w:r>
      <w:r>
        <w:rPr>
          <w:rFonts w:hint="eastAsia" w:eastAsia="仿宋_GB2312"/>
          <w:sz w:val="32"/>
          <w:szCs w:val="32"/>
        </w:rPr>
        <w:t>公筷公勺</w:t>
      </w:r>
      <w:r>
        <w:rPr>
          <w:rFonts w:eastAsia="仿宋_GB2312"/>
          <w:sz w:val="32"/>
          <w:szCs w:val="32"/>
        </w:rPr>
        <w:t>，</w:t>
      </w:r>
      <w:r>
        <w:rPr>
          <w:rFonts w:hint="eastAsia" w:eastAsia="仿宋_GB2312"/>
          <w:sz w:val="32"/>
          <w:szCs w:val="32"/>
        </w:rPr>
        <w:t>后勤服务人员佩戴医用防护口罩和一次性手套进行对位服务</w:t>
      </w:r>
      <w:r>
        <w:rPr>
          <w:rFonts w:eastAsia="仿宋_GB2312"/>
          <w:sz w:val="32"/>
          <w:szCs w:val="32"/>
        </w:rPr>
        <w:t>；</w:t>
      </w:r>
      <w:r>
        <w:rPr>
          <w:rFonts w:hint="eastAsia" w:eastAsia="仿宋_GB2312"/>
          <w:sz w:val="32"/>
          <w:szCs w:val="32"/>
        </w:rPr>
        <w:t>督促定点接待酒店做好客房内部和公共区域消毒保洁工作</w:t>
      </w:r>
      <w:r>
        <w:rPr>
          <w:rFonts w:eastAsia="仿宋_GB2312"/>
          <w:sz w:val="32"/>
          <w:szCs w:val="32"/>
        </w:rPr>
        <w:t>，</w:t>
      </w:r>
      <w:r>
        <w:rPr>
          <w:rFonts w:hint="eastAsia" w:eastAsia="仿宋_GB2312"/>
          <w:sz w:val="32"/>
          <w:szCs w:val="32"/>
        </w:rPr>
        <w:t>客房内提供皮肤消毒液、一次性医用防护口罩、洗手液等防疫物品</w:t>
      </w:r>
      <w:r>
        <w:rPr>
          <w:rFonts w:eastAsia="仿宋_GB2312"/>
          <w:sz w:val="32"/>
          <w:szCs w:val="32"/>
        </w:rPr>
        <w:t>，</w:t>
      </w:r>
      <w:r>
        <w:rPr>
          <w:rFonts w:hint="eastAsia" w:eastAsia="仿宋_GB2312"/>
          <w:sz w:val="32"/>
          <w:szCs w:val="32"/>
        </w:rPr>
        <w:t>通过强化监督进一步提高疫情防控意识。</w:t>
      </w:r>
    </w:p>
    <w:p>
      <w:pPr>
        <w:spacing w:line="560" w:lineRule="exact"/>
        <w:ind w:left="160" w:leftChars="76" w:firstLine="480" w:firstLineChars="150"/>
        <w:rPr>
          <w:rFonts w:hint="eastAsia" w:ascii="仿宋_GB2312" w:eastAsia="仿宋_GB2312"/>
          <w:sz w:val="32"/>
          <w:szCs w:val="32"/>
        </w:rPr>
      </w:pPr>
      <w:r>
        <w:rPr>
          <w:rFonts w:hint="eastAsia" w:ascii="楷体_GB2312" w:eastAsia="楷体_GB2312"/>
          <w:sz w:val="32"/>
          <w:szCs w:val="32"/>
          <w:lang w:val="en-US" w:eastAsia="zh-CN"/>
        </w:rPr>
        <w:t>2.</w:t>
      </w:r>
      <w:r>
        <w:rPr>
          <w:rFonts w:hint="eastAsia" w:ascii="楷体_GB2312" w:eastAsia="楷体_GB2312"/>
          <w:sz w:val="32"/>
          <w:szCs w:val="32"/>
        </w:rPr>
        <w:t>加强理论学习，提高政治站位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是推动党史学习教育迅速在本单位落实落地，召开干部职工会议，传达学习中央、省、市、区党史学习教育有关文件精神等，通过进行专题集中学习、参加区委办党支部的专题党课、线上线下自学等学习方式，引导干部职工学史明理、学史增信、学史崇德、学史力行，持续激发干部职工的激情和干劲。二是深入学习贯彻习近平新时代中国特色社会主义思想，巩固深化“不忘初心、牢记使命”主题教育成果，结合实际落实《攀枝花市西区贯彻落实〈关于巩固深化“不忘初心、牢记使命”主题教育成果的意见〉实施方案》。</w:t>
      </w:r>
      <w:r>
        <w:rPr>
          <w:rFonts w:hint="eastAsia" w:eastAsia="仿宋_GB2312"/>
          <w:sz w:val="32"/>
          <w:szCs w:val="32"/>
        </w:rPr>
        <w:t> </w:t>
      </w:r>
      <w:r>
        <w:rPr>
          <w:rFonts w:hint="eastAsia" w:ascii="仿宋_GB2312" w:eastAsia="仿宋_GB2312"/>
          <w:sz w:val="32"/>
          <w:szCs w:val="32"/>
        </w:rPr>
        <w:t>三是积极开展保密、疫情防控、森林草原防灭火等相关文件、法律法规、政策的学习与教育，科学安排部署学习内容、学习方式和学习时间，将学习教育内容与工作实际结合，切实提高学习教育的实效性。</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lang w:val="en-US" w:eastAsia="zh-CN"/>
        </w:rPr>
        <w:t>3.</w:t>
      </w:r>
      <w:r>
        <w:rPr>
          <w:rFonts w:hint="eastAsia" w:ascii="楷体_GB2312" w:eastAsia="楷体_GB2312"/>
          <w:sz w:val="32"/>
          <w:szCs w:val="32"/>
        </w:rPr>
        <w:t>强化内部管理，抓好制度落实</w:t>
      </w:r>
    </w:p>
    <w:p>
      <w:pPr>
        <w:spacing w:line="352" w:lineRule="auto"/>
        <w:jc w:val="left"/>
        <w:rPr>
          <w:rFonts w:hint="eastAsia" w:ascii="仿宋_GB2312" w:eastAsia="仿宋_GB2312" w:cs="仿宋_GB2312"/>
          <w:color w:val="000000"/>
          <w:sz w:val="32"/>
          <w:szCs w:val="32"/>
          <w:lang w:bidi="ar-SA"/>
        </w:rPr>
      </w:pPr>
      <w:r>
        <w:rPr>
          <w:rFonts w:hint="eastAsia" w:ascii="仿宋_GB2312" w:eastAsia="仿宋_GB2312"/>
          <w:sz w:val="32"/>
          <w:szCs w:val="32"/>
          <w:lang w:val="en-US" w:eastAsia="zh-CN"/>
        </w:rPr>
        <w:t xml:space="preserve">    </w:t>
      </w:r>
      <w:r>
        <w:rPr>
          <w:rFonts w:hint="eastAsia" w:ascii="仿宋_GB2312" w:eastAsia="仿宋_GB2312"/>
          <w:sz w:val="32"/>
          <w:szCs w:val="32"/>
        </w:rPr>
        <w:t>一是严肃财经纪律，规范财务行为，</w:t>
      </w:r>
      <w:r>
        <w:rPr>
          <w:rFonts w:hint="eastAsia" w:ascii="仿宋_GB2312" w:eastAsia="仿宋_GB2312" w:cs="仿宋_GB2312"/>
          <w:color w:val="000000"/>
          <w:sz w:val="32"/>
          <w:szCs w:val="32"/>
          <w:lang w:bidi="ar-SA"/>
        </w:rPr>
        <w:t>严格支出管理，把</w:t>
      </w:r>
      <w:r>
        <w:rPr>
          <w:rFonts w:hint="eastAsia" w:ascii="仿宋_GB2312" w:eastAsia="仿宋_GB2312"/>
          <w:color w:val="000000"/>
          <w:sz w:val="32"/>
          <w:szCs w:val="32"/>
        </w:rPr>
        <w:t>中央八项规定和省市区“十项规定”及其实施细则</w:t>
      </w:r>
      <w:r>
        <w:rPr>
          <w:rFonts w:hint="eastAsia" w:ascii="仿宋_GB2312" w:eastAsia="仿宋_GB2312" w:cs="仿宋_GB2312"/>
          <w:color w:val="000000"/>
          <w:sz w:val="32"/>
          <w:szCs w:val="32"/>
          <w:lang w:bidi="ar-SA"/>
        </w:rPr>
        <w:t>要求贯穿</w:t>
      </w:r>
      <w:bookmarkStart w:id="88" w:name="_GoBack"/>
      <w:bookmarkEnd w:id="88"/>
      <w:r>
        <w:rPr>
          <w:rFonts w:hint="eastAsia" w:ascii="仿宋_GB2312" w:eastAsia="仿宋_GB2312" w:cs="仿宋_GB2312"/>
          <w:color w:val="000000"/>
          <w:sz w:val="32"/>
          <w:szCs w:val="32"/>
          <w:lang w:bidi="ar-SA"/>
        </w:rPr>
        <w:t>于工作之中，</w:t>
      </w:r>
      <w:r>
        <w:rPr>
          <w:rFonts w:hint="eastAsia" w:ascii="仿宋_GB2312" w:eastAsia="仿宋_GB2312" w:cs="宋体"/>
          <w:color w:val="000000"/>
          <w:sz w:val="32"/>
          <w:szCs w:val="32"/>
          <w:lang w:bidi="ar-SA"/>
        </w:rPr>
        <w:t>始终坚持“勤俭节约、优质服务、从严控制”的原则，在具体工作中，抓住任务安排、跟踪服务和经费结算三个环节，强化经费管理，严格控制接待经费，做到不该用的费用坚决不用，能够节省的开支尽可能节省。</w:t>
      </w:r>
      <w:r>
        <w:rPr>
          <w:rFonts w:hint="eastAsia" w:ascii="仿宋_GB2312" w:eastAsia="仿宋_GB2312" w:cs="仿宋_GB2312"/>
          <w:color w:val="000000"/>
          <w:sz w:val="32"/>
          <w:szCs w:val="32"/>
          <w:lang w:bidi="ar-SA"/>
        </w:rPr>
        <w:t>二是加强对财务人员的培训教育，认真学习财经法规制度，规范会计基础工作，并严格按照相关财经纪律要求，规范单位内部的报销程序，完善报销手续。</w:t>
      </w:r>
      <w:r>
        <w:rPr>
          <w:rFonts w:hint="eastAsia" w:ascii="仿宋_GB2312" w:eastAsia="仿宋_GB2312" w:cs="仿宋_GB2312"/>
          <w:sz w:val="32"/>
          <w:szCs w:val="32"/>
          <w:lang w:bidi="ar-SA"/>
        </w:rPr>
        <w:t>三是严格按照中共攀枝花市西区区委办公室 攀枝花市西区人民政府办公室下发的</w:t>
      </w:r>
      <w:r>
        <w:rPr>
          <w:rFonts w:hint="eastAsia" w:ascii="仿宋_GB2312" w:eastAsia="仿宋_GB2312"/>
          <w:sz w:val="32"/>
          <w:szCs w:val="32"/>
        </w:rPr>
        <w:t>《攀枝花市西区党政机关公务接待管理实施办法》要求，</w:t>
      </w:r>
      <w:r>
        <w:rPr>
          <w:rFonts w:hint="eastAsia" w:ascii="仿宋_GB2312" w:eastAsia="仿宋_GB2312" w:cs="仿宋_GB2312"/>
          <w:sz w:val="32"/>
          <w:szCs w:val="32"/>
          <w:lang w:bidi="ar-SA"/>
        </w:rPr>
        <w:t>深入贯彻习近平总书记关于制止餐饮浪</w:t>
      </w:r>
      <w:r>
        <w:rPr>
          <w:rFonts w:hint="eastAsia" w:ascii="仿宋_GB2312" w:eastAsia="仿宋_GB2312" w:cs="仿宋_GB2312"/>
          <w:color w:val="000000"/>
          <w:sz w:val="32"/>
          <w:szCs w:val="32"/>
          <w:lang w:bidi="ar-SA"/>
        </w:rPr>
        <w:t>费行为的重要批示精神和省委省政府办公厅印发的《四川省厉行节约制止餐饮浪费行为行动方案》要求，严格接待标准，规范接待流程，控制接待费支出，厉行勤俭节约，反对铺张浪费</w:t>
      </w:r>
      <w:r>
        <w:rPr>
          <w:rFonts w:hint="eastAsia" w:ascii="仿宋_GB2312" w:eastAsia="仿宋_GB2312"/>
          <w:sz w:val="32"/>
          <w:szCs w:val="32"/>
        </w:rPr>
        <w:t>。四是通过由区机关事务服务中心和区纪委监委、区财政局组成的公务用车安全管理专项教育整顿工作组对我中心的公务用车检查反馈意见进一步完善</w:t>
      </w:r>
      <w:r>
        <w:rPr>
          <w:rFonts w:eastAsia="仿宋_GB2312"/>
          <w:sz w:val="32"/>
          <w:szCs w:val="32"/>
        </w:rPr>
        <w:t>《西区公务服务中心公务用车管理规定》，</w:t>
      </w:r>
      <w:r>
        <w:rPr>
          <w:rFonts w:hint="eastAsia" w:ascii="仿宋_GB2312" w:eastAsia="仿宋_GB2312"/>
          <w:sz w:val="32"/>
          <w:szCs w:val="32"/>
        </w:rPr>
        <w:t>签订公务用车驾驶员安全行车承诺书，加</w:t>
      </w:r>
      <w:r>
        <w:rPr>
          <w:rFonts w:eastAsia="仿宋_GB2312"/>
          <w:sz w:val="32"/>
          <w:szCs w:val="32"/>
        </w:rPr>
        <w:t>强对驾驶人员的政治觉悟、身心健康、工作作风等方面的管理，为公车安全管理工作长效机制和公车规范运行提供保障。</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lang w:val="en-US" w:eastAsia="zh-CN"/>
        </w:rPr>
        <w:t>4.</w:t>
      </w:r>
      <w:r>
        <w:rPr>
          <w:rFonts w:hint="eastAsia" w:ascii="楷体_GB2312" w:eastAsia="楷体_GB2312"/>
          <w:sz w:val="32"/>
          <w:szCs w:val="32"/>
        </w:rPr>
        <w:t>加强廉政教育，筑牢思想防线</w:t>
      </w:r>
    </w:p>
    <w:p>
      <w:pPr>
        <w:pStyle w:val="6"/>
        <w:adjustRightInd w:val="0"/>
        <w:snapToGrid w:val="0"/>
        <w:spacing w:before="93" w:line="600" w:lineRule="exact"/>
        <w:ind w:firstLine="640"/>
        <w:outlineLvl w:val="2"/>
        <w:rPr>
          <w:rFonts w:hint="eastAsia" w:ascii="仿宋" w:hAnsi="仿宋" w:eastAsia="仿宋"/>
          <w:bCs/>
          <w:sz w:val="32"/>
          <w:szCs w:val="32"/>
        </w:rPr>
      </w:pPr>
      <w:r>
        <w:rPr>
          <w:rFonts w:hint="eastAsia" w:ascii="仿宋_GB2312" w:eastAsia="仿宋_GB2312"/>
          <w:sz w:val="32"/>
          <w:szCs w:val="32"/>
        </w:rPr>
        <w:t>一是认真贯彻落实中央八项规定精神制度建设“回头看”、省委第十巡视组反馈意见整改以及《关于开展“吃公函”问题排查清理工作》（攀西纪办〔2021〕55号）等各项工作，对照梳理，自查自纠，举一反三，抓紧抓实日常管理，坚决防止“四风”问题反弹回潮。二是定期召开全体职工会议，及时传达上级有关廉政建设要求和文件精神，进</w:t>
      </w:r>
      <w:r>
        <w:rPr>
          <w:rFonts w:hint="eastAsia" w:ascii="仿宋_GB2312" w:eastAsia="仿宋_GB2312"/>
          <w:color w:val="333333"/>
          <w:spacing w:val="-11"/>
          <w:sz w:val="32"/>
          <w:szCs w:val="32"/>
          <w:shd w:val="clear" w:color="auto" w:fill="FFFFFF"/>
        </w:rPr>
        <w:t>一步强化底线思维、红线意识，始终保持警钟长鸣</w:t>
      </w:r>
      <w:r>
        <w:rPr>
          <w:rFonts w:hint="eastAsia" w:ascii="仿宋_GB2312" w:eastAsia="仿宋_GB2312"/>
          <w:sz w:val="32"/>
          <w:szCs w:val="32"/>
        </w:rPr>
        <w:t>。三是利用纪检监察部门查处的违纪违法典型案例，以身边人、身边事为示例，以案说廉，开展廉政警示教育。引导全体干部职工切实做到依法依规履职尽责，摒弃形式主义、官僚主义的恶风陋习，恪守工作纪律、法律法规，树牢廉洁自律意识，端正工作作风，严格遵守廉洁自律各项规定，廉洁高效的开展和完成好工作</w:t>
      </w:r>
    </w:p>
    <w:p>
      <w:pPr>
        <w:pStyle w:val="4"/>
        <w:rPr>
          <w:rStyle w:val="26"/>
          <w:b w:val="0"/>
          <w:bCs w:val="0"/>
        </w:rPr>
      </w:pPr>
      <w:bookmarkStart w:id="24" w:name="_Toc15377200"/>
      <w:bookmarkStart w:id="25"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4"/>
      <w:bookmarkEnd w:id="25"/>
    </w:p>
    <w:p>
      <w:pPr>
        <w:ind w:firstLine="800" w:firstLineChars="250"/>
        <w:rPr>
          <w:rFonts w:ascii="仿宋" w:hAnsi="仿宋" w:eastAsia="仿宋"/>
          <w:sz w:val="32"/>
          <w:szCs w:val="32"/>
        </w:rPr>
      </w:pPr>
      <w:r>
        <w:rPr>
          <w:rFonts w:ascii="仿宋" w:hAnsi="仿宋" w:eastAsia="仿宋" w:cs="宋体"/>
          <w:color w:val="000000"/>
          <w:kern w:val="0"/>
          <w:sz w:val="32"/>
          <w:szCs w:val="32"/>
          <w:shd w:val="clear" w:color="auto" w:fill="FFFFFF"/>
        </w:rPr>
        <w:t>攀枝花市西区</w:t>
      </w:r>
      <w:r>
        <w:rPr>
          <w:rFonts w:hint="eastAsia" w:ascii="仿宋" w:hAnsi="仿宋" w:eastAsia="仿宋" w:cs="宋体"/>
          <w:color w:val="000000"/>
          <w:kern w:val="0"/>
          <w:sz w:val="32"/>
          <w:szCs w:val="32"/>
          <w:shd w:val="clear" w:color="auto" w:fill="FFFFFF"/>
          <w:lang w:val="en-US" w:eastAsia="zh-CN"/>
        </w:rPr>
        <w:t>公务服务中心</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26" w:name="_Toc10334"/>
      <w:bookmarkStart w:id="27" w:name="_Toc15377204"/>
      <w:bookmarkStart w:id="28" w:name="_Toc15396602"/>
      <w:r>
        <w:rPr>
          <w:rFonts w:hint="eastAsia" w:ascii="黑体" w:hAnsi="黑体" w:eastAsia="黑体"/>
          <w:b w:val="0"/>
        </w:rPr>
        <w:t>第二部分 2021年度</w:t>
      </w:r>
      <w:r>
        <w:rPr>
          <w:rStyle w:val="25"/>
          <w:rFonts w:hint="eastAsia" w:ascii="黑体" w:hAnsi="黑体" w:eastAsia="黑体"/>
          <w:b w:val="0"/>
          <w:bCs/>
        </w:rPr>
        <w:t>部门决算情况说明</w:t>
      </w:r>
      <w:bookmarkEnd w:id="26"/>
      <w:bookmarkEnd w:id="27"/>
      <w:bookmarkEnd w:id="28"/>
    </w:p>
    <w:p/>
    <w:p>
      <w:pPr>
        <w:pStyle w:val="24"/>
        <w:numPr>
          <w:ilvl w:val="0"/>
          <w:numId w:val="1"/>
        </w:numPr>
        <w:spacing w:line="600" w:lineRule="exact"/>
        <w:ind w:firstLineChars="0"/>
        <w:outlineLvl w:val="1"/>
        <w:rPr>
          <w:rStyle w:val="26"/>
          <w:rFonts w:ascii="黑体" w:hAnsi="黑体" w:eastAsia="黑体"/>
          <w:b w:val="0"/>
        </w:rPr>
      </w:pPr>
      <w:bookmarkStart w:id="29" w:name="_Toc15377205"/>
      <w:bookmarkStart w:id="30"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29"/>
      <w:bookmarkEnd w:id="30"/>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hint="eastAsia" w:ascii="仿宋" w:hAnsi="仿宋" w:eastAsia="仿宋"/>
          <w:sz w:val="32"/>
          <w:szCs w:val="32"/>
          <w:lang w:val="en-US" w:eastAsia="zh-CN"/>
        </w:rPr>
        <w:t>97.25</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11.64</w:t>
      </w:r>
      <w:r>
        <w:rPr>
          <w:rFonts w:hint="eastAsia" w:ascii="仿宋" w:hAnsi="仿宋" w:eastAsia="仿宋"/>
          <w:sz w:val="32"/>
          <w:szCs w:val="32"/>
        </w:rPr>
        <w:t>万元，下降</w:t>
      </w:r>
      <w:r>
        <w:rPr>
          <w:rFonts w:hint="eastAsia" w:ascii="仿宋" w:hAnsi="仿宋" w:eastAsia="仿宋"/>
          <w:sz w:val="32"/>
          <w:szCs w:val="32"/>
          <w:lang w:val="en-US" w:eastAsia="zh-CN"/>
        </w:rPr>
        <w:t>10.68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减少了公务接待费。</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"C:\\Users\\lenovo\\AppData\\Roaming\\Tencent\\Users\\248301485\\QQ\\WinTemp\\RichOle\\EVH]3Y}Z%ZKPB7S%``84K7W.png"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457700" cy="2686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457700" cy="26860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jc w:val="left"/>
        <w:rPr>
          <w:rFonts w:ascii="仿宋_GB2312" w:eastAsia="仿宋_GB2312"/>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31" w:name="_Toc15396604"/>
      <w:bookmarkStart w:id="32" w:name="_Toc15377206"/>
      <w:r>
        <w:rPr>
          <w:rFonts w:hint="eastAsia" w:ascii="黑体" w:hAnsi="黑体" w:eastAsia="黑体"/>
          <w:sz w:val="32"/>
          <w:szCs w:val="32"/>
        </w:rPr>
        <w:t>收</w:t>
      </w:r>
      <w:r>
        <w:rPr>
          <w:rStyle w:val="26"/>
          <w:rFonts w:hint="eastAsia" w:ascii="黑体" w:hAnsi="黑体" w:eastAsia="黑体"/>
          <w:b w:val="0"/>
        </w:rPr>
        <w:t>入决算情况说明</w:t>
      </w:r>
      <w:bookmarkEnd w:id="31"/>
      <w:bookmarkEnd w:id="32"/>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97.25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92.83</w:t>
      </w:r>
      <w:r>
        <w:rPr>
          <w:rFonts w:hint="eastAsia" w:ascii="仿宋" w:hAnsi="仿宋" w:eastAsia="仿宋"/>
          <w:sz w:val="32"/>
          <w:szCs w:val="32"/>
        </w:rPr>
        <w:t>万元，占</w:t>
      </w:r>
      <w:r>
        <w:rPr>
          <w:rFonts w:hint="eastAsia" w:ascii="仿宋" w:hAnsi="仿宋" w:eastAsia="仿宋"/>
          <w:sz w:val="32"/>
          <w:szCs w:val="32"/>
          <w:lang w:val="en-US" w:eastAsia="zh-CN"/>
        </w:rPr>
        <w:t>95.45</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4.42</w:t>
      </w:r>
      <w:r>
        <w:rPr>
          <w:rFonts w:hint="eastAsia" w:ascii="仿宋" w:hAnsi="仿宋" w:eastAsia="仿宋"/>
          <w:sz w:val="32"/>
          <w:szCs w:val="32"/>
        </w:rPr>
        <w:t>万元，占</w:t>
      </w:r>
      <w:r>
        <w:rPr>
          <w:rFonts w:hint="eastAsia" w:ascii="仿宋" w:hAnsi="仿宋" w:eastAsia="仿宋"/>
          <w:sz w:val="32"/>
          <w:szCs w:val="32"/>
          <w:lang w:val="en-US" w:eastAsia="zh-CN"/>
        </w:rPr>
        <w:t>4.55</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"C:\\Users\\lenovo\\AppData\\Roaming\\Tencent\\Users\\248301485\\QQ\\WinTemp\\RichOle\\BGSF%{5Y@L@2SQTQ01BL)}K.png"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438650" cy="27051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4438650" cy="27051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_GB2312" w:eastAsia="仿宋_GB2312"/>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33" w:name="_Toc15396605"/>
      <w:bookmarkStart w:id="34" w:name="_Toc15377207"/>
      <w:r>
        <w:rPr>
          <w:rFonts w:hint="eastAsia" w:ascii="黑体" w:hAnsi="黑体" w:eastAsia="黑体"/>
          <w:sz w:val="32"/>
          <w:szCs w:val="32"/>
        </w:rPr>
        <w:t>支</w:t>
      </w:r>
      <w:r>
        <w:rPr>
          <w:rStyle w:val="26"/>
          <w:rFonts w:hint="eastAsia" w:ascii="黑体" w:hAnsi="黑体" w:eastAsia="黑体"/>
          <w:b w:val="0"/>
        </w:rPr>
        <w:t>出决算情况说明</w:t>
      </w:r>
      <w:bookmarkEnd w:id="33"/>
      <w:bookmarkEnd w:id="34"/>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97.25</w:t>
      </w:r>
      <w:r>
        <w:rPr>
          <w:rFonts w:hint="eastAsia" w:ascii="仿宋" w:hAnsi="仿宋" w:eastAsia="仿宋"/>
          <w:sz w:val="32"/>
          <w:szCs w:val="32"/>
        </w:rPr>
        <w:t>万元，其中：基本支出</w:t>
      </w:r>
      <w:r>
        <w:rPr>
          <w:rFonts w:hint="eastAsia" w:ascii="仿宋" w:hAnsi="仿宋" w:eastAsia="仿宋"/>
          <w:sz w:val="32"/>
          <w:szCs w:val="32"/>
          <w:lang w:val="en-US" w:eastAsia="zh-CN"/>
        </w:rPr>
        <w:t>92.83</w:t>
      </w:r>
      <w:r>
        <w:rPr>
          <w:rFonts w:hint="eastAsia" w:ascii="仿宋" w:hAnsi="仿宋" w:eastAsia="仿宋"/>
          <w:sz w:val="32"/>
          <w:szCs w:val="32"/>
        </w:rPr>
        <w:t>万元，占</w:t>
      </w:r>
      <w:r>
        <w:rPr>
          <w:rFonts w:hint="eastAsia" w:ascii="仿宋" w:hAnsi="仿宋" w:eastAsia="仿宋"/>
          <w:sz w:val="32"/>
          <w:szCs w:val="32"/>
          <w:lang w:val="en-US" w:eastAsia="zh-CN"/>
        </w:rPr>
        <w:t>95.45</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4.42</w:t>
      </w:r>
      <w:r>
        <w:rPr>
          <w:rFonts w:hint="eastAsia" w:ascii="仿宋" w:hAnsi="仿宋" w:eastAsia="仿宋"/>
          <w:sz w:val="32"/>
          <w:szCs w:val="32"/>
        </w:rPr>
        <w:t>万元，占</w:t>
      </w:r>
      <w:r>
        <w:rPr>
          <w:rFonts w:hint="eastAsia" w:ascii="仿宋" w:hAnsi="仿宋" w:eastAsia="仿宋"/>
          <w:sz w:val="32"/>
          <w:szCs w:val="32"/>
          <w:lang w:val="en-US" w:eastAsia="zh-CN"/>
        </w:rPr>
        <w:t>4.55</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"C:\\Users\\lenovo\\AppData\\Roaming\\Tencent\\Users\\248301485\\QQ\\WinTemp\\RichOle\\5ZS%FYU8K5}6YJM%F(N$ZWT.png"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752850" cy="267652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8"/>
                    <a:stretch>
                      <a:fillRect/>
                    </a:stretch>
                  </pic:blipFill>
                  <pic:spPr>
                    <a:xfrm>
                      <a:off x="0" y="0"/>
                      <a:ext cx="3752850" cy="26765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6"/>
          <w:rFonts w:ascii="黑体" w:hAnsi="黑体" w:eastAsia="黑体"/>
          <w:b w:val="0"/>
        </w:rPr>
      </w:pPr>
      <w:bookmarkStart w:id="35" w:name="_Toc15396606"/>
      <w:bookmarkStart w:id="36"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5"/>
      <w:bookmarkEnd w:id="3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97.25</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11.64</w:t>
      </w:r>
      <w:r>
        <w:rPr>
          <w:rFonts w:hint="eastAsia" w:ascii="仿宋" w:hAnsi="仿宋" w:eastAsia="仿宋"/>
          <w:sz w:val="32"/>
          <w:szCs w:val="32"/>
        </w:rPr>
        <w:t>万元，下降</w:t>
      </w:r>
      <w:r>
        <w:rPr>
          <w:rFonts w:hint="eastAsia" w:ascii="仿宋" w:hAnsi="仿宋" w:eastAsia="仿宋"/>
          <w:sz w:val="32"/>
          <w:szCs w:val="32"/>
          <w:lang w:val="en-US" w:eastAsia="zh-CN"/>
        </w:rPr>
        <w:t>10.68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减少了公务接待费。</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"C:\\Users\\lenovo\\AppData\\Roaming\\Tencent\\Users\\248301485\\QQ\\WinTemp\\RichOle\\]BCWY%WLI1B0]{ZF_69AC8L.png"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476750" cy="2647950"/>
            <wp:effectExtent l="0" t="0" r="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9"/>
                    <a:stretch>
                      <a:fillRect/>
                    </a:stretch>
                  </pic:blipFill>
                  <pic:spPr>
                    <a:xfrm>
                      <a:off x="0" y="0"/>
                      <a:ext cx="4476750" cy="26479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rPr>
          <w:rFonts w:ascii="仿宋" w:hAnsi="仿宋" w:eastAsia="仿宋"/>
          <w:b/>
          <w:sz w:val="32"/>
          <w:szCs w:val="32"/>
        </w:rPr>
      </w:pPr>
    </w:p>
    <w:p>
      <w:pPr>
        <w:spacing w:line="600" w:lineRule="exact"/>
        <w:ind w:firstLine="640" w:firstLineChars="200"/>
        <w:outlineLvl w:val="1"/>
        <w:rPr>
          <w:rStyle w:val="26"/>
          <w:rFonts w:ascii="黑体" w:hAnsi="黑体" w:eastAsia="黑体"/>
          <w:b w:val="0"/>
        </w:rPr>
      </w:pPr>
      <w:bookmarkStart w:id="37" w:name="_Toc15396607"/>
      <w:bookmarkStart w:id="38"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7"/>
      <w:bookmarkEnd w:id="38"/>
    </w:p>
    <w:p>
      <w:pPr>
        <w:spacing w:line="600" w:lineRule="exact"/>
        <w:ind w:firstLine="643" w:firstLineChars="200"/>
        <w:outlineLvl w:val="2"/>
        <w:rPr>
          <w:rFonts w:ascii="仿宋" w:hAnsi="仿宋" w:eastAsia="仿宋"/>
          <w:b/>
          <w:sz w:val="32"/>
          <w:szCs w:val="32"/>
        </w:rPr>
      </w:pPr>
      <w:bookmarkStart w:id="39" w:name="_Toc15377210"/>
      <w:r>
        <w:rPr>
          <w:rFonts w:hint="eastAsia" w:ascii="仿宋" w:hAnsi="仿宋" w:eastAsia="仿宋"/>
          <w:b/>
          <w:sz w:val="32"/>
          <w:szCs w:val="32"/>
        </w:rPr>
        <w:t>（一）一般公共预算财政拨款支出决算总体情况</w:t>
      </w:r>
      <w:bookmarkEnd w:id="39"/>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92.83</w:t>
      </w:r>
      <w:r>
        <w:rPr>
          <w:rFonts w:hint="eastAsia" w:ascii="仿宋" w:hAnsi="仿宋" w:eastAsia="仿宋"/>
          <w:sz w:val="32"/>
          <w:szCs w:val="32"/>
        </w:rPr>
        <w:t>万元，占本年支出合计的</w:t>
      </w:r>
      <w:r>
        <w:rPr>
          <w:rFonts w:hint="eastAsia" w:ascii="仿宋" w:hAnsi="仿宋" w:eastAsia="仿宋"/>
          <w:sz w:val="32"/>
          <w:szCs w:val="32"/>
          <w:lang w:val="en-US" w:eastAsia="zh-CN"/>
        </w:rPr>
        <w:t>95.45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hint="eastAsia" w:ascii="仿宋" w:hAnsi="仿宋" w:eastAsia="仿宋"/>
          <w:sz w:val="32"/>
          <w:szCs w:val="32"/>
          <w:lang w:val="en-US" w:eastAsia="zh-CN"/>
        </w:rPr>
        <w:t>6.67</w:t>
      </w:r>
      <w:r>
        <w:rPr>
          <w:rFonts w:hint="eastAsia" w:ascii="仿宋" w:hAnsi="仿宋" w:eastAsia="仿宋"/>
          <w:sz w:val="32"/>
          <w:szCs w:val="32"/>
        </w:rPr>
        <w:t>万元，下降</w:t>
      </w:r>
      <w:r>
        <w:rPr>
          <w:rFonts w:hint="eastAsia" w:ascii="仿宋" w:hAnsi="仿宋" w:eastAsia="仿宋"/>
          <w:sz w:val="32"/>
          <w:szCs w:val="32"/>
          <w:lang w:val="en-US" w:eastAsia="zh-CN"/>
        </w:rPr>
        <w:t>6.7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公务接待费减少。</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"C:\\Users\\lenovo\\AppData\\Roaming\\Tencent\\Users\\248301485\\QQ\\WinTemp\\RichOle\\{A7IBRB@YHH7L7RG{G{K3}C.png"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558540" cy="2152015"/>
            <wp:effectExtent l="0" t="0" r="3810" b="63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10"/>
                    <a:stretch>
                      <a:fillRect/>
                    </a:stretch>
                  </pic:blipFill>
                  <pic:spPr>
                    <a:xfrm>
                      <a:off x="0" y="0"/>
                      <a:ext cx="3558540" cy="215201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0" w:name="_Toc15377211"/>
      <w:r>
        <w:rPr>
          <w:rFonts w:hint="eastAsia" w:ascii="仿宋" w:hAnsi="仿宋" w:eastAsia="仿宋"/>
          <w:b/>
          <w:sz w:val="32"/>
          <w:szCs w:val="32"/>
        </w:rPr>
        <w:t>（二）一般公共预算财政拨款支出决算结构情况</w:t>
      </w:r>
      <w:bookmarkEnd w:id="4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92.83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82.68</w:t>
      </w:r>
      <w:r>
        <w:rPr>
          <w:rFonts w:hint="eastAsia" w:ascii="仿宋" w:hAnsi="仿宋" w:eastAsia="仿宋"/>
          <w:sz w:val="32"/>
          <w:szCs w:val="32"/>
        </w:rPr>
        <w:t>万元，占</w:t>
      </w:r>
      <w:r>
        <w:rPr>
          <w:rFonts w:hint="eastAsia" w:ascii="仿宋" w:hAnsi="仿宋" w:eastAsia="仿宋"/>
          <w:sz w:val="32"/>
          <w:szCs w:val="32"/>
          <w:lang w:val="en-US" w:eastAsia="zh-CN"/>
        </w:rPr>
        <w:t>89.06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3.16</w:t>
      </w:r>
      <w:r>
        <w:rPr>
          <w:rFonts w:hint="eastAsia" w:ascii="仿宋" w:hAnsi="仿宋" w:eastAsia="仿宋"/>
          <w:sz w:val="32"/>
          <w:szCs w:val="32"/>
        </w:rPr>
        <w:t>万元，占</w:t>
      </w:r>
      <w:r>
        <w:rPr>
          <w:rFonts w:hint="eastAsia" w:ascii="仿宋" w:hAnsi="仿宋" w:eastAsia="仿宋"/>
          <w:sz w:val="32"/>
          <w:szCs w:val="32"/>
          <w:lang w:val="en-US" w:eastAsia="zh-CN"/>
        </w:rPr>
        <w:t>3.04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2.78</w:t>
      </w:r>
      <w:r>
        <w:rPr>
          <w:rFonts w:hint="eastAsia" w:ascii="仿宋" w:hAnsi="仿宋" w:eastAsia="仿宋"/>
          <w:sz w:val="32"/>
          <w:szCs w:val="32"/>
        </w:rPr>
        <w:t>万元，占</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4.2</w:t>
      </w:r>
      <w:r>
        <w:rPr>
          <w:rFonts w:hint="eastAsia" w:ascii="仿宋" w:hAnsi="仿宋" w:eastAsia="仿宋"/>
          <w:sz w:val="32"/>
          <w:szCs w:val="32"/>
        </w:rPr>
        <w:t>万元，占</w:t>
      </w:r>
      <w:r>
        <w:rPr>
          <w:rFonts w:hint="eastAsia" w:ascii="仿宋" w:hAnsi="仿宋" w:eastAsia="仿宋"/>
          <w:sz w:val="32"/>
          <w:szCs w:val="32"/>
          <w:lang w:val="en-US" w:eastAsia="zh-CN"/>
        </w:rPr>
        <w:t>4.9</w:t>
      </w:r>
      <w:r>
        <w:rPr>
          <w:rFonts w:ascii="仿宋" w:hAnsi="仿宋" w:eastAsia="仿宋"/>
          <w:sz w:val="32"/>
          <w:szCs w:val="32"/>
        </w:rPr>
        <w:t>%</w:t>
      </w:r>
      <w:r>
        <w:rPr>
          <w:rFonts w:hint="eastAsia" w:ascii="仿宋" w:hAnsi="仿宋" w:eastAsia="仿宋"/>
          <w:sz w:val="32"/>
          <w:szCs w:val="32"/>
        </w:rPr>
        <w:t>。</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"C:\\Users\\lenovo\\AppData\\Roaming\\Tencent\\Users\\248301485\\QQ\\WinTemp\\RichOle\\15M]$RNS2NIQR4[2TD5U75H.png"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010150" cy="2667000"/>
            <wp:effectExtent l="0" t="0" r="0" b="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11"/>
                    <a:stretch>
                      <a:fillRect/>
                    </a:stretch>
                  </pic:blipFill>
                  <pic:spPr>
                    <a:xfrm>
                      <a:off x="0" y="0"/>
                      <a:ext cx="5010150" cy="26670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pP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1" w:name="_Toc15377212"/>
      <w:r>
        <w:rPr>
          <w:rFonts w:hint="eastAsia" w:ascii="仿宋" w:hAnsi="仿宋" w:eastAsia="仿宋"/>
          <w:b/>
          <w:sz w:val="32"/>
          <w:szCs w:val="32"/>
        </w:rPr>
        <w:t>（三）一般公共预算财政拨款支出决算具体情况</w:t>
      </w:r>
      <w:bookmarkEnd w:id="41"/>
    </w:p>
    <w:p>
      <w:pPr>
        <w:spacing w:line="600" w:lineRule="exact"/>
        <w:ind w:firstLine="643" w:firstLineChars="200"/>
        <w:outlineLvl w:val="2"/>
        <w:rPr>
          <w:rFonts w:ascii="仿宋" w:hAnsi="仿宋" w:eastAsia="仿宋"/>
          <w:sz w:val="32"/>
          <w:szCs w:val="32"/>
        </w:rPr>
      </w:pPr>
      <w:bookmarkStart w:id="42" w:name="_Toc15378460"/>
      <w:bookmarkStart w:id="43" w:name="_Toc15377213"/>
      <w:bookmarkStart w:id="44" w:name="_Toc15377444"/>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92.83</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42"/>
      <w:bookmarkEnd w:id="43"/>
      <w:bookmarkEnd w:id="44"/>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一般公共服务（类）政府办公厅（室）及相关机构事务（款）事业运行（项）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82.68</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社会保障和就业支出（类）行政事业单位养老支出（款）机关事业单位基本养老保险缴费支出（项）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3.16</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3.</w:t>
      </w:r>
      <w:r>
        <w:rPr>
          <w:rStyle w:val="15"/>
          <w:rFonts w:hint="eastAsia" w:ascii="仿宋" w:hAnsi="仿宋" w:eastAsia="仿宋"/>
          <w:bCs/>
          <w:sz w:val="32"/>
          <w:szCs w:val="32"/>
        </w:rPr>
        <w:t>卫生健康支出（类）行政事业单位医疗（款）事业单位医疗（项）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2.55</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4.</w:t>
      </w:r>
      <w:r>
        <w:rPr>
          <w:rStyle w:val="15"/>
          <w:rFonts w:hint="eastAsia" w:ascii="仿宋" w:hAnsi="仿宋" w:eastAsia="仿宋"/>
          <w:bCs/>
          <w:sz w:val="32"/>
          <w:szCs w:val="32"/>
        </w:rPr>
        <w:t>卫生健康支出（类）行政事业单位医疗</w:t>
      </w:r>
      <w:r>
        <w:rPr>
          <w:rStyle w:val="15"/>
          <w:rFonts w:hint="eastAsia" w:ascii="仿宋" w:hAnsi="仿宋" w:eastAsia="仿宋"/>
          <w:bCs/>
          <w:sz w:val="32"/>
          <w:szCs w:val="32"/>
          <w:lang w:eastAsia="zh-CN"/>
        </w:rPr>
        <w:t>（</w:t>
      </w:r>
      <w:r>
        <w:rPr>
          <w:rStyle w:val="15"/>
          <w:rFonts w:hint="eastAsia" w:ascii="仿宋" w:hAnsi="仿宋" w:eastAsia="仿宋"/>
          <w:bCs/>
          <w:sz w:val="32"/>
          <w:szCs w:val="32"/>
        </w:rPr>
        <w:t>款）公务员医疗补助（项）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0.23</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5.</w:t>
      </w:r>
      <w:r>
        <w:rPr>
          <w:rStyle w:val="15"/>
          <w:rFonts w:hint="eastAsia" w:ascii="仿宋" w:hAnsi="仿宋" w:eastAsia="仿宋"/>
          <w:bCs/>
          <w:sz w:val="32"/>
          <w:szCs w:val="32"/>
        </w:rPr>
        <w:t>住房保障支出（类）住房改革支出（款）住房公积金（项）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4.2</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tabs>
          <w:tab w:val="right" w:pos="8306"/>
        </w:tabs>
        <w:spacing w:line="600" w:lineRule="exact"/>
        <w:ind w:firstLine="640"/>
        <w:outlineLvl w:val="1"/>
        <w:rPr>
          <w:rStyle w:val="26"/>
        </w:rPr>
      </w:pPr>
      <w:bookmarkStart w:id="45" w:name="_Toc15377214"/>
      <w:bookmarkStart w:id="4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5"/>
      <w:bookmarkEnd w:id="46"/>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92.83</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52.19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40.44</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hd w:val="clear" w:fill="FFFFFF" w:themeFill="background1"/>
        <w:spacing w:line="600" w:lineRule="exact"/>
        <w:ind w:firstLine="640"/>
        <w:outlineLvl w:val="1"/>
        <w:rPr>
          <w:rStyle w:val="26"/>
          <w:rFonts w:ascii="黑体" w:hAnsi="黑体" w:eastAsia="黑体"/>
          <w:b w:val="0"/>
        </w:rPr>
      </w:pPr>
      <w:bookmarkStart w:id="47" w:name="_Toc15377215"/>
      <w:bookmarkStart w:id="48"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7"/>
      <w:bookmarkEnd w:id="48"/>
    </w:p>
    <w:p>
      <w:pPr>
        <w:spacing w:line="600" w:lineRule="exact"/>
        <w:ind w:firstLine="640"/>
        <w:outlineLvl w:val="2"/>
        <w:rPr>
          <w:rFonts w:ascii="仿宋" w:hAnsi="仿宋" w:eastAsia="仿宋"/>
          <w:b/>
          <w:sz w:val="32"/>
          <w:szCs w:val="32"/>
        </w:rPr>
      </w:pPr>
      <w:bookmarkStart w:id="49" w:name="_Toc15377216"/>
      <w:r>
        <w:rPr>
          <w:rFonts w:hint="eastAsia" w:ascii="仿宋" w:hAnsi="仿宋" w:eastAsia="仿宋"/>
          <w:b/>
          <w:sz w:val="32"/>
          <w:szCs w:val="32"/>
        </w:rPr>
        <w:t>（一）“三公”经费财政拨款支出决算总体情况说明</w:t>
      </w:r>
      <w:bookmarkEnd w:id="49"/>
    </w:p>
    <w:p>
      <w:pPr>
        <w:shd w:val="clear" w:fill="FFFFFF" w:themeFill="background1"/>
        <w:spacing w:line="600" w:lineRule="exact"/>
        <w:ind w:firstLine="640"/>
        <w:rPr>
          <w:rFonts w:hint="default"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shd w:val="clear" w:fill="FFFFFF" w:themeFill="background1"/>
          <w14:textFill>
            <w14:solidFill>
              <w14:schemeClr w14:val="tx1"/>
            </w14:solidFill>
          </w14:textFill>
        </w:rPr>
        <w:t>20</w:t>
      </w:r>
      <w:r>
        <w:rPr>
          <w:rFonts w:hint="eastAsia" w:ascii="仿宋" w:hAnsi="仿宋" w:eastAsia="仿宋"/>
          <w:color w:val="000000" w:themeColor="text1"/>
          <w:sz w:val="32"/>
          <w:szCs w:val="32"/>
          <w:highlight w:val="none"/>
          <w:shd w:val="clear" w:fill="FFFFFF" w:themeFill="background1"/>
          <w14:textFill>
            <w14:solidFill>
              <w14:schemeClr w14:val="tx1"/>
            </w14:solidFill>
          </w14:textFill>
        </w:rPr>
        <w:t>21年“三公”经费财政拨款支出决算为</w:t>
      </w:r>
      <w:r>
        <w:rPr>
          <w:rFonts w:hint="eastAsia" w:ascii="仿宋" w:hAnsi="仿宋" w:eastAsia="仿宋"/>
          <w:color w:val="000000" w:themeColor="text1"/>
          <w:sz w:val="32"/>
          <w:szCs w:val="32"/>
          <w:highlight w:val="none"/>
          <w:shd w:val="clear" w:fill="FFFFFF" w:themeFill="background1"/>
          <w:lang w:val="en-US" w:eastAsia="zh-CN"/>
          <w14:textFill>
            <w14:solidFill>
              <w14:schemeClr w14:val="tx1"/>
            </w14:solidFill>
          </w14:textFill>
        </w:rPr>
        <w:t>38.52</w:t>
      </w:r>
      <w:r>
        <w:rPr>
          <w:rFonts w:hint="eastAsia" w:ascii="仿宋" w:hAnsi="仿宋" w:eastAsia="仿宋"/>
          <w:color w:val="000000" w:themeColor="text1"/>
          <w:sz w:val="32"/>
          <w:szCs w:val="32"/>
          <w:highlight w:val="none"/>
          <w:shd w:val="clear" w:fill="FFFFFF" w:themeFill="background1"/>
          <w14:textFill>
            <w14:solidFill>
              <w14:schemeClr w14:val="tx1"/>
            </w14:solidFill>
          </w14:textFill>
        </w:rPr>
        <w:t>万元，完成预算</w:t>
      </w:r>
      <w:r>
        <w:rPr>
          <w:rFonts w:hint="eastAsia" w:ascii="仿宋" w:hAnsi="仿宋" w:eastAsia="仿宋"/>
          <w:color w:val="000000" w:themeColor="text1"/>
          <w:sz w:val="32"/>
          <w:szCs w:val="32"/>
          <w:highlight w:val="none"/>
          <w:shd w:val="clear" w:fill="FFFFFF" w:themeFill="background1"/>
          <w:lang w:val="en-US" w:eastAsia="zh-CN"/>
          <w14:textFill>
            <w14:solidFill>
              <w14:schemeClr w14:val="tx1"/>
            </w14:solidFill>
          </w14:textFill>
        </w:rPr>
        <w:t>100</w:t>
      </w:r>
      <w:r>
        <w:rPr>
          <w:rFonts w:ascii="仿宋" w:hAnsi="仿宋" w:eastAsia="仿宋"/>
          <w:color w:val="000000" w:themeColor="text1"/>
          <w:sz w:val="32"/>
          <w:szCs w:val="32"/>
          <w:highlight w:val="none"/>
          <w:shd w:val="clear" w:fill="FFFFFF" w:themeFill="background1"/>
          <w14:textFill>
            <w14:solidFill>
              <w14:schemeClr w14:val="tx1"/>
            </w14:solidFill>
          </w14:textFill>
        </w:rPr>
        <w:t>%</w:t>
      </w:r>
      <w:r>
        <w:rPr>
          <w:rFonts w:hint="eastAsia" w:ascii="仿宋" w:hAnsi="仿宋" w:eastAsia="仿宋"/>
          <w:color w:val="000000" w:themeColor="text1"/>
          <w:sz w:val="32"/>
          <w:szCs w:val="32"/>
          <w:highlight w:val="none"/>
          <w:shd w:val="clear" w:fill="FFFFFF" w:themeFill="background1"/>
          <w14:textFill>
            <w14:solidFill>
              <w14:schemeClr w14:val="tx1"/>
            </w14:solidFill>
          </w14:textFill>
        </w:rPr>
        <w:t>。</w:t>
      </w:r>
      <w:r>
        <w:rPr>
          <w:rFonts w:hint="eastAsia" w:ascii="仿宋" w:hAnsi="仿宋" w:eastAsia="仿宋"/>
          <w:color w:val="000000" w:themeColor="text1"/>
          <w:sz w:val="32"/>
          <w:szCs w:val="32"/>
          <w:highlight w:val="none"/>
          <w:shd w:val="clear" w:fill="FFFFFF" w:themeFill="background1"/>
          <w:lang w:eastAsia="zh-CN"/>
          <w14:textFill>
            <w14:solidFill>
              <w14:schemeClr w14:val="tx1"/>
            </w14:solidFill>
          </w14:textFill>
        </w:rPr>
        <w:t>增减变化为</w:t>
      </w:r>
      <w:r>
        <w:rPr>
          <w:rFonts w:hint="eastAsia" w:ascii="仿宋" w:hAnsi="仿宋" w:eastAsia="仿宋"/>
          <w:color w:val="000000" w:themeColor="text1"/>
          <w:sz w:val="32"/>
          <w:szCs w:val="32"/>
          <w:highlight w:val="none"/>
          <w:shd w:val="clear" w:fill="FFFFFF" w:themeFill="background1"/>
          <w:lang w:val="en-US" w:eastAsia="zh-CN"/>
          <w14:textFill>
            <w14:solidFill>
              <w14:schemeClr w14:val="tx1"/>
            </w14:solidFill>
          </w14:textFill>
        </w:rPr>
        <w:t>0%。</w:t>
      </w:r>
    </w:p>
    <w:p>
      <w:pPr>
        <w:spacing w:line="600" w:lineRule="exact"/>
        <w:ind w:firstLine="640"/>
        <w:outlineLvl w:val="2"/>
        <w:rPr>
          <w:rFonts w:ascii="仿宋" w:hAnsi="仿宋" w:eastAsia="仿宋"/>
          <w:b/>
          <w:sz w:val="32"/>
          <w:szCs w:val="32"/>
        </w:rPr>
      </w:pPr>
      <w:bookmarkStart w:id="50" w:name="_Toc15377217"/>
      <w:r>
        <w:rPr>
          <w:rFonts w:hint="eastAsia" w:ascii="仿宋" w:hAnsi="仿宋" w:eastAsia="仿宋"/>
          <w:b/>
          <w:sz w:val="32"/>
          <w:szCs w:val="32"/>
        </w:rPr>
        <w:t>（二）“三公”经费财政拨款支出决算具体情况说明</w:t>
      </w:r>
      <w:bookmarkEnd w:id="5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1.3</w:t>
      </w:r>
      <w:r>
        <w:rPr>
          <w:rFonts w:hint="eastAsia" w:ascii="仿宋" w:hAnsi="仿宋" w:eastAsia="仿宋"/>
          <w:sz w:val="32"/>
          <w:szCs w:val="32"/>
        </w:rPr>
        <w:t>万元，占</w:t>
      </w:r>
      <w:r>
        <w:rPr>
          <w:rFonts w:hint="eastAsia" w:ascii="仿宋" w:hAnsi="仿宋" w:eastAsia="仿宋"/>
          <w:sz w:val="32"/>
          <w:szCs w:val="32"/>
          <w:lang w:val="en-US" w:eastAsia="zh-CN"/>
        </w:rPr>
        <w:t>3.37</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37.22</w:t>
      </w:r>
      <w:r>
        <w:rPr>
          <w:rFonts w:hint="eastAsia" w:ascii="仿宋" w:hAnsi="仿宋" w:eastAsia="仿宋"/>
          <w:sz w:val="32"/>
          <w:szCs w:val="32"/>
        </w:rPr>
        <w:t>万元，占</w:t>
      </w:r>
      <w:r>
        <w:rPr>
          <w:rFonts w:hint="eastAsia" w:ascii="仿宋" w:hAnsi="仿宋" w:eastAsia="仿宋"/>
          <w:sz w:val="32"/>
          <w:szCs w:val="32"/>
          <w:lang w:val="en-US" w:eastAsia="zh-CN"/>
        </w:rPr>
        <w:t>96.63</w:t>
      </w:r>
      <w:r>
        <w:rPr>
          <w:rFonts w:ascii="仿宋" w:hAnsi="仿宋" w:eastAsia="仿宋"/>
          <w:sz w:val="32"/>
          <w:szCs w:val="32"/>
        </w:rPr>
        <w:t>%</w:t>
      </w:r>
      <w:r>
        <w:rPr>
          <w:rFonts w:hint="eastAsia" w:ascii="仿宋" w:hAnsi="仿宋" w:eastAsia="仿宋"/>
          <w:sz w:val="32"/>
          <w:szCs w:val="32"/>
        </w:rPr>
        <w:t>。具体情况如下：</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"C:\\Users\\lenovo\\AppData\\Roaming\\Tencent\\Users\\248301485\\QQ\\WinTemp\\RichOle\\9Z}LX2}XYVGZM7NZCIG}TXB.png"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4772025" cy="2781300"/>
            <wp:effectExtent l="0" t="0" r="9525" b="0"/>
            <wp:docPr id="10"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6"/>
                    <pic:cNvPicPr>
                      <a:picLocks noChangeAspect="1"/>
                    </pic:cNvPicPr>
                  </pic:nvPicPr>
                  <pic:blipFill>
                    <a:blip r:embed="rId12"/>
                    <a:stretch>
                      <a:fillRect/>
                    </a:stretch>
                  </pic:blipFill>
                  <pic:spPr>
                    <a:xfrm>
                      <a:off x="0" y="0"/>
                      <a:ext cx="4772025" cy="27813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pStyle w:val="2"/>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1.3</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0.79</w:t>
      </w:r>
      <w:r>
        <w:rPr>
          <w:rFonts w:hint="eastAsia" w:ascii="仿宋_GB2312" w:eastAsia="仿宋_GB2312"/>
          <w:sz w:val="32"/>
          <w:szCs w:val="32"/>
        </w:rPr>
        <w:t>万元，增长</w:t>
      </w:r>
      <w:r>
        <w:rPr>
          <w:rFonts w:hint="eastAsia" w:ascii="仿宋_GB2312" w:eastAsia="仿宋_GB2312"/>
          <w:sz w:val="32"/>
          <w:szCs w:val="32"/>
          <w:lang w:val="en-US" w:eastAsia="zh-CN"/>
        </w:rPr>
        <w:t>154.9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车辆年限较长，修理费增加</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1.3</w:t>
      </w:r>
      <w:r>
        <w:rPr>
          <w:rFonts w:hint="eastAsia" w:ascii="仿宋_GB2312" w:eastAsia="仿宋_GB2312"/>
          <w:sz w:val="32"/>
          <w:szCs w:val="32"/>
        </w:rPr>
        <w:t>万元。主要用于</w:t>
      </w:r>
      <w:r>
        <w:rPr>
          <w:rFonts w:hint="eastAsia" w:ascii="仿宋_GB2312" w:eastAsia="仿宋_GB2312"/>
          <w:sz w:val="32"/>
          <w:szCs w:val="32"/>
          <w:lang w:eastAsia="zh-CN"/>
        </w:rPr>
        <w:t>接待工作</w:t>
      </w:r>
      <w:r>
        <w:rPr>
          <w:rFonts w:hint="eastAsia" w:ascii="仿宋_GB2312" w:eastAsia="仿宋_GB2312"/>
          <w:sz w:val="32"/>
          <w:szCs w:val="32"/>
        </w:rPr>
        <w:t>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37.22</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15.23</w:t>
      </w:r>
      <w:r>
        <w:rPr>
          <w:rFonts w:hint="eastAsia" w:ascii="仿宋_GB2312" w:eastAsia="仿宋_GB2312"/>
          <w:sz w:val="32"/>
          <w:szCs w:val="32"/>
        </w:rPr>
        <w:t>万元，下降</w:t>
      </w:r>
      <w:r>
        <w:rPr>
          <w:rFonts w:hint="eastAsia" w:ascii="仿宋_GB2312" w:eastAsia="仿宋_GB2312"/>
          <w:sz w:val="32"/>
          <w:szCs w:val="32"/>
          <w:lang w:val="en-US" w:eastAsia="zh-CN"/>
        </w:rPr>
        <w:t>29.04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受疫情影响，公务接待费减少</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37.22</w:t>
      </w:r>
      <w:r>
        <w:rPr>
          <w:rFonts w:hint="eastAsia" w:ascii="仿宋_GB2312" w:eastAsia="仿宋_GB2312"/>
          <w:sz w:val="32"/>
          <w:szCs w:val="32"/>
        </w:rPr>
        <w:t>万元，</w:t>
      </w:r>
      <w:r>
        <w:rPr>
          <w:rFonts w:hint="eastAsia" w:ascii="仿宋_GB2312" w:eastAsia="仿宋_GB2312"/>
          <w:color w:val="000000"/>
          <w:sz w:val="32"/>
          <w:szCs w:val="32"/>
        </w:rPr>
        <w:t>主要用于开展业务活动开支的交通费、住宿费、用餐费等</w:t>
      </w:r>
      <w:r>
        <w:rPr>
          <w:rFonts w:hint="eastAsia" w:ascii="仿宋_GB2312" w:eastAsia="仿宋_GB2312"/>
          <w:sz w:val="32"/>
          <w:szCs w:val="32"/>
        </w:rPr>
        <w:t>。</w:t>
      </w:r>
      <w:r>
        <w:rPr>
          <w:rFonts w:hint="eastAsia" w:ascii="仿宋_GB2312" w:eastAsia="仿宋_GB2312"/>
          <w:color w:val="auto"/>
          <w:sz w:val="32"/>
          <w:szCs w:val="32"/>
          <w:lang w:eastAsia="zh-CN"/>
        </w:rPr>
        <w:t>国内公务接待</w:t>
      </w:r>
      <w:r>
        <w:rPr>
          <w:rFonts w:hint="eastAsia" w:ascii="仿宋_GB2312" w:eastAsia="仿宋_GB2312"/>
          <w:color w:val="auto"/>
          <w:sz w:val="32"/>
          <w:szCs w:val="32"/>
          <w:lang w:val="en-US" w:eastAsia="zh-CN"/>
        </w:rPr>
        <w:t>134批159次，1770人次</w:t>
      </w:r>
      <w:r>
        <w:rPr>
          <w:rFonts w:hint="eastAsia" w:ascii="仿宋_GB2312" w:eastAsia="仿宋_GB2312"/>
          <w:sz w:val="32"/>
          <w:szCs w:val="32"/>
        </w:rPr>
        <w:t>（不包括陪同人员），共计支出</w:t>
      </w:r>
      <w:r>
        <w:rPr>
          <w:rFonts w:hint="eastAsia" w:ascii="仿宋_GB2312" w:eastAsia="仿宋_GB2312"/>
          <w:sz w:val="32"/>
          <w:szCs w:val="32"/>
          <w:lang w:val="en-US" w:eastAsia="zh-CN"/>
        </w:rPr>
        <w:t>37.22</w:t>
      </w:r>
      <w:r>
        <w:rPr>
          <w:rFonts w:hint="eastAsia" w:ascii="仿宋_GB2312" w:eastAsia="仿宋_GB2312"/>
          <w:sz w:val="32"/>
          <w:szCs w:val="32"/>
        </w:rPr>
        <w:t>万元，具体内容包括：</w:t>
      </w:r>
      <w:r>
        <w:rPr>
          <w:rFonts w:hAnsi="Times New Roman" w:eastAsia="仿宋_GB2312"/>
          <w:color w:val="000000"/>
          <w:sz w:val="32"/>
          <w:szCs w:val="32"/>
        </w:rPr>
        <w:t>协助落实在西区召开的省级及市内大型会议及各项大型重要活动的公务服务工作；负责安排到西区进行投资、洽谈业务等大型活动的服务工作</w:t>
      </w:r>
      <w:r>
        <w:rPr>
          <w:rFonts w:hint="eastAsia" w:eastAsia="仿宋_GB2312"/>
          <w:color w:val="000000"/>
          <w:sz w:val="32"/>
          <w:szCs w:val="32"/>
          <w:lang w:eastAsia="zh-CN"/>
        </w:rPr>
        <w:t>等</w:t>
      </w:r>
      <w:r>
        <w:rPr>
          <w:rFonts w:hint="eastAsia" w:ascii="仿宋" w:hAnsi="仿宋" w:eastAsia="仿宋"/>
          <w:bCs/>
          <w:sz w:val="32"/>
          <w:szCs w:val="32"/>
          <w:lang w:eastAsia="zh-CN"/>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51" w:name="_Toc15396610"/>
      <w:bookmarkStart w:id="52" w:name="_Toc15377218"/>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51"/>
      <w:bookmarkEnd w:id="52"/>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9.39</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53" w:name="_Toc15396611"/>
      <w:bookmarkStart w:id="54" w:name="_Toc15377219"/>
      <w:r>
        <w:rPr>
          <w:rStyle w:val="26"/>
          <w:rFonts w:hint="eastAsia" w:ascii="黑体" w:hAnsi="黑体" w:eastAsia="黑体"/>
          <w:b w:val="0"/>
        </w:rPr>
        <w:t>国有资本经营预算支出决算情况说明</w:t>
      </w:r>
      <w:bookmarkEnd w:id="53"/>
      <w:bookmarkEnd w:id="54"/>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55" w:name="_Toc15396612"/>
      <w:bookmarkStart w:id="56" w:name="_Toc15377221"/>
      <w:r>
        <w:rPr>
          <w:rStyle w:val="26"/>
          <w:rFonts w:hint="eastAsia" w:ascii="黑体" w:hAnsi="黑体" w:eastAsia="黑体"/>
          <w:b w:val="0"/>
        </w:rPr>
        <w:t>其他重要事项的情况说明</w:t>
      </w:r>
      <w:bookmarkEnd w:id="55"/>
      <w:bookmarkEnd w:id="56"/>
    </w:p>
    <w:p>
      <w:pPr>
        <w:spacing w:line="600" w:lineRule="exact"/>
        <w:ind w:firstLine="643" w:firstLineChars="200"/>
        <w:outlineLvl w:val="2"/>
        <w:rPr>
          <w:rFonts w:ascii="仿宋" w:hAnsi="仿宋" w:eastAsia="仿宋"/>
          <w:sz w:val="32"/>
          <w:szCs w:val="32"/>
        </w:rPr>
      </w:pPr>
      <w:bookmarkStart w:id="57" w:name="_Toc15377222"/>
      <w:r>
        <w:rPr>
          <w:rFonts w:hint="eastAsia" w:ascii="仿宋" w:hAnsi="仿宋" w:eastAsia="仿宋"/>
          <w:b/>
          <w:sz w:val="32"/>
          <w:szCs w:val="32"/>
        </w:rPr>
        <w:t>（一）机关运行经费支出情况</w:t>
      </w:r>
      <w:bookmarkEnd w:id="5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西区公务服务中心</w:t>
      </w:r>
      <w:r>
        <w:rPr>
          <w:rFonts w:hint="eastAsia" w:ascii="仿宋_GB2312" w:eastAsia="仿宋_GB2312"/>
          <w:sz w:val="32"/>
          <w:szCs w:val="32"/>
        </w:rPr>
        <w:t>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3"/>
      <w:r>
        <w:rPr>
          <w:rFonts w:hint="eastAsia" w:ascii="仿宋" w:hAnsi="仿宋" w:eastAsia="仿宋"/>
          <w:b/>
          <w:sz w:val="32"/>
          <w:szCs w:val="32"/>
        </w:rPr>
        <w:t>（二）政府采购支出情况</w:t>
      </w:r>
      <w:bookmarkEnd w:id="5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西区公务服务中心</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9" w:name="_Toc15377224"/>
      <w:r>
        <w:rPr>
          <w:rFonts w:hint="eastAsia" w:ascii="仿宋" w:hAnsi="仿宋" w:eastAsia="仿宋"/>
          <w:b/>
          <w:sz w:val="32"/>
          <w:szCs w:val="32"/>
        </w:rPr>
        <w:t>（三）国有资产占有使用情况</w:t>
      </w:r>
      <w:bookmarkEnd w:id="5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西区公务服务中心</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eastAsia" w:ascii="仿宋_GB2312" w:hAnsi="仿宋_GB2312" w:eastAsia="仿宋_GB2312" w:cs="仿宋_GB2312"/>
          <w:sz w:val="32"/>
          <w:szCs w:val="32"/>
          <w:lang w:val="en-US" w:eastAsia="zh-CN"/>
        </w:rPr>
        <w:t>接待协调费1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eastAsia="zh-CN"/>
        </w:rPr>
        <w:t>西区公务服务中心</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60" w:name="_Toc12456"/>
      <w:bookmarkStart w:id="61" w:name="_Toc15377225"/>
      <w:bookmarkStart w:id="62" w:name="_Toc15396613"/>
      <w:r>
        <w:rPr>
          <w:rFonts w:hint="eastAsia" w:ascii="黑体" w:hAnsi="黑体" w:eastAsia="黑体"/>
          <w:sz w:val="44"/>
          <w:szCs w:val="44"/>
        </w:rPr>
        <w:t>名</w:t>
      </w:r>
      <w:r>
        <w:rPr>
          <w:rStyle w:val="25"/>
          <w:rFonts w:hint="eastAsia" w:ascii="黑体" w:hAnsi="黑体" w:eastAsia="黑体"/>
          <w:b w:val="0"/>
        </w:rPr>
        <w:t>词解释</w:t>
      </w:r>
      <w:bookmarkEnd w:id="60"/>
      <w:bookmarkEnd w:id="61"/>
      <w:bookmarkEnd w:id="62"/>
    </w:p>
    <w:p>
      <w:pPr>
        <w:spacing w:line="600" w:lineRule="exact"/>
        <w:jc w:val="left"/>
        <w:rPr>
          <w:rFonts w:ascii="宋体"/>
          <w:b/>
          <w:sz w:val="44"/>
          <w:szCs w:val="44"/>
        </w:rPr>
      </w:pPr>
    </w:p>
    <w:p>
      <w:pPr>
        <w:autoSpaceDE w:val="0"/>
        <w:autoSpaceDN w:val="0"/>
        <w:adjustRightInd w:val="0"/>
        <w:spacing w:line="353" w:lineRule="auto"/>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1.财政拨款收入：指单位从同级财政部门取得的财政预算资金。</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2.年初结转和结余：指以前年度尚未完成、结转到本年按有关规定继续使用的资金。 </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3.年末结转和结余：指本年度或以前年度预算安排、因客观条件发生变化无法按原计划实施，需延迟到以后年度按有关规定继续使用的资金。</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4.基本支出：指为保障机构正常运转、完成日常工作任务而发生的人员支出和公用支出。</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5.项目支出：指在基本支出之外为完成特定行政任务和事业发展目标所发生的支出。 </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6.“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8.社会保障和就业</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 xml:space="preserve">（类）行政事业单位养老支出（款）  </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①、行政单位离退休: 指行政单位（包括实行公务员管理的事业单位）开支的离退休支出。</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②、机关事业单位基本养老保险缴费支出：指机关事业单位实施养老保险制度有单位缴纳的基本养老保险费支出。</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10、卫生健康支出支出（类） 行政事业单位医疗支出（款） </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sym w:font="Wingdings" w:char="F081"/>
      </w:r>
      <w:r>
        <w:rPr>
          <w:rFonts w:hint="eastAsia" w:ascii="Times New Roman" w:hAnsi="Times New Roman" w:eastAsia="仿宋_GB2312" w:cs="Times New Roman"/>
          <w:sz w:val="32"/>
          <w:szCs w:val="32"/>
        </w:rPr>
        <w:t>、行政单位医疗：反映财政部门安排的行政单位（包括实行公务员管理的事业单位、下同）基本医疗保险缴费经费，未参加医疗保险的行政单位的公费医疗经费，按国家规定享受离休人员、红军老战士待遇人员的医疗经费。</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sym w:font="Wingdings" w:char="F082"/>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事业单位医疗：反映财政部门安排的事业单位基本医疗保险缴费经费，未参加医疗保险的事业单位的公费医疗经费，按国家规定享受离休人员待遇的医疗经费。</w:t>
      </w:r>
    </w:p>
    <w:p>
      <w:pPr>
        <w:autoSpaceDE w:val="0"/>
        <w:autoSpaceDN w:val="0"/>
        <w:adjustRightInd w:val="0"/>
        <w:spacing w:line="353" w:lineRule="auto"/>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③、</w:t>
      </w:r>
      <w:r>
        <w:rPr>
          <w:rFonts w:hint="eastAsia" w:ascii="Times New Roman" w:hAnsi="Times New Roman" w:eastAsia="仿宋_GB2312" w:cs="Times New Roman"/>
          <w:sz w:val="32"/>
          <w:szCs w:val="32"/>
        </w:rPr>
        <w:t>公务员医疗补助：反映财政部门安排的公务员医疗补助经费。</w:t>
      </w:r>
    </w:p>
    <w:p>
      <w:pPr>
        <w:autoSpaceDE w:val="0"/>
        <w:autoSpaceDN w:val="0"/>
        <w:adjustRightInd w:val="0"/>
        <w:spacing w:line="353" w:lineRule="auto"/>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④、其他行政事业单位医疗支出：反映除上述项目以外的其他用于行政事业单位医疗方面的支出。</w:t>
      </w:r>
    </w:p>
    <w:p>
      <w:pPr>
        <w:autoSpaceDE w:val="0"/>
        <w:autoSpaceDN w:val="0"/>
        <w:adjustRightInd w:val="0"/>
        <w:spacing w:line="353" w:lineRule="auto"/>
        <w:ind w:firstLine="64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住房保障支出（类）住房改革支出（款）住房公积金（项）：指行政事业单位按人力资源和社会保障部、财政部规定的基本工资和津贴补贴以及规定比例为职工缴纳的住房公积金。</w:t>
      </w:r>
    </w:p>
    <w:p>
      <w:pPr>
        <w:autoSpaceDE w:val="0"/>
        <w:autoSpaceDN w:val="0"/>
        <w:adjustRightInd w:val="0"/>
        <w:spacing w:line="353" w:lineRule="auto"/>
        <w:ind w:firstLine="64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12、一般公共服务支出（类）政府办公厅（室）及相关机构事务（款）事业运行（项）：反映事业单位的基本支出，不包括行政单位（包括实行公务员管理的事业单位）后勤服务中心、医务室等附属事业单位。</w:t>
      </w:r>
    </w:p>
    <w:p>
      <w:pPr>
        <w:pStyle w:val="2"/>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 xml:space="preserve">    13、城乡社区支出（类）国有土地使用权出让收入安排的支出（款）土地开发支出（项）：反映新疆生产建设兵团和地方政府用于前期土地开发性支出以及前期土地开发相关的费用支出</w:t>
      </w:r>
      <w:r>
        <w:rPr>
          <w:rFonts w:hint="eastAsia" w:ascii="Times New Roman" w:hAnsi="Times New Roman" w:eastAsia="仿宋_GB2312" w:cs="Times New Roman"/>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2" w:lineRule="exact"/>
        <w:jc w:val="left"/>
        <w:outlineLvl w:val="0"/>
        <w:rPr>
          <w:rFonts w:ascii="方正小标宋简体" w:hAnsi="方正小标宋简体" w:eastAsia="方正小标宋简体" w:cs="方正小标宋简体"/>
          <w:sz w:val="44"/>
          <w:szCs w:val="44"/>
        </w:rPr>
      </w:pPr>
      <w:bookmarkStart w:id="63" w:name="_Toc15377226"/>
      <w:r>
        <w:rPr>
          <w:rFonts w:ascii="宋体"/>
          <w:b/>
          <w:sz w:val="44"/>
          <w:szCs w:val="44"/>
        </w:rPr>
        <w:br w:type="page"/>
      </w:r>
      <w:bookmarkStart w:id="64" w:name="_Toc3293"/>
      <w:r>
        <w:rPr>
          <w:rFonts w:hint="eastAsia" w:ascii="黑体" w:hAnsi="黑体" w:eastAsia="黑体" w:cs="黑体"/>
          <w:sz w:val="32"/>
          <w:szCs w:val="32"/>
        </w:rPr>
        <w:t>附件</w:t>
      </w:r>
      <w:bookmarkEnd w:id="64"/>
    </w:p>
    <w:p>
      <w:pPr>
        <w:spacing w:line="572" w:lineRule="exact"/>
        <w:jc w:val="center"/>
        <w:outlineLvl w:val="0"/>
        <w:rPr>
          <w:rFonts w:hint="eastAsia" w:ascii="方正小标宋简体" w:hAnsi="宋体" w:eastAsia="方正小标宋简体"/>
          <w:kern w:val="0"/>
          <w:sz w:val="40"/>
          <w:szCs w:val="44"/>
        </w:rPr>
      </w:pPr>
      <w:bookmarkStart w:id="65" w:name="_Toc20207"/>
      <w:r>
        <w:rPr>
          <w:rFonts w:hint="eastAsia" w:ascii="方正小标宋简体" w:hAnsi="宋体" w:eastAsia="方正小标宋简体"/>
          <w:kern w:val="0"/>
          <w:sz w:val="40"/>
          <w:szCs w:val="44"/>
        </w:rPr>
        <w:t>2021年</w:t>
      </w:r>
      <w:r>
        <w:rPr>
          <w:rFonts w:hint="eastAsia" w:ascii="方正小标宋简体" w:hAnsi="宋体" w:eastAsia="方正小标宋简体"/>
          <w:kern w:val="0"/>
          <w:sz w:val="40"/>
          <w:szCs w:val="44"/>
          <w:lang w:val="en-US" w:eastAsia="zh-CN"/>
        </w:rPr>
        <w:t>攀枝花市西区</w:t>
      </w:r>
      <w:r>
        <w:rPr>
          <w:rFonts w:hint="eastAsia" w:ascii="方正小标宋简体" w:hAnsi="宋体" w:eastAsia="方正小标宋简体"/>
          <w:kern w:val="0"/>
          <w:sz w:val="40"/>
          <w:szCs w:val="44"/>
          <w:lang w:eastAsia="zh-CN"/>
        </w:rPr>
        <w:t>公务服务中心</w:t>
      </w:r>
      <w:r>
        <w:rPr>
          <w:rFonts w:hint="eastAsia" w:ascii="方正小标宋简体" w:hAnsi="宋体" w:eastAsia="方正小标宋简体"/>
          <w:kern w:val="0"/>
          <w:sz w:val="40"/>
          <w:szCs w:val="44"/>
        </w:rPr>
        <w:t>部门</w:t>
      </w:r>
      <w:bookmarkEnd w:id="65"/>
    </w:p>
    <w:p>
      <w:pPr>
        <w:spacing w:line="572" w:lineRule="exact"/>
        <w:jc w:val="center"/>
        <w:outlineLvl w:val="0"/>
        <w:rPr>
          <w:rFonts w:ascii="黑体" w:hAnsi="宋体" w:eastAsia="黑体" w:cs="宋体"/>
          <w:kern w:val="0"/>
          <w:sz w:val="24"/>
          <w:szCs w:val="32"/>
          <w:shd w:val="clear" w:color="auto" w:fill="FFFFFF"/>
        </w:rPr>
      </w:pPr>
      <w:bookmarkStart w:id="66" w:name="_Toc8918"/>
      <w:r>
        <w:rPr>
          <w:rFonts w:hint="eastAsia" w:ascii="方正小标宋简体" w:hAnsi="宋体" w:eastAsia="方正小标宋简体"/>
          <w:kern w:val="0"/>
          <w:sz w:val="40"/>
          <w:szCs w:val="44"/>
        </w:rPr>
        <w:t>整体绩效评价报告</w:t>
      </w:r>
      <w:bookmarkEnd w:id="66"/>
    </w:p>
    <w:p>
      <w:pPr>
        <w:widowControl/>
        <w:adjustRightInd w:val="0"/>
        <w:snapToGrid w:val="0"/>
        <w:spacing w:line="572" w:lineRule="exact"/>
        <w:ind w:firstLine="640" w:firstLineChars="200"/>
        <w:contextualSpacing/>
        <w:jc w:val="left"/>
        <w:outlineLvl w:val="0"/>
        <w:rPr>
          <w:rFonts w:ascii="黑体" w:hAnsi="宋体" w:eastAsia="黑体" w:cs="宋体"/>
          <w:kern w:val="0"/>
          <w:sz w:val="32"/>
          <w:szCs w:val="32"/>
          <w:shd w:val="clear" w:color="auto" w:fill="FFFFFF"/>
          <w:lang w:val="zh-CN"/>
        </w:rPr>
      </w:pPr>
      <w:bookmarkStart w:id="67" w:name="_Toc15937"/>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bookmarkEnd w:id="67"/>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pStyle w:val="2"/>
        <w:numPr>
          <w:ilvl w:val="0"/>
          <w:numId w:val="0"/>
        </w:numPr>
        <w:rPr>
          <w:rFonts w:hint="eastAsia" w:ascii="Times New Roman" w:hAnsi="Times New Roman" w:eastAsia="仿宋_GB2312" w:cs="Times New Roman"/>
          <w:sz w:val="32"/>
          <w:szCs w:val="32"/>
          <w:lang w:val="zh-CN" w:eastAsia="zh-CN"/>
        </w:rPr>
      </w:pPr>
      <w:r>
        <w:rPr>
          <w:rFonts w:hint="eastAsia" w:eastAsia="仿宋_GB2312" w:cs="Times New Roman"/>
          <w:sz w:val="32"/>
          <w:szCs w:val="32"/>
          <w:lang w:val="en-US" w:eastAsia="zh-CN"/>
        </w:rPr>
        <w:t xml:space="preserve">  </w:t>
      </w:r>
      <w:r>
        <w:rPr>
          <w:rFonts w:hint="eastAsia" w:eastAsia="仿宋_GB2312" w:cs="Times New Roman"/>
          <w:color w:val="FF0000"/>
          <w:sz w:val="32"/>
          <w:szCs w:val="32"/>
          <w:lang w:val="en-US" w:eastAsia="zh-CN"/>
        </w:rPr>
        <w:t xml:space="preserve">  </w:t>
      </w:r>
      <w:r>
        <w:rPr>
          <w:rFonts w:ascii="仿宋" w:hAnsi="仿宋" w:eastAsia="仿宋" w:cs="宋体"/>
          <w:color w:val="000000"/>
          <w:kern w:val="0"/>
          <w:sz w:val="32"/>
          <w:szCs w:val="32"/>
          <w:shd w:val="clear" w:color="auto" w:fill="FFFFFF"/>
        </w:rPr>
        <w:t>攀枝花市西区</w:t>
      </w:r>
      <w:r>
        <w:rPr>
          <w:rFonts w:hint="eastAsia" w:ascii="仿宋" w:hAnsi="仿宋" w:eastAsia="仿宋" w:cs="宋体"/>
          <w:color w:val="000000"/>
          <w:kern w:val="0"/>
          <w:sz w:val="32"/>
          <w:szCs w:val="32"/>
          <w:shd w:val="clear" w:color="auto" w:fill="FFFFFF"/>
          <w:lang w:val="en-US" w:eastAsia="zh-CN"/>
        </w:rPr>
        <w:t>公务服务中心</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r>
        <w:rPr>
          <w:rFonts w:hint="eastAsia" w:eastAsia="仿宋_GB2312" w:cs="Times New Roman"/>
          <w:color w:val="auto"/>
          <w:sz w:val="32"/>
          <w:szCs w:val="32"/>
          <w:lang w:eastAsia="zh-CN"/>
        </w:rPr>
        <w:t>。</w:t>
      </w:r>
    </w:p>
    <w:p>
      <w:pPr>
        <w:widowControl/>
        <w:numPr>
          <w:ilvl w:val="0"/>
          <w:numId w:val="0"/>
        </w:numPr>
        <w:adjustRightInd w:val="0"/>
        <w:snapToGrid w:val="0"/>
        <w:spacing w:line="572"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（二）</w:t>
      </w:r>
      <w:r>
        <w:rPr>
          <w:rFonts w:hint="eastAsia" w:ascii="仿宋_GB2312" w:hAnsi="宋体" w:eastAsia="仿宋_GB2312" w:cs="宋体"/>
          <w:kern w:val="0"/>
          <w:sz w:val="32"/>
          <w:szCs w:val="32"/>
          <w:shd w:val="clear" w:color="auto" w:fill="FFFFFF"/>
          <w:lang w:val="zh-CN"/>
        </w:rPr>
        <w:t>机构职能。</w:t>
      </w:r>
    </w:p>
    <w:p>
      <w:pPr>
        <w:pStyle w:val="2"/>
        <w:numPr>
          <w:ilvl w:val="0"/>
          <w:numId w:val="0"/>
        </w:numPr>
        <w:rPr>
          <w:rFonts w:hint="eastAsia" w:eastAsia="宋体"/>
          <w:lang w:val="en-US" w:eastAsia="zh-CN"/>
        </w:rPr>
      </w:pPr>
      <w:r>
        <w:rPr>
          <w:rFonts w:hint="eastAsia"/>
          <w:lang w:val="en-US" w:eastAsia="zh-CN"/>
        </w:rPr>
        <w:t xml:space="preserve">       </w:t>
      </w:r>
      <w:r>
        <w:rPr>
          <w:rFonts w:hint="eastAsia" w:ascii="Times New Roman" w:hAnsi="Times New Roman" w:eastAsia="仿宋_GB2312" w:cs="Times New Roman"/>
          <w:sz w:val="32"/>
          <w:szCs w:val="32"/>
          <w:lang w:eastAsia="zh-CN"/>
        </w:rPr>
        <w:t>承办区委、区政府领导有关公务服务工作的批示和决定，以及区委、区政府及有关部门转由公务服务中心办理的事项；完成友邻县（区）主要领导、四大班子代表团来西区考察工作的公务服务工作；对区内各部门公务服务工作进行指导；协助落实在西区召开的省级及市内大型会议及重要活动的公务服务工作；负责安排到西区进行投资、洽谈业务等重要商务活动的服务工作</w:t>
      </w:r>
      <w:r>
        <w:rPr>
          <w:rFonts w:hint="eastAsia" w:eastAsia="仿宋_GB2312" w:cs="Times New Roman"/>
          <w:sz w:val="32"/>
          <w:szCs w:val="32"/>
          <w:lang w:eastAsia="zh-CN"/>
        </w:rPr>
        <w:t>。</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spacing w:line="353" w:lineRule="auto"/>
        <w:ind w:firstLine="640" w:firstLineChars="200"/>
        <w:jc w:val="left"/>
        <w:rPr>
          <w:lang w:val="zh-CN"/>
        </w:rPr>
      </w:pPr>
      <w:r>
        <w:rPr>
          <w:rFonts w:hint="eastAsia" w:ascii="仿宋_GB2312" w:eastAsia="仿宋_GB2312"/>
          <w:sz w:val="32"/>
          <w:szCs w:val="32"/>
        </w:rPr>
        <w:t>在职事业编制数4人，实有人数3人。临聘人员编制数3人，实有人数2人</w:t>
      </w:r>
      <w:r>
        <w:rPr>
          <w:rFonts w:hint="eastAsia" w:ascii="仿宋_GB2312" w:eastAsia="仿宋_GB2312"/>
          <w:sz w:val="32"/>
          <w:szCs w:val="32"/>
          <w:lang w:eastAsia="zh-CN"/>
        </w:rPr>
        <w:t>。</w:t>
      </w:r>
    </w:p>
    <w:p>
      <w:pPr>
        <w:widowControl/>
        <w:adjustRightInd w:val="0"/>
        <w:snapToGrid w:val="0"/>
        <w:spacing w:line="572" w:lineRule="exact"/>
        <w:ind w:firstLine="640" w:firstLineChars="200"/>
        <w:contextualSpacing/>
        <w:jc w:val="left"/>
        <w:outlineLvl w:val="0"/>
        <w:rPr>
          <w:rFonts w:ascii="黑体" w:hAnsi="宋体" w:eastAsia="黑体" w:cs="宋体"/>
          <w:kern w:val="0"/>
          <w:sz w:val="32"/>
          <w:szCs w:val="32"/>
          <w:shd w:val="clear" w:color="auto" w:fill="FFFFFF"/>
        </w:rPr>
      </w:pPr>
      <w:bookmarkStart w:id="68" w:name="_Toc13903"/>
      <w:r>
        <w:rPr>
          <w:rFonts w:hint="eastAsia" w:ascii="黑体" w:hAnsi="宋体" w:eastAsia="黑体" w:cs="宋体"/>
          <w:kern w:val="0"/>
          <w:sz w:val="32"/>
          <w:szCs w:val="32"/>
          <w:shd w:val="clear" w:color="auto" w:fill="FFFFFF"/>
        </w:rPr>
        <w:t>二、部门财政资金收支情况</w:t>
      </w:r>
      <w:bookmarkEnd w:id="68"/>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pStyle w:val="2"/>
        <w:rPr>
          <w:rFonts w:hint="eastAsia" w:ascii="仿宋_GB2312" w:hAnsi="Times New Roman" w:eastAsia="仿宋_GB2312" w:cs="Times New Roman"/>
          <w:color w:val="auto"/>
          <w:kern w:val="2"/>
          <w:sz w:val="32"/>
          <w:szCs w:val="32"/>
          <w:lang w:val="zh-CN" w:eastAsia="zh-CN" w:bidi="ar-SA"/>
        </w:rPr>
      </w:pPr>
      <w:r>
        <w:rPr>
          <w:rFonts w:hint="eastAsia" w:ascii="仿宋_GB2312" w:hAnsi="Times New Roman" w:eastAsia="仿宋_GB2312" w:cs="Times New Roman"/>
          <w:kern w:val="2"/>
          <w:sz w:val="32"/>
          <w:szCs w:val="32"/>
          <w:lang w:val="en-US" w:eastAsia="zh-CN" w:bidi="ar-SA"/>
        </w:rPr>
        <w:t xml:space="preserve">    按照预算管理有关规定，目前部门预算的编制实行综合预算制度，即全部收入和支出都反映在预算中。2021年西区公务服务中心一般公共预算拨款收入</w:t>
      </w:r>
      <w:r>
        <w:rPr>
          <w:rFonts w:hint="eastAsia" w:ascii="仿宋_GB2312" w:eastAsia="仿宋_GB2312" w:cs="Times New Roman"/>
          <w:color w:val="auto"/>
          <w:kern w:val="2"/>
          <w:sz w:val="32"/>
          <w:szCs w:val="32"/>
          <w:lang w:val="en-US" w:eastAsia="zh-CN" w:bidi="ar-SA"/>
        </w:rPr>
        <w:t>97.25</w:t>
      </w:r>
      <w:r>
        <w:rPr>
          <w:rFonts w:hint="eastAsia" w:ascii="仿宋_GB2312" w:hAnsi="Times New Roman" w:eastAsia="仿宋_GB2312" w:cs="Times New Roman"/>
          <w:color w:val="auto"/>
          <w:kern w:val="2"/>
          <w:sz w:val="32"/>
          <w:szCs w:val="32"/>
          <w:lang w:val="en-US" w:eastAsia="zh-CN" w:bidi="ar-SA"/>
        </w:rPr>
        <w:t>万元，其中：当年财政拨款收入</w:t>
      </w:r>
      <w:r>
        <w:rPr>
          <w:rFonts w:hint="eastAsia" w:ascii="仿宋_GB2312" w:eastAsia="仿宋_GB2312" w:cs="Times New Roman"/>
          <w:color w:val="auto"/>
          <w:kern w:val="2"/>
          <w:sz w:val="32"/>
          <w:szCs w:val="32"/>
          <w:lang w:val="en-US" w:eastAsia="zh-CN" w:bidi="ar-SA"/>
        </w:rPr>
        <w:t>97.25</w:t>
      </w:r>
      <w:r>
        <w:rPr>
          <w:rFonts w:hint="eastAsia" w:ascii="仿宋_GB2312" w:hAnsi="Times New Roman" w:eastAsia="仿宋_GB2312" w:cs="Times New Roman"/>
          <w:color w:val="auto"/>
          <w:kern w:val="2"/>
          <w:sz w:val="32"/>
          <w:szCs w:val="32"/>
          <w:lang w:val="en-US" w:eastAsia="zh-CN" w:bidi="ar-SA"/>
        </w:rPr>
        <w:t>万元。相应安排预算支出</w:t>
      </w:r>
      <w:r>
        <w:rPr>
          <w:rFonts w:hint="eastAsia" w:ascii="仿宋_GB2312" w:eastAsia="仿宋_GB2312" w:cs="Times New Roman"/>
          <w:color w:val="auto"/>
          <w:kern w:val="2"/>
          <w:sz w:val="32"/>
          <w:szCs w:val="32"/>
          <w:lang w:val="en-US" w:eastAsia="zh-CN" w:bidi="ar-SA"/>
        </w:rPr>
        <w:t>97.25</w:t>
      </w:r>
      <w:r>
        <w:rPr>
          <w:rFonts w:hint="eastAsia" w:ascii="仿宋_GB2312" w:hAnsi="Times New Roman" w:eastAsia="仿宋_GB2312" w:cs="Times New Roman"/>
          <w:color w:val="auto"/>
          <w:kern w:val="2"/>
          <w:sz w:val="32"/>
          <w:szCs w:val="32"/>
          <w:lang w:val="en-US" w:eastAsia="zh-CN" w:bidi="ar-SA"/>
        </w:rPr>
        <w:t>万元。其中：工资福利支出</w:t>
      </w:r>
      <w:r>
        <w:rPr>
          <w:rFonts w:hint="eastAsia" w:ascii="仿宋_GB2312" w:eastAsia="仿宋_GB2312" w:cs="Times New Roman"/>
          <w:color w:val="auto"/>
          <w:kern w:val="2"/>
          <w:sz w:val="32"/>
          <w:szCs w:val="32"/>
          <w:lang w:val="en-US" w:eastAsia="zh-CN" w:bidi="ar-SA"/>
        </w:rPr>
        <w:t>52.19</w:t>
      </w:r>
      <w:r>
        <w:rPr>
          <w:rFonts w:hint="eastAsia" w:ascii="仿宋_GB2312" w:hAnsi="Times New Roman" w:eastAsia="仿宋_GB2312" w:cs="Times New Roman"/>
          <w:color w:val="auto"/>
          <w:kern w:val="2"/>
          <w:sz w:val="32"/>
          <w:szCs w:val="32"/>
          <w:lang w:val="en-US" w:eastAsia="zh-CN" w:bidi="ar-SA"/>
        </w:rPr>
        <w:t>万元，日常公用支出</w:t>
      </w:r>
      <w:r>
        <w:rPr>
          <w:rFonts w:hint="eastAsia" w:ascii="仿宋_GB2312" w:eastAsia="仿宋_GB2312" w:cs="Times New Roman"/>
          <w:color w:val="auto"/>
          <w:kern w:val="2"/>
          <w:sz w:val="32"/>
          <w:szCs w:val="32"/>
          <w:lang w:val="en-US" w:eastAsia="zh-CN" w:bidi="ar-SA"/>
        </w:rPr>
        <w:t>40.64</w:t>
      </w:r>
      <w:r>
        <w:rPr>
          <w:rFonts w:hint="eastAsia" w:ascii="仿宋_GB2312" w:hAnsi="Times New Roman" w:eastAsia="仿宋_GB2312" w:cs="Times New Roman"/>
          <w:color w:val="auto"/>
          <w:kern w:val="2"/>
          <w:sz w:val="32"/>
          <w:szCs w:val="32"/>
          <w:lang w:val="en-US" w:eastAsia="zh-CN" w:bidi="ar-SA"/>
        </w:rPr>
        <w:t>万元，项目支出</w:t>
      </w:r>
      <w:r>
        <w:rPr>
          <w:rFonts w:hint="eastAsia" w:ascii="仿宋_GB2312" w:eastAsia="仿宋_GB2312" w:cs="Times New Roman"/>
          <w:color w:val="auto"/>
          <w:kern w:val="2"/>
          <w:sz w:val="32"/>
          <w:szCs w:val="32"/>
          <w:lang w:val="en-US" w:eastAsia="zh-CN" w:bidi="ar-SA"/>
        </w:rPr>
        <w:t>4.42</w:t>
      </w:r>
      <w:r>
        <w:rPr>
          <w:rFonts w:hint="eastAsia" w:ascii="仿宋_GB2312" w:hAnsi="Times New Roman" w:eastAsia="仿宋_GB2312" w:cs="Times New Roman"/>
          <w:color w:val="auto"/>
          <w:kern w:val="2"/>
          <w:sz w:val="32"/>
          <w:szCs w:val="32"/>
          <w:lang w:val="en-US" w:eastAsia="zh-CN" w:bidi="ar-SA"/>
        </w:rPr>
        <w:t>万元。</w:t>
      </w:r>
    </w:p>
    <w:p>
      <w:pPr>
        <w:widowControl/>
        <w:numPr>
          <w:ilvl w:val="0"/>
          <w:numId w:val="0"/>
        </w:numPr>
        <w:adjustRightInd w:val="0"/>
        <w:snapToGrid w:val="0"/>
        <w:spacing w:line="572" w:lineRule="exact"/>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（二）部门财政资金支</w:t>
      </w:r>
      <w:r>
        <w:rPr>
          <w:rFonts w:hint="eastAsia" w:ascii="仿宋_GB2312" w:hAnsi="宋体" w:eastAsia="仿宋_GB2312" w:cs="宋体"/>
          <w:color w:val="auto"/>
          <w:kern w:val="0"/>
          <w:sz w:val="32"/>
          <w:szCs w:val="32"/>
          <w:shd w:val="clear" w:color="auto" w:fill="FFFFFF"/>
          <w:lang w:val="zh-CN"/>
        </w:rPr>
        <w:t>出情况。</w:t>
      </w:r>
    </w:p>
    <w:p>
      <w:pPr>
        <w:pStyle w:val="2"/>
        <w:numPr>
          <w:ilvl w:val="0"/>
          <w:numId w:val="0"/>
        </w:numPr>
        <w:rPr>
          <w:color w:val="auto"/>
          <w:lang w:val="zh-CN"/>
        </w:rPr>
      </w:pPr>
      <w:r>
        <w:rPr>
          <w:rFonts w:hint="eastAsia" w:ascii="微软雅黑" w:hAnsi="微软雅黑" w:eastAsia="微软雅黑" w:cs="微软雅黑"/>
          <w:i w:val="0"/>
          <w:caps w:val="0"/>
          <w:color w:val="auto"/>
          <w:spacing w:val="0"/>
          <w:sz w:val="24"/>
          <w:szCs w:val="24"/>
          <w:shd w:val="clear" w:fill="FFFFFF"/>
          <w:lang w:val="en-US" w:eastAsia="zh-CN"/>
        </w:rPr>
        <w:t xml:space="preserve">    </w:t>
      </w:r>
      <w:r>
        <w:rPr>
          <w:rFonts w:hint="eastAsia" w:ascii="仿宋_GB2312" w:hAnsi="Times New Roman" w:eastAsia="仿宋_GB2312" w:cs="Times New Roman"/>
          <w:color w:val="auto"/>
          <w:kern w:val="2"/>
          <w:sz w:val="32"/>
          <w:szCs w:val="32"/>
          <w:lang w:val="en-US" w:eastAsia="zh-CN" w:bidi="ar-SA"/>
        </w:rPr>
        <w:t>2021年</w:t>
      </w:r>
      <w:r>
        <w:rPr>
          <w:rFonts w:hint="eastAsia" w:ascii="仿宋_GB2312" w:eastAsia="仿宋_GB2312" w:cs="Times New Roman"/>
          <w:color w:val="auto"/>
          <w:kern w:val="2"/>
          <w:sz w:val="32"/>
          <w:szCs w:val="32"/>
          <w:lang w:val="en-US" w:eastAsia="zh-CN" w:bidi="ar-SA"/>
        </w:rPr>
        <w:t>西区公务服务中心</w:t>
      </w:r>
      <w:r>
        <w:rPr>
          <w:rFonts w:hint="eastAsia" w:ascii="仿宋_GB2312" w:hAnsi="Times New Roman" w:eastAsia="仿宋_GB2312" w:cs="Times New Roman"/>
          <w:color w:val="auto"/>
          <w:kern w:val="2"/>
          <w:sz w:val="32"/>
          <w:szCs w:val="32"/>
          <w:lang w:val="en-US" w:eastAsia="zh-CN" w:bidi="ar-SA"/>
        </w:rPr>
        <w:t>本年支出合计</w:t>
      </w:r>
      <w:r>
        <w:rPr>
          <w:rFonts w:hint="eastAsia" w:ascii="仿宋_GB2312" w:eastAsia="仿宋_GB2312" w:cs="Times New Roman"/>
          <w:color w:val="auto"/>
          <w:kern w:val="2"/>
          <w:sz w:val="32"/>
          <w:szCs w:val="32"/>
          <w:lang w:val="en-US" w:eastAsia="zh-CN" w:bidi="ar-SA"/>
        </w:rPr>
        <w:t>97.25</w:t>
      </w:r>
      <w:r>
        <w:rPr>
          <w:rFonts w:hint="eastAsia" w:ascii="仿宋_GB2312" w:hAnsi="Times New Roman" w:eastAsia="仿宋_GB2312" w:cs="Times New Roman"/>
          <w:color w:val="auto"/>
          <w:kern w:val="2"/>
          <w:sz w:val="32"/>
          <w:szCs w:val="32"/>
          <w:lang w:val="en-US" w:eastAsia="zh-CN" w:bidi="ar-SA"/>
        </w:rPr>
        <w:t>万元，其中：基本支出</w:t>
      </w:r>
      <w:r>
        <w:rPr>
          <w:rFonts w:hint="eastAsia" w:ascii="仿宋_GB2312" w:eastAsia="仿宋_GB2312" w:cs="Times New Roman"/>
          <w:color w:val="auto"/>
          <w:kern w:val="2"/>
          <w:sz w:val="32"/>
          <w:szCs w:val="32"/>
          <w:lang w:val="en-US" w:eastAsia="zh-CN" w:bidi="ar-SA"/>
        </w:rPr>
        <w:t>92.83</w:t>
      </w:r>
      <w:r>
        <w:rPr>
          <w:rFonts w:hint="eastAsia" w:ascii="仿宋_GB2312" w:hAnsi="Times New Roman" w:eastAsia="仿宋_GB2312" w:cs="Times New Roman"/>
          <w:color w:val="auto"/>
          <w:kern w:val="2"/>
          <w:sz w:val="32"/>
          <w:szCs w:val="32"/>
          <w:lang w:val="en-US" w:eastAsia="zh-CN" w:bidi="ar-SA"/>
        </w:rPr>
        <w:t>万元，占</w:t>
      </w:r>
      <w:r>
        <w:rPr>
          <w:rFonts w:hint="eastAsia" w:ascii="仿宋_GB2312" w:eastAsia="仿宋_GB2312" w:cs="Times New Roman"/>
          <w:color w:val="auto"/>
          <w:kern w:val="2"/>
          <w:sz w:val="32"/>
          <w:szCs w:val="32"/>
          <w:lang w:val="en-US" w:eastAsia="zh-CN" w:bidi="ar-SA"/>
        </w:rPr>
        <w:t>95.45</w:t>
      </w:r>
      <w:r>
        <w:rPr>
          <w:rFonts w:hint="eastAsia" w:ascii="仿宋_GB2312" w:hAnsi="Times New Roman" w:eastAsia="仿宋_GB2312" w:cs="Times New Roman"/>
          <w:color w:val="auto"/>
          <w:kern w:val="2"/>
          <w:sz w:val="32"/>
          <w:szCs w:val="32"/>
          <w:lang w:val="en-US" w:eastAsia="zh-CN" w:bidi="ar-SA"/>
        </w:rPr>
        <w:t>%；项目支出</w:t>
      </w:r>
      <w:r>
        <w:rPr>
          <w:rFonts w:hint="eastAsia" w:ascii="仿宋_GB2312" w:eastAsia="仿宋_GB2312" w:cs="Times New Roman"/>
          <w:color w:val="auto"/>
          <w:kern w:val="2"/>
          <w:sz w:val="32"/>
          <w:szCs w:val="32"/>
          <w:lang w:val="en-US" w:eastAsia="zh-CN" w:bidi="ar-SA"/>
        </w:rPr>
        <w:t>4.42</w:t>
      </w:r>
      <w:r>
        <w:rPr>
          <w:rFonts w:hint="eastAsia" w:ascii="仿宋_GB2312" w:hAnsi="Times New Roman" w:eastAsia="仿宋_GB2312" w:cs="Times New Roman"/>
          <w:color w:val="auto"/>
          <w:kern w:val="2"/>
          <w:sz w:val="32"/>
          <w:szCs w:val="32"/>
          <w:lang w:val="en-US" w:eastAsia="zh-CN" w:bidi="ar-SA"/>
        </w:rPr>
        <w:t>万元，占</w:t>
      </w:r>
      <w:r>
        <w:rPr>
          <w:rFonts w:hint="eastAsia" w:ascii="仿宋_GB2312" w:eastAsia="仿宋_GB2312" w:cs="Times New Roman"/>
          <w:color w:val="auto"/>
          <w:kern w:val="2"/>
          <w:sz w:val="32"/>
          <w:szCs w:val="32"/>
          <w:lang w:val="en-US" w:eastAsia="zh-CN" w:bidi="ar-SA"/>
        </w:rPr>
        <w:t>4.55</w:t>
      </w:r>
      <w:r>
        <w:rPr>
          <w:rFonts w:hint="eastAsia" w:ascii="仿宋_GB2312" w:hAnsi="Times New Roman" w:eastAsia="仿宋_GB2312" w:cs="Times New Roman"/>
          <w:color w:val="auto"/>
          <w:kern w:val="2"/>
          <w:sz w:val="32"/>
          <w:szCs w:val="32"/>
          <w:lang w:val="en-US" w:eastAsia="zh-CN" w:bidi="ar-SA"/>
        </w:rPr>
        <w:t>%。主要用于以下方面：一般公共服务支出</w:t>
      </w:r>
      <w:r>
        <w:rPr>
          <w:rFonts w:hint="eastAsia" w:ascii="仿宋_GB2312" w:eastAsia="仿宋_GB2312" w:cs="Times New Roman"/>
          <w:color w:val="auto"/>
          <w:kern w:val="2"/>
          <w:sz w:val="32"/>
          <w:szCs w:val="32"/>
          <w:lang w:val="en-US" w:eastAsia="zh-CN" w:bidi="ar-SA"/>
        </w:rPr>
        <w:t>82.68</w:t>
      </w:r>
      <w:r>
        <w:rPr>
          <w:rFonts w:hint="eastAsia" w:ascii="仿宋_GB2312" w:hAnsi="Times New Roman" w:eastAsia="仿宋_GB2312" w:cs="Times New Roman"/>
          <w:color w:val="auto"/>
          <w:kern w:val="2"/>
          <w:sz w:val="32"/>
          <w:szCs w:val="32"/>
          <w:lang w:val="en-US" w:eastAsia="zh-CN" w:bidi="ar-SA"/>
        </w:rPr>
        <w:t>万元，占8</w:t>
      </w:r>
      <w:r>
        <w:rPr>
          <w:rFonts w:hint="eastAsia" w:ascii="仿宋_GB2312" w:eastAsia="仿宋_GB2312" w:cs="Times New Roman"/>
          <w:color w:val="auto"/>
          <w:kern w:val="2"/>
          <w:sz w:val="32"/>
          <w:szCs w:val="32"/>
          <w:lang w:val="en-US" w:eastAsia="zh-CN" w:bidi="ar-SA"/>
        </w:rPr>
        <w:t>5.02</w:t>
      </w:r>
      <w:r>
        <w:rPr>
          <w:rFonts w:hint="eastAsia" w:ascii="仿宋_GB2312" w:hAnsi="Times New Roman" w:eastAsia="仿宋_GB2312" w:cs="Times New Roman"/>
          <w:color w:val="auto"/>
          <w:kern w:val="2"/>
          <w:sz w:val="32"/>
          <w:szCs w:val="32"/>
          <w:lang w:val="en-US" w:eastAsia="zh-CN" w:bidi="ar-SA"/>
        </w:rPr>
        <w:t>%；社会保障和就业支出</w:t>
      </w:r>
      <w:r>
        <w:rPr>
          <w:rFonts w:hint="eastAsia" w:ascii="仿宋_GB2312" w:eastAsia="仿宋_GB2312" w:cs="Times New Roman"/>
          <w:color w:val="auto"/>
          <w:kern w:val="2"/>
          <w:sz w:val="32"/>
          <w:szCs w:val="32"/>
          <w:lang w:val="en-US" w:eastAsia="zh-CN" w:bidi="ar-SA"/>
        </w:rPr>
        <w:t>316</w:t>
      </w:r>
      <w:r>
        <w:rPr>
          <w:rFonts w:hint="eastAsia" w:ascii="仿宋_GB2312" w:hAnsi="Times New Roman" w:eastAsia="仿宋_GB2312" w:cs="Times New Roman"/>
          <w:color w:val="auto"/>
          <w:kern w:val="2"/>
          <w:sz w:val="32"/>
          <w:szCs w:val="32"/>
          <w:lang w:val="en-US" w:eastAsia="zh-CN" w:bidi="ar-SA"/>
        </w:rPr>
        <w:t>万元，占</w:t>
      </w:r>
      <w:r>
        <w:rPr>
          <w:rFonts w:hint="eastAsia" w:ascii="仿宋_GB2312" w:eastAsia="仿宋_GB2312" w:cs="Times New Roman"/>
          <w:color w:val="auto"/>
          <w:kern w:val="2"/>
          <w:sz w:val="32"/>
          <w:szCs w:val="32"/>
          <w:lang w:val="en-US" w:eastAsia="zh-CN" w:bidi="ar-SA"/>
        </w:rPr>
        <w:t>3.25</w:t>
      </w:r>
      <w:r>
        <w:rPr>
          <w:rFonts w:hint="eastAsia" w:ascii="仿宋_GB2312" w:hAnsi="Times New Roman" w:eastAsia="仿宋_GB2312" w:cs="Times New Roman"/>
          <w:color w:val="auto"/>
          <w:kern w:val="2"/>
          <w:sz w:val="32"/>
          <w:szCs w:val="32"/>
          <w:lang w:val="en-US" w:eastAsia="zh-CN" w:bidi="ar-SA"/>
        </w:rPr>
        <w:t>%；医疗卫生支出</w:t>
      </w:r>
      <w:r>
        <w:rPr>
          <w:rFonts w:hint="eastAsia" w:ascii="仿宋_GB2312" w:eastAsia="仿宋_GB2312" w:cs="Times New Roman"/>
          <w:color w:val="auto"/>
          <w:kern w:val="2"/>
          <w:sz w:val="32"/>
          <w:szCs w:val="32"/>
          <w:lang w:val="en-US" w:eastAsia="zh-CN" w:bidi="ar-SA"/>
        </w:rPr>
        <w:t>2.78</w:t>
      </w:r>
      <w:r>
        <w:rPr>
          <w:rFonts w:hint="eastAsia" w:ascii="仿宋_GB2312" w:hAnsi="Times New Roman" w:eastAsia="仿宋_GB2312" w:cs="Times New Roman"/>
          <w:color w:val="auto"/>
          <w:kern w:val="2"/>
          <w:sz w:val="32"/>
          <w:szCs w:val="32"/>
          <w:lang w:val="en-US" w:eastAsia="zh-CN" w:bidi="ar-SA"/>
        </w:rPr>
        <w:t>万元，占</w:t>
      </w:r>
      <w:r>
        <w:rPr>
          <w:rFonts w:hint="eastAsia" w:ascii="仿宋_GB2312" w:eastAsia="仿宋_GB2312" w:cs="Times New Roman"/>
          <w:color w:val="auto"/>
          <w:kern w:val="2"/>
          <w:sz w:val="32"/>
          <w:szCs w:val="32"/>
          <w:lang w:val="en-US" w:eastAsia="zh-CN" w:bidi="ar-SA"/>
        </w:rPr>
        <w:t>2.85</w:t>
      </w:r>
      <w:r>
        <w:rPr>
          <w:rFonts w:hint="eastAsia" w:ascii="仿宋_GB2312" w:hAnsi="Times New Roman" w:eastAsia="仿宋_GB2312" w:cs="Times New Roman"/>
          <w:color w:val="auto"/>
          <w:kern w:val="2"/>
          <w:sz w:val="32"/>
          <w:szCs w:val="32"/>
          <w:lang w:val="en-US" w:eastAsia="zh-CN" w:bidi="ar-SA"/>
        </w:rPr>
        <w:t>%；住房保障支出</w:t>
      </w:r>
      <w:r>
        <w:rPr>
          <w:rFonts w:hint="eastAsia" w:ascii="仿宋_GB2312" w:eastAsia="仿宋_GB2312" w:cs="Times New Roman"/>
          <w:color w:val="auto"/>
          <w:kern w:val="2"/>
          <w:sz w:val="32"/>
          <w:szCs w:val="32"/>
          <w:lang w:val="en-US" w:eastAsia="zh-CN" w:bidi="ar-SA"/>
        </w:rPr>
        <w:t>4.2</w:t>
      </w:r>
      <w:r>
        <w:rPr>
          <w:rFonts w:hint="eastAsia" w:ascii="仿宋_GB2312" w:hAnsi="Times New Roman" w:eastAsia="仿宋_GB2312" w:cs="Times New Roman"/>
          <w:color w:val="auto"/>
          <w:kern w:val="2"/>
          <w:sz w:val="32"/>
          <w:szCs w:val="32"/>
          <w:lang w:val="en-US" w:eastAsia="zh-CN" w:bidi="ar-SA"/>
        </w:rPr>
        <w:t>万元，占</w:t>
      </w:r>
      <w:r>
        <w:rPr>
          <w:rFonts w:hint="eastAsia" w:ascii="仿宋_GB2312" w:eastAsia="仿宋_GB2312" w:cs="Times New Roman"/>
          <w:color w:val="auto"/>
          <w:kern w:val="2"/>
          <w:sz w:val="32"/>
          <w:szCs w:val="32"/>
          <w:lang w:val="en-US" w:eastAsia="zh-CN" w:bidi="ar-SA"/>
        </w:rPr>
        <w:t>4.31</w:t>
      </w:r>
      <w:r>
        <w:rPr>
          <w:rFonts w:hint="eastAsia" w:ascii="仿宋_GB2312" w:hAnsi="Times New Roman" w:eastAsia="仿宋_GB2312" w:cs="Times New Roman"/>
          <w:color w:val="auto"/>
          <w:kern w:val="2"/>
          <w:sz w:val="32"/>
          <w:szCs w:val="32"/>
          <w:lang w:val="en-US" w:eastAsia="zh-CN" w:bidi="ar-SA"/>
        </w:rPr>
        <w:t>%</w:t>
      </w:r>
      <w:r>
        <w:rPr>
          <w:rFonts w:hint="eastAsia" w:ascii="仿宋_GB2312" w:eastAsia="仿宋_GB2312" w:cs="Times New Roman"/>
          <w:color w:val="auto"/>
          <w:kern w:val="2"/>
          <w:sz w:val="32"/>
          <w:szCs w:val="32"/>
          <w:lang w:val="en-US" w:eastAsia="zh-CN" w:bidi="ar-SA"/>
        </w:rPr>
        <w:t>，土地开发支出4.42万元，占4.57%</w:t>
      </w:r>
      <w:r>
        <w:rPr>
          <w:rFonts w:hint="eastAsia" w:ascii="仿宋_GB2312" w:hAnsi="Times New Roman" w:eastAsia="仿宋_GB2312" w:cs="Times New Roman"/>
          <w:color w:val="auto"/>
          <w:kern w:val="2"/>
          <w:sz w:val="32"/>
          <w:szCs w:val="32"/>
          <w:lang w:val="en-US" w:eastAsia="zh-CN" w:bidi="ar-SA"/>
        </w:rPr>
        <w:t>。</w:t>
      </w:r>
    </w:p>
    <w:p>
      <w:pPr>
        <w:widowControl/>
        <w:adjustRightInd w:val="0"/>
        <w:snapToGrid w:val="0"/>
        <w:spacing w:line="572" w:lineRule="exact"/>
        <w:ind w:firstLine="640" w:firstLineChars="200"/>
        <w:contextualSpacing/>
        <w:jc w:val="left"/>
        <w:outlineLvl w:val="0"/>
        <w:rPr>
          <w:rFonts w:ascii="黑体" w:hAnsi="宋体" w:eastAsia="黑体" w:cs="宋体"/>
          <w:kern w:val="0"/>
          <w:sz w:val="32"/>
          <w:szCs w:val="32"/>
          <w:shd w:val="clear" w:color="auto" w:fill="FFFFFF"/>
        </w:rPr>
      </w:pPr>
      <w:bookmarkStart w:id="69" w:name="_Toc37"/>
      <w:r>
        <w:rPr>
          <w:rFonts w:hint="eastAsia" w:ascii="黑体" w:hAnsi="宋体" w:eastAsia="黑体" w:cs="宋体"/>
          <w:kern w:val="0"/>
          <w:sz w:val="32"/>
          <w:szCs w:val="32"/>
          <w:shd w:val="clear" w:color="auto" w:fill="FFFFFF"/>
        </w:rPr>
        <w:t>三、部门整体预算绩效管理情况</w:t>
      </w:r>
      <w:bookmarkEnd w:id="69"/>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年本部门的绩效目标制定、目标完成、预算编制等均按照区财政局下达的相关文件指标进行了编制和预算公开，并按相关要求严格执行预算范围内开支。年度内根据工作开展情况进行经费执行，并完成所有预定目标，未发生违规记录。</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本单位按照区财政局下达的预算指标，严格执行预算内开支，保障了单位正常运转。并按相关要求进行预决算公开工作，绩效目标如实填报，专项预算进行了规划和筹划。</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rPr>
      </w:pPr>
      <w:r>
        <w:rPr>
          <w:rFonts w:hint="eastAsia" w:ascii="仿宋_GB2312" w:hAnsi="Times New Roman" w:eastAsia="仿宋_GB2312"/>
          <w:sz w:val="32"/>
          <w:szCs w:val="32"/>
          <w:lang w:eastAsia="zh-CN"/>
        </w:rPr>
        <w:t>通过收支情况、预决算编制、预算执行管理、支出绩效及财政管理等方面的综合评价，我中心支出绩效总体较好，对财政资金的使用能够严格执行行政事业单位会计制度及财政相关规定，围绕中心，服务大局，开拓创新，无私奉献，团结奋进，充分发挥了接待工作的服务和保障作用，圆满完成了各项工作任务</w:t>
      </w:r>
      <w:r>
        <w:rPr>
          <w:rFonts w:hint="eastAsia" w:ascii="仿宋_GB2312" w:hAnsi="宋体" w:eastAsia="仿宋_GB2312" w:cs="宋体"/>
          <w:kern w:val="0"/>
          <w:sz w:val="32"/>
          <w:szCs w:val="32"/>
          <w:shd w:val="clear" w:color="auto" w:fill="FFFFFF"/>
        </w:rPr>
        <w:t>。</w:t>
      </w:r>
    </w:p>
    <w:p>
      <w:pPr>
        <w:widowControl/>
        <w:adjustRightInd w:val="0"/>
        <w:snapToGrid w:val="0"/>
        <w:spacing w:line="576" w:lineRule="exact"/>
        <w:ind w:firstLine="640" w:firstLineChars="200"/>
        <w:contextualSpacing/>
        <w:jc w:val="left"/>
        <w:outlineLvl w:val="0"/>
        <w:rPr>
          <w:rFonts w:ascii="黑体" w:hAnsi="宋体" w:eastAsia="黑体" w:cs="宋体"/>
          <w:kern w:val="0"/>
          <w:sz w:val="32"/>
          <w:szCs w:val="32"/>
          <w:shd w:val="clear" w:color="auto" w:fill="FFFFFF"/>
        </w:rPr>
      </w:pPr>
      <w:bookmarkStart w:id="70" w:name="_Toc6607"/>
      <w:r>
        <w:rPr>
          <w:rFonts w:hint="eastAsia" w:ascii="黑体" w:hAnsi="宋体" w:eastAsia="黑体" w:cs="宋体"/>
          <w:kern w:val="0"/>
          <w:sz w:val="32"/>
          <w:szCs w:val="32"/>
          <w:shd w:val="clear" w:color="auto" w:fill="FFFFFF"/>
        </w:rPr>
        <w:t>四、评价结论及建议</w:t>
      </w:r>
      <w:bookmarkEnd w:id="70"/>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2"/>
        <w:rPr>
          <w:rFonts w:hint="eastAsia" w:ascii="仿宋_GB2312" w:hAnsi="Times New Roman" w:eastAsia="仿宋_GB2312" w:cs="Times New Roman"/>
          <w:kern w:val="2"/>
          <w:sz w:val="32"/>
          <w:szCs w:val="32"/>
          <w:lang w:val="zh-CN" w:eastAsia="zh-CN" w:bidi="ar-SA"/>
        </w:rPr>
      </w:pP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从整体上看，202</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年我</w:t>
      </w:r>
      <w:r>
        <w:rPr>
          <w:rFonts w:hint="eastAsia" w:ascii="仿宋_GB2312" w:eastAsia="仿宋_GB2312" w:cs="Times New Roman"/>
          <w:kern w:val="2"/>
          <w:sz w:val="32"/>
          <w:szCs w:val="32"/>
          <w:lang w:val="en-US" w:eastAsia="zh-CN" w:bidi="ar-SA"/>
        </w:rPr>
        <w:t>中心</w:t>
      </w:r>
      <w:r>
        <w:rPr>
          <w:rFonts w:hint="eastAsia" w:ascii="仿宋_GB2312" w:hAnsi="Times New Roman" w:eastAsia="仿宋_GB2312" w:cs="Times New Roman"/>
          <w:kern w:val="2"/>
          <w:sz w:val="32"/>
          <w:szCs w:val="32"/>
          <w:lang w:val="en-US" w:eastAsia="zh-CN" w:bidi="ar-SA"/>
        </w:rPr>
        <w:t>资金运行维护决策正确，资金管理规范，项目管理到位，政策执行有力，有效发挥了财政资金的使用效率。各项资金其主要用途是保障该部门机构正常运转、完成日常工作任务以及本单位承担的</w:t>
      </w:r>
      <w:r>
        <w:rPr>
          <w:rFonts w:hint="eastAsia" w:ascii="仿宋_GB2312" w:eastAsia="仿宋_GB2312" w:cs="Times New Roman"/>
          <w:kern w:val="2"/>
          <w:sz w:val="32"/>
          <w:szCs w:val="32"/>
          <w:lang w:val="en-US" w:eastAsia="zh-CN" w:bidi="ar-SA"/>
        </w:rPr>
        <w:t>接待</w:t>
      </w:r>
      <w:r>
        <w:rPr>
          <w:rFonts w:hint="eastAsia" w:ascii="仿宋_GB2312" w:hAnsi="Times New Roman" w:eastAsia="仿宋_GB2312" w:cs="Times New Roman"/>
          <w:kern w:val="2"/>
          <w:sz w:val="32"/>
          <w:szCs w:val="32"/>
          <w:lang w:val="en-US" w:eastAsia="zh-CN" w:bidi="ar-SA"/>
        </w:rPr>
        <w:t>工作以及其他具体工作。在人员经费支出、公共支出严格执行区委区政府的各项制度；在项目经费的使用上，在保证各项任务顺利完成的同时，严格落实厉行节约的原则；三公经费的使用严格控制在预算申报的范围内</w:t>
      </w:r>
      <w:r>
        <w:rPr>
          <w:rFonts w:hint="eastAsia" w:ascii="仿宋_GB2312" w:eastAsia="仿宋_GB2312" w:cs="Times New Roman"/>
          <w:kern w:val="2"/>
          <w:sz w:val="32"/>
          <w:szCs w:val="32"/>
          <w:lang w:val="en-US" w:eastAsia="zh-CN" w:bidi="ar-SA"/>
        </w:rPr>
        <w:t>。</w:t>
      </w:r>
    </w:p>
    <w:p>
      <w:pPr>
        <w:widowControl/>
        <w:numPr>
          <w:ilvl w:val="0"/>
          <w:numId w:val="0"/>
        </w:numPr>
        <w:adjustRightInd w:val="0"/>
        <w:snapToGrid w:val="0"/>
        <w:spacing w:line="576" w:lineRule="exact"/>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（二）存在问题。</w:t>
      </w:r>
    </w:p>
    <w:p>
      <w:pPr>
        <w:pStyle w:val="2"/>
        <w:rPr>
          <w:rFonts w:hint="eastAsia" w:ascii="仿宋_GB2312" w:hAnsi="Times New Roman" w:eastAsia="仿宋_GB2312" w:cs="Times New Roman"/>
          <w:kern w:val="2"/>
          <w:sz w:val="32"/>
          <w:szCs w:val="32"/>
          <w:lang w:val="zh-CN" w:eastAsia="zh-CN" w:bidi="ar-SA"/>
        </w:rPr>
      </w:pP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自主预算绩效监控意识不够，未及时对各项目经费进行预算绩效监控</w:t>
      </w:r>
      <w:r>
        <w:rPr>
          <w:rFonts w:hint="eastAsia" w:ascii="仿宋_GB2312" w:eastAsia="仿宋_GB2312" w:cs="Times New Roman"/>
          <w:kern w:val="2"/>
          <w:sz w:val="32"/>
          <w:szCs w:val="32"/>
          <w:lang w:val="en-US" w:eastAsia="zh-CN" w:bidi="ar-SA"/>
        </w:rPr>
        <w:t>。</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6"/>
        <w:spacing w:before="72"/>
        <w:rPr>
          <w:rFonts w:hint="eastAsia" w:ascii="仿宋_GB2312" w:hAnsi="Times New Roman" w:eastAsia="仿宋_GB2312" w:cs="Times New Roman"/>
          <w:kern w:val="2"/>
          <w:sz w:val="32"/>
          <w:szCs w:val="32"/>
          <w:lang w:val="zh-CN" w:eastAsia="zh-CN" w:bidi="ar-SA"/>
        </w:rPr>
      </w:pPr>
      <w:r>
        <w:rPr>
          <w:rFonts w:hint="eastAsia" w:hAnsi="Times New Roman"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及时做好各项目资金的预算绩效监控工作，即要确保各项工作顺利的开展，又要做好厉行节约，力争把成本降低</w:t>
      </w:r>
      <w:r>
        <w:rPr>
          <w:rFonts w:hint="eastAsia" w:hAnsi="Times New Roman" w:cs="Times New Roman"/>
          <w:kern w:val="2"/>
          <w:sz w:val="32"/>
          <w:szCs w:val="32"/>
          <w:lang w:val="en-US" w:eastAsia="zh-CN" w:bidi="ar-SA"/>
        </w:rPr>
        <w:t>。</w:t>
      </w:r>
    </w:p>
    <w:p>
      <w:pPr>
        <w:pStyle w:val="6"/>
        <w:spacing w:before="72"/>
        <w:rPr>
          <w:rFonts w:hint="eastAsia" w:hAnsi="宋体" w:cs="宋体"/>
          <w:sz w:val="32"/>
          <w:szCs w:val="32"/>
          <w:shd w:val="clear" w:color="auto" w:fill="FFFFFF"/>
          <w:lang w:val="zh-CN"/>
        </w:rPr>
      </w:pPr>
    </w:p>
    <w:p>
      <w:pPr>
        <w:pStyle w:val="6"/>
        <w:spacing w:before="72"/>
        <w:rPr>
          <w:lang w:val="zh-CN"/>
        </w:rPr>
      </w:pPr>
      <w:r>
        <w:rPr>
          <w:rFonts w:hint="eastAsia" w:hAnsi="宋体" w:cs="宋体"/>
          <w:sz w:val="32"/>
          <w:szCs w:val="32"/>
          <w:shd w:val="clear" w:color="auto" w:fill="FFFFFF"/>
          <w:lang w:val="zh-CN"/>
        </w:rPr>
        <w:t>附件</w:t>
      </w:r>
    </w:p>
    <w:p>
      <w:pPr>
        <w:spacing w:line="600" w:lineRule="exact"/>
        <w:jc w:val="center"/>
        <w:outlineLvl w:val="0"/>
        <w:rPr>
          <w:rFonts w:hint="eastAsia" w:ascii="方正小标宋简体" w:hAnsi="方正小标宋简体" w:eastAsia="方正小标宋简体" w:cs="方正小标宋简体"/>
          <w:sz w:val="40"/>
          <w:szCs w:val="40"/>
          <w:lang w:val="zh-CN"/>
        </w:rPr>
      </w:pPr>
      <w:bookmarkStart w:id="71" w:name="_Toc32703"/>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bookmarkEnd w:id="71"/>
    </w:p>
    <w:p>
      <w:pPr>
        <w:pStyle w:val="2"/>
        <w:jc w:val="center"/>
        <w:outlineLvl w:val="0"/>
        <w:rPr>
          <w:lang w:val="zh-CN"/>
        </w:rPr>
      </w:pPr>
      <w:bookmarkStart w:id="72" w:name="_Toc11223"/>
      <w:r>
        <w:rPr>
          <w:rFonts w:hint="eastAsia" w:ascii="方正小标宋简体" w:hAnsi="方正小标宋简体" w:eastAsia="方正小标宋简体" w:cs="方正小标宋简体"/>
          <w:sz w:val="40"/>
          <w:szCs w:val="40"/>
          <w:lang w:val="zh-CN"/>
        </w:rPr>
        <w:t>（接待协调费）</w:t>
      </w:r>
      <w:bookmarkEnd w:id="72"/>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eastAsia="zh-CN"/>
        </w:rPr>
        <w:t>西</w:t>
      </w:r>
      <w:r>
        <w:rPr>
          <w:rFonts w:hint="eastAsia" w:ascii="仿宋_GB2312" w:hAnsi="宋体" w:eastAsia="仿宋_GB2312"/>
          <w:sz w:val="32"/>
          <w:szCs w:val="32"/>
          <w:lang w:val="zh-CN"/>
        </w:rPr>
        <w:t>区公务服务中心是该项目的具体实施主体。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项目立项、资金申报的依据是：根据工作职责，完成全年来区考察、调研、洽谈业务及大型会议等接待相关工作，提高接待服务质量，保证接待服务对象满意度达到百分之九十九以上。为促进西区经济社会发展，展现魅力西区起到良好的窗口作用,经费</w:t>
      </w:r>
      <w:r>
        <w:rPr>
          <w:rFonts w:hint="eastAsia" w:ascii="仿宋_GB2312" w:hAnsi="宋体" w:eastAsia="仿宋_GB2312"/>
          <w:sz w:val="32"/>
          <w:szCs w:val="32"/>
          <w:lang w:val="en-US" w:eastAsia="zh-CN"/>
        </w:rPr>
        <w:t>4.42万</w:t>
      </w:r>
      <w:r>
        <w:rPr>
          <w:rFonts w:hint="eastAsia" w:ascii="仿宋_GB2312" w:hAnsi="宋体" w:eastAsia="仿宋_GB2312"/>
          <w:sz w:val="32"/>
          <w:szCs w:val="32"/>
          <w:lang w:val="zh-CN"/>
        </w:rPr>
        <w:t>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资金管理办法制定情况，资金支持具体项目的条件、范围与支持方式概况，此资金只能用于该项目。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用于接待相关活动费用及聘用接待员费用。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lang w:val="zh-CN"/>
        </w:rPr>
      </w:pPr>
      <w:r>
        <w:rPr>
          <w:rFonts w:hint="eastAsia" w:ascii="仿宋_GB2312" w:hAnsi="宋体" w:eastAsia="仿宋_GB2312"/>
          <w:sz w:val="32"/>
          <w:szCs w:val="32"/>
          <w:lang w:val="zh-CN"/>
        </w:rPr>
        <w:t>1．用于接待相关活动费用及聘用接待员费用。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完成全年来区考察、调研、洽谈业务及大型会议等接待相关工作，提高接待服务质量，保证接待服务对象满意度达到百分之九十九以上。为促进西区经济社会发展，展现魅力西区起到良好的窗口作用。全年财政拨款</w:t>
      </w:r>
      <w:r>
        <w:rPr>
          <w:rFonts w:hint="eastAsia" w:ascii="仿宋_GB2312" w:hAnsi="宋体" w:eastAsia="仿宋_GB2312"/>
          <w:sz w:val="32"/>
          <w:szCs w:val="32"/>
          <w:lang w:val="en-US" w:eastAsia="zh-CN"/>
        </w:rPr>
        <w:t>4.42万</w:t>
      </w:r>
      <w:r>
        <w:rPr>
          <w:rFonts w:hint="eastAsia" w:ascii="仿宋_GB2312" w:hAnsi="宋体" w:eastAsia="仿宋_GB2312"/>
          <w:sz w:val="32"/>
          <w:szCs w:val="32"/>
          <w:lang w:val="zh-CN"/>
        </w:rPr>
        <w:t>元用于该项目，此项目已按计划认真落实了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3．通过自评，申报内容与实际相符，申报目标合理可行。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通过接待相关活动费用及聘用接待员费用，完成全年来区考察、调研、洽谈业务及大型会议等接待相关工作，提高接待服务质量，保证接待服务对象满意度达到百分之九十九以上。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该项目在上年末进行预算工作时申报，年初西区财政局下达批复及下达经费等事宜。</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1．资金计划。该项目属区级预算项目经费</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已全部到位。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单位根据会议情况列支费用，</w:t>
      </w:r>
      <w:r>
        <w:rPr>
          <w:rFonts w:hint="default" w:ascii="仿宋_GB2312" w:hAnsi="宋体" w:eastAsia="仿宋_GB2312"/>
          <w:sz w:val="32"/>
          <w:szCs w:val="32"/>
          <w:lang w:val="zh-CN"/>
        </w:rPr>
        <w:t>该项目资金财政已在202</w:t>
      </w:r>
      <w:r>
        <w:rPr>
          <w:rFonts w:hint="eastAsia" w:ascii="仿宋_GB2312" w:hAnsi="宋体" w:eastAsia="仿宋_GB2312"/>
          <w:sz w:val="32"/>
          <w:szCs w:val="32"/>
          <w:lang w:val="en-US" w:eastAsia="zh-CN"/>
        </w:rPr>
        <w:t>1</w:t>
      </w:r>
      <w:r>
        <w:rPr>
          <w:rFonts w:hint="default" w:ascii="仿宋_GB2312" w:hAnsi="宋体" w:eastAsia="仿宋_GB2312"/>
          <w:sz w:val="32"/>
          <w:szCs w:val="32"/>
          <w:lang w:val="zh-CN"/>
        </w:rPr>
        <w:t>年内按规定要求使用完。资金的支付范围、支付标准、支付依据等是合规合法、与预算相符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default" w:ascii="仿宋_GB2312" w:hAnsi="宋体" w:eastAsia="仿宋_GB2312"/>
          <w:sz w:val="32"/>
          <w:szCs w:val="32"/>
          <w:lang w:val="zh-CN"/>
        </w:rPr>
        <w:t>有健全的财务制度，项目预算、资金拨付严格按照财务管理制度进行管理。保证专款专用，资金发放复查由财务人员按照财务制度进行资金的审核、支付和核算，在具体支付时，手续是完善的，不存在虚假会计凭证的情况，会计严格执行财务管理制度，财务处理及时，核算规范</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 xml:space="preserve"> 1.</w:t>
      </w:r>
      <w:r>
        <w:rPr>
          <w:rFonts w:hint="eastAsia" w:ascii="仿宋_GB2312" w:hAnsi="宋体" w:eastAsia="仿宋_GB2312"/>
          <w:sz w:val="32"/>
          <w:szCs w:val="32"/>
          <w:lang w:val="zh-CN" w:eastAsia="zh-CN"/>
        </w:rPr>
        <w:t>西</w:t>
      </w:r>
      <w:r>
        <w:rPr>
          <w:rFonts w:hint="eastAsia" w:ascii="仿宋_GB2312" w:hAnsi="宋体" w:eastAsia="仿宋_GB2312"/>
          <w:sz w:val="32"/>
          <w:szCs w:val="32"/>
          <w:lang w:val="zh-CN"/>
        </w:rPr>
        <w:t>区财政局根据预算项目批复，下达项目经费，预算单位进行项目实施计划。</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en-US" w:eastAsia="zh-CN"/>
        </w:rPr>
        <w:t xml:space="preserve"> 2.</w:t>
      </w:r>
      <w:r>
        <w:rPr>
          <w:rFonts w:hint="eastAsia" w:ascii="仿宋_GB2312" w:hAnsi="宋体" w:eastAsia="仿宋_GB2312"/>
          <w:sz w:val="32"/>
          <w:szCs w:val="32"/>
          <w:lang w:val="zh-CN"/>
        </w:rPr>
        <w:t>拨付时根据会议情况，报分管领导审批同意，呈报主要负责人审核并批复同意支付</w:t>
      </w:r>
    </w:p>
    <w:p>
      <w:pPr>
        <w:numPr>
          <w:ilvl w:val="0"/>
          <w:numId w:val="0"/>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（二）项目管理情况。</w:t>
      </w:r>
    </w:p>
    <w:p>
      <w:pPr>
        <w:numPr>
          <w:ilvl w:val="0"/>
          <w:numId w:val="0"/>
        </w:numPr>
        <w:adjustRightInd w:val="0"/>
        <w:snapToGrid w:val="0"/>
        <w:spacing w:line="600" w:lineRule="exact"/>
        <w:rPr>
          <w:rFonts w:ascii="仿宋_GB2312" w:hAnsi="宋体" w:eastAsia="仿宋_GB2312"/>
          <w:sz w:val="32"/>
          <w:szCs w:val="32"/>
          <w:lang w:val="zh-CN"/>
        </w:rPr>
      </w:pPr>
      <w:r>
        <w:rPr>
          <w:rFonts w:hint="eastAsia" w:ascii="仿宋_GB2312" w:hAnsi="宋体" w:eastAsia="仿宋_GB2312" w:cs="Times New Roman"/>
          <w:kern w:val="2"/>
          <w:sz w:val="32"/>
          <w:szCs w:val="32"/>
          <w:lang w:val="en-US" w:eastAsia="zh-CN" w:bidi="ar-SA"/>
        </w:rPr>
        <w:t xml:space="preserve">     </w:t>
      </w:r>
      <w:r>
        <w:rPr>
          <w:rFonts w:hint="eastAsia" w:ascii="仿宋_GB2312" w:hAnsi="宋体" w:eastAsia="仿宋_GB2312" w:cs="Times New Roman"/>
          <w:kern w:val="2"/>
          <w:sz w:val="32"/>
          <w:szCs w:val="32"/>
          <w:lang w:val="zh-CN" w:eastAsia="zh-CN" w:bidi="ar-SA"/>
        </w:rPr>
        <w:t>项目是区财政纳入年度预算，严格安照项目要求及财经法律法规等要求落实的</w:t>
      </w:r>
      <w:r>
        <w:rPr>
          <w:rFonts w:hint="eastAsia" w:ascii="仿宋_GB2312" w:hAnsi="宋体" w:eastAsia="仿宋_GB2312"/>
          <w:sz w:val="32"/>
          <w:szCs w:val="32"/>
          <w:lang w:val="zh-CN"/>
        </w:rPr>
        <w:t>。</w:t>
      </w:r>
    </w:p>
    <w:p>
      <w:pPr>
        <w:numPr>
          <w:ilvl w:val="0"/>
          <w:numId w:val="0"/>
        </w:numPr>
        <w:adjustRightInd w:val="0"/>
        <w:snapToGrid w:val="0"/>
        <w:spacing w:line="600" w:lineRule="exact"/>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lang w:val="zh-CN"/>
        </w:rPr>
        <w:t>（三）项目监管情况。</w:t>
      </w:r>
    </w:p>
    <w:p>
      <w:pPr>
        <w:numPr>
          <w:ilvl w:val="0"/>
          <w:numId w:val="0"/>
        </w:numPr>
        <w:adjustRightInd w:val="0"/>
        <w:snapToGrid w:val="0"/>
        <w:spacing w:line="600" w:lineRule="exact"/>
        <w:rPr>
          <w:rFonts w:ascii="仿宋_GB2312" w:hAnsi="宋体" w:eastAsia="仿宋_GB2312"/>
          <w:sz w:val="32"/>
          <w:szCs w:val="32"/>
          <w:lang w:val="zh-CN"/>
        </w:rPr>
      </w:pPr>
      <w:r>
        <w:rPr>
          <w:rFonts w:hint="eastAsia" w:ascii="仿宋_GB2312" w:hAnsi="宋体" w:eastAsia="仿宋_GB2312" w:cs="Times New Roman"/>
          <w:kern w:val="2"/>
          <w:sz w:val="32"/>
          <w:szCs w:val="32"/>
          <w:lang w:val="en-US" w:eastAsia="zh-CN" w:bidi="ar-SA"/>
        </w:rPr>
        <w:t xml:space="preserve">     </w:t>
      </w:r>
      <w:r>
        <w:rPr>
          <w:rFonts w:hint="eastAsia" w:ascii="仿宋_GB2312" w:hAnsi="宋体" w:eastAsia="仿宋_GB2312" w:cs="Times New Roman"/>
          <w:kern w:val="2"/>
          <w:sz w:val="32"/>
          <w:szCs w:val="32"/>
          <w:lang w:val="zh-CN" w:eastAsia="zh-CN" w:bidi="ar-SA"/>
        </w:rPr>
        <w:t>项目完成情况每年都要向上级财政部门填写相关的绩效分析评价，并上报相关对口管理部门检查</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1.数理指标：1次</w:t>
      </w:r>
    </w:p>
    <w:p>
      <w:pPr>
        <w:pStyle w:val="2"/>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质量指标：完成全年来区考察、调研、洽谈业务及大型会议等接待相关工作，提高接待服务质量，保证接待服务对象满意度达到百分之九十九以上。为促进西区经济社会发展，展现魅力西区起到良好的窗口作用。</w:t>
      </w:r>
    </w:p>
    <w:p>
      <w:pP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3.时效指标：项目实施时间为2021年1月至12月。</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en-US" w:eastAsia="zh-CN"/>
        </w:rPr>
        <w:t>4.成本指标：预算指标为4.42万元，实际支出4.42万元。</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以坚持服务经济建设，服务机关工作为原则，努力为西区经济社会发展做出积极贡献。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ascii="仿宋_GB2312" w:hAnsi="宋体" w:eastAsia="仿宋_GB2312"/>
          <w:sz w:val="32"/>
          <w:szCs w:val="32"/>
          <w:lang w:val="zh-CN"/>
        </w:rPr>
      </w:pPr>
      <w:r>
        <w:rPr>
          <w:rFonts w:eastAsia="仿宋"/>
          <w:sz w:val="32"/>
          <w:szCs w:val="32"/>
        </w:rPr>
        <w:t>3.预算编制的合理性需要提高</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6"/>
        <w:spacing w:before="93"/>
        <w:rPr>
          <w:lang w:val="zh-CN"/>
        </w:rPr>
      </w:pPr>
      <w:r>
        <w:rPr>
          <w:rFonts w:hint="eastAsia" w:eastAsia="仿宋"/>
          <w:sz w:val="32"/>
          <w:szCs w:val="32"/>
          <w:lang w:val="en-US" w:eastAsia="zh-CN"/>
        </w:rPr>
        <w:t xml:space="preserve">    </w:t>
      </w: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r>
        <w:rPr>
          <w:rFonts w:hint="eastAsia" w:ascii="仿宋_GB2312" w:hAnsi="宋体" w:eastAsia="仿宋_GB2312"/>
          <w:sz w:val="32"/>
          <w:szCs w:val="32"/>
          <w:lang w:val="zh-CN"/>
        </w:rPr>
        <w:t>。</w:t>
      </w: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widowControl/>
        <w:adjustRightInd w:val="0"/>
        <w:snapToGrid w:val="0"/>
        <w:spacing w:line="580" w:lineRule="exact"/>
        <w:ind w:firstLine="640" w:firstLineChars="200"/>
        <w:contextualSpacing/>
        <w:jc w:val="left"/>
        <w:rPr>
          <w:rStyle w:val="25"/>
          <w:rFonts w:ascii="黑体" w:hAnsi="黑体" w:eastAsia="黑体"/>
          <w:b w:val="0"/>
          <w:highlight w:val="none"/>
        </w:rPr>
      </w:pPr>
      <w:r>
        <w:rPr>
          <w:rFonts w:hint="eastAsia" w:ascii="仿宋_GB2312" w:hAnsi="宋体" w:eastAsia="仿宋_GB2312" w:cs="宋体"/>
          <w:kern w:val="0"/>
          <w:sz w:val="32"/>
          <w:szCs w:val="32"/>
          <w:highlight w:val="none"/>
          <w:shd w:val="clear" w:color="auto" w:fill="FFFFFF"/>
          <w:lang w:val="zh-CN"/>
        </w:rPr>
        <w:t>附表</w:t>
      </w:r>
    </w:p>
    <w:p>
      <w:pPr>
        <w:keepNext w:val="0"/>
        <w:keepLines w:val="0"/>
        <w:widowControl/>
        <w:suppressLineNumbers w:val="0"/>
        <w:jc w:val="left"/>
      </w:pPr>
    </w:p>
    <w:p>
      <w:pPr>
        <w:widowControl/>
        <w:jc w:val="left"/>
        <w:rPr>
          <w:rStyle w:val="25"/>
          <w:rFonts w:ascii="黑体" w:hAnsi="黑体" w:eastAsia="黑体"/>
          <w:b w:val="0"/>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"C:\\Users\\w\\AppData\\Roaming\\Tencent\\Users\\248301485\\QQ\\WinTemp\\RichOle\\`{X$WSM[73V_~VWN6V$BJ6H.png"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326505" cy="6791960"/>
            <wp:effectExtent l="0" t="0" r="17145"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3"/>
                    <a:stretch>
                      <a:fillRect/>
                    </a:stretch>
                  </pic:blipFill>
                  <pic:spPr>
                    <a:xfrm>
                      <a:off x="0" y="0"/>
                      <a:ext cx="6326505" cy="679196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r>
        <w:rPr>
          <w:rStyle w:val="25"/>
          <w:rFonts w:ascii="黑体" w:hAnsi="黑体" w:eastAsia="黑体"/>
          <w:b w:val="0"/>
        </w:rPr>
        <w:br w:type="page"/>
      </w:r>
    </w:p>
    <w:p>
      <w:pPr>
        <w:spacing w:line="600" w:lineRule="exact"/>
        <w:jc w:val="center"/>
        <w:outlineLvl w:val="0"/>
        <w:rPr>
          <w:rFonts w:ascii="仿宋" w:hAnsi="仿宋" w:eastAsia="仿宋"/>
        </w:rPr>
      </w:pPr>
      <w:bookmarkStart w:id="73" w:name="_Toc27084"/>
      <w:bookmarkStart w:id="74" w:name="_Toc15396618"/>
      <w:r>
        <w:rPr>
          <w:rFonts w:hint="eastAsia" w:ascii="黑体" w:hAnsi="黑体" w:eastAsia="黑体"/>
          <w:sz w:val="44"/>
          <w:szCs w:val="44"/>
        </w:rPr>
        <w:t>第</w:t>
      </w:r>
      <w:r>
        <w:rPr>
          <w:rStyle w:val="25"/>
          <w:rFonts w:hint="eastAsia" w:ascii="黑体" w:hAnsi="黑体" w:eastAsia="黑体"/>
          <w:b w:val="0"/>
        </w:rPr>
        <w:t>五部分 附表</w:t>
      </w:r>
      <w:bookmarkEnd w:id="63"/>
      <w:bookmarkEnd w:id="73"/>
      <w:bookmarkEnd w:id="74"/>
      <w:bookmarkStart w:id="75"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75"/>
    </w:p>
    <w:p>
      <w:pPr>
        <w:pStyle w:val="4"/>
        <w:rPr>
          <w:rFonts w:ascii="仿宋" w:hAnsi="仿宋" w:eastAsia="仿宋"/>
        </w:rPr>
      </w:pPr>
      <w:bookmarkStart w:id="76" w:name="_Toc15396620"/>
      <w:r>
        <w:rPr>
          <w:rFonts w:hint="eastAsia" w:ascii="仿宋" w:hAnsi="仿宋" w:eastAsia="仿宋"/>
          <w:b w:val="0"/>
        </w:rPr>
        <w:t>二、收</w:t>
      </w:r>
      <w:r>
        <w:rPr>
          <w:rStyle w:val="26"/>
          <w:rFonts w:hint="eastAsia" w:ascii="仿宋" w:hAnsi="仿宋" w:eastAsia="仿宋"/>
          <w:b w:val="0"/>
          <w:bCs w:val="0"/>
        </w:rPr>
        <w:t>入决算表</w:t>
      </w:r>
      <w:bookmarkEnd w:id="76"/>
    </w:p>
    <w:p>
      <w:pPr>
        <w:pStyle w:val="4"/>
        <w:rPr>
          <w:rFonts w:ascii="仿宋" w:hAnsi="仿宋" w:eastAsia="仿宋"/>
        </w:rPr>
      </w:pPr>
      <w:bookmarkStart w:id="77"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77"/>
    </w:p>
    <w:p>
      <w:pPr>
        <w:pStyle w:val="4"/>
        <w:rPr>
          <w:rFonts w:ascii="仿宋" w:hAnsi="仿宋" w:eastAsia="仿宋"/>
          <w:b w:val="0"/>
        </w:rPr>
      </w:pPr>
      <w:bookmarkStart w:id="78"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78"/>
    </w:p>
    <w:p>
      <w:pPr>
        <w:pStyle w:val="4"/>
        <w:rPr>
          <w:rStyle w:val="26"/>
          <w:rFonts w:ascii="仿宋" w:hAnsi="仿宋" w:eastAsia="仿宋"/>
          <w:b w:val="0"/>
          <w:bCs w:val="0"/>
        </w:rPr>
      </w:pPr>
      <w:bookmarkStart w:id="79"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79"/>
      <w:bookmarkStart w:id="80"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80"/>
    </w:p>
    <w:p>
      <w:pPr>
        <w:pStyle w:val="4"/>
        <w:rPr>
          <w:rFonts w:ascii="仿宋" w:hAnsi="仿宋" w:eastAsia="仿宋"/>
        </w:rPr>
      </w:pPr>
      <w:bookmarkStart w:id="81"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81"/>
    </w:p>
    <w:p>
      <w:pPr>
        <w:pStyle w:val="4"/>
        <w:rPr>
          <w:rFonts w:ascii="仿宋" w:hAnsi="仿宋" w:eastAsia="仿宋"/>
        </w:rPr>
      </w:pPr>
      <w:bookmarkStart w:id="82"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82"/>
    </w:p>
    <w:p>
      <w:pPr>
        <w:pStyle w:val="4"/>
        <w:rPr>
          <w:rFonts w:ascii="仿宋" w:hAnsi="仿宋" w:eastAsia="仿宋"/>
        </w:rPr>
      </w:pPr>
      <w:bookmarkStart w:id="83"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83"/>
    </w:p>
    <w:p>
      <w:pPr>
        <w:pStyle w:val="4"/>
        <w:rPr>
          <w:rFonts w:ascii="仿宋" w:hAnsi="仿宋" w:eastAsia="仿宋"/>
        </w:rPr>
      </w:pPr>
      <w:bookmarkStart w:id="84"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84"/>
    </w:p>
    <w:p>
      <w:pPr>
        <w:pStyle w:val="4"/>
        <w:rPr>
          <w:rFonts w:ascii="仿宋" w:hAnsi="仿宋" w:eastAsia="仿宋"/>
        </w:rPr>
      </w:pPr>
      <w:bookmarkStart w:id="85"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85"/>
    </w:p>
    <w:p>
      <w:pPr>
        <w:pStyle w:val="4"/>
        <w:rPr>
          <w:rFonts w:ascii="仿宋" w:hAnsi="仿宋" w:eastAsia="仿宋"/>
        </w:rPr>
      </w:pPr>
      <w:bookmarkStart w:id="86"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86"/>
    </w:p>
    <w:p>
      <w:pPr>
        <w:pStyle w:val="4"/>
        <w:rPr>
          <w:rStyle w:val="26"/>
          <w:rFonts w:ascii="仿宋" w:hAnsi="仿宋" w:eastAsia="仿宋"/>
          <w:b w:val="0"/>
          <w:bCs w:val="0"/>
        </w:rPr>
      </w:pPr>
      <w:bookmarkStart w:id="87"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87"/>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67C6FD8"/>
    <w:rsid w:val="07996F6E"/>
    <w:rsid w:val="08390EBC"/>
    <w:rsid w:val="0A2032A3"/>
    <w:rsid w:val="101860EC"/>
    <w:rsid w:val="10C055FF"/>
    <w:rsid w:val="118107EC"/>
    <w:rsid w:val="13D50BC4"/>
    <w:rsid w:val="16BB723D"/>
    <w:rsid w:val="1A171D3B"/>
    <w:rsid w:val="1BE8440E"/>
    <w:rsid w:val="1C8E5E18"/>
    <w:rsid w:val="1D155CEE"/>
    <w:rsid w:val="230B3BA6"/>
    <w:rsid w:val="23860B96"/>
    <w:rsid w:val="240371BF"/>
    <w:rsid w:val="29FD04D3"/>
    <w:rsid w:val="2C8A61B5"/>
    <w:rsid w:val="2DF04E50"/>
    <w:rsid w:val="2E051CB2"/>
    <w:rsid w:val="30B579BF"/>
    <w:rsid w:val="319F7F4E"/>
    <w:rsid w:val="36AA5135"/>
    <w:rsid w:val="36F875A8"/>
    <w:rsid w:val="37E16F03"/>
    <w:rsid w:val="3D3D0EE8"/>
    <w:rsid w:val="3D98207C"/>
    <w:rsid w:val="40FA1C0A"/>
    <w:rsid w:val="44E268DA"/>
    <w:rsid w:val="4A627F82"/>
    <w:rsid w:val="4B4F25DA"/>
    <w:rsid w:val="4BE068DB"/>
    <w:rsid w:val="4D577224"/>
    <w:rsid w:val="4EAB630A"/>
    <w:rsid w:val="4ECE2238"/>
    <w:rsid w:val="527629E4"/>
    <w:rsid w:val="528E1E8D"/>
    <w:rsid w:val="54434FFB"/>
    <w:rsid w:val="5867043F"/>
    <w:rsid w:val="5AF92295"/>
    <w:rsid w:val="5CD71FC4"/>
    <w:rsid w:val="5E86549B"/>
    <w:rsid w:val="61C313C4"/>
    <w:rsid w:val="667B2536"/>
    <w:rsid w:val="6AC65D4A"/>
    <w:rsid w:val="6C4A05C8"/>
    <w:rsid w:val="6E7E3605"/>
    <w:rsid w:val="6FF5CC65"/>
    <w:rsid w:val="715C0E4B"/>
    <w:rsid w:val="7258399A"/>
    <w:rsid w:val="72734D90"/>
    <w:rsid w:val="73AD73D5"/>
    <w:rsid w:val="73B6EB34"/>
    <w:rsid w:val="73EC7547"/>
    <w:rsid w:val="79EE5BA4"/>
    <w:rsid w:val="7A894339"/>
    <w:rsid w:val="7B114DBF"/>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28</Pages>
  <Words>9333</Words>
  <Characters>11804</Characters>
  <Lines>57</Lines>
  <Paragraphs>16</Paragraphs>
  <TotalTime>6</TotalTime>
  <ScaleCrop>false</ScaleCrop>
  <LinksUpToDate>false</LinksUpToDate>
  <CharactersWithSpaces>11979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李付兵</cp:lastModifiedBy>
  <cp:lastPrinted>2022-08-08T09:11:00Z</cp:lastPrinted>
  <dcterms:modified xsi:type="dcterms:W3CDTF">2023-10-16T10:09:43Z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7D4A5DC5D48649F8A14400557035FC07_13</vt:lpwstr>
  </property>
</Properties>
</file>