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193"/>
      <w:bookmarkStart w:id="3" w:name="_Toc15377425"/>
      <w:bookmarkStart w:id="4" w:name="_Toc15396597"/>
      <w:bookmarkStart w:id="5" w:name="_Toc1539647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78442"/>
      <w:bookmarkStart w:id="8" w:name="_Toc15396476"/>
      <w:bookmarkStart w:id="9" w:name="_Toc15396598"/>
      <w:bookmarkStart w:id="10" w:name="_Toc15377194"/>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宋体" w:eastAsia="方正小标宋简体"/>
          <w:color w:val="000000"/>
          <w:sz w:val="72"/>
          <w:szCs w:val="72"/>
        </w:rPr>
        <w:t>攀枝花西区市容环境卫生服务中心</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公开时间：2022年</w:t>
      </w:r>
      <w:r>
        <w:rPr>
          <w:rFonts w:hint="eastAsia"/>
          <w:lang w:val="en-US" w:eastAsia="zh-CN"/>
        </w:rPr>
        <w:t>10</w:t>
      </w:r>
      <w:r>
        <w:rPr>
          <w:rFonts w:hint="eastAsia"/>
        </w:rPr>
        <w:t>月</w:t>
      </w:r>
      <w:r>
        <w:rPr>
          <w:rFonts w:hint="eastAsia"/>
          <w:lang w:val="en-US" w:eastAsia="zh-CN"/>
        </w:rPr>
        <w:t>8</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3"/>
        <w:adjustRightInd w:val="0"/>
        <w:snapToGrid w:val="0"/>
        <w:spacing w:line="440" w:lineRule="exact"/>
        <w:jc w:val="left"/>
        <w:rPr>
          <w:sz w:val="24"/>
        </w:rPr>
      </w:pPr>
      <w:r>
        <w:rPr>
          <w:rFonts w:hint="eastAsia"/>
          <w:sz w:val="24"/>
        </w:rPr>
        <w:t>一、职能简介</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二、2021年重点工作完成情况</w:t>
      </w:r>
    </w:p>
    <w:p>
      <w:pPr>
        <w:pStyle w:val="12"/>
        <w:adjustRightInd w:val="0"/>
        <w:snapToGrid w:val="0"/>
        <w:spacing w:before="0" w:line="440" w:lineRule="exact"/>
        <w:jc w:val="left"/>
        <w:rPr>
          <w:sz w:val="24"/>
          <w:szCs w:val="24"/>
        </w:rPr>
      </w:pPr>
      <w:r>
        <w:rPr>
          <w:rFonts w:hint="eastAsia"/>
          <w:sz w:val="24"/>
        </w:rPr>
        <w:t>第二部分 2021年度单位决算情况说明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3"/>
        <w:adjustRightInd w:val="0"/>
        <w:snapToGrid w:val="0"/>
        <w:spacing w:line="440" w:lineRule="exact"/>
        <w:jc w:val="left"/>
        <w:rPr>
          <w:sz w:val="24"/>
        </w:rPr>
      </w:pPr>
      <w:r>
        <w:rPr>
          <w:rFonts w:hint="eastAsia"/>
          <w:sz w:val="24"/>
        </w:rPr>
        <w:t>九、国有资本经营预算支出决算情况说明</w:t>
      </w:r>
    </w:p>
    <w:p>
      <w:pPr>
        <w:pStyle w:val="13"/>
        <w:adjustRightInd w:val="0"/>
        <w:snapToGrid w:val="0"/>
        <w:spacing w:line="440" w:lineRule="exact"/>
        <w:jc w:val="left"/>
        <w:rPr>
          <w:sz w:val="24"/>
        </w:rPr>
      </w:pPr>
      <w:r>
        <w:rPr>
          <w:rFonts w:hint="eastAsia"/>
          <w:sz w:val="24"/>
        </w:rPr>
        <w:t>十、其他重要事项的情况说明</w:t>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十、一般公共预算财政拨款“三公”经费支出决算表</w:t>
      </w:r>
    </w:p>
    <w:p>
      <w:pPr>
        <w:pStyle w:val="13"/>
        <w:adjustRightInd w:val="0"/>
        <w:snapToGrid w:val="0"/>
        <w:spacing w:line="440" w:lineRule="exact"/>
        <w:jc w:val="left"/>
        <w:rPr>
          <w:sz w:val="24"/>
        </w:rPr>
      </w:pPr>
      <w:r>
        <w:rPr>
          <w:rFonts w:hint="eastAsia"/>
          <w:sz w:val="24"/>
        </w:rPr>
        <w:t>十一、政府性基金预算财政拨款收入支出决算表</w:t>
      </w:r>
    </w:p>
    <w:p>
      <w:pPr>
        <w:pStyle w:val="13"/>
        <w:adjustRightInd w:val="0"/>
        <w:snapToGrid w:val="0"/>
        <w:spacing w:line="440" w:lineRule="exact"/>
        <w:jc w:val="left"/>
        <w:rPr>
          <w:sz w:val="24"/>
        </w:rPr>
      </w:pPr>
      <w:r>
        <w:rPr>
          <w:rFonts w:hint="eastAsia"/>
          <w:sz w:val="24"/>
        </w:rPr>
        <w:t>十二、政府性基金预算财政拨款“三公”经费支出决算表</w:t>
      </w:r>
    </w:p>
    <w:p>
      <w:pPr>
        <w:pStyle w:val="13"/>
        <w:adjustRightInd w:val="0"/>
        <w:snapToGrid w:val="0"/>
        <w:spacing w:line="440" w:lineRule="exact"/>
        <w:jc w:val="left"/>
        <w:rPr>
          <w:sz w:val="24"/>
        </w:rPr>
      </w:pPr>
      <w:r>
        <w:rPr>
          <w:rFonts w:hint="eastAsia"/>
          <w:sz w:val="24"/>
        </w:rPr>
        <w:t>十三、国有资本经营预算财政拨款收入支出决算表</w:t>
      </w:r>
    </w:p>
    <w:p>
      <w:pPr>
        <w:pStyle w:val="13"/>
        <w:adjustRightInd w:val="0"/>
        <w:snapToGrid w:val="0"/>
        <w:spacing w:line="440" w:lineRule="exact"/>
        <w:jc w:val="left"/>
        <w:rPr>
          <w:sz w:val="24"/>
        </w:rPr>
      </w:pPr>
      <w:r>
        <w:rPr>
          <w:rFonts w:hint="eastAsia"/>
          <w:sz w:val="24"/>
        </w:rPr>
        <w:t>十四、国有资本经营预算财政拨款支出决算表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6"/>
          <w:rFonts w:ascii="黑体" w:hAnsi="黑体" w:eastAsia="黑体"/>
          <w:b/>
          <w:bCs w:val="0"/>
        </w:rPr>
      </w:pPr>
      <w:r>
        <w:rPr>
          <w:rFonts w:hint="eastAsia" w:ascii="黑体" w:hAnsi="黑体" w:eastAsia="黑体"/>
          <w:b w:val="0"/>
        </w:rPr>
        <w:t>第一部分 单位</w:t>
      </w:r>
      <w:r>
        <w:rPr>
          <w:rStyle w:val="26"/>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7"/>
          <w:rFonts w:hint="eastAsia" w:ascii="黑体" w:hAnsi="黑体" w:eastAsia="黑体"/>
          <w:b w:val="0"/>
          <w:bCs w:val="0"/>
        </w:rPr>
      </w:pPr>
      <w:bookmarkStart w:id="14" w:name="_Toc15377197"/>
      <w:bookmarkStart w:id="15" w:name="_Toc15396600"/>
      <w:r>
        <w:rPr>
          <w:rStyle w:val="27"/>
          <w:rFonts w:hint="eastAsia" w:ascii="黑体" w:hAnsi="黑体" w:eastAsia="黑体"/>
          <w:b w:val="0"/>
          <w:bCs w:val="0"/>
        </w:rPr>
        <w:t>职能简介</w:t>
      </w:r>
    </w:p>
    <w:p>
      <w:pPr>
        <w:spacing w:line="360" w:lineRule="auto"/>
        <w:ind w:firstLine="787" w:firstLineChars="246"/>
        <w:rPr>
          <w:rFonts w:ascii="仿宋" w:hAnsi="仿宋" w:eastAsia="仿宋"/>
          <w:sz w:val="32"/>
          <w:szCs w:val="32"/>
        </w:rPr>
      </w:pPr>
      <w:r>
        <w:rPr>
          <w:rFonts w:hint="eastAsia" w:ascii="仿宋" w:hAnsi="仿宋" w:eastAsia="仿宋"/>
          <w:sz w:val="32"/>
          <w:szCs w:val="32"/>
        </w:rPr>
        <w:t>1、西区市容环境卫生服务中心为维护城市环境卫生提供管理保障和为城市美化提供市容管理保障；</w:t>
      </w:r>
    </w:p>
    <w:p>
      <w:pPr>
        <w:spacing w:line="360" w:lineRule="auto"/>
        <w:ind w:firstLine="787" w:firstLineChars="246"/>
        <w:rPr>
          <w:rFonts w:ascii="仿宋" w:hAnsi="仿宋" w:eastAsia="仿宋"/>
          <w:sz w:val="32"/>
          <w:szCs w:val="32"/>
        </w:rPr>
      </w:pPr>
      <w:r>
        <w:rPr>
          <w:rFonts w:hint="eastAsia" w:ascii="仿宋" w:hAnsi="仿宋" w:eastAsia="仿宋"/>
          <w:sz w:val="32"/>
          <w:szCs w:val="32"/>
        </w:rPr>
        <w:t>2、城市环境卫生设施建设；</w:t>
      </w:r>
    </w:p>
    <w:p>
      <w:pPr>
        <w:spacing w:line="360" w:lineRule="auto"/>
        <w:ind w:firstLine="787" w:firstLineChars="246"/>
        <w:rPr>
          <w:rFonts w:ascii="仿宋" w:hAnsi="仿宋" w:eastAsia="仿宋"/>
          <w:sz w:val="32"/>
          <w:szCs w:val="32"/>
        </w:rPr>
      </w:pPr>
      <w:r>
        <w:rPr>
          <w:rFonts w:hint="eastAsia" w:ascii="仿宋" w:hAnsi="仿宋" w:eastAsia="仿宋"/>
          <w:sz w:val="32"/>
          <w:szCs w:val="32"/>
        </w:rPr>
        <w:t>3、城市环境卫生设施运营与维护；</w:t>
      </w:r>
    </w:p>
    <w:p>
      <w:pPr>
        <w:spacing w:line="360" w:lineRule="auto"/>
        <w:ind w:firstLine="787" w:firstLineChars="246"/>
        <w:rPr>
          <w:rFonts w:ascii="仿宋" w:hAnsi="仿宋" w:eastAsia="仿宋"/>
          <w:sz w:val="32"/>
          <w:szCs w:val="32"/>
        </w:rPr>
      </w:pPr>
      <w:r>
        <w:rPr>
          <w:rFonts w:hint="eastAsia" w:ascii="仿宋" w:hAnsi="仿宋" w:eastAsia="仿宋"/>
          <w:sz w:val="32"/>
          <w:szCs w:val="32"/>
        </w:rPr>
        <w:t>4、城市环境卫生监督；</w:t>
      </w:r>
    </w:p>
    <w:p>
      <w:pPr>
        <w:spacing w:line="360" w:lineRule="auto"/>
        <w:ind w:firstLine="787" w:firstLineChars="246"/>
        <w:rPr>
          <w:rFonts w:ascii="仿宋" w:hAnsi="仿宋" w:eastAsia="仿宋"/>
          <w:sz w:val="32"/>
          <w:szCs w:val="32"/>
        </w:rPr>
      </w:pPr>
      <w:r>
        <w:rPr>
          <w:rFonts w:hint="eastAsia" w:ascii="仿宋" w:hAnsi="仿宋" w:eastAsia="仿宋"/>
          <w:sz w:val="32"/>
          <w:szCs w:val="32"/>
        </w:rPr>
        <w:t>5、城市环境卫生作业管理。</w:t>
      </w:r>
    </w:p>
    <w:p>
      <w:pPr>
        <w:numPr>
          <w:ilvl w:val="0"/>
          <w:numId w:val="0"/>
        </w:numPr>
      </w:pPr>
    </w:p>
    <w:p>
      <w:pPr>
        <w:pStyle w:val="4"/>
        <w:rPr>
          <w:rFonts w:hint="eastAsia"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pPr>
        <w:spacing w:line="353" w:lineRule="auto"/>
        <w:ind w:firstLine="640" w:firstLineChars="200"/>
        <w:rPr>
          <w:rFonts w:ascii="仿宋" w:hAnsi="仿宋" w:eastAsia="仿宋"/>
          <w:sz w:val="32"/>
          <w:szCs w:val="32"/>
        </w:rPr>
      </w:pPr>
      <w:r>
        <w:rPr>
          <w:rFonts w:hint="eastAsia" w:ascii="仿宋" w:hAnsi="仿宋" w:eastAsia="仿宋"/>
          <w:sz w:val="32"/>
          <w:szCs w:val="32"/>
        </w:rPr>
        <w:t>洒水降尘、垃圾清运；辖区内的市容环境卫生监督、检查及管理。做好防疫及“创建文明城市”复检工作</w:t>
      </w:r>
    </w:p>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6"/>
          <w:rFonts w:ascii="黑体" w:hAnsi="黑体" w:eastAsia="黑体"/>
          <w:b w:val="0"/>
          <w:bCs/>
        </w:rPr>
      </w:pPr>
      <w:bookmarkStart w:id="16" w:name="_Toc15396602"/>
      <w:bookmarkStart w:id="17" w:name="_Toc15377204"/>
      <w:r>
        <w:rPr>
          <w:rFonts w:hint="eastAsia" w:ascii="黑体" w:hAnsi="黑体" w:eastAsia="黑体"/>
          <w:b w:val="0"/>
        </w:rPr>
        <w:t>第二部分 2021年度</w:t>
      </w:r>
      <w:r>
        <w:rPr>
          <w:rStyle w:val="26"/>
          <w:rFonts w:hint="eastAsia" w:ascii="黑体" w:hAnsi="黑体" w:eastAsia="黑体"/>
          <w:b w:val="0"/>
          <w:bCs/>
        </w:rPr>
        <w:t>单位决算情况说明</w:t>
      </w:r>
      <w:bookmarkEnd w:id="16"/>
      <w:bookmarkEnd w:id="17"/>
    </w:p>
    <w:p/>
    <w:p>
      <w:pPr>
        <w:pStyle w:val="25"/>
        <w:numPr>
          <w:ilvl w:val="0"/>
          <w:numId w:val="2"/>
        </w:numPr>
        <w:spacing w:line="600" w:lineRule="exact"/>
        <w:ind w:firstLineChars="0"/>
        <w:outlineLvl w:val="1"/>
        <w:rPr>
          <w:rStyle w:val="27"/>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7"/>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2021年度收、支总计937.68万元。与2020年相比，收、支总计减少439.75万元，下降31.92</w:t>
      </w:r>
      <w:r>
        <w:rPr>
          <w:rFonts w:ascii="仿宋" w:hAnsi="仿宋" w:eastAsia="仿宋"/>
          <w:sz w:val="32"/>
          <w:szCs w:val="32"/>
        </w:rPr>
        <w:t>%</w:t>
      </w:r>
      <w:r>
        <w:rPr>
          <w:rFonts w:hint="eastAsia" w:ascii="仿宋" w:hAnsi="仿宋" w:eastAsia="仿宋"/>
          <w:sz w:val="32"/>
          <w:szCs w:val="32"/>
        </w:rPr>
        <w:t>。主要变动原因是2021年项目减少。</w:t>
      </w:r>
    </w:p>
    <w:p>
      <w:pPr>
        <w:pStyle w:val="2"/>
        <w:spacing w:before="93"/>
      </w:pPr>
      <w:r>
        <w:rPr>
          <w:rFonts w:hint="eastAsia"/>
        </w:rPr>
        <w:drawing>
          <wp:anchor distT="0" distB="0" distL="114300" distR="114300" simplePos="0" relativeHeight="251659264" behindDoc="0" locked="0" layoutInCell="1" allowOverlap="1">
            <wp:simplePos x="0" y="0"/>
            <wp:positionH relativeFrom="column">
              <wp:posOffset>621665</wp:posOffset>
            </wp:positionH>
            <wp:positionV relativeFrom="paragraph">
              <wp:posOffset>294005</wp:posOffset>
            </wp:positionV>
            <wp:extent cx="3529965" cy="3615055"/>
            <wp:effectExtent l="0" t="0" r="0" b="0"/>
            <wp:wrapSquare wrapText="bothSides"/>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5"/>
        <w:numPr>
          <w:ilvl w:val="0"/>
          <w:numId w:val="2"/>
        </w:numPr>
        <w:spacing w:line="600" w:lineRule="exact"/>
        <w:ind w:firstLineChars="0"/>
        <w:outlineLvl w:val="1"/>
        <w:rPr>
          <w:rStyle w:val="27"/>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7"/>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21年本年收入合计861.57万元，其中：一般公共预算财政拨款收入705.8万元，占81</w:t>
      </w:r>
      <w:r>
        <w:rPr>
          <w:rFonts w:ascii="仿宋" w:hAnsi="仿宋" w:eastAsia="仿宋"/>
          <w:sz w:val="32"/>
          <w:szCs w:val="32"/>
        </w:rPr>
        <w:t>%</w:t>
      </w:r>
      <w:r>
        <w:rPr>
          <w:rFonts w:hint="eastAsia" w:ascii="仿宋" w:hAnsi="仿宋" w:eastAsia="仿宋"/>
          <w:sz w:val="32"/>
          <w:szCs w:val="32"/>
        </w:rPr>
        <w:t>；政府性基金预算财政拨款收入155.74万元，占18</w:t>
      </w:r>
      <w:r>
        <w:rPr>
          <w:rFonts w:ascii="仿宋" w:hAnsi="仿宋" w:eastAsia="仿宋"/>
          <w:sz w:val="32"/>
          <w:szCs w:val="32"/>
        </w:rPr>
        <w:t>%</w:t>
      </w:r>
      <w:r>
        <w:rPr>
          <w:rFonts w:hint="eastAsia" w:ascii="仿宋" w:hAnsi="仿宋" w:eastAsia="仿宋"/>
          <w:sz w:val="32"/>
          <w:szCs w:val="32"/>
        </w:rPr>
        <w:t>；其他收入0.03万元，占1</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sz w:val="32"/>
          <w:szCs w:val="32"/>
        </w:rPr>
      </w:pPr>
    </w:p>
    <w:p>
      <w:pPr>
        <w:pStyle w:val="2"/>
        <w:spacing w:before="93"/>
      </w:pPr>
      <w:r>
        <w:rPr>
          <w:rFonts w:hint="eastAsia"/>
        </w:rPr>
        <w:drawing>
          <wp:anchor distT="0" distB="0" distL="114300" distR="114300" simplePos="0" relativeHeight="251660288" behindDoc="0" locked="0" layoutInCell="1" allowOverlap="1">
            <wp:simplePos x="0" y="0"/>
            <wp:positionH relativeFrom="column">
              <wp:posOffset>175260</wp:posOffset>
            </wp:positionH>
            <wp:positionV relativeFrom="paragraph">
              <wp:posOffset>160655</wp:posOffset>
            </wp:positionV>
            <wp:extent cx="2743200" cy="1828800"/>
            <wp:effectExtent l="0" t="0" r="0" b="0"/>
            <wp:wrapSquare wrapText="bothSides"/>
            <wp:docPr id="3"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5"/>
        <w:numPr>
          <w:ilvl w:val="0"/>
          <w:numId w:val="2"/>
        </w:numPr>
        <w:spacing w:line="600" w:lineRule="exact"/>
        <w:ind w:firstLineChars="0"/>
        <w:outlineLvl w:val="1"/>
        <w:rPr>
          <w:rStyle w:val="27"/>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7"/>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21年本年支出合计937.65万元，其中：基本支出496.01万元，占52</w:t>
      </w:r>
      <w:r>
        <w:rPr>
          <w:rFonts w:ascii="仿宋" w:hAnsi="仿宋" w:eastAsia="仿宋"/>
          <w:sz w:val="32"/>
          <w:szCs w:val="32"/>
        </w:rPr>
        <w:t>%</w:t>
      </w:r>
      <w:r>
        <w:rPr>
          <w:rFonts w:hint="eastAsia" w:ascii="仿宋" w:hAnsi="仿宋" w:eastAsia="仿宋"/>
          <w:sz w:val="32"/>
          <w:szCs w:val="32"/>
        </w:rPr>
        <w:t>；项目支出441.64万元，占48%。</w:t>
      </w:r>
    </w:p>
    <w:p>
      <w:pPr>
        <w:pStyle w:val="2"/>
        <w:spacing w:before="93"/>
      </w:pPr>
      <w:r>
        <w:rPr>
          <w:rFonts w:hint="eastAsia"/>
        </w:rPr>
        <w:drawing>
          <wp:anchor distT="0" distB="0" distL="114300" distR="114300" simplePos="0" relativeHeight="251661312" behindDoc="0" locked="0" layoutInCell="1" allowOverlap="1">
            <wp:simplePos x="0" y="0"/>
            <wp:positionH relativeFrom="column">
              <wp:posOffset>621665</wp:posOffset>
            </wp:positionH>
            <wp:positionV relativeFrom="paragraph">
              <wp:posOffset>220345</wp:posOffset>
            </wp:positionV>
            <wp:extent cx="3949065" cy="2636520"/>
            <wp:effectExtent l="0" t="0" r="0" b="0"/>
            <wp:wrapSquare wrapText="bothSides"/>
            <wp:docPr id="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7"/>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21年财政拨款收、支总计937.65万元。与</w:t>
      </w:r>
      <w:r>
        <w:rPr>
          <w:rFonts w:ascii="仿宋" w:hAnsi="仿宋" w:eastAsia="仿宋"/>
          <w:sz w:val="32"/>
          <w:szCs w:val="32"/>
        </w:rPr>
        <w:t>20</w:t>
      </w:r>
      <w:r>
        <w:rPr>
          <w:rFonts w:hint="eastAsia" w:ascii="仿宋" w:hAnsi="仿宋" w:eastAsia="仿宋"/>
          <w:sz w:val="32"/>
          <w:szCs w:val="32"/>
        </w:rPr>
        <w:t>20年相比，财政拨款收、支总计减少369.18万元，下降28.25</w:t>
      </w:r>
      <w:r>
        <w:rPr>
          <w:rFonts w:ascii="仿宋" w:hAnsi="仿宋" w:eastAsia="仿宋"/>
          <w:sz w:val="32"/>
          <w:szCs w:val="32"/>
        </w:rPr>
        <w:t>%</w:t>
      </w:r>
      <w:r>
        <w:rPr>
          <w:rFonts w:hint="eastAsia" w:ascii="仿宋" w:hAnsi="仿宋" w:eastAsia="仿宋"/>
          <w:sz w:val="32"/>
          <w:szCs w:val="32"/>
        </w:rPr>
        <w:t>。主要变动原因是2021年本单位机制改革人员、办公经费及项目资金减少。</w:t>
      </w:r>
    </w:p>
    <w:p>
      <w:pPr>
        <w:pStyle w:val="2"/>
        <w:spacing w:before="93"/>
      </w:pPr>
      <w:r>
        <w:rPr>
          <w:rFonts w:hint="eastAsia"/>
        </w:rPr>
        <w:drawing>
          <wp:anchor distT="0" distB="0" distL="114300" distR="114300" simplePos="0" relativeHeight="251662336" behindDoc="0" locked="0" layoutInCell="1" allowOverlap="1">
            <wp:simplePos x="0" y="0"/>
            <wp:positionH relativeFrom="column">
              <wp:posOffset>366395</wp:posOffset>
            </wp:positionH>
            <wp:positionV relativeFrom="paragraph">
              <wp:posOffset>346710</wp:posOffset>
            </wp:positionV>
            <wp:extent cx="3306445" cy="3369310"/>
            <wp:effectExtent l="0" t="0" r="8255" b="0"/>
            <wp:wrapSquare wrapText="bothSides"/>
            <wp:docPr id="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7"/>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21年一般公共预算财政拨款支出781.91万元，占本年支出合计的83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20年相比，一般公共预算财政拨款支出减少91.43万元，下降10.46</w:t>
      </w:r>
      <w:r>
        <w:rPr>
          <w:rFonts w:ascii="仿宋" w:hAnsi="仿宋" w:eastAsia="仿宋"/>
          <w:sz w:val="32"/>
          <w:szCs w:val="32"/>
        </w:rPr>
        <w:t>%</w:t>
      </w:r>
      <w:r>
        <w:rPr>
          <w:rFonts w:hint="eastAsia" w:ascii="仿宋" w:hAnsi="仿宋" w:eastAsia="仿宋"/>
          <w:sz w:val="32"/>
          <w:szCs w:val="32"/>
        </w:rPr>
        <w:t>。主要变动原因是2021年本单位机制改革人员、办公经费及项目资金减少。</w:t>
      </w:r>
    </w:p>
    <w:p>
      <w:pPr>
        <w:pStyle w:val="2"/>
        <w:spacing w:before="93"/>
      </w:pPr>
      <w:r>
        <w:rPr>
          <w:rFonts w:hint="eastAsia"/>
        </w:rPr>
        <w:drawing>
          <wp:anchor distT="0" distB="0" distL="114300" distR="114300" simplePos="0" relativeHeight="251663360" behindDoc="0" locked="0" layoutInCell="1" allowOverlap="1">
            <wp:simplePos x="0" y="0"/>
            <wp:positionH relativeFrom="column">
              <wp:posOffset>175260</wp:posOffset>
            </wp:positionH>
            <wp:positionV relativeFrom="paragraph">
              <wp:posOffset>394970</wp:posOffset>
            </wp:positionV>
            <wp:extent cx="3752850" cy="2540635"/>
            <wp:effectExtent l="0" t="0" r="0" b="0"/>
            <wp:wrapSquare wrapText="bothSides"/>
            <wp:docPr id="6"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21年一般公共预算财政拨款支出781.91万元，主要用于以下方面</w:t>
      </w:r>
      <w:r>
        <w:rPr>
          <w:rFonts w:hint="eastAsia" w:ascii="仿宋" w:hAnsi="仿宋" w:eastAsia="仿宋"/>
          <w:b/>
          <w:color w:val="000000"/>
          <w:sz w:val="32"/>
          <w:szCs w:val="32"/>
        </w:rPr>
        <w:t>城乡社区支出（类）</w:t>
      </w:r>
      <w:r>
        <w:rPr>
          <w:rFonts w:hint="eastAsia" w:ascii="仿宋" w:hAnsi="仿宋" w:eastAsia="仿宋"/>
          <w:color w:val="000000"/>
          <w:sz w:val="32"/>
          <w:szCs w:val="32"/>
        </w:rPr>
        <w:t>支出627.92万元，占80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支出44.78万元，占6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17.48万元，占2</w:t>
      </w:r>
      <w:r>
        <w:rPr>
          <w:rFonts w:ascii="仿宋" w:hAnsi="仿宋" w:eastAsia="仿宋"/>
          <w:sz w:val="32"/>
          <w:szCs w:val="32"/>
        </w:rPr>
        <w:t>%</w:t>
      </w:r>
      <w:r>
        <w:rPr>
          <w:rFonts w:hint="eastAsia" w:ascii="仿宋" w:hAnsi="仿宋" w:eastAsia="仿宋"/>
          <w:sz w:val="32"/>
          <w:szCs w:val="32"/>
        </w:rPr>
        <w:t>；</w:t>
      </w:r>
      <w:r>
        <w:rPr>
          <w:rStyle w:val="30"/>
          <w:rFonts w:hint="eastAsia" w:ascii="仿宋" w:hAnsi="仿宋" w:eastAsia="仿宋"/>
        </w:rPr>
        <w:t>住房保障支出</w:t>
      </w:r>
      <w:r>
        <w:rPr>
          <w:rFonts w:hint="eastAsia" w:ascii="仿宋" w:hAnsi="仿宋" w:eastAsia="仿宋"/>
          <w:sz w:val="32"/>
          <w:szCs w:val="32"/>
        </w:rPr>
        <w:t>22.98万元，占3</w:t>
      </w:r>
      <w:r>
        <w:rPr>
          <w:rFonts w:ascii="仿宋" w:hAnsi="仿宋" w:eastAsia="仿宋"/>
          <w:sz w:val="32"/>
          <w:szCs w:val="32"/>
        </w:rPr>
        <w:t>%</w:t>
      </w:r>
      <w:r>
        <w:rPr>
          <w:rFonts w:hint="eastAsia" w:ascii="仿宋" w:hAnsi="仿宋" w:eastAsia="仿宋"/>
          <w:sz w:val="32"/>
          <w:szCs w:val="32"/>
        </w:rPr>
        <w:t>；</w:t>
      </w:r>
      <w:r>
        <w:rPr>
          <w:rStyle w:val="30"/>
          <w:rFonts w:hint="eastAsia" w:ascii="仿宋" w:hAnsi="仿宋" w:eastAsia="仿宋"/>
        </w:rPr>
        <w:t>其他支出</w:t>
      </w:r>
      <w:r>
        <w:rPr>
          <w:rFonts w:hint="eastAsia" w:ascii="仿宋" w:hAnsi="仿宋" w:eastAsia="仿宋"/>
          <w:sz w:val="32"/>
          <w:szCs w:val="32"/>
        </w:rPr>
        <w:t>68.74万元，占9</w:t>
      </w:r>
      <w:r>
        <w:rPr>
          <w:rFonts w:ascii="仿宋" w:hAnsi="仿宋" w:eastAsia="仿宋"/>
          <w:sz w:val="32"/>
          <w:szCs w:val="32"/>
        </w:rPr>
        <w:t>%</w:t>
      </w:r>
      <w:r>
        <w:rPr>
          <w:rFonts w:hint="eastAsia" w:ascii="仿宋" w:hAnsi="仿宋" w:eastAsia="仿宋"/>
          <w:sz w:val="32"/>
          <w:szCs w:val="32"/>
        </w:rPr>
        <w:t>。</w:t>
      </w:r>
    </w:p>
    <w:p>
      <w:pPr>
        <w:pStyle w:val="2"/>
        <w:spacing w:before="93"/>
      </w:pPr>
      <w:r>
        <w:rPr>
          <w:rFonts w:hint="eastAsia"/>
        </w:rPr>
        <w:drawing>
          <wp:anchor distT="0" distB="0" distL="114300" distR="114300" simplePos="0" relativeHeight="251664384" behindDoc="0" locked="0" layoutInCell="1" allowOverlap="1">
            <wp:simplePos x="0" y="0"/>
            <wp:positionH relativeFrom="column">
              <wp:posOffset>175260</wp:posOffset>
            </wp:positionH>
            <wp:positionV relativeFrom="paragraph">
              <wp:posOffset>18415</wp:posOffset>
            </wp:positionV>
            <wp:extent cx="3827145" cy="2551430"/>
            <wp:effectExtent l="0" t="0" r="1905" b="0"/>
            <wp:wrapSquare wrapText="bothSides"/>
            <wp:docPr id="1"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spacing w:before="93"/>
      </w:pPr>
    </w:p>
    <w:p>
      <w:pPr>
        <w:pStyle w:val="2"/>
        <w:spacing w:before="93"/>
        <w:jc w:val="right"/>
      </w:pPr>
    </w:p>
    <w:p>
      <w:pPr>
        <w:pStyle w:val="2"/>
        <w:spacing w:before="93"/>
      </w:pPr>
    </w:p>
    <w:p>
      <w:pPr>
        <w:pStyle w:val="2"/>
        <w:spacing w:before="93"/>
      </w:pPr>
    </w:p>
    <w:p>
      <w:pPr>
        <w:spacing w:line="600" w:lineRule="exact"/>
        <w:ind w:firstLine="640"/>
        <w:rPr>
          <w:rFonts w:ascii="仿宋" w:hAnsi="仿宋" w:eastAsia="仿宋"/>
          <w:b/>
          <w:sz w:val="32"/>
          <w:szCs w:val="32"/>
        </w:rPr>
      </w:pPr>
      <w:r>
        <w:rPr>
          <w:rFonts w:hint="eastAsia" w:ascii="仿宋" w:hAnsi="仿宋" w:eastAsia="仿宋"/>
          <w:sz w:val="32"/>
          <w:szCs w:val="32"/>
        </w:rPr>
        <w:t>（图6：一般公共预算财政拨款支出决算结构）（饼状图）</w:t>
      </w:r>
    </w:p>
    <w:p>
      <w:pPr>
        <w:spacing w:line="600" w:lineRule="exact"/>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0" w:firstLineChars="200"/>
        <w:outlineLvl w:val="2"/>
        <w:rPr>
          <w:rFonts w:ascii="仿宋" w:hAnsi="仿宋" w:eastAsia="仿宋"/>
          <w:b w:val="0"/>
          <w:bCs/>
          <w:sz w:val="32"/>
          <w:szCs w:val="32"/>
        </w:rPr>
      </w:pPr>
      <w:bookmarkStart w:id="31" w:name="_Toc15378460"/>
      <w:bookmarkStart w:id="32" w:name="_Toc15377213"/>
      <w:bookmarkStart w:id="33" w:name="_Toc15377444"/>
      <w:r>
        <w:rPr>
          <w:rFonts w:hint="eastAsia" w:ascii="仿宋" w:hAnsi="仿宋" w:eastAsia="仿宋"/>
          <w:b w:val="0"/>
          <w:bCs/>
          <w:sz w:val="32"/>
          <w:szCs w:val="32"/>
        </w:rPr>
        <w:t>2021年一般公共预算支出决算数为781.91，</w:t>
      </w:r>
      <w:r>
        <w:rPr>
          <w:rStyle w:val="16"/>
          <w:rFonts w:hint="eastAsia" w:ascii="仿宋" w:hAnsi="仿宋" w:eastAsia="仿宋"/>
          <w:b w:val="0"/>
          <w:bCs/>
          <w:sz w:val="32"/>
          <w:szCs w:val="32"/>
        </w:rPr>
        <w:t>完成预算100</w:t>
      </w:r>
      <w:r>
        <w:rPr>
          <w:rStyle w:val="16"/>
          <w:rFonts w:ascii="仿宋" w:hAnsi="仿宋" w:eastAsia="仿宋"/>
          <w:b w:val="0"/>
          <w:bCs/>
          <w:sz w:val="32"/>
          <w:szCs w:val="32"/>
        </w:rPr>
        <w:t>%</w:t>
      </w:r>
      <w:r>
        <w:rPr>
          <w:rStyle w:val="16"/>
          <w:rFonts w:hint="eastAsia" w:ascii="仿宋" w:hAnsi="仿宋" w:eastAsia="仿宋"/>
          <w:b w:val="0"/>
          <w:bCs/>
          <w:sz w:val="32"/>
          <w:szCs w:val="32"/>
        </w:rPr>
        <w:t>。其中：</w:t>
      </w:r>
      <w:bookmarkEnd w:id="31"/>
      <w:bookmarkEnd w:id="32"/>
      <w:bookmarkEnd w:id="33"/>
    </w:p>
    <w:p>
      <w:pPr>
        <w:spacing w:line="600" w:lineRule="exact"/>
        <w:ind w:firstLine="640" w:firstLineChars="200"/>
        <w:rPr>
          <w:rFonts w:ascii="仿宋" w:hAnsi="仿宋" w:eastAsia="仿宋"/>
          <w:b w:val="0"/>
          <w:bCs/>
          <w:sz w:val="32"/>
          <w:szCs w:val="32"/>
        </w:rPr>
      </w:pPr>
      <w:r>
        <w:rPr>
          <w:rStyle w:val="16"/>
          <w:rFonts w:ascii="仿宋" w:hAnsi="仿宋" w:eastAsia="仿宋"/>
          <w:b w:val="0"/>
          <w:bCs/>
          <w:sz w:val="32"/>
          <w:szCs w:val="32"/>
        </w:rPr>
        <w:t>1</w:t>
      </w:r>
      <w:r>
        <w:rPr>
          <w:rStyle w:val="16"/>
          <w:rFonts w:hint="eastAsia" w:ascii="仿宋" w:hAnsi="仿宋" w:eastAsia="仿宋"/>
          <w:b w:val="0"/>
          <w:bCs/>
          <w:color w:val="000000"/>
          <w:sz w:val="32"/>
          <w:szCs w:val="32"/>
        </w:rPr>
        <w:t>.</w:t>
      </w:r>
      <w:r>
        <w:rPr>
          <w:rStyle w:val="16"/>
          <w:rFonts w:hint="eastAsia" w:ascii="仿宋" w:hAnsi="仿宋" w:eastAsia="仿宋"/>
          <w:b w:val="0"/>
          <w:bCs/>
          <w:sz w:val="32"/>
          <w:szCs w:val="32"/>
        </w:rPr>
        <w:t xml:space="preserve"> 社会保障和就业（类）行政</w:t>
      </w:r>
      <w:r>
        <w:rPr>
          <w:rStyle w:val="16"/>
          <w:rFonts w:ascii="仿宋" w:hAnsi="仿宋" w:eastAsia="仿宋"/>
          <w:b w:val="0"/>
          <w:bCs/>
          <w:sz w:val="32"/>
          <w:szCs w:val="32"/>
        </w:rPr>
        <w:t>事业养老支出</w:t>
      </w:r>
      <w:r>
        <w:rPr>
          <w:rStyle w:val="16"/>
          <w:rFonts w:hint="eastAsia" w:ascii="仿宋" w:hAnsi="仿宋" w:eastAsia="仿宋"/>
          <w:b w:val="0"/>
          <w:bCs/>
          <w:sz w:val="32"/>
          <w:szCs w:val="32"/>
        </w:rPr>
        <w:t>（款）行政单位离退休（项）2080501</w:t>
      </w:r>
      <w:r>
        <w:rPr>
          <w:rStyle w:val="16"/>
          <w:rFonts w:ascii="仿宋" w:hAnsi="仿宋" w:eastAsia="仿宋"/>
          <w:b w:val="0"/>
          <w:bCs/>
          <w:sz w:val="32"/>
          <w:szCs w:val="32"/>
        </w:rPr>
        <w:t>:</w:t>
      </w:r>
      <w:r>
        <w:rPr>
          <w:rStyle w:val="16"/>
          <w:rFonts w:hint="eastAsia" w:ascii="仿宋" w:hAnsi="仿宋" w:eastAsia="仿宋"/>
          <w:b w:val="0"/>
          <w:bCs/>
          <w:sz w:val="32"/>
          <w:szCs w:val="32"/>
        </w:rPr>
        <w:t>支出决算为17.38万元，完成预算100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0" w:firstLineChars="200"/>
        <w:rPr>
          <w:rFonts w:ascii="仿宋" w:hAnsi="仿宋" w:eastAsia="仿宋"/>
          <w:b w:val="0"/>
          <w:bCs/>
          <w:sz w:val="32"/>
          <w:szCs w:val="32"/>
        </w:rPr>
      </w:pPr>
      <w:r>
        <w:rPr>
          <w:rStyle w:val="16"/>
          <w:rFonts w:ascii="仿宋" w:hAnsi="仿宋" w:eastAsia="仿宋"/>
          <w:b w:val="0"/>
          <w:bCs/>
          <w:sz w:val="32"/>
          <w:szCs w:val="32"/>
        </w:rPr>
        <w:t>2</w:t>
      </w:r>
      <w:r>
        <w:rPr>
          <w:rStyle w:val="16"/>
          <w:rFonts w:hint="eastAsia" w:ascii="仿宋" w:hAnsi="仿宋" w:eastAsia="仿宋"/>
          <w:b w:val="0"/>
          <w:bCs/>
          <w:color w:val="000000"/>
          <w:sz w:val="32"/>
          <w:szCs w:val="32"/>
        </w:rPr>
        <w:t>.</w:t>
      </w:r>
      <w:r>
        <w:rPr>
          <w:rStyle w:val="16"/>
          <w:rFonts w:hint="eastAsia" w:ascii="仿宋" w:hAnsi="仿宋" w:eastAsia="仿宋"/>
          <w:b w:val="0"/>
          <w:bCs/>
          <w:sz w:val="32"/>
          <w:szCs w:val="32"/>
        </w:rPr>
        <w:t xml:space="preserve"> 社会保障和就业（类）行政</w:t>
      </w:r>
      <w:r>
        <w:rPr>
          <w:rStyle w:val="16"/>
          <w:rFonts w:ascii="仿宋" w:hAnsi="仿宋" w:eastAsia="仿宋"/>
          <w:b w:val="0"/>
          <w:bCs/>
          <w:sz w:val="32"/>
          <w:szCs w:val="32"/>
        </w:rPr>
        <w:t>事业养老支出</w:t>
      </w:r>
      <w:r>
        <w:rPr>
          <w:rStyle w:val="16"/>
          <w:rFonts w:hint="eastAsia" w:ascii="仿宋" w:hAnsi="仿宋" w:eastAsia="仿宋"/>
          <w:b w:val="0"/>
          <w:bCs/>
          <w:sz w:val="32"/>
          <w:szCs w:val="32"/>
        </w:rPr>
        <w:t>（款）</w:t>
      </w:r>
      <w:r>
        <w:rPr>
          <w:rStyle w:val="16"/>
          <w:rFonts w:hint="eastAsia" w:ascii="仿宋" w:hAnsi="仿宋" w:eastAsia="仿宋"/>
          <w:b w:val="0"/>
          <w:bCs/>
          <w:color w:val="000000"/>
          <w:sz w:val="32"/>
          <w:szCs w:val="32"/>
        </w:rPr>
        <w:t>机关事业单位基本养老保险缴费支出</w:t>
      </w:r>
      <w:r>
        <w:rPr>
          <w:rStyle w:val="16"/>
          <w:rFonts w:hint="eastAsia" w:ascii="仿宋" w:hAnsi="仿宋" w:eastAsia="仿宋"/>
          <w:b w:val="0"/>
          <w:bCs/>
          <w:sz w:val="32"/>
          <w:szCs w:val="32"/>
        </w:rPr>
        <w:t>（项）2080505</w:t>
      </w:r>
      <w:r>
        <w:rPr>
          <w:rStyle w:val="16"/>
          <w:rFonts w:ascii="仿宋" w:hAnsi="仿宋" w:eastAsia="仿宋"/>
          <w:b w:val="0"/>
          <w:bCs/>
          <w:sz w:val="32"/>
          <w:szCs w:val="32"/>
        </w:rPr>
        <w:t>:</w:t>
      </w:r>
      <w:r>
        <w:rPr>
          <w:rStyle w:val="16"/>
          <w:rFonts w:hint="eastAsia" w:ascii="仿宋" w:hAnsi="仿宋" w:eastAsia="仿宋"/>
          <w:b w:val="0"/>
          <w:bCs/>
          <w:sz w:val="32"/>
          <w:szCs w:val="32"/>
        </w:rPr>
        <w:t>支出决算为18.84万元，完成预算100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0" w:firstLineChars="200"/>
        <w:rPr>
          <w:rFonts w:ascii="仿宋" w:hAnsi="仿宋" w:eastAsia="仿宋"/>
          <w:b w:val="0"/>
          <w:bCs/>
          <w:sz w:val="32"/>
          <w:szCs w:val="32"/>
        </w:rPr>
      </w:pPr>
      <w:r>
        <w:rPr>
          <w:rStyle w:val="16"/>
          <w:rFonts w:ascii="仿宋" w:hAnsi="仿宋" w:eastAsia="仿宋"/>
          <w:b w:val="0"/>
          <w:bCs/>
          <w:sz w:val="32"/>
          <w:szCs w:val="32"/>
        </w:rPr>
        <w:t>3.</w:t>
      </w:r>
      <w:r>
        <w:rPr>
          <w:rStyle w:val="16"/>
          <w:rFonts w:hint="eastAsia" w:ascii="仿宋" w:hAnsi="仿宋" w:eastAsia="仿宋"/>
          <w:b w:val="0"/>
          <w:bCs/>
          <w:sz w:val="32"/>
          <w:szCs w:val="32"/>
        </w:rPr>
        <w:t xml:space="preserve"> 社会保障和就业（类）行政</w:t>
      </w:r>
      <w:r>
        <w:rPr>
          <w:rStyle w:val="16"/>
          <w:rFonts w:ascii="仿宋" w:hAnsi="仿宋" w:eastAsia="仿宋"/>
          <w:b w:val="0"/>
          <w:bCs/>
          <w:sz w:val="32"/>
          <w:szCs w:val="32"/>
        </w:rPr>
        <w:t>事业养老支出</w:t>
      </w:r>
      <w:r>
        <w:rPr>
          <w:rStyle w:val="16"/>
          <w:rFonts w:hint="eastAsia" w:ascii="仿宋" w:hAnsi="仿宋" w:eastAsia="仿宋"/>
          <w:b w:val="0"/>
          <w:bCs/>
          <w:sz w:val="32"/>
          <w:szCs w:val="32"/>
        </w:rPr>
        <w:t>（款）</w:t>
      </w:r>
      <w:r>
        <w:rPr>
          <w:rStyle w:val="16"/>
          <w:rFonts w:hint="eastAsia" w:ascii="仿宋" w:hAnsi="仿宋" w:eastAsia="仿宋"/>
          <w:b w:val="0"/>
          <w:bCs/>
          <w:color w:val="000000"/>
          <w:sz w:val="32"/>
          <w:szCs w:val="32"/>
        </w:rPr>
        <w:t>机关事业单位基本职业年金缴费支出</w:t>
      </w:r>
      <w:r>
        <w:rPr>
          <w:rStyle w:val="16"/>
          <w:rFonts w:hint="eastAsia" w:ascii="仿宋" w:hAnsi="仿宋" w:eastAsia="仿宋"/>
          <w:b w:val="0"/>
          <w:bCs/>
          <w:sz w:val="32"/>
          <w:szCs w:val="32"/>
        </w:rPr>
        <w:t>（项）2080506</w:t>
      </w:r>
      <w:r>
        <w:rPr>
          <w:rStyle w:val="16"/>
          <w:rFonts w:ascii="仿宋" w:hAnsi="仿宋" w:eastAsia="仿宋"/>
          <w:b w:val="0"/>
          <w:bCs/>
          <w:sz w:val="32"/>
          <w:szCs w:val="32"/>
        </w:rPr>
        <w:t>:</w:t>
      </w:r>
      <w:r>
        <w:rPr>
          <w:rStyle w:val="16"/>
          <w:rFonts w:hint="eastAsia" w:ascii="仿宋" w:hAnsi="仿宋" w:eastAsia="仿宋"/>
          <w:b w:val="0"/>
          <w:bCs/>
          <w:sz w:val="32"/>
          <w:szCs w:val="32"/>
        </w:rPr>
        <w:t>支出决算为8.56万元，完成预算100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0" w:firstLineChars="200"/>
        <w:rPr>
          <w:rStyle w:val="16"/>
          <w:rFonts w:ascii="仿宋" w:hAnsi="仿宋" w:eastAsia="仿宋"/>
          <w:b w:val="0"/>
          <w:bCs/>
          <w:sz w:val="32"/>
          <w:szCs w:val="32"/>
        </w:rPr>
      </w:pPr>
      <w:r>
        <w:rPr>
          <w:rStyle w:val="16"/>
          <w:rFonts w:hint="eastAsia" w:ascii="仿宋" w:hAnsi="仿宋" w:eastAsia="仿宋"/>
          <w:b w:val="0"/>
          <w:bCs/>
          <w:sz w:val="32"/>
          <w:szCs w:val="32"/>
        </w:rPr>
        <w:t>4</w:t>
      </w:r>
      <w:r>
        <w:rPr>
          <w:rStyle w:val="16"/>
          <w:rFonts w:ascii="仿宋" w:hAnsi="仿宋" w:eastAsia="仿宋"/>
          <w:b w:val="0"/>
          <w:bCs/>
          <w:sz w:val="32"/>
          <w:szCs w:val="32"/>
        </w:rPr>
        <w:t>.</w:t>
      </w:r>
      <w:r>
        <w:rPr>
          <w:rFonts w:hint="eastAsia" w:ascii="仿宋" w:hAnsi="仿宋" w:eastAsia="仿宋"/>
          <w:b w:val="0"/>
          <w:bCs/>
          <w:sz w:val="32"/>
          <w:szCs w:val="32"/>
        </w:rPr>
        <w:t xml:space="preserve"> 卫生健康</w:t>
      </w:r>
      <w:r>
        <w:rPr>
          <w:rStyle w:val="16"/>
          <w:rFonts w:hint="eastAsia" w:ascii="仿宋" w:hAnsi="仿宋" w:eastAsia="仿宋"/>
          <w:b w:val="0"/>
          <w:bCs/>
          <w:sz w:val="32"/>
          <w:szCs w:val="32"/>
        </w:rPr>
        <w:t>（类）行政</w:t>
      </w:r>
      <w:r>
        <w:rPr>
          <w:rStyle w:val="16"/>
          <w:rFonts w:ascii="仿宋" w:hAnsi="仿宋" w:eastAsia="仿宋"/>
          <w:b w:val="0"/>
          <w:bCs/>
          <w:sz w:val="32"/>
          <w:szCs w:val="32"/>
        </w:rPr>
        <w:t>事业单位医疗</w:t>
      </w:r>
      <w:r>
        <w:rPr>
          <w:rStyle w:val="16"/>
          <w:rFonts w:hint="eastAsia" w:ascii="仿宋" w:hAnsi="仿宋" w:eastAsia="仿宋"/>
          <w:b w:val="0"/>
          <w:bCs/>
          <w:sz w:val="32"/>
          <w:szCs w:val="32"/>
        </w:rPr>
        <w:t>（款）行政单位</w:t>
      </w:r>
      <w:r>
        <w:rPr>
          <w:rStyle w:val="16"/>
          <w:rFonts w:ascii="仿宋" w:hAnsi="仿宋" w:eastAsia="仿宋"/>
          <w:b w:val="0"/>
          <w:bCs/>
          <w:sz w:val="32"/>
          <w:szCs w:val="32"/>
        </w:rPr>
        <w:t>医疗</w:t>
      </w:r>
      <w:r>
        <w:rPr>
          <w:rStyle w:val="16"/>
          <w:rFonts w:hint="eastAsia" w:ascii="仿宋" w:hAnsi="仿宋" w:eastAsia="仿宋"/>
          <w:b w:val="0"/>
          <w:bCs/>
          <w:sz w:val="32"/>
          <w:szCs w:val="32"/>
        </w:rPr>
        <w:t>（项）2101101</w:t>
      </w:r>
      <w:r>
        <w:rPr>
          <w:rStyle w:val="16"/>
          <w:rFonts w:ascii="仿宋" w:hAnsi="仿宋" w:eastAsia="仿宋"/>
          <w:b w:val="0"/>
          <w:bCs/>
          <w:sz w:val="32"/>
          <w:szCs w:val="32"/>
        </w:rPr>
        <w:t>:</w:t>
      </w:r>
      <w:r>
        <w:rPr>
          <w:rStyle w:val="16"/>
          <w:rFonts w:hint="eastAsia" w:ascii="仿宋" w:hAnsi="仿宋" w:eastAsia="仿宋"/>
          <w:b w:val="0"/>
          <w:bCs/>
          <w:sz w:val="32"/>
          <w:szCs w:val="32"/>
        </w:rPr>
        <w:t>支出决算为15.34万元，完成预算100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0" w:firstLineChars="200"/>
        <w:rPr>
          <w:rFonts w:ascii="仿宋" w:hAnsi="仿宋" w:eastAsia="仿宋"/>
          <w:b w:val="0"/>
          <w:bCs/>
          <w:sz w:val="32"/>
          <w:szCs w:val="32"/>
        </w:rPr>
      </w:pPr>
      <w:r>
        <w:rPr>
          <w:rFonts w:hint="eastAsia" w:ascii="仿宋" w:hAnsi="仿宋" w:eastAsia="仿宋"/>
          <w:b w:val="0"/>
          <w:bCs/>
          <w:sz w:val="32"/>
          <w:szCs w:val="32"/>
        </w:rPr>
        <w:t>5. 卫生健康</w:t>
      </w:r>
      <w:r>
        <w:rPr>
          <w:rStyle w:val="16"/>
          <w:rFonts w:hint="eastAsia" w:ascii="仿宋" w:hAnsi="仿宋" w:eastAsia="仿宋"/>
          <w:b w:val="0"/>
          <w:bCs/>
          <w:sz w:val="32"/>
          <w:szCs w:val="32"/>
        </w:rPr>
        <w:t>（类）行政</w:t>
      </w:r>
      <w:r>
        <w:rPr>
          <w:rStyle w:val="16"/>
          <w:rFonts w:ascii="仿宋" w:hAnsi="仿宋" w:eastAsia="仿宋"/>
          <w:b w:val="0"/>
          <w:bCs/>
          <w:sz w:val="32"/>
          <w:szCs w:val="32"/>
        </w:rPr>
        <w:t>事业单位医疗</w:t>
      </w:r>
      <w:r>
        <w:rPr>
          <w:rStyle w:val="16"/>
          <w:rFonts w:hint="eastAsia" w:ascii="仿宋" w:hAnsi="仿宋" w:eastAsia="仿宋"/>
          <w:b w:val="0"/>
          <w:bCs/>
          <w:sz w:val="32"/>
          <w:szCs w:val="32"/>
        </w:rPr>
        <w:t>（款）</w:t>
      </w:r>
      <w:r>
        <w:rPr>
          <w:rFonts w:hint="eastAsia" w:ascii="仿宋" w:hAnsi="仿宋" w:eastAsia="仿宋"/>
          <w:b w:val="0"/>
          <w:bCs/>
          <w:color w:val="000000"/>
          <w:sz w:val="32"/>
          <w:szCs w:val="32"/>
        </w:rPr>
        <w:t>公务员医疗补助</w:t>
      </w:r>
      <w:r>
        <w:rPr>
          <w:rStyle w:val="16"/>
          <w:rFonts w:hint="eastAsia" w:ascii="仿宋" w:hAnsi="仿宋" w:eastAsia="仿宋"/>
          <w:b w:val="0"/>
          <w:bCs/>
          <w:sz w:val="32"/>
          <w:szCs w:val="32"/>
        </w:rPr>
        <w:t>（项）2101103</w:t>
      </w:r>
      <w:r>
        <w:rPr>
          <w:rStyle w:val="16"/>
          <w:rFonts w:ascii="仿宋" w:hAnsi="仿宋" w:eastAsia="仿宋"/>
          <w:b w:val="0"/>
          <w:bCs/>
          <w:sz w:val="32"/>
          <w:szCs w:val="32"/>
        </w:rPr>
        <w:t>:</w:t>
      </w:r>
      <w:r>
        <w:rPr>
          <w:rStyle w:val="16"/>
          <w:rFonts w:hint="eastAsia" w:ascii="仿宋" w:hAnsi="仿宋" w:eastAsia="仿宋"/>
          <w:b w:val="0"/>
          <w:bCs/>
          <w:sz w:val="32"/>
          <w:szCs w:val="32"/>
        </w:rPr>
        <w:t>支出决算为2.14万元，完成预算100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ascii="仿宋" w:hAnsi="仿宋" w:eastAsia="仿宋"/>
          <w:b w:val="0"/>
          <w:bCs/>
          <w:sz w:val="32"/>
          <w:szCs w:val="32"/>
        </w:rPr>
        <w:t xml:space="preserve"> </w:t>
      </w:r>
    </w:p>
    <w:p>
      <w:pPr>
        <w:spacing w:line="600" w:lineRule="exact"/>
        <w:ind w:firstLine="640" w:firstLineChars="200"/>
        <w:rPr>
          <w:rFonts w:ascii="仿宋" w:hAnsi="仿宋" w:eastAsia="仿宋"/>
          <w:b w:val="0"/>
          <w:bCs/>
          <w:sz w:val="32"/>
          <w:szCs w:val="32"/>
        </w:rPr>
      </w:pPr>
      <w:r>
        <w:rPr>
          <w:rStyle w:val="16"/>
          <w:rFonts w:hint="eastAsia" w:ascii="仿宋" w:hAnsi="仿宋" w:eastAsia="仿宋"/>
          <w:b w:val="0"/>
          <w:bCs/>
          <w:color w:val="000000"/>
          <w:sz w:val="32"/>
          <w:szCs w:val="32"/>
        </w:rPr>
        <w:t>6.城乡社区支出（类）城乡社区管理事务</w:t>
      </w:r>
      <w:r>
        <w:rPr>
          <w:rStyle w:val="16"/>
          <w:rFonts w:hint="eastAsia" w:ascii="仿宋" w:hAnsi="仿宋" w:eastAsia="仿宋"/>
          <w:b w:val="0"/>
          <w:bCs/>
          <w:sz w:val="32"/>
          <w:szCs w:val="32"/>
        </w:rPr>
        <w:t>（款）</w:t>
      </w:r>
      <w:r>
        <w:rPr>
          <w:rStyle w:val="16"/>
          <w:rFonts w:hint="eastAsia" w:ascii="仿宋" w:hAnsi="仿宋" w:eastAsia="仿宋"/>
          <w:b w:val="0"/>
          <w:bCs/>
          <w:color w:val="000000"/>
          <w:sz w:val="32"/>
          <w:szCs w:val="32"/>
        </w:rPr>
        <w:t>行政运行</w:t>
      </w:r>
      <w:r>
        <w:rPr>
          <w:rStyle w:val="16"/>
          <w:rFonts w:hint="eastAsia" w:ascii="仿宋" w:hAnsi="仿宋" w:eastAsia="仿宋"/>
          <w:b w:val="0"/>
          <w:bCs/>
          <w:sz w:val="32"/>
          <w:szCs w:val="32"/>
        </w:rPr>
        <w:t>（项）2120101</w:t>
      </w:r>
      <w:r>
        <w:rPr>
          <w:rStyle w:val="16"/>
          <w:rFonts w:hint="eastAsia" w:ascii="仿宋" w:hAnsi="仿宋" w:eastAsia="仿宋"/>
          <w:b w:val="0"/>
          <w:bCs/>
          <w:color w:val="000000"/>
          <w:sz w:val="32"/>
          <w:szCs w:val="32"/>
        </w:rPr>
        <w:t>:</w:t>
      </w:r>
      <w:r>
        <w:rPr>
          <w:rStyle w:val="16"/>
          <w:rFonts w:hint="eastAsia" w:ascii="仿宋" w:hAnsi="仿宋" w:eastAsia="仿宋"/>
          <w:b w:val="0"/>
          <w:bCs/>
          <w:sz w:val="32"/>
          <w:szCs w:val="32"/>
        </w:rPr>
        <w:t xml:space="preserve"> 支出决算为410.77万元，完成预算100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ascii="仿宋" w:hAnsi="仿宋" w:eastAsia="仿宋"/>
          <w:b w:val="0"/>
          <w:bCs/>
          <w:sz w:val="32"/>
          <w:szCs w:val="32"/>
        </w:rPr>
        <w:t xml:space="preserve"> </w:t>
      </w:r>
    </w:p>
    <w:p>
      <w:pPr>
        <w:spacing w:line="600" w:lineRule="exact"/>
        <w:ind w:firstLine="640" w:firstLineChars="200"/>
        <w:rPr>
          <w:rFonts w:ascii="仿宋" w:hAnsi="仿宋" w:eastAsia="仿宋"/>
          <w:b w:val="0"/>
          <w:bCs/>
          <w:sz w:val="32"/>
          <w:szCs w:val="32"/>
        </w:rPr>
      </w:pPr>
      <w:r>
        <w:rPr>
          <w:rStyle w:val="16"/>
          <w:rFonts w:hint="eastAsia" w:ascii="仿宋" w:hAnsi="仿宋" w:eastAsia="仿宋"/>
          <w:b w:val="0"/>
          <w:bCs/>
          <w:color w:val="000000"/>
          <w:sz w:val="32"/>
          <w:szCs w:val="32"/>
        </w:rPr>
        <w:t>7. 城乡社区支出（类）城乡社区管理事务</w:t>
      </w:r>
      <w:r>
        <w:rPr>
          <w:rStyle w:val="16"/>
          <w:rFonts w:hint="eastAsia" w:ascii="仿宋" w:hAnsi="仿宋" w:eastAsia="仿宋"/>
          <w:b w:val="0"/>
          <w:bCs/>
          <w:sz w:val="32"/>
          <w:szCs w:val="32"/>
        </w:rPr>
        <w:t>（款）</w:t>
      </w:r>
      <w:r>
        <w:rPr>
          <w:rStyle w:val="16"/>
          <w:rFonts w:hint="eastAsia" w:ascii="仿宋" w:hAnsi="仿宋" w:eastAsia="仿宋"/>
          <w:b w:val="0"/>
          <w:bCs/>
          <w:color w:val="000000"/>
          <w:sz w:val="32"/>
          <w:szCs w:val="32"/>
        </w:rPr>
        <w:t>其他城乡社区管理事务支出</w:t>
      </w:r>
      <w:r>
        <w:rPr>
          <w:rStyle w:val="16"/>
          <w:rFonts w:hint="eastAsia" w:ascii="仿宋" w:hAnsi="仿宋" w:eastAsia="仿宋"/>
          <w:b w:val="0"/>
          <w:bCs/>
          <w:sz w:val="32"/>
          <w:szCs w:val="32"/>
        </w:rPr>
        <w:t>（项）2120199</w:t>
      </w:r>
      <w:r>
        <w:rPr>
          <w:rStyle w:val="16"/>
          <w:rFonts w:hint="eastAsia" w:ascii="仿宋" w:hAnsi="仿宋" w:eastAsia="仿宋"/>
          <w:b w:val="0"/>
          <w:bCs/>
          <w:color w:val="000000"/>
          <w:sz w:val="32"/>
          <w:szCs w:val="32"/>
        </w:rPr>
        <w:t>:</w:t>
      </w:r>
      <w:r>
        <w:rPr>
          <w:rStyle w:val="16"/>
          <w:rFonts w:hint="eastAsia" w:ascii="仿宋" w:hAnsi="仿宋" w:eastAsia="仿宋"/>
          <w:b w:val="0"/>
          <w:bCs/>
          <w:sz w:val="32"/>
          <w:szCs w:val="32"/>
        </w:rPr>
        <w:t xml:space="preserve"> 支出决算为217.15万元，完成预算100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ascii="仿宋" w:hAnsi="仿宋" w:eastAsia="仿宋"/>
          <w:b w:val="0"/>
          <w:bCs/>
          <w:sz w:val="32"/>
          <w:szCs w:val="32"/>
        </w:rPr>
        <w:t xml:space="preserve"> </w:t>
      </w:r>
    </w:p>
    <w:p>
      <w:pPr>
        <w:spacing w:line="600" w:lineRule="exact"/>
        <w:ind w:firstLine="640" w:firstLineChars="200"/>
        <w:rPr>
          <w:rFonts w:ascii="仿宋" w:hAnsi="仿宋" w:eastAsia="仿宋"/>
          <w:b w:val="0"/>
          <w:bCs/>
          <w:sz w:val="32"/>
          <w:szCs w:val="32"/>
        </w:rPr>
      </w:pPr>
      <w:r>
        <w:rPr>
          <w:rStyle w:val="16"/>
          <w:rFonts w:hint="eastAsia" w:ascii="仿宋" w:hAnsi="仿宋" w:eastAsia="仿宋"/>
          <w:b w:val="0"/>
          <w:bCs/>
          <w:color w:val="000000"/>
          <w:sz w:val="32"/>
          <w:szCs w:val="32"/>
        </w:rPr>
        <w:t>8.住房保障支出（类）住房改革支出（款）(2210201)住房公积金（项）2210201:</w:t>
      </w:r>
      <w:r>
        <w:rPr>
          <w:rStyle w:val="16"/>
          <w:rFonts w:hint="eastAsia" w:ascii="仿宋" w:hAnsi="仿宋" w:eastAsia="仿宋"/>
          <w:b w:val="0"/>
          <w:bCs/>
          <w:sz w:val="32"/>
          <w:szCs w:val="32"/>
        </w:rPr>
        <w:t xml:space="preserve"> 支出决算为22.98万元，完成预算100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ascii="仿宋" w:hAnsi="仿宋" w:eastAsia="仿宋"/>
          <w:b w:val="0"/>
          <w:bCs/>
          <w:sz w:val="32"/>
          <w:szCs w:val="32"/>
        </w:rPr>
        <w:t xml:space="preserve"> </w:t>
      </w:r>
    </w:p>
    <w:p>
      <w:pPr>
        <w:spacing w:line="600" w:lineRule="exact"/>
        <w:ind w:firstLine="640" w:firstLineChars="200"/>
        <w:rPr>
          <w:rFonts w:ascii="仿宋" w:hAnsi="仿宋" w:eastAsia="仿宋"/>
          <w:b w:val="0"/>
          <w:bCs/>
          <w:sz w:val="32"/>
          <w:szCs w:val="32"/>
        </w:rPr>
      </w:pPr>
      <w:r>
        <w:rPr>
          <w:rStyle w:val="16"/>
          <w:rFonts w:hint="eastAsia" w:ascii="仿宋" w:hAnsi="仿宋" w:eastAsia="仿宋"/>
          <w:b w:val="0"/>
          <w:bCs/>
          <w:color w:val="000000"/>
          <w:sz w:val="32"/>
          <w:szCs w:val="32"/>
        </w:rPr>
        <w:t>9.其他支出（类）其他支出（款）其他支出（项）2299999:</w:t>
      </w:r>
      <w:r>
        <w:rPr>
          <w:rStyle w:val="16"/>
          <w:rFonts w:hint="eastAsia" w:ascii="仿宋" w:hAnsi="仿宋" w:eastAsia="仿宋"/>
          <w:b w:val="0"/>
          <w:bCs/>
          <w:sz w:val="32"/>
          <w:szCs w:val="32"/>
        </w:rPr>
        <w:t xml:space="preserve"> 支出决算为68.74万元，完成预算100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ascii="仿宋" w:hAnsi="仿宋" w:eastAsia="仿宋"/>
          <w:b w:val="0"/>
          <w:bCs/>
          <w:sz w:val="32"/>
          <w:szCs w:val="32"/>
        </w:rPr>
        <w:t xml:space="preserve"> </w:t>
      </w:r>
    </w:p>
    <w:p>
      <w:pPr>
        <w:tabs>
          <w:tab w:val="right" w:pos="8306"/>
        </w:tabs>
        <w:spacing w:line="600" w:lineRule="exact"/>
        <w:outlineLvl w:val="1"/>
        <w:rPr>
          <w:rStyle w:val="27"/>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34"/>
      <w:bookmarkEnd w:id="35"/>
      <w:r>
        <w:rPr>
          <w:rStyle w:val="2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21年一般公共预算财政拨款基本支出496.01万元，其中：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474.21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21.80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outlineLvl w:val="1"/>
        <w:rPr>
          <w:rStyle w:val="27"/>
          <w:rFonts w:ascii="黑体" w:hAnsi="黑体" w:eastAsia="黑体"/>
          <w:b w:val="0"/>
        </w:rPr>
      </w:pPr>
      <w:bookmarkStart w:id="36" w:name="_Toc15377215"/>
      <w:bookmarkStart w:id="37" w:name="_Toc15396609"/>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36"/>
      <w:bookmarkEnd w:id="37"/>
    </w:p>
    <w:p>
      <w:pPr>
        <w:spacing w:line="600" w:lineRule="exact"/>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sz w:val="32"/>
          <w:szCs w:val="32"/>
        </w:rPr>
        <w:t>，主要原因是2021年本单位未产生“三公”经费。</w:t>
      </w:r>
    </w:p>
    <w:p>
      <w:pPr>
        <w:spacing w:line="600" w:lineRule="exact"/>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2021年“三公”经费财政拨款支出决算中，因公出国（境）费支出决算0万元，占0%；公务用车购置及运行维护费支出决算0万元，占0%；公务接待费支出决算0万元，占0%。具体情况如下：</w:t>
      </w:r>
    </w:p>
    <w:p>
      <w:pPr>
        <w:spacing w:line="600" w:lineRule="exact"/>
        <w:ind w:firstLine="640"/>
        <w:rPr>
          <w:rFonts w:hint="eastAsia" w:ascii="仿宋" w:hAnsi="仿宋" w:eastAsia="仿宋" w:cs="仿宋"/>
          <w:b w:val="0"/>
          <w:bCs/>
          <w:sz w:val="32"/>
          <w:szCs w:val="32"/>
        </w:rPr>
      </w:pPr>
      <w:r>
        <w:rPr>
          <w:rFonts w:hint="eastAsia" w:ascii="仿宋" w:hAnsi="仿宋" w:eastAsia="仿宋" w:cs="仿宋"/>
          <w:b w:val="0"/>
          <w:bCs/>
          <w:sz w:val="32"/>
          <w:szCs w:val="32"/>
        </w:rPr>
        <w:t>1.因公出国（境）经费支出0万元，</w:t>
      </w:r>
      <w:r>
        <w:rPr>
          <w:rStyle w:val="32"/>
          <w:rFonts w:hint="eastAsia" w:ascii="仿宋" w:hAnsi="仿宋" w:eastAsia="仿宋" w:cs="仿宋"/>
          <w:b w:val="0"/>
          <w:bCs/>
          <w:sz w:val="32"/>
          <w:szCs w:val="32"/>
        </w:rPr>
        <w:t>完成预算0%</w:t>
      </w:r>
      <w:r>
        <w:rPr>
          <w:rStyle w:val="16"/>
          <w:rFonts w:hint="eastAsia" w:ascii="仿宋" w:hAnsi="仿宋" w:eastAsia="仿宋" w:cs="仿宋"/>
          <w:b w:val="0"/>
          <w:bCs/>
          <w:sz w:val="32"/>
          <w:szCs w:val="32"/>
        </w:rPr>
        <w:t>。</w:t>
      </w:r>
      <w:r>
        <w:rPr>
          <w:rFonts w:hint="eastAsia" w:ascii="仿宋" w:hAnsi="仿宋" w:eastAsia="仿宋" w:cs="仿宋"/>
          <w:b w:val="0"/>
          <w:bCs/>
          <w:sz w:val="32"/>
          <w:szCs w:val="32"/>
        </w:rPr>
        <w:t>全年安排因公出国（境）团组0次，出国（境）0人。主要原因是</w:t>
      </w:r>
      <w:r>
        <w:rPr>
          <w:rStyle w:val="30"/>
          <w:rFonts w:hint="eastAsia" w:ascii="仿宋" w:hAnsi="仿宋" w:eastAsia="仿宋" w:cs="仿宋"/>
          <w:b w:val="0"/>
          <w:bCs/>
        </w:rPr>
        <w:t>2021年本单位未产生</w:t>
      </w:r>
      <w:r>
        <w:rPr>
          <w:rFonts w:hint="eastAsia" w:ascii="仿宋" w:hAnsi="仿宋" w:eastAsia="仿宋" w:cs="仿宋"/>
          <w:b w:val="0"/>
          <w:bCs/>
          <w:sz w:val="32"/>
          <w:szCs w:val="32"/>
        </w:rPr>
        <w:t>因公出国（境）经费支出。</w:t>
      </w:r>
    </w:p>
    <w:p>
      <w:pPr>
        <w:spacing w:line="600" w:lineRule="exact"/>
        <w:ind w:firstLine="640"/>
        <w:rPr>
          <w:rFonts w:hint="eastAsia" w:ascii="仿宋" w:hAnsi="仿宋" w:eastAsia="仿宋" w:cs="仿宋"/>
          <w:b/>
          <w:sz w:val="32"/>
          <w:szCs w:val="32"/>
        </w:rPr>
      </w:pPr>
      <w:r>
        <w:rPr>
          <w:rFonts w:hint="eastAsia" w:ascii="仿宋" w:hAnsi="仿宋" w:eastAsia="仿宋" w:cs="仿宋"/>
          <w:b w:val="0"/>
          <w:bCs/>
          <w:sz w:val="32"/>
          <w:szCs w:val="32"/>
        </w:rPr>
        <w:t>2.公务用车购置及运行维护费支出0万元,</w:t>
      </w:r>
      <w:r>
        <w:rPr>
          <w:rStyle w:val="32"/>
          <w:rFonts w:hint="eastAsia" w:ascii="仿宋" w:hAnsi="仿宋" w:eastAsia="仿宋" w:cs="仿宋"/>
          <w:b w:val="0"/>
          <w:bCs/>
          <w:sz w:val="32"/>
          <w:szCs w:val="32"/>
        </w:rPr>
        <w:t xml:space="preserve"> 完成预算0%</w:t>
      </w:r>
      <w:r>
        <w:rPr>
          <w:rFonts w:hint="eastAsia" w:ascii="仿宋" w:hAnsi="仿宋" w:eastAsia="仿宋" w:cs="仿宋"/>
          <w:b w:val="0"/>
          <w:bCs/>
          <w:sz w:val="32"/>
          <w:szCs w:val="32"/>
        </w:rPr>
        <w:t>。</w:t>
      </w:r>
      <w:r>
        <w:rPr>
          <w:rFonts w:hint="eastAsia" w:ascii="仿宋" w:hAnsi="仿宋" w:eastAsia="仿宋" w:cs="仿宋"/>
          <w:sz w:val="32"/>
          <w:szCs w:val="32"/>
        </w:rPr>
        <w:t>主要原因是</w:t>
      </w:r>
      <w:r>
        <w:rPr>
          <w:rStyle w:val="30"/>
          <w:rFonts w:hint="eastAsia" w:ascii="仿宋" w:hAnsi="仿宋" w:eastAsia="仿宋" w:cs="仿宋"/>
          <w:b w:val="0"/>
          <w:sz w:val="32"/>
          <w:szCs w:val="32"/>
        </w:rPr>
        <w:t>2021年本单位未产生</w:t>
      </w:r>
      <w:r>
        <w:rPr>
          <w:rFonts w:hint="eastAsia" w:ascii="仿宋" w:hAnsi="仿宋" w:eastAsia="仿宋" w:cs="仿宋"/>
          <w:sz w:val="32"/>
          <w:szCs w:val="32"/>
        </w:rPr>
        <w:t>公务用车购置及运行维护费支出。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中：公务用车购置支出0万元。全年按规定更新购置公务用车0辆，其中：轿车0辆、金额0万元，越野车0辆、金额0万元，载客汽车0辆、金额0万元。截至2021年12月底，单位共有公务用车0辆，其中：轿车0辆、越野车0辆、载客汽车0辆。</w:t>
      </w:r>
    </w:p>
    <w:p>
      <w:pPr>
        <w:spacing w:line="600" w:lineRule="exact"/>
        <w:ind w:firstLine="640"/>
        <w:rPr>
          <w:rFonts w:hint="eastAsia" w:ascii="仿宋" w:hAnsi="仿宋" w:eastAsia="仿宋" w:cs="仿宋"/>
          <w:sz w:val="32"/>
          <w:szCs w:val="32"/>
        </w:rPr>
      </w:pPr>
      <w:r>
        <w:rPr>
          <w:rFonts w:hint="eastAsia" w:ascii="仿宋" w:hAnsi="仿宋" w:eastAsia="仿宋" w:cs="仿宋"/>
          <w:b w:val="0"/>
          <w:bCs/>
          <w:sz w:val="32"/>
          <w:szCs w:val="32"/>
        </w:rPr>
        <w:t>公务用车运行维护费支出0万</w:t>
      </w:r>
      <w:r>
        <w:rPr>
          <w:rFonts w:hint="eastAsia" w:ascii="仿宋" w:hAnsi="仿宋" w:eastAsia="仿宋" w:cs="仿宋"/>
          <w:sz w:val="32"/>
          <w:szCs w:val="32"/>
        </w:rPr>
        <w:t>元。主要用于所需的公务用车燃料费、维修费、过路过桥费、保险费等支出。</w:t>
      </w:r>
    </w:p>
    <w:p>
      <w:pPr>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3.</w:t>
      </w:r>
      <w:r>
        <w:rPr>
          <w:rFonts w:hint="eastAsia" w:ascii="仿宋" w:hAnsi="仿宋" w:eastAsia="仿宋" w:cs="仿宋"/>
          <w:sz w:val="32"/>
          <w:szCs w:val="32"/>
        </w:rPr>
        <w:t>公务接待费支出0万元，</w:t>
      </w:r>
      <w:r>
        <w:rPr>
          <w:rStyle w:val="16"/>
          <w:rFonts w:hint="eastAsia" w:ascii="仿宋" w:hAnsi="仿宋" w:eastAsia="仿宋" w:cs="仿宋"/>
          <w:b w:val="0"/>
          <w:bCs w:val="0"/>
          <w:sz w:val="32"/>
          <w:szCs w:val="32"/>
        </w:rPr>
        <w:t>完成预算0%。</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与</w:t>
      </w:r>
      <w:r>
        <w:rPr>
          <w:rFonts w:hint="eastAsia" w:ascii="仿宋" w:hAnsi="仿宋" w:eastAsia="仿宋" w:cs="仿宋"/>
          <w:sz w:val="32"/>
          <w:szCs w:val="32"/>
        </w:rPr>
        <w:t>2020年</w:t>
      </w:r>
      <w:r>
        <w:rPr>
          <w:rFonts w:hint="eastAsia" w:ascii="仿宋" w:hAnsi="仿宋" w:eastAsia="仿宋" w:cs="仿宋"/>
          <w:sz w:val="32"/>
          <w:szCs w:val="32"/>
          <w:lang w:val="en-US" w:eastAsia="zh-CN"/>
        </w:rPr>
        <w:t>持平</w:t>
      </w:r>
      <w:r>
        <w:rPr>
          <w:rFonts w:hint="eastAsia" w:ascii="仿宋" w:hAnsi="仿宋" w:eastAsia="仿宋" w:cs="仿宋"/>
          <w:sz w:val="32"/>
          <w:szCs w:val="32"/>
        </w:rPr>
        <w:t>。</w:t>
      </w:r>
      <w:r>
        <w:rPr>
          <w:rFonts w:hint="eastAsia" w:ascii="仿宋" w:hAnsi="仿宋" w:eastAsia="仿宋" w:cs="仿宋"/>
          <w:b w:val="0"/>
          <w:bCs w:val="0"/>
          <w:sz w:val="32"/>
          <w:szCs w:val="32"/>
        </w:rPr>
        <w:t>主要原因是</w:t>
      </w:r>
      <w:r>
        <w:rPr>
          <w:rStyle w:val="30"/>
          <w:rFonts w:hint="eastAsia" w:ascii="仿宋" w:hAnsi="仿宋" w:eastAsia="仿宋" w:cs="仿宋"/>
          <w:b w:val="0"/>
          <w:bCs w:val="0"/>
        </w:rPr>
        <w:t>2021年本单位未产生</w:t>
      </w:r>
      <w:r>
        <w:rPr>
          <w:rFonts w:hint="eastAsia" w:ascii="仿宋" w:hAnsi="仿宋" w:eastAsia="仿宋" w:cs="仿宋"/>
          <w:b w:val="0"/>
          <w:bCs w:val="0"/>
          <w:sz w:val="32"/>
          <w:szCs w:val="32"/>
        </w:rPr>
        <w:t>公务接待费支出</w:t>
      </w:r>
      <w:r>
        <w:rPr>
          <w:rFonts w:hint="eastAsia" w:ascii="仿宋" w:hAnsi="仿宋" w:eastAsia="仿宋" w:cs="仿宋"/>
          <w:sz w:val="32"/>
          <w:szCs w:val="32"/>
        </w:rPr>
        <w:t>。其中：</w:t>
      </w:r>
    </w:p>
    <w:p>
      <w:pPr>
        <w:spacing w:line="600" w:lineRule="exact"/>
        <w:ind w:firstLine="640"/>
        <w:rPr>
          <w:rFonts w:hint="eastAsia" w:ascii="仿宋" w:hAnsi="仿宋" w:eastAsia="仿宋" w:cs="仿宋"/>
          <w:sz w:val="32"/>
          <w:szCs w:val="32"/>
        </w:rPr>
      </w:pPr>
      <w:r>
        <w:rPr>
          <w:rFonts w:hint="eastAsia" w:ascii="仿宋" w:hAnsi="仿宋" w:eastAsia="仿宋" w:cs="仿宋"/>
          <w:b w:val="0"/>
          <w:bCs/>
          <w:sz w:val="32"/>
          <w:szCs w:val="32"/>
        </w:rPr>
        <w:t>国内公务接待支出0万元</w:t>
      </w:r>
      <w:r>
        <w:rPr>
          <w:rFonts w:hint="eastAsia" w:ascii="仿宋" w:hAnsi="仿宋" w:eastAsia="仿宋" w:cs="仿宋"/>
          <w:sz w:val="32"/>
          <w:szCs w:val="32"/>
        </w:rPr>
        <w:t xml:space="preserve">，主要用于国内公务接待0批次，0人次（不包括陪同人员），共计支出0万元。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b w:val="0"/>
          <w:bCs/>
          <w:sz w:val="32"/>
          <w:szCs w:val="32"/>
        </w:rPr>
        <w:t>外事接待支出0万元</w:t>
      </w:r>
      <w:r>
        <w:rPr>
          <w:rFonts w:hint="eastAsia" w:ascii="仿宋" w:hAnsi="仿宋" w:eastAsia="仿宋" w:cs="仿宋"/>
          <w:sz w:val="32"/>
          <w:szCs w:val="32"/>
        </w:rPr>
        <w:t>，外事接待0批次，0人，共计支出0万元。</w:t>
      </w:r>
    </w:p>
    <w:p>
      <w:pPr>
        <w:spacing w:line="600" w:lineRule="exact"/>
        <w:outlineLvl w:val="1"/>
        <w:rPr>
          <w:rStyle w:val="27"/>
          <w:rFonts w:hint="eastAsia" w:ascii="仿宋" w:hAnsi="仿宋" w:eastAsia="仿宋" w:cs="仿宋"/>
          <w:b/>
          <w:bCs/>
        </w:rPr>
      </w:pPr>
      <w:bookmarkStart w:id="40" w:name="_Toc15377218"/>
      <w:bookmarkStart w:id="41" w:name="_Toc15396610"/>
      <w:r>
        <w:rPr>
          <w:rFonts w:hint="eastAsia" w:ascii="仿宋" w:hAnsi="仿宋" w:eastAsia="仿宋" w:cs="仿宋"/>
          <w:b/>
          <w:bCs/>
          <w:sz w:val="32"/>
          <w:szCs w:val="32"/>
        </w:rPr>
        <w:t>八、</w:t>
      </w:r>
      <w:r>
        <w:rPr>
          <w:rStyle w:val="27"/>
          <w:rFonts w:hint="eastAsia" w:ascii="仿宋" w:hAnsi="仿宋" w:eastAsia="仿宋" w:cs="仿宋"/>
          <w:b/>
          <w:bCs/>
        </w:rPr>
        <w:t>政府性基金预算支出决算情况说明</w:t>
      </w:r>
      <w:bookmarkEnd w:id="40"/>
      <w:bookmarkEnd w:id="41"/>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2021年政府性基金预算财政拨款支出155.74万元。</w:t>
      </w:r>
    </w:p>
    <w:p>
      <w:pPr>
        <w:numPr>
          <w:ilvl w:val="0"/>
          <w:numId w:val="3"/>
        </w:numPr>
        <w:spacing w:line="600" w:lineRule="exact"/>
        <w:ind w:left="-640" w:leftChars="0" w:firstLine="640" w:firstLineChars="0"/>
        <w:outlineLvl w:val="1"/>
        <w:rPr>
          <w:rStyle w:val="27"/>
          <w:rFonts w:ascii="黑体" w:hAnsi="黑体" w:eastAsia="黑体"/>
          <w:b w:val="0"/>
        </w:rPr>
      </w:pPr>
      <w:bookmarkStart w:id="42" w:name="_Toc15377219"/>
      <w:bookmarkStart w:id="43" w:name="_Toc15396611"/>
      <w:r>
        <w:rPr>
          <w:rStyle w:val="27"/>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3"/>
        </w:numPr>
        <w:spacing w:line="600" w:lineRule="exact"/>
        <w:ind w:left="-640" w:leftChars="0" w:firstLine="640" w:firstLineChars="0"/>
        <w:outlineLvl w:val="1"/>
        <w:rPr>
          <w:rStyle w:val="27"/>
          <w:rFonts w:ascii="黑体" w:hAnsi="黑体" w:eastAsia="黑体"/>
          <w:b w:val="0"/>
        </w:rPr>
      </w:pPr>
      <w:bookmarkStart w:id="44" w:name="_Toc15377221"/>
      <w:bookmarkStart w:id="45" w:name="_Toc15396612"/>
      <w:r>
        <w:rPr>
          <w:rStyle w:val="27"/>
          <w:rFonts w:hint="eastAsia" w:ascii="黑体" w:hAnsi="黑体" w:eastAsia="黑体"/>
          <w:b w:val="0"/>
        </w:rPr>
        <w:t>其他重要事项的情况说明</w:t>
      </w:r>
      <w:bookmarkEnd w:id="44"/>
      <w:bookmarkEnd w:id="45"/>
    </w:p>
    <w:p>
      <w:pPr>
        <w:spacing w:line="600" w:lineRule="exact"/>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2021年，西区市容环境卫生服务中心机关运行经费支出21.8万元，比2020年减少9.11万元，下降29%。主要原因是</w:t>
      </w:r>
      <w:r>
        <w:rPr>
          <w:rFonts w:hint="eastAsia" w:ascii="仿宋" w:hAnsi="仿宋" w:eastAsia="仿宋" w:cs="仿宋"/>
          <w:sz w:val="32"/>
          <w:szCs w:val="32"/>
        </w:rPr>
        <w:t>2021年本单位机制改革人员、办公经费及项目资金减少。</w:t>
      </w:r>
    </w:p>
    <w:p>
      <w:pPr>
        <w:autoSpaceDE w:val="0"/>
        <w:autoSpaceDN w:val="0"/>
        <w:adjustRightInd w:val="0"/>
        <w:spacing w:line="600" w:lineRule="exact"/>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sz w:val="30"/>
          <w:szCs w:val="30"/>
        </w:rPr>
        <w:t>西区市容环境卫生服务中心</w:t>
      </w:r>
      <w:r>
        <w:rPr>
          <w:rFonts w:hint="eastAsia" w:ascii="仿宋" w:hAnsi="仿宋" w:eastAsia="仿宋" w:cs="仿宋"/>
          <w:sz w:val="32"/>
          <w:szCs w:val="32"/>
        </w:rPr>
        <w:t>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截至2021年12月31日，西区市容环境卫生服务中心共有车辆22辆，其中：特种专业技术用车22辆、主要是用于垃圾清运及洒水用车。单价50万元以上通用设备0台（套），单价100万元以上专用设备0台（套）。</w:t>
      </w:r>
    </w:p>
    <w:p>
      <w:pPr>
        <w:autoSpaceDE w:val="0"/>
        <w:autoSpaceDN w:val="0"/>
        <w:adjustRightInd w:val="0"/>
        <w:spacing w:line="600" w:lineRule="exact"/>
        <w:jc w:val="left"/>
        <w:outlineLvl w:val="2"/>
        <w:rPr>
          <w:rFonts w:ascii="仿宋" w:hAnsi="仿宋" w:eastAsia="仿宋"/>
          <w:b/>
          <w:sz w:val="32"/>
          <w:szCs w:val="32"/>
        </w:rPr>
      </w:pPr>
      <w:r>
        <w:rPr>
          <w:rFonts w:hint="eastAsia" w:ascii="仿宋" w:hAnsi="仿宋" w:eastAsia="仿宋"/>
          <w:b/>
          <w:sz w:val="32"/>
          <w:szCs w:val="32"/>
          <w:lang w:eastAsia="zh-CN"/>
        </w:rPr>
        <w:t>（</w:t>
      </w: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垃圾焚烧发电处理服务经费、餐厨垃圾处置服务经费、生活垃圾中转站委托运营经费、大集体退休人员环龄工资、西区生活垃圾场填埋封场及渗滤液处理工程建设征地补偿款项目等5个项目开展了预算事前绩效评估，对5个项目编制了绩效目标，预算执行过程中，选取1个项目开展绩效监控，年终执行完毕后，对1个项目开展了绩效自评。同时，本部门对2021年部门整体开展绩效自评，《2021年</w:t>
      </w:r>
      <w:r>
        <w:rPr>
          <w:rFonts w:hint="eastAsia" w:ascii="仿宋_GB2312" w:hAnsi="仿宋_GB2312" w:eastAsia="仿宋_GB2312" w:cs="仿宋_GB2312"/>
          <w:sz w:val="32"/>
          <w:szCs w:val="32"/>
          <w:lang w:val="en-US" w:eastAsia="zh-CN"/>
        </w:rPr>
        <w:t>西区市容环境卫生服务中心</w:t>
      </w:r>
      <w:r>
        <w:rPr>
          <w:rFonts w:hint="eastAsia" w:ascii="仿宋_GB2312" w:hAnsi="仿宋_GB2312" w:eastAsia="仿宋_GB2312" w:cs="仿宋_GB2312"/>
          <w:sz w:val="32"/>
          <w:szCs w:val="32"/>
        </w:rPr>
        <w:t>部门整体绩效评价报告》见附件（第四部分）。</w:t>
      </w:r>
    </w:p>
    <w:p>
      <w:pPr>
        <w:pStyle w:val="24"/>
        <w:spacing w:line="560" w:lineRule="exact"/>
        <w:ind w:firstLine="643" w:firstLineChars="200"/>
        <w:rPr>
          <w:rFonts w:ascii="黑体" w:hAnsi="黑体" w:eastAsia="黑体"/>
          <w:sz w:val="44"/>
          <w:szCs w:val="44"/>
        </w:rPr>
      </w:pPr>
      <w:r>
        <w:rPr>
          <w:rFonts w:ascii="仿宋_GB2312" w:eastAsia="仿宋_GB2312"/>
          <w:b/>
          <w:sz w:val="32"/>
          <w:szCs w:val="32"/>
        </w:rPr>
        <w:br w:type="page"/>
      </w:r>
      <w:bookmarkStart w:id="49" w:name="_Toc15377225"/>
      <w:bookmarkStart w:id="50" w:name="_Toc15396613"/>
    </w:p>
    <w:p>
      <w:pPr>
        <w:widowControl/>
        <w:jc w:val="left"/>
        <w:rPr>
          <w:rStyle w:val="26"/>
          <w:rFonts w:ascii="黑体" w:hAnsi="黑体" w:eastAsia="黑体"/>
          <w:b w:val="0"/>
        </w:rPr>
      </w:pPr>
      <w:r>
        <w:rPr>
          <w:rFonts w:hint="eastAsia" w:ascii="黑体" w:hAnsi="黑体" w:eastAsia="黑体"/>
          <w:sz w:val="44"/>
          <w:szCs w:val="44"/>
        </w:rPr>
        <w:t>名</w:t>
      </w:r>
      <w:r>
        <w:rPr>
          <w:rStyle w:val="26"/>
          <w:rFonts w:hint="eastAsia" w:ascii="黑体" w:hAnsi="黑体" w:eastAsia="黑体"/>
          <w:b w:val="0"/>
        </w:rPr>
        <w:t>词解释</w:t>
      </w:r>
      <w:bookmarkEnd w:id="49"/>
      <w:bookmarkEnd w:id="50"/>
    </w:p>
    <w:p>
      <w:pPr>
        <w:spacing w:line="600" w:lineRule="exact"/>
        <w:jc w:val="left"/>
        <w:rPr>
          <w:rFonts w:ascii="宋体"/>
          <w:b/>
          <w:sz w:val="44"/>
          <w:szCs w:val="44"/>
        </w:rPr>
      </w:pP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其他收入：指单位取得的除上述收入以外的各项收入。主要是银行利息收入。</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使用非财政拨款结余：指事业单位使用以前年度积累的非财政拨款结余弥补当年收支差额的金额。</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5、年末结转和结余：指单位按有关规定结转到下年或以后年度继续使用的资金。</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 城乡社区支出（类）城乡社区管理事务（款）行政运行（项）：指行政单位（包括实行公务员管理的事业单位）的基本支出。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7. 城乡社区支出（类）国有土地使用权出让收入及对应专项债务收入安排的支出（款）土地开发支出（项）：指项目以外其他用于城乡社区管理事务方面的支出。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8. 社会保障和就业（类）行政事业单位离退休（款）未归口管理的行政单位离退休（项）：指未实行归口管理的行政单位（包括实行公务员管理的事业单位）开支的离退休支出。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9. 社会保障和就业（类）行政事业单位离退休（款）机关事业单位基本养老保险缴费支出（项）：指机关事业单位实施养老保险制度由单位缴纳的基本养老保险支出。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10. 住房保障支出（类）住房改革支出（款）住房公积金（项）：指行政事业单位按人力资源和社会保障部、财政部规定的基本工资和津贴补贴以及规定比例为职工缴纳的住房公积金。</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11.医疗卫生与计划生育（类）行政事业单位医疗（款）行政单位医疗（项）：指单位为职工缴纳的基本医疗保险。</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12.医疗卫生与计划生育（类）行政事业单位医疗（款）公务员医疗补助（项）：指单位为职工缴纳的公务员医疗补助费用。</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13.其他支出（类）其他支出（款）其他支出（项）：指单位垃圾分类项目及体制改革职工经济补偿经费。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14.基本支出：指为保障机构正常运转、完成日常工作任务而发生的人员支出和公用支出。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15.项目支出：指在基本支出之外为完成特定行政任务和事业发展目标所发生的支出。</w:t>
      </w:r>
    </w:p>
    <w:p>
      <w:pPr>
        <w:pStyle w:val="24"/>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pStyle w:val="2"/>
        <w:spacing w:before="93"/>
        <w:rPr>
          <w:rFonts w:hint="eastAsia" w:ascii="仿宋" w:hAnsi="仿宋" w:eastAsia="仿宋" w:cs="仿宋"/>
        </w:rPr>
      </w:pPr>
      <w:bookmarkStart w:id="51" w:name="_Toc15377226"/>
    </w:p>
    <w:p>
      <w:pPr>
        <w:pStyle w:val="2"/>
        <w:spacing w:before="93"/>
        <w:rPr>
          <w:rFonts w:hint="eastAsia" w:ascii="仿宋" w:hAnsi="仿宋" w:eastAsia="仿宋" w:cs="仿宋"/>
        </w:rPr>
      </w:pPr>
    </w:p>
    <w:p>
      <w:pPr>
        <w:pStyle w:val="2"/>
        <w:spacing w:before="93"/>
        <w:rPr>
          <w:rFonts w:hint="eastAsia" w:ascii="仿宋" w:hAnsi="仿宋" w:eastAsia="仿宋" w:cs="仿宋"/>
        </w:rPr>
      </w:pPr>
    </w:p>
    <w:p>
      <w:pPr>
        <w:pStyle w:val="2"/>
        <w:spacing w:before="93"/>
        <w:rPr>
          <w:rFonts w:hint="eastAsia" w:ascii="仿宋" w:hAnsi="仿宋" w:eastAsia="仿宋" w:cs="仿宋"/>
        </w:rPr>
      </w:pPr>
      <w:r>
        <w:rPr>
          <w:rFonts w:hint="eastAsia" w:ascii="仿宋" w:hAnsi="仿宋" w:eastAsia="仿宋" w:cs="仿宋"/>
        </w:rPr>
        <w:t xml:space="preserve">   </w:t>
      </w:r>
    </w:p>
    <w:p>
      <w:pPr>
        <w:pStyle w:val="2"/>
        <w:spacing w:before="93"/>
        <w:rPr>
          <w:rFonts w:hint="eastAsia" w:ascii="仿宋" w:hAnsi="仿宋" w:eastAsia="仿宋" w:cs="仿宋"/>
        </w:rPr>
      </w:pPr>
    </w:p>
    <w:p>
      <w:pPr>
        <w:pStyle w:val="2"/>
        <w:spacing w:before="93"/>
        <w:rPr>
          <w:rFonts w:hint="eastAsia" w:ascii="仿宋" w:hAnsi="仿宋" w:eastAsia="仿宋" w:cs="仿宋"/>
        </w:rPr>
      </w:pPr>
    </w:p>
    <w:p>
      <w:pPr>
        <w:pStyle w:val="8"/>
        <w:spacing w:line="0" w:lineRule="atLeast"/>
        <w:ind w:firstLine="880" w:firstLineChars="200"/>
        <w:jc w:val="center"/>
        <w:rPr>
          <w:rStyle w:val="26"/>
          <w:rFonts w:ascii="黑体" w:hAnsi="黑体" w:eastAsia="黑体"/>
          <w:b w:val="0"/>
        </w:rPr>
      </w:pPr>
      <w:bookmarkStart w:id="52" w:name="_Toc15396614"/>
      <w:r>
        <w:rPr>
          <w:rFonts w:hint="eastAsia" w:ascii="黑体" w:hAnsi="黑体" w:eastAsia="黑体"/>
          <w:sz w:val="44"/>
          <w:szCs w:val="44"/>
        </w:rPr>
        <w:t>第</w:t>
      </w:r>
      <w:r>
        <w:rPr>
          <w:rStyle w:val="26"/>
          <w:rFonts w:hint="eastAsia" w:ascii="黑体" w:hAnsi="黑体" w:eastAsia="黑体"/>
          <w:b w:val="0"/>
        </w:rPr>
        <w:t>四部分 附件</w:t>
      </w:r>
      <w:bookmarkEnd w:id="52"/>
    </w:p>
    <w:p>
      <w:pPr>
        <w:pStyle w:val="8"/>
        <w:spacing w:line="0" w:lineRule="atLeast"/>
        <w:ind w:firstLine="800" w:firstLineChars="200"/>
        <w:jc w:val="center"/>
        <w:rPr>
          <w:rFonts w:hint="eastAsia" w:ascii="黑体" w:hAnsi="黑体" w:eastAsia="黑体" w:cs="黑体"/>
          <w:sz w:val="36"/>
          <w:szCs w:val="36"/>
        </w:rPr>
      </w:pPr>
      <w:r>
        <w:rPr>
          <w:rFonts w:hint="eastAsia" w:ascii="黑体" w:hAnsi="黑体" w:eastAsia="黑体"/>
          <w:kern w:val="0"/>
          <w:sz w:val="40"/>
          <w:szCs w:val="44"/>
        </w:rPr>
        <w:t>2021年</w:t>
      </w:r>
      <w:r>
        <w:rPr>
          <w:rFonts w:hint="eastAsia" w:ascii="黑体" w:hAnsi="黑体" w:eastAsia="黑体" w:cs="黑体"/>
          <w:sz w:val="36"/>
          <w:szCs w:val="36"/>
        </w:rPr>
        <w:t>攀枝花市西区市容环境卫生服务中心</w:t>
      </w:r>
    </w:p>
    <w:p>
      <w:pPr>
        <w:spacing w:line="572" w:lineRule="exact"/>
        <w:jc w:val="center"/>
        <w:rPr>
          <w:rFonts w:hint="eastAsia" w:ascii="黑体" w:hAnsi="黑体" w:eastAsia="黑体" w:cs="黑体"/>
          <w:kern w:val="0"/>
          <w:sz w:val="40"/>
          <w:szCs w:val="44"/>
        </w:rPr>
      </w:pPr>
      <w:r>
        <w:rPr>
          <w:rFonts w:hint="eastAsia" w:ascii="黑体" w:hAnsi="黑体" w:eastAsia="黑体" w:cs="黑体"/>
          <w:kern w:val="0"/>
          <w:sz w:val="40"/>
          <w:szCs w:val="44"/>
        </w:rPr>
        <w:t>整体绩效评价报告</w:t>
      </w:r>
    </w:p>
    <w:p>
      <w:pPr>
        <w:pStyle w:val="2"/>
        <w:spacing w:before="93"/>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en-US" w:eastAsia="zh-CN"/>
        </w:rPr>
        <w:t>单位</w:t>
      </w:r>
      <w:r>
        <w:rPr>
          <w:rFonts w:hint="eastAsia" w:ascii="黑体" w:hAnsi="宋体" w:eastAsia="黑体" w:cs="宋体"/>
          <w:kern w:val="0"/>
          <w:sz w:val="32"/>
          <w:szCs w:val="32"/>
          <w:shd w:val="clear" w:color="auto" w:fill="FFFFFF"/>
          <w:lang w:val="zh-CN"/>
        </w:rPr>
        <w:t>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adjustRightInd w:val="0"/>
        <w:snapToGrid w:val="0"/>
        <w:spacing w:before="72" w:line="600" w:lineRule="exact"/>
        <w:ind w:left="672" w:leftChars="320" w:firstLine="640" w:firstLineChars="200"/>
        <w:rPr>
          <w:rFonts w:ascii="仿宋" w:hAnsi="仿宋" w:eastAsia="仿宋"/>
          <w:color w:val="000000"/>
          <w:sz w:val="32"/>
          <w:szCs w:val="32"/>
        </w:rPr>
      </w:pPr>
      <w:r>
        <w:rPr>
          <w:rFonts w:hint="eastAsia" w:ascii="仿宋" w:hAnsi="仿宋" w:eastAsia="仿宋"/>
          <w:sz w:val="32"/>
          <w:szCs w:val="32"/>
        </w:rPr>
        <w:t>西区市容环境卫生服务中心是区综合行政执法局二级单位属参照公务员法管理的事业单位</w:t>
      </w:r>
      <w:r>
        <w:rPr>
          <w:rFonts w:hint="eastAsia" w:ascii="仿宋" w:hAnsi="仿宋" w:eastAsia="仿宋"/>
          <w:bCs/>
          <w:sz w:val="32"/>
          <w:szCs w:val="32"/>
        </w:rPr>
        <w:t>1</w:t>
      </w:r>
      <w:r>
        <w:rPr>
          <w:rFonts w:hint="eastAsia" w:ascii="仿宋" w:hAnsi="仿宋" w:eastAsia="仿宋"/>
          <w:sz w:val="32"/>
          <w:szCs w:val="32"/>
        </w:rPr>
        <w:t>个，无其他事业单位</w:t>
      </w:r>
      <w:r>
        <w:rPr>
          <w:rFonts w:hint="eastAsia" w:ascii="仿宋" w:hAnsi="仿宋" w:eastAsia="仿宋"/>
          <w:color w:val="000000"/>
          <w:sz w:val="32"/>
          <w:szCs w:val="32"/>
        </w:rPr>
        <w:t>。</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spacing w:line="360"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kern w:val="0"/>
          <w:sz w:val="32"/>
          <w:szCs w:val="32"/>
        </w:rPr>
        <w:t>西区市容环境卫生服务中心主要职能职责：</w:t>
      </w:r>
      <w:r>
        <w:rPr>
          <w:rFonts w:hint="eastAsia" w:ascii="华文仿宋" w:hAnsi="华文仿宋" w:eastAsia="华文仿宋" w:cs="华文仿宋"/>
          <w:bCs/>
          <w:sz w:val="32"/>
          <w:szCs w:val="32"/>
        </w:rPr>
        <w:t>（1）</w:t>
      </w:r>
      <w:r>
        <w:rPr>
          <w:rFonts w:hint="eastAsia" w:ascii="华文仿宋" w:hAnsi="华文仿宋" w:eastAsia="华文仿宋" w:cs="华文仿宋"/>
          <w:sz w:val="32"/>
          <w:szCs w:val="32"/>
        </w:rPr>
        <w:t>宣传、贯彻执行国家、省、市有关市容环境卫生管理工作的法律、法规和方针、政策，参与编制西区市容环境卫生事业发展规划，并负责组织实施。（2）负责落实执行相关行政部门单位制订的攀枝花市城市西区市容和环境卫生管理工作标准；负责协助相关行政部门单位对西区市容环境卫生的综合整治、日常管理、监督检查；负责辖区内各居民小区的市容环境卫生工作的业务指导和监督。（3）负责市容环境卫生科学技术的引进、推广、应用等工作。（4）负责责权范围内西区市容环境卫生公共设备设施（含环卫车辆、垃圾桶、果皮箱等）的日常维护、维修和管理。（5）负责西区城市主干道、街道、人行道责权范围内的垃圾清运及洒水防尘等工作。（6）完成上级交办的其他工作任务。</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ind w:firstLine="630"/>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截止2021年12月统计，西区市容环境卫生服务中心基本情况如下：行政编制25人，实有16人。编内聘用人员编制64人，实有21人，退休人员10人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w:t>
      </w:r>
      <w:r>
        <w:rPr>
          <w:rFonts w:hint="eastAsia" w:ascii="黑体" w:hAnsi="宋体" w:eastAsia="黑体" w:cs="宋体"/>
          <w:kern w:val="0"/>
          <w:sz w:val="32"/>
          <w:szCs w:val="32"/>
          <w:shd w:val="clear" w:color="auto" w:fill="FFFFFF"/>
          <w:lang w:val="en-US" w:eastAsia="zh-CN"/>
        </w:rPr>
        <w:t>单位</w:t>
      </w:r>
      <w:r>
        <w:rPr>
          <w:rFonts w:hint="eastAsia" w:ascii="黑体" w:hAnsi="宋体" w:eastAsia="黑体" w:cs="宋体"/>
          <w:kern w:val="0"/>
          <w:sz w:val="32"/>
          <w:szCs w:val="32"/>
          <w:shd w:val="clear" w:color="auto" w:fill="FFFFFF"/>
        </w:rPr>
        <w:t>财政资金收支情况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21年本年收入合计861.57万元，其中：一般公共预算财政拨款收入705.8万元，占81</w:t>
      </w:r>
      <w:r>
        <w:rPr>
          <w:rFonts w:ascii="仿宋" w:hAnsi="仿宋" w:eastAsia="仿宋"/>
          <w:sz w:val="32"/>
          <w:szCs w:val="32"/>
        </w:rPr>
        <w:t>%</w:t>
      </w:r>
      <w:r>
        <w:rPr>
          <w:rFonts w:hint="eastAsia" w:ascii="仿宋" w:hAnsi="仿宋" w:eastAsia="仿宋"/>
          <w:sz w:val="32"/>
          <w:szCs w:val="32"/>
        </w:rPr>
        <w:t>；政府性基金预算财政拨款收入155.74万元，占18</w:t>
      </w:r>
      <w:r>
        <w:rPr>
          <w:rFonts w:ascii="仿宋" w:hAnsi="仿宋" w:eastAsia="仿宋"/>
          <w:sz w:val="32"/>
          <w:szCs w:val="32"/>
        </w:rPr>
        <w:t>%</w:t>
      </w:r>
      <w:r>
        <w:rPr>
          <w:rFonts w:hint="eastAsia" w:ascii="仿宋" w:hAnsi="仿宋" w:eastAsia="仿宋"/>
          <w:sz w:val="32"/>
          <w:szCs w:val="32"/>
        </w:rPr>
        <w:t>；其他收入0.03万元，占1</w:t>
      </w:r>
      <w:r>
        <w:rPr>
          <w:rFonts w:ascii="仿宋" w:hAnsi="仿宋" w:eastAsia="仿宋"/>
          <w:sz w:val="32"/>
          <w:szCs w:val="32"/>
        </w:rPr>
        <w:t>%</w:t>
      </w:r>
      <w:r>
        <w:rPr>
          <w:rFonts w:hint="eastAsia" w:ascii="仿宋" w:hAnsi="仿宋" w:eastAsia="仿宋"/>
          <w:sz w:val="32"/>
          <w:szCs w:val="32"/>
        </w:rPr>
        <w:t>。</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widowControl/>
        <w:adjustRightInd w:val="0"/>
        <w:snapToGrid w:val="0"/>
        <w:spacing w:line="572" w:lineRule="exact"/>
        <w:ind w:firstLine="640" w:firstLineChars="200"/>
        <w:contextualSpacing/>
        <w:jc w:val="left"/>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21年本年支出合计937.65万元，其中：基本支出496.01万元，占52</w:t>
      </w:r>
      <w:r>
        <w:rPr>
          <w:rFonts w:ascii="仿宋" w:hAnsi="仿宋" w:eastAsia="仿宋"/>
          <w:sz w:val="32"/>
          <w:szCs w:val="32"/>
        </w:rPr>
        <w:t>%</w:t>
      </w:r>
      <w:r>
        <w:rPr>
          <w:rFonts w:hint="eastAsia" w:ascii="仿宋" w:hAnsi="仿宋" w:eastAsia="仿宋"/>
          <w:sz w:val="32"/>
          <w:szCs w:val="32"/>
        </w:rPr>
        <w:t>；项目支出441.64万元，占48%。</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w:t>
      </w:r>
      <w:r>
        <w:rPr>
          <w:rFonts w:hint="eastAsia" w:ascii="黑体" w:hAnsi="宋体" w:eastAsia="黑体" w:cs="宋体"/>
          <w:kern w:val="0"/>
          <w:sz w:val="32"/>
          <w:szCs w:val="32"/>
          <w:shd w:val="clear" w:color="auto" w:fill="FFFFFF"/>
          <w:lang w:val="en-US" w:eastAsia="zh-CN"/>
        </w:rPr>
        <w:t>单位</w:t>
      </w:r>
      <w:bookmarkStart w:id="67" w:name="_GoBack"/>
      <w:bookmarkEnd w:id="67"/>
      <w:r>
        <w:rPr>
          <w:rFonts w:hint="eastAsia" w:ascii="黑体" w:hAnsi="宋体" w:eastAsia="黑体" w:cs="宋体"/>
          <w:kern w:val="0"/>
          <w:sz w:val="32"/>
          <w:szCs w:val="32"/>
          <w:shd w:val="clear" w:color="auto" w:fill="FFFFFF"/>
        </w:rPr>
        <w:t>整体预算绩效管理情况</w:t>
      </w:r>
    </w:p>
    <w:p>
      <w:pPr>
        <w:widowControl/>
        <w:adjustRightInd w:val="0"/>
        <w:snapToGrid w:val="0"/>
        <w:spacing w:line="572" w:lineRule="exact"/>
        <w:ind w:firstLine="800" w:firstLineChars="25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部门预算项目绩效管理。</w:t>
      </w:r>
    </w:p>
    <w:p>
      <w:pPr>
        <w:pStyle w:val="8"/>
        <w:spacing w:line="353" w:lineRule="auto"/>
        <w:ind w:firstLine="640" w:firstLineChars="200"/>
        <w:rPr>
          <w:rFonts w:ascii="仿宋" w:hAnsi="仿宋" w:eastAsia="仿宋"/>
          <w:sz w:val="32"/>
          <w:szCs w:val="32"/>
        </w:rPr>
      </w:pPr>
      <w:r>
        <w:rPr>
          <w:rFonts w:hint="eastAsia" w:ascii="华文仿宋" w:hAnsi="华文仿宋" w:eastAsia="华文仿宋" w:cs="仿宋_GB2312"/>
          <w:sz w:val="32"/>
          <w:szCs w:val="32"/>
        </w:rPr>
        <w:t>根据预算绩效管理要求，本单位在年初预算编制阶段，组织对垃圾焚烧发电处理服务经费、餐厨垃圾处置服务经费、生活垃圾中转站委托运营经费、大集体退休人员环龄工资、西区生活垃圾场填埋封场及渗滤液处理工程建设征地补偿款项目等5个项目开展了预算事前绩效评估，对5个项目</w:t>
      </w:r>
      <w:r>
        <w:rPr>
          <w:rFonts w:hint="eastAsia" w:ascii="仿宋" w:hAnsi="仿宋" w:eastAsia="仿宋" w:cs="仿宋_GB2312"/>
          <w:sz w:val="32"/>
          <w:szCs w:val="32"/>
        </w:rPr>
        <w:t>编制了绩效目标，预算执行过程中，选取1个项目开展绩效监控，年终执行完毕后，对1个项目开展了绩效目标完成情况自评。本部门按要求对</w:t>
      </w:r>
      <w:r>
        <w:rPr>
          <w:rFonts w:ascii="仿宋" w:hAnsi="仿宋" w:eastAsia="仿宋" w:cs="仿宋_GB2312"/>
          <w:sz w:val="32"/>
          <w:szCs w:val="32"/>
        </w:rPr>
        <w:t>202</w:t>
      </w:r>
      <w:r>
        <w:rPr>
          <w:rFonts w:hint="eastAsia" w:ascii="仿宋" w:hAnsi="仿宋" w:eastAsia="仿宋" w:cs="仿宋_GB2312"/>
          <w:sz w:val="32"/>
          <w:szCs w:val="32"/>
        </w:rPr>
        <w:t>1年部门整体支出开展绩效自评，从评价情况来看</w:t>
      </w:r>
      <w:r>
        <w:rPr>
          <w:rFonts w:hint="eastAsia" w:ascii="仿宋" w:hAnsi="仿宋" w:eastAsia="仿宋" w:cs="华文仿宋"/>
          <w:sz w:val="32"/>
          <w:szCs w:val="32"/>
        </w:rPr>
        <w:t>通过加强预算收支管理，不断建立健全内部管理制度，梳理内部管理流程，部门整体支出管理情况得到提升。</w:t>
      </w:r>
      <w:r>
        <w:rPr>
          <w:rFonts w:hint="eastAsia" w:ascii="仿宋" w:hAnsi="仿宋" w:eastAsia="仿宋" w:cs="仿宋_GB2312"/>
          <w:sz w:val="32"/>
          <w:szCs w:val="32"/>
        </w:rPr>
        <w:t>本单位还自行组织了1个项目支出绩效评价，从评价情况来看:</w:t>
      </w:r>
      <w:r>
        <w:rPr>
          <w:rFonts w:hint="eastAsia" w:ascii="仿宋" w:hAnsi="仿宋" w:eastAsia="仿宋"/>
          <w:sz w:val="32"/>
          <w:szCs w:val="32"/>
        </w:rPr>
        <w:t>基本支出保证人员经费基本待遇。提升了城市管理整体水平，改善了城市环境，提高了城市形象，为市民提供更加舒适的生活环境，使市民获得更多的幸福感。</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8"/>
        <w:ind w:firstLine="600" w:firstLineChars="200"/>
        <w:rPr>
          <w:rFonts w:ascii="仿宋" w:hAnsi="仿宋" w:eastAsia="仿宋"/>
          <w:kern w:val="0"/>
          <w:sz w:val="30"/>
          <w:szCs w:val="30"/>
        </w:rPr>
      </w:pPr>
      <w:r>
        <w:rPr>
          <w:rFonts w:hint="eastAsia" w:ascii="仿宋" w:hAnsi="仿宋" w:eastAsia="仿宋"/>
          <w:kern w:val="0"/>
          <w:sz w:val="30"/>
          <w:szCs w:val="30"/>
        </w:rPr>
        <w:t>本单位持续开展城乡环境整洁行动，垃圾清运、洒水降尘严格按部颁标准执行，生活垃圾保日产日清，环卫作业车辆保证车容整洁。开展辖区环境卫生整治行动，包括对积存垃圾的清理、商业城区、背街小巷、老旧社区环境卫生的整治，深入扬尘源头，对道路扬尘及抛撒现象清理控制。组织人员对积存垃圾进行彻底清理清运，加强主次干道、市政设施的清扫保洁力度。特别针对晨光巷积尘、扬尘现象，由区综合行政执法局牵头对该地段道路、围墙进行修复、重建，在公路两边实施立体绿化工程，联合其他部门对此路段的重型车辆抛撒现象进行管理整治。上半年共开展环境卫生巡查约80余次，清运垃圾约8000吨，洒水降尘用水约21000吨。</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tabs>
          <w:tab w:val="left" w:pos="3626"/>
        </w:tabs>
        <w:spacing w:line="353" w:lineRule="auto"/>
        <w:ind w:firstLine="640" w:firstLineChars="200"/>
        <w:rPr>
          <w:rFonts w:ascii="华文仿宋" w:hAnsi="华文仿宋" w:eastAsia="华文仿宋" w:cs="仿宋_GB2312"/>
          <w:kern w:val="0"/>
          <w:sz w:val="32"/>
          <w:szCs w:val="32"/>
        </w:rPr>
      </w:pPr>
      <w:r>
        <w:rPr>
          <w:rFonts w:hint="eastAsia" w:ascii="华文仿宋" w:hAnsi="华文仿宋" w:eastAsia="华文仿宋" w:cs="仿宋_GB2312"/>
          <w:kern w:val="0"/>
          <w:sz w:val="32"/>
          <w:szCs w:val="32"/>
        </w:rPr>
        <w:t>我单位存在的问题及不足：环卫特种作业设备部分车辆老化严重，车况差，存在安全隐患，维修频次高，维修成本投入大。垃圾转运运力不足，无法达到每日垃圾转运标准。城市垃圾收储点餐厨垃圾混合、收转运车渗滤液严重。垃圾分类工作需政府主导，全体动员，资金缺口大。</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8"/>
        <w:spacing w:line="353" w:lineRule="auto"/>
        <w:ind w:firstLine="640" w:firstLineChars="200"/>
        <w:rPr>
          <w:rFonts w:ascii="华文仿宋" w:hAnsi="华文仿宋" w:eastAsia="华文仿宋" w:cs="仿宋_GB2312"/>
          <w:sz w:val="32"/>
          <w:szCs w:val="32"/>
        </w:rPr>
      </w:pPr>
      <w:r>
        <w:rPr>
          <w:rFonts w:hint="eastAsia" w:ascii="华文仿宋" w:hAnsi="华文仿宋" w:eastAsia="华文仿宋" w:cs="仿宋_GB2312"/>
          <w:sz w:val="32"/>
          <w:szCs w:val="32"/>
        </w:rPr>
        <w:t>改进措施：进一步加强预算管理意识，严格按照预算编制的相关规定要求进行预算编制，优先保障固定性的、相对刚性的费用支出项目，尽量压缩变动性的、有控制空间的费用项目，进一步提高预算编制的科学性、严谨性和可控性。加强内部预算编制的审核和预算控制指标的下达，提高预算的合理性和准确性。</w:t>
      </w:r>
    </w:p>
    <w:p>
      <w:pPr>
        <w:spacing w:line="600" w:lineRule="exact"/>
        <w:jc w:val="center"/>
        <w:outlineLvl w:val="0"/>
        <w:rPr>
          <w:rFonts w:hAnsi="宋体" w:cs="宋体"/>
          <w:sz w:val="32"/>
          <w:szCs w:val="32"/>
          <w:shd w:val="clear" w:color="auto" w:fill="FFFFFF"/>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i/>
          <w:lang w:val="zh-CN"/>
        </w:rPr>
      </w:pPr>
    </w:p>
    <w:p>
      <w:pPr>
        <w:pStyle w:val="2"/>
        <w:spacing w:before="93"/>
        <w:rPr>
          <w:i/>
          <w:lang w:val="zh-CN"/>
        </w:rPr>
      </w:pPr>
    </w:p>
    <w:p>
      <w:pPr>
        <w:pStyle w:val="2"/>
        <w:spacing w:before="93"/>
        <w:rPr>
          <w:i/>
          <w:lang w:val="zh-CN"/>
        </w:rPr>
      </w:pPr>
    </w:p>
    <w:p>
      <w:pPr>
        <w:pStyle w:val="2"/>
        <w:spacing w:before="93"/>
        <w:rPr>
          <w:lang w:val="zh-CN"/>
        </w:rPr>
      </w:pP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53" w:name="_Toc15396618"/>
          </w:p>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ascii="宋体" w:hAnsi="宋体" w:cs="宋体"/>
                <w:sz w:val="24"/>
              </w:rPr>
              <w:t>区综合行政执法局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ascii="宋体" w:hAnsi="宋体" w:cs="宋体"/>
                <w:sz w:val="24"/>
              </w:rPr>
              <w:t>西区市容环境卫生服务中心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937.65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937.65</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937.65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937.65</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按照2021年预算，确保人员费用支出，项目费用支出。做好辖区内洒水降尘，垃圾清运工作。</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完成2021年预算。保障职工权益。垃圾清运、洒水降尘严格按部颁标准执行，为市民创建了一个干净、卫生的生活环境</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kern w:val="0"/>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环卫日常作业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主干道每天洒水冲、洗；垃圾垃圾桶、垃圾投放点、垃圾池日产日清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kern w:val="0"/>
                <w:szCs w:val="21"/>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确保环卫作业经费落实到位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生活垃圾日产日清，垃圾收集设施附近无散落垃圾，无恶臭。改善辖区空气质量，降低路面扬尘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kern w:val="0"/>
                <w:szCs w:val="21"/>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2021年12月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kern w:val="0"/>
                <w:szCs w:val="21"/>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环卫作业经费支出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项目支出为 441.64万元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ascii="仿宋_GB2312" w:hAnsi="仿宋_GB2312" w:eastAsia="仿宋_GB2312" w:cs="仿宋_GB2312"/>
                <w:sz w:val="18"/>
                <w:szCs w:val="18"/>
              </w:rPr>
              <w:t>完成项目支出为</w:t>
            </w:r>
            <w:r>
              <w:rPr>
                <w:rFonts w:hint="eastAsia" w:ascii="仿宋_GB2312" w:hAnsi="仿宋_GB2312" w:eastAsia="仿宋_GB2312" w:cs="仿宋_GB2312"/>
                <w:sz w:val="18"/>
                <w:szCs w:val="18"/>
              </w:rPr>
              <w:t>441.64万元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kern w:val="0"/>
                <w:szCs w:val="21"/>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环卫日常作业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不断提升辖区人居环境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较好</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93" w:leftChars="87" w:hanging="210" w:hangingChars="100"/>
              <w:jc w:val="left"/>
              <w:textAlignment w:val="bottom"/>
              <w:rPr>
                <w:rFonts w:ascii="仿宋_GB2312" w:hAnsi="仿宋_GB2312" w:eastAsia="仿宋_GB2312" w:cs="仿宋_GB2312"/>
                <w:szCs w:val="21"/>
              </w:rPr>
            </w:pPr>
            <w:r>
              <w:rPr>
                <w:rFonts w:hint="eastAsia" w:ascii="仿宋_GB2312" w:hAnsi="仿宋_GB2312" w:eastAsia="仿宋_GB2312" w:cs="仿宋_GB2312"/>
                <w:kern w:val="0"/>
                <w:szCs w:val="21"/>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环卫日常作业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减少扬尘危害，改善空气质</w:t>
            </w:r>
            <w:r>
              <w:rPr>
                <w:rFonts w:hint="eastAsia" w:ascii="仿宋_GB2312" w:hAnsi="仿宋_GB2312" w:eastAsia="仿宋_GB2312" w:cs="仿宋_GB2312"/>
                <w:szCs w:val="21"/>
              </w:rPr>
              <w:t>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较好</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kern w:val="0"/>
                <w:szCs w:val="21"/>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 w:val="18"/>
                <w:szCs w:val="18"/>
              </w:rPr>
              <w:t>环卫日常作业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减少扬尘危害，改善空气质</w:t>
            </w:r>
            <w:r>
              <w:rPr>
                <w:rFonts w:hint="eastAsia" w:ascii="仿宋_GB2312" w:hAnsi="仿宋_GB2312" w:eastAsia="仿宋_GB2312" w:cs="仿宋_GB2312"/>
                <w:szCs w:val="21"/>
              </w:rPr>
              <w:t>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较好</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满意度</w:t>
            </w:r>
          </w:p>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kern w:val="0"/>
                <w:szCs w:val="21"/>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基本满意以上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满意</w:t>
            </w:r>
          </w:p>
        </w:tc>
      </w:tr>
    </w:tbl>
    <w:p>
      <w:pPr>
        <w:spacing w:line="600" w:lineRule="exact"/>
        <w:jc w:val="center"/>
        <w:outlineLvl w:val="0"/>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7"/>
          <w:rFonts w:hint="eastAsia" w:ascii="仿宋" w:hAnsi="仿宋" w:eastAsia="仿宋"/>
          <w:b w:val="0"/>
          <w:bCs w:val="0"/>
        </w:rPr>
        <w:t>入决算表</w:t>
      </w:r>
      <w:bookmarkEnd w:id="55"/>
    </w:p>
    <w:p>
      <w:pPr>
        <w:pStyle w:val="4"/>
        <w:rPr>
          <w:rFonts w:ascii="仿宋" w:hAnsi="仿宋" w:eastAsia="仿宋"/>
        </w:rPr>
      </w:pPr>
      <w:bookmarkStart w:id="56" w:name="_Toc15396621"/>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57"/>
    </w:p>
    <w:p>
      <w:pPr>
        <w:pStyle w:val="4"/>
        <w:rPr>
          <w:rStyle w:val="27"/>
          <w:rFonts w:ascii="仿宋" w:hAnsi="仿宋" w:eastAsia="仿宋"/>
          <w:b w:val="0"/>
          <w:bCs w:val="0"/>
        </w:rPr>
      </w:pPr>
      <w:bookmarkStart w:id="58" w:name="_Toc15396623"/>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bookmarkEnd w:id="63"/>
    </w:p>
    <w:p>
      <w:pPr>
        <w:pStyle w:val="4"/>
        <w:rPr>
          <w:rFonts w:ascii="仿宋" w:hAnsi="仿宋" w:eastAsia="仿宋"/>
        </w:rPr>
      </w:pPr>
      <w:bookmarkStart w:id="64" w:name="_Toc15396629"/>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bookmarkEnd w:id="64"/>
    </w:p>
    <w:p>
      <w:pPr>
        <w:pStyle w:val="4"/>
        <w:rPr>
          <w:rFonts w:ascii="仿宋" w:hAnsi="仿宋" w:eastAsia="仿宋"/>
        </w:rPr>
      </w:pPr>
      <w:bookmarkStart w:id="65" w:name="_Toc15396630"/>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bookmarkEnd w:id="65"/>
    </w:p>
    <w:p>
      <w:pPr>
        <w:pStyle w:val="4"/>
        <w:rPr>
          <w:rStyle w:val="27"/>
          <w:rFonts w:ascii="仿宋" w:hAnsi="仿宋" w:eastAsia="仿宋"/>
          <w:b w:val="0"/>
          <w:bCs w:val="0"/>
        </w:rPr>
      </w:pPr>
      <w:bookmarkStart w:id="66" w:name="_Toc15396631"/>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bookmarkEnd w:id="66"/>
    </w:p>
    <w:p>
      <w:pPr>
        <w:rPr>
          <w:rFonts w:eastAsia="仿宋"/>
        </w:rPr>
      </w:pPr>
      <w:r>
        <w:rPr>
          <w:rStyle w:val="27"/>
          <w:rFonts w:hint="eastAsia" w:ascii="仿宋" w:hAnsi="仿宋" w:eastAsia="仿宋"/>
          <w:b w:val="0"/>
          <w:bCs w:val="0"/>
        </w:rPr>
        <w:t>十四、国有资本经营预算财政拨款支出决算表</w:t>
      </w:r>
    </w:p>
    <w:p>
      <w:pPr>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10</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640"/>
      </w:pPr>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958E9A7"/>
    <w:multiLevelType w:val="singleLevel"/>
    <w:tmpl w:val="2958E9A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mNiM2ZmYzk1ZGRmYTJmMjVhMDFkYjVhNzFiNj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C2BF9"/>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27021"/>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A740392"/>
    <w:rsid w:val="0B8A37D8"/>
    <w:rsid w:val="10C055FF"/>
    <w:rsid w:val="118107EC"/>
    <w:rsid w:val="11DD6519"/>
    <w:rsid w:val="16BB723D"/>
    <w:rsid w:val="18015F3F"/>
    <w:rsid w:val="18141278"/>
    <w:rsid w:val="18C179CD"/>
    <w:rsid w:val="1BE8440E"/>
    <w:rsid w:val="1D155CEE"/>
    <w:rsid w:val="20F57F95"/>
    <w:rsid w:val="240371BF"/>
    <w:rsid w:val="25C741E6"/>
    <w:rsid w:val="25DA1EFB"/>
    <w:rsid w:val="27842671"/>
    <w:rsid w:val="28343473"/>
    <w:rsid w:val="28AD6D41"/>
    <w:rsid w:val="29FD04D3"/>
    <w:rsid w:val="2ABE7A3E"/>
    <w:rsid w:val="2EFA178C"/>
    <w:rsid w:val="30376306"/>
    <w:rsid w:val="30B46D73"/>
    <w:rsid w:val="319F7F4E"/>
    <w:rsid w:val="39AE70AB"/>
    <w:rsid w:val="3A867127"/>
    <w:rsid w:val="3C0C0783"/>
    <w:rsid w:val="3F9F3A96"/>
    <w:rsid w:val="493C27E9"/>
    <w:rsid w:val="496F39ED"/>
    <w:rsid w:val="49FF41D3"/>
    <w:rsid w:val="4BE068DB"/>
    <w:rsid w:val="4BF6002B"/>
    <w:rsid w:val="4ECE2238"/>
    <w:rsid w:val="50EA0B67"/>
    <w:rsid w:val="51DB4B86"/>
    <w:rsid w:val="5335293F"/>
    <w:rsid w:val="55333C3E"/>
    <w:rsid w:val="61745B69"/>
    <w:rsid w:val="64CA39A1"/>
    <w:rsid w:val="6C4A05C8"/>
    <w:rsid w:val="72734D90"/>
    <w:rsid w:val="79DD1102"/>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szCs w:val="22"/>
    </w:r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标题 4 Char"/>
    <w:basedOn w:val="15"/>
    <w:link w:val="6"/>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653739612188"/>
          <c:y val="0.0432432432432433"/>
          <c:w val="0.634349030470918"/>
          <c:h val="0.859459459459462"/>
        </c:manualLayout>
      </c:layout>
      <c:barChart>
        <c:barDir val="col"/>
        <c:grouping val="clustered"/>
        <c:varyColors val="0"/>
        <c:ser>
          <c:idx val="0"/>
          <c:order val="0"/>
          <c:tx>
            <c:strRef>
              <c:f>Sheet1!$A$2</c:f>
              <c:strCache>
                <c:ptCount val="1"/>
                <c:pt idx="0">
                  <c:v>2020年</c:v>
                </c:pt>
              </c:strCache>
            </c:strRef>
          </c:tx>
          <c:spPr>
            <a:solidFill>
              <a:srgbClr val="9999FF"/>
            </a:solidFill>
            <a:ln w="12679">
              <a:solidFill>
                <a:srgbClr val="000000"/>
              </a:solidFill>
              <a:prstDash val="solid"/>
            </a:ln>
          </c:spPr>
          <c:invertIfNegative val="0"/>
          <c:dLbls>
            <c:delete val="1"/>
          </c:dLbls>
          <c:cat>
            <c:strRef>
              <c:f>Sheet1!$B$1:$E$1</c:f>
              <c:strCache>
                <c:ptCount val="2"/>
                <c:pt idx="0">
                  <c:v>收入</c:v>
                </c:pt>
                <c:pt idx="1">
                  <c:v>支出</c:v>
                </c:pt>
              </c:strCache>
            </c:strRef>
          </c:cat>
          <c:val>
            <c:numRef>
              <c:f>Sheet1!$B$2:$E$2</c:f>
              <c:numCache>
                <c:formatCode>General</c:formatCode>
                <c:ptCount val="4"/>
                <c:pt idx="0">
                  <c:v>587.52</c:v>
                </c:pt>
                <c:pt idx="1">
                  <c:v>1306.83</c:v>
                </c:pt>
              </c:numCache>
            </c:numRef>
          </c:val>
        </c:ser>
        <c:ser>
          <c:idx val="1"/>
          <c:order val="1"/>
          <c:tx>
            <c:strRef>
              <c:f>Sheet1!$A$3</c:f>
              <c:strCache>
                <c:ptCount val="1"/>
                <c:pt idx="0">
                  <c:v>2021年</c:v>
                </c:pt>
              </c:strCache>
            </c:strRef>
          </c:tx>
          <c:spPr>
            <a:solidFill>
              <a:srgbClr val="993366"/>
            </a:solidFill>
            <a:ln w="12679">
              <a:solidFill>
                <a:srgbClr val="000000"/>
              </a:solidFill>
              <a:prstDash val="solid"/>
            </a:ln>
          </c:spPr>
          <c:invertIfNegative val="0"/>
          <c:dLbls>
            <c:delete val="1"/>
          </c:dLbls>
          <c:cat>
            <c:strRef>
              <c:f>Sheet1!$B$1:$E$1</c:f>
              <c:strCache>
                <c:ptCount val="2"/>
                <c:pt idx="0">
                  <c:v>收入</c:v>
                </c:pt>
                <c:pt idx="1">
                  <c:v>支出</c:v>
                </c:pt>
              </c:strCache>
            </c:strRef>
          </c:cat>
          <c:val>
            <c:numRef>
              <c:f>Sheet1!$B$3:$E$3</c:f>
              <c:numCache>
                <c:formatCode>General</c:formatCode>
                <c:ptCount val="4"/>
                <c:pt idx="0">
                  <c:v>861.56</c:v>
                </c:pt>
                <c:pt idx="1">
                  <c:v>937.680000000001</c:v>
                </c:pt>
              </c:numCache>
            </c:numRef>
          </c:val>
        </c:ser>
        <c:dLbls>
          <c:showLegendKey val="0"/>
          <c:showVal val="0"/>
          <c:showCatName val="0"/>
          <c:showSerName val="0"/>
          <c:showPercent val="0"/>
          <c:showBubbleSize val="0"/>
        </c:dLbls>
        <c:gapWidth val="150"/>
        <c:axId val="85865216"/>
        <c:axId val="85866752"/>
      </c:barChart>
      <c:catAx>
        <c:axId val="85865216"/>
        <c:scaling>
          <c:orientation val="minMax"/>
        </c:scaling>
        <c:delete val="0"/>
        <c:axPos val="b"/>
        <c:numFmt formatCode="General" sourceLinked="1"/>
        <c:majorTickMark val="in"/>
        <c:minorTickMark val="none"/>
        <c:tickLblPos val="low"/>
        <c:spPr>
          <a:ln w="3170" cap="flat" cmpd="sng" algn="ctr">
            <a:solidFill>
              <a:srgbClr val="000000"/>
            </a:solidFill>
            <a:prstDash val="solid"/>
            <a:round/>
          </a:ln>
        </c:spPr>
        <c:txPr>
          <a:bodyPr rot="0" spcFirstLastPara="0" vertOverflow="ellipsis" vert="horz" wrap="square" anchor="ctr" anchorCtr="1"/>
          <a:lstStyle/>
          <a:p>
            <a:pPr>
              <a:defRPr lang="zh-CN" sz="11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85866752"/>
        <c:crosses val="autoZero"/>
        <c:auto val="1"/>
        <c:lblAlgn val="ctr"/>
        <c:lblOffset val="100"/>
        <c:tickLblSkip val="1"/>
        <c:noMultiLvlLbl val="0"/>
      </c:catAx>
      <c:valAx>
        <c:axId val="85866752"/>
        <c:scaling>
          <c:orientation val="minMax"/>
        </c:scaling>
        <c:delete val="0"/>
        <c:axPos val="l"/>
        <c:majorGridlines>
          <c:spPr>
            <a:ln w="3170" cap="flat" cmpd="sng" algn="ctr">
              <a:solidFill>
                <a:srgbClr val="000000"/>
              </a:solidFill>
              <a:prstDash val="solid"/>
              <a:round/>
            </a:ln>
          </c:spPr>
        </c:majorGridlines>
        <c:numFmt formatCode="General" sourceLinked="1"/>
        <c:majorTickMark val="in"/>
        <c:minorTickMark val="none"/>
        <c:tickLblPos val="nextTo"/>
        <c:spPr>
          <a:ln w="3170" cap="flat" cmpd="sng" algn="ctr">
            <a:solidFill>
              <a:srgbClr val="000000"/>
            </a:solidFill>
            <a:prstDash val="solid"/>
            <a:round/>
          </a:ln>
        </c:spPr>
        <c:txPr>
          <a:bodyPr rot="0" spcFirstLastPara="0" vertOverflow="ellipsis" vert="horz" wrap="square" anchor="ctr" anchorCtr="1"/>
          <a:lstStyle/>
          <a:p>
            <a:pPr>
              <a:defRPr lang="zh-CN" sz="11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85865216"/>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89473684210526"/>
          <c:y val="0.443243243243243"/>
          <c:w val="0.199445983379502"/>
          <c:h val="0.116216216216217"/>
        </c:manualLayout>
      </c:layout>
      <c:overlay val="0"/>
      <c:spPr>
        <a:noFill/>
        <a:ln w="3170">
          <a:solidFill>
            <a:srgbClr val="000000"/>
          </a:solidFill>
          <a:prstDash val="solid"/>
        </a:ln>
      </c:spPr>
      <c:txPr>
        <a:bodyPr rot="0" spcFirstLastPara="0" vertOverflow="ellipsis" vert="horz" wrap="square" anchor="ctr" anchorCtr="1"/>
        <a:lstStyle/>
        <a:p>
          <a:pPr>
            <a:defRPr lang="zh-CN" sz="108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11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9424460431655"/>
          <c:y val="0.10989010989011"/>
          <c:w val="0.507194244604317"/>
          <c:h val="0.774725274725279"/>
        </c:manualLayout>
      </c:layout>
      <c:pieChart>
        <c:varyColors val="1"/>
        <c:ser>
          <c:idx val="0"/>
          <c:order val="0"/>
          <c:tx>
            <c:strRef>
              <c:f>Sheet1!$A$2</c:f>
              <c:strCache>
                <c:ptCount val="1"/>
                <c:pt idx="0">
                  <c:v>2021</c:v>
                </c:pt>
              </c:strCache>
            </c:strRef>
          </c:tx>
          <c:spPr>
            <a:solidFill>
              <a:srgbClr val="9999FF"/>
            </a:solidFill>
            <a:ln w="12703">
              <a:solidFill>
                <a:srgbClr val="000000"/>
              </a:solidFill>
              <a:prstDash val="solid"/>
            </a:ln>
          </c:spPr>
          <c:explosion val="0"/>
          <c:dPt>
            <c:idx val="0"/>
            <c:bubble3D val="0"/>
            <c:spPr>
              <a:solidFill>
                <a:srgbClr val="9999FF"/>
              </a:solidFill>
              <a:ln w="12703">
                <a:solidFill>
                  <a:srgbClr val="000000"/>
                </a:solidFill>
                <a:prstDash val="solid"/>
              </a:ln>
            </c:spPr>
          </c:dPt>
          <c:dPt>
            <c:idx val="1"/>
            <c:bubble3D val="0"/>
            <c:spPr>
              <a:solidFill>
                <a:srgbClr val="993366"/>
              </a:solidFill>
              <a:ln w="12703">
                <a:solidFill>
                  <a:srgbClr val="000000"/>
                </a:solidFill>
                <a:prstDash val="solid"/>
              </a:ln>
            </c:spPr>
          </c:dPt>
          <c:dPt>
            <c:idx val="2"/>
            <c:bubble3D val="0"/>
            <c:spPr>
              <a:solidFill>
                <a:srgbClr val="FFFFCC"/>
              </a:solidFill>
              <a:ln w="12703">
                <a:solidFill>
                  <a:srgbClr val="000000"/>
                </a:solidFill>
                <a:prstDash val="solid"/>
              </a:ln>
            </c:spPr>
          </c:dPt>
          <c:dPt>
            <c:idx val="3"/>
            <c:bubble3D val="0"/>
            <c:spPr>
              <a:solidFill>
                <a:srgbClr val="CCFFFF"/>
              </a:solidFill>
              <a:ln w="12703">
                <a:solidFill>
                  <a:srgbClr val="000000"/>
                </a:solidFill>
                <a:prstDash val="solid"/>
              </a:ln>
            </c:spPr>
          </c:dPt>
          <c:dLbls>
            <c:delete val="1"/>
          </c:dLbls>
          <c:cat>
            <c:strRef>
              <c:f>Sheet1!$B$1:$E$1</c:f>
              <c:strCache>
                <c:ptCount val="4"/>
                <c:pt idx="0">
                  <c:v>2021年总收入</c:v>
                </c:pt>
                <c:pt idx="1">
                  <c:v>一般公共预算财政拨款收入705.8</c:v>
                </c:pt>
                <c:pt idx="2">
                  <c:v>政府性基金预算财政拨款155.74</c:v>
                </c:pt>
                <c:pt idx="3">
                  <c:v>其他收入0.03</c:v>
                </c:pt>
              </c:strCache>
            </c:strRef>
          </c:cat>
          <c:val>
            <c:numRef>
              <c:f>Sheet1!$B$2:$E$2</c:f>
              <c:numCache>
                <c:formatCode>General</c:formatCode>
                <c:ptCount val="4"/>
                <c:pt idx="0">
                  <c:v>861.57</c:v>
                </c:pt>
                <c:pt idx="1">
                  <c:v>705.8</c:v>
                </c:pt>
                <c:pt idx="2">
                  <c:v>155.74</c:v>
                </c:pt>
                <c:pt idx="3">
                  <c:v>0.03</c:v>
                </c:pt>
              </c:numCache>
            </c:numRef>
          </c:val>
        </c:ser>
        <c:ser>
          <c:idx val="1"/>
          <c:order val="1"/>
          <c:tx>
            <c:strRef>
              <c:f>Sheet1!$A$3</c:f>
              <c:strCache>
                <c:ptCount val="1"/>
                <c:pt idx="0">
                  <c:v/>
                </c:pt>
              </c:strCache>
            </c:strRef>
          </c:tx>
          <c:spPr>
            <a:solidFill>
              <a:srgbClr val="993366"/>
            </a:solidFill>
            <a:ln w="12703">
              <a:solidFill>
                <a:srgbClr val="000000"/>
              </a:solidFill>
              <a:prstDash val="solid"/>
            </a:ln>
          </c:spPr>
          <c:explosion val="0"/>
          <c:dPt>
            <c:idx val="0"/>
            <c:bubble3D val="0"/>
            <c:spPr>
              <a:solidFill>
                <a:srgbClr val="9999FF"/>
              </a:solidFill>
              <a:ln w="12703">
                <a:solidFill>
                  <a:srgbClr val="000000"/>
                </a:solidFill>
                <a:prstDash val="solid"/>
              </a:ln>
            </c:spPr>
          </c:dPt>
          <c:dPt>
            <c:idx val="1"/>
            <c:bubble3D val="0"/>
            <c:spPr>
              <a:solidFill>
                <a:srgbClr val="993366"/>
              </a:solidFill>
              <a:ln w="12703">
                <a:solidFill>
                  <a:srgbClr val="000000"/>
                </a:solidFill>
                <a:prstDash val="solid"/>
              </a:ln>
            </c:spPr>
          </c:dPt>
          <c:dPt>
            <c:idx val="2"/>
            <c:bubble3D val="0"/>
            <c:spPr>
              <a:solidFill>
                <a:srgbClr val="FFFFCC"/>
              </a:solidFill>
              <a:ln w="12703">
                <a:solidFill>
                  <a:srgbClr val="000000"/>
                </a:solidFill>
                <a:prstDash val="solid"/>
              </a:ln>
            </c:spPr>
          </c:dPt>
          <c:dPt>
            <c:idx val="3"/>
            <c:bubble3D val="0"/>
            <c:spPr>
              <a:solidFill>
                <a:srgbClr val="CCFFFF"/>
              </a:solidFill>
              <a:ln w="12703">
                <a:solidFill>
                  <a:srgbClr val="000000"/>
                </a:solidFill>
                <a:prstDash val="solid"/>
              </a:ln>
            </c:spPr>
          </c:dPt>
          <c:dLbls>
            <c:delete val="1"/>
          </c:dLbls>
          <c:cat>
            <c:strRef>
              <c:f>Sheet1!$B$1:$E$1</c:f>
              <c:strCache>
                <c:ptCount val="4"/>
                <c:pt idx="0">
                  <c:v>2021年总收入</c:v>
                </c:pt>
                <c:pt idx="1">
                  <c:v>一般公共预算财政拨款收入705.8</c:v>
                </c:pt>
                <c:pt idx="2">
                  <c:v>政府性基金预算财政拨款155.74</c:v>
                </c:pt>
                <c:pt idx="3">
                  <c:v>其他收入0.03</c:v>
                </c:pt>
              </c:strCache>
            </c:strRef>
          </c:cat>
          <c:val>
            <c:numRef>
              <c:f>Sheet1!$B$3:$E$3</c:f>
              <c:numCache>
                <c:formatCode>General</c:formatCode>
                <c:ptCount val="4"/>
              </c:numCache>
            </c:numRef>
          </c:val>
        </c:ser>
        <c:ser>
          <c:idx val="2"/>
          <c:order val="2"/>
          <c:tx>
            <c:strRef>
              <c:f>Sheet1!$A$4</c:f>
              <c:strCache>
                <c:ptCount val="1"/>
                <c:pt idx="0">
                  <c:v/>
                </c:pt>
              </c:strCache>
            </c:strRef>
          </c:tx>
          <c:spPr>
            <a:solidFill>
              <a:srgbClr val="FFFFCC"/>
            </a:solidFill>
            <a:ln w="12703">
              <a:solidFill>
                <a:srgbClr val="000000"/>
              </a:solidFill>
              <a:prstDash val="solid"/>
            </a:ln>
          </c:spPr>
          <c:explosion val="0"/>
          <c:dPt>
            <c:idx val="0"/>
            <c:bubble3D val="0"/>
            <c:spPr>
              <a:solidFill>
                <a:srgbClr val="9999FF"/>
              </a:solidFill>
              <a:ln w="12703">
                <a:solidFill>
                  <a:srgbClr val="000000"/>
                </a:solidFill>
                <a:prstDash val="solid"/>
              </a:ln>
            </c:spPr>
          </c:dPt>
          <c:dPt>
            <c:idx val="1"/>
            <c:bubble3D val="0"/>
            <c:spPr>
              <a:solidFill>
                <a:srgbClr val="993366"/>
              </a:solidFill>
              <a:ln w="12703">
                <a:solidFill>
                  <a:srgbClr val="000000"/>
                </a:solidFill>
                <a:prstDash val="solid"/>
              </a:ln>
            </c:spPr>
          </c:dPt>
          <c:dPt>
            <c:idx val="2"/>
            <c:bubble3D val="0"/>
            <c:spPr>
              <a:solidFill>
                <a:srgbClr val="FFFFCC"/>
              </a:solidFill>
              <a:ln w="12703">
                <a:solidFill>
                  <a:srgbClr val="000000"/>
                </a:solidFill>
                <a:prstDash val="solid"/>
              </a:ln>
            </c:spPr>
          </c:dPt>
          <c:dPt>
            <c:idx val="3"/>
            <c:bubble3D val="0"/>
            <c:spPr>
              <a:solidFill>
                <a:srgbClr val="CCFFFF"/>
              </a:solidFill>
              <a:ln w="12703">
                <a:solidFill>
                  <a:srgbClr val="000000"/>
                </a:solidFill>
                <a:prstDash val="solid"/>
              </a:ln>
            </c:spPr>
          </c:dPt>
          <c:dLbls>
            <c:delete val="1"/>
          </c:dLbls>
          <c:cat>
            <c:strRef>
              <c:f>Sheet1!$B$1:$E$1</c:f>
              <c:strCache>
                <c:ptCount val="4"/>
                <c:pt idx="0">
                  <c:v>2021年总收入</c:v>
                </c:pt>
                <c:pt idx="1">
                  <c:v>一般公共预算财政拨款收入705.8</c:v>
                </c:pt>
                <c:pt idx="2">
                  <c:v>政府性基金预算财政拨款155.74</c:v>
                </c:pt>
                <c:pt idx="3">
                  <c:v>其他收入0.03</c:v>
                </c:pt>
              </c:strCache>
            </c:strRef>
          </c:cat>
          <c:val>
            <c:numRef>
              <c:f>Sheet1!$B$4:$E$4</c:f>
              <c:numCache>
                <c:formatCode>General</c:formatCode>
                <c:ptCount val="4"/>
              </c:numCache>
            </c:numRef>
          </c:val>
        </c:ser>
        <c:dLbls>
          <c:showLegendKey val="0"/>
          <c:showVal val="0"/>
          <c:showCatName val="0"/>
          <c:showSerName val="0"/>
          <c:showPercent val="0"/>
          <c:showBubbleSize val="0"/>
          <c:showLeaderLines val="1"/>
        </c:dLbls>
        <c:firstSliceAng val="0"/>
      </c:pieChart>
      <c:spPr>
        <a:noFill/>
        <a:ln w="25406">
          <a:noFill/>
        </a:ln>
      </c:spPr>
    </c:plotArea>
    <c:legend>
      <c:legendPos val="r"/>
      <c:layout>
        <c:manualLayout>
          <c:xMode val="edge"/>
          <c:yMode val="edge"/>
          <c:x val="0.654676258992808"/>
          <c:y val="0.153846153846155"/>
          <c:w val="0.330935251798561"/>
          <c:h val="0.686813186813187"/>
        </c:manualLayout>
      </c:layout>
      <c:overlay val="0"/>
      <c:spPr>
        <a:noFill/>
        <a:ln w="3176">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10791366906"/>
          <c:y val="0.10989010989011"/>
          <c:w val="0.510791366906476"/>
          <c:h val="0.78021978021978"/>
        </c:manualLayout>
      </c:layout>
      <c:pieChart>
        <c:varyColors val="1"/>
        <c:ser>
          <c:idx val="0"/>
          <c:order val="0"/>
          <c:tx>
            <c:strRef>
              <c:f>Sheet1!$A$2</c:f>
              <c:strCache>
                <c:ptCount val="1"/>
                <c:pt idx="0">
                  <c:v>2021</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delete val="1"/>
          </c:dLbls>
          <c:cat>
            <c:strRef>
              <c:f>Sheet1!$B$1:$D$1</c:f>
              <c:strCache>
                <c:ptCount val="3"/>
                <c:pt idx="0">
                  <c:v>2021年总支出937.65</c:v>
                </c:pt>
                <c:pt idx="1">
                  <c:v>基本支出496.01</c:v>
                </c:pt>
                <c:pt idx="2">
                  <c:v>项目支出441.64</c:v>
                </c:pt>
              </c:strCache>
            </c:strRef>
          </c:cat>
          <c:val>
            <c:numRef>
              <c:f>Sheet1!$B$2:$D$2</c:f>
              <c:numCache>
                <c:formatCode>General</c:formatCode>
                <c:ptCount val="3"/>
                <c:pt idx="0">
                  <c:v>937.65</c:v>
                </c:pt>
                <c:pt idx="1">
                  <c:v>496.01</c:v>
                </c:pt>
                <c:pt idx="2">
                  <c:v>441.64</c:v>
                </c:pt>
              </c:numCache>
            </c:numRef>
          </c:val>
        </c:ser>
        <c:ser>
          <c:idx val="1"/>
          <c:order val="1"/>
          <c:tx>
            <c:strRef>
              <c:f>Sheet1!$A$3</c:f>
              <c:strCache>
                <c:ptCount val="1"/>
                <c:pt idx="0">
                  <c:v/>
                </c:pt>
              </c:strCache>
            </c:strRef>
          </c:tx>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delete val="1"/>
          </c:dLbls>
          <c:cat>
            <c:strRef>
              <c:f>Sheet1!$B$1:$D$1</c:f>
              <c:strCache>
                <c:ptCount val="3"/>
                <c:pt idx="0">
                  <c:v>2021年总支出937.65</c:v>
                </c:pt>
                <c:pt idx="1">
                  <c:v>基本支出496.01</c:v>
                </c:pt>
                <c:pt idx="2">
                  <c:v>项目支出441.64</c:v>
                </c:pt>
              </c:strCache>
            </c:strRef>
          </c:cat>
          <c:val>
            <c:numRef>
              <c:f>Sheet1!$B$3:$D$3</c:f>
              <c:numCache>
                <c:formatCode>General</c:formatCode>
                <c:ptCount val="3"/>
              </c:numCache>
            </c:numRef>
          </c:val>
        </c:ser>
        <c:ser>
          <c:idx val="2"/>
          <c:order val="2"/>
          <c:tx>
            <c:strRef>
              <c:f>Sheet1!$A$4</c:f>
              <c:strCache>
                <c:ptCount val="1"/>
                <c:pt idx="0">
                  <c:v/>
                </c:pt>
              </c:strCache>
            </c:strRef>
          </c:tx>
          <c:spPr>
            <a:solidFill>
              <a:srgbClr val="FFFFCC"/>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delete val="1"/>
          </c:dLbls>
          <c:cat>
            <c:strRef>
              <c:f>Sheet1!$B$1:$D$1</c:f>
              <c:strCache>
                <c:ptCount val="3"/>
                <c:pt idx="0">
                  <c:v>2021年总支出937.65</c:v>
                </c:pt>
                <c:pt idx="1">
                  <c:v>基本支出496.01</c:v>
                </c:pt>
                <c:pt idx="2">
                  <c:v>项目支出441.64</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750266477107028"/>
          <c:y val="0.311508092738409"/>
          <c:w val="0.244604316546763"/>
          <c:h val="0.285714285714287"/>
        </c:manualLayout>
      </c:layout>
      <c:overlay val="0"/>
      <c:spPr>
        <a:noFill/>
        <a:ln w="3175">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53115727003"/>
          <c:y val="0.046511627906977"/>
          <c:w val="0.614243323442137"/>
          <c:h val="0.851744186046515"/>
        </c:manualLayout>
      </c:layout>
      <c:barChart>
        <c:barDir val="col"/>
        <c:grouping val="clustered"/>
        <c:varyColors val="0"/>
        <c:ser>
          <c:idx val="0"/>
          <c:order val="0"/>
          <c:tx>
            <c:strRef>
              <c:f>Sheet1!$A$2</c:f>
              <c:strCache>
                <c:ptCount val="1"/>
                <c:pt idx="0">
                  <c:v>2021年</c:v>
                </c:pt>
              </c:strCache>
            </c:strRef>
          </c:tx>
          <c:spPr>
            <a:solidFill>
              <a:srgbClr val="9999FF"/>
            </a:solidFill>
            <a:ln w="12686">
              <a:solidFill>
                <a:srgbClr val="000000"/>
              </a:solidFill>
              <a:prstDash val="solid"/>
            </a:ln>
          </c:spPr>
          <c:invertIfNegative val="0"/>
          <c:dLbls>
            <c:delete val="1"/>
          </c:dLbls>
          <c:cat>
            <c:strRef>
              <c:f>Sheet1!$B$1:$E$1</c:f>
              <c:strCache>
                <c:ptCount val="2"/>
                <c:pt idx="0">
                  <c:v>收入</c:v>
                </c:pt>
                <c:pt idx="1">
                  <c:v>支出</c:v>
                </c:pt>
              </c:strCache>
            </c:strRef>
          </c:cat>
          <c:val>
            <c:numRef>
              <c:f>Sheet1!$B$2:$E$2</c:f>
              <c:numCache>
                <c:formatCode>General</c:formatCode>
                <c:ptCount val="4"/>
                <c:pt idx="0">
                  <c:v>937.680000000001</c:v>
                </c:pt>
                <c:pt idx="1">
                  <c:v>937.680000000001</c:v>
                </c:pt>
              </c:numCache>
            </c:numRef>
          </c:val>
        </c:ser>
        <c:ser>
          <c:idx val="1"/>
          <c:order val="1"/>
          <c:tx>
            <c:strRef>
              <c:f>Sheet1!$A$3</c:f>
              <c:strCache>
                <c:ptCount val="1"/>
                <c:pt idx="0">
                  <c:v>2020年</c:v>
                </c:pt>
              </c:strCache>
            </c:strRef>
          </c:tx>
          <c:spPr>
            <a:solidFill>
              <a:srgbClr val="993366"/>
            </a:solidFill>
            <a:ln w="12686">
              <a:solidFill>
                <a:srgbClr val="000000"/>
              </a:solidFill>
              <a:prstDash val="solid"/>
            </a:ln>
          </c:spPr>
          <c:invertIfNegative val="0"/>
          <c:dLbls>
            <c:delete val="1"/>
          </c:dLbls>
          <c:cat>
            <c:strRef>
              <c:f>Sheet1!$B$1:$E$1</c:f>
              <c:strCache>
                <c:ptCount val="2"/>
                <c:pt idx="0">
                  <c:v>收入</c:v>
                </c:pt>
                <c:pt idx="1">
                  <c:v>支出</c:v>
                </c:pt>
              </c:strCache>
            </c:strRef>
          </c:cat>
          <c:val>
            <c:numRef>
              <c:f>Sheet1!$B$3:$E$3</c:f>
              <c:numCache>
                <c:formatCode>General</c:formatCode>
                <c:ptCount val="4"/>
                <c:pt idx="0">
                  <c:v>1306.83</c:v>
                </c:pt>
                <c:pt idx="1">
                  <c:v>1306.83</c:v>
                </c:pt>
              </c:numCache>
            </c:numRef>
          </c:val>
        </c:ser>
        <c:dLbls>
          <c:showLegendKey val="0"/>
          <c:showVal val="0"/>
          <c:showCatName val="0"/>
          <c:showSerName val="0"/>
          <c:showPercent val="0"/>
          <c:showBubbleSize val="0"/>
        </c:dLbls>
        <c:gapWidth val="150"/>
        <c:axId val="87584768"/>
        <c:axId val="87586304"/>
      </c:barChart>
      <c:catAx>
        <c:axId val="87584768"/>
        <c:scaling>
          <c:orientation val="minMax"/>
        </c:scaling>
        <c:delete val="0"/>
        <c:axPos val="b"/>
        <c:numFmt formatCode="General" sourceLinked="1"/>
        <c:majorTickMark val="in"/>
        <c:minorTickMark val="none"/>
        <c:tickLblPos val="low"/>
        <c:spPr>
          <a:ln w="3172" cap="flat" cmpd="sng" algn="ctr">
            <a:solidFill>
              <a:srgbClr val="000000"/>
            </a:solidFill>
            <a:prstDash val="solid"/>
            <a:roun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87586304"/>
        <c:crosses val="autoZero"/>
        <c:auto val="1"/>
        <c:lblAlgn val="ctr"/>
        <c:lblOffset val="100"/>
        <c:tickLblSkip val="1"/>
        <c:noMultiLvlLbl val="0"/>
      </c:catAx>
      <c:valAx>
        <c:axId val="87586304"/>
        <c:scaling>
          <c:orientation val="minMax"/>
        </c:scaling>
        <c:delete val="0"/>
        <c:axPos val="l"/>
        <c:majorGridlines>
          <c:spPr>
            <a:ln w="3172" cap="flat" cmpd="sng" algn="ctr">
              <a:solidFill>
                <a:srgbClr val="000000"/>
              </a:solidFill>
              <a:prstDash val="solid"/>
              <a:round/>
            </a:ln>
          </c:spPr>
        </c:majorGridlines>
        <c:numFmt formatCode="General" sourceLinked="1"/>
        <c:majorTickMark val="in"/>
        <c:minorTickMark val="none"/>
        <c:tickLblPos val="nextTo"/>
        <c:spPr>
          <a:ln w="3172" cap="flat" cmpd="sng" algn="ctr">
            <a:solidFill>
              <a:srgbClr val="000000"/>
            </a:solidFill>
            <a:prstDash val="solid"/>
            <a:roun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87584768"/>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80415430267062"/>
          <c:y val="0.441860465116281"/>
          <c:w val="0.207715133531159"/>
          <c:h val="0.119186046511628"/>
        </c:manualLayout>
      </c:layout>
      <c:overlay val="0"/>
      <c:spPr>
        <a:noFill/>
        <a:ln w="3172">
          <a:solidFill>
            <a:srgbClr val="000000"/>
          </a:solidFill>
          <a:prstDash val="solid"/>
        </a:ln>
      </c:spPr>
      <c:txPr>
        <a:bodyPr rot="0" spcFirstLastPara="0" vertOverflow="ellipsis" vert="horz" wrap="square" anchor="ctr" anchorCtr="1"/>
        <a:lstStyle/>
        <a:p>
          <a:pPr>
            <a:defRPr lang="zh-CN" sz="10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11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3541666666674"/>
          <c:y val="0.0350194552529183"/>
          <c:w val="0.700520833333337"/>
          <c:h val="0.883268482490272"/>
        </c:manualLayout>
      </c:layout>
      <c:barChart>
        <c:barDir val="col"/>
        <c:grouping val="clustered"/>
        <c:varyColors val="0"/>
        <c:ser>
          <c:idx val="0"/>
          <c:order val="0"/>
          <c:tx>
            <c:strRef>
              <c:f>Sheet1!$A$2</c:f>
              <c:strCache>
                <c:ptCount val="1"/>
                <c:pt idx="0">
                  <c:v>2021年781.91</c:v>
                </c:pt>
              </c:strCache>
            </c:strRef>
          </c:tx>
          <c:spPr>
            <a:solidFill>
              <a:srgbClr val="9999FF"/>
            </a:solidFill>
            <a:ln w="12687">
              <a:solidFill>
                <a:srgbClr val="000000"/>
              </a:solidFill>
              <a:prstDash val="solid"/>
            </a:ln>
          </c:spPr>
          <c:invertIfNegative val="0"/>
          <c:dLbls>
            <c:delete val="1"/>
          </c:dLbls>
          <c:cat>
            <c:numRef>
              <c:f>Sheet1!$B$1:$E$1</c:f>
              <c:numCache>
                <c:formatCode>General</c:formatCode>
                <c:ptCount val="4"/>
              </c:numCache>
            </c:numRef>
          </c:cat>
          <c:val>
            <c:numRef>
              <c:f>Sheet1!$B$2:$E$2</c:f>
              <c:numCache>
                <c:formatCode>General</c:formatCode>
                <c:ptCount val="4"/>
                <c:pt idx="0">
                  <c:v>781.91</c:v>
                </c:pt>
              </c:numCache>
            </c:numRef>
          </c:val>
        </c:ser>
        <c:ser>
          <c:idx val="1"/>
          <c:order val="1"/>
          <c:tx>
            <c:strRef>
              <c:f>Sheet1!$A$3</c:f>
              <c:strCache>
                <c:ptCount val="1"/>
                <c:pt idx="0">
                  <c:v>2020年873.34</c:v>
                </c:pt>
              </c:strCache>
            </c:strRef>
          </c:tx>
          <c:spPr>
            <a:solidFill>
              <a:srgbClr val="993366"/>
            </a:solidFill>
            <a:ln w="12687">
              <a:solidFill>
                <a:srgbClr val="000000"/>
              </a:solidFill>
              <a:prstDash val="solid"/>
            </a:ln>
          </c:spPr>
          <c:invertIfNegative val="0"/>
          <c:dLbls>
            <c:delete val="1"/>
          </c:dLbls>
          <c:cat>
            <c:numRef>
              <c:f>Sheet1!$B$1:$E$1</c:f>
              <c:numCache>
                <c:formatCode>General</c:formatCode>
                <c:ptCount val="4"/>
              </c:numCache>
            </c:numRef>
          </c:cat>
          <c:val>
            <c:numRef>
              <c:f>Sheet1!$B$3:$E$3</c:f>
              <c:numCache>
                <c:formatCode>General</c:formatCode>
                <c:ptCount val="4"/>
                <c:pt idx="0">
                  <c:v>873.339999999999</c:v>
                </c:pt>
              </c:numCache>
            </c:numRef>
          </c:val>
        </c:ser>
        <c:dLbls>
          <c:showLegendKey val="0"/>
          <c:showVal val="0"/>
          <c:showCatName val="0"/>
          <c:showSerName val="0"/>
          <c:showPercent val="0"/>
          <c:showBubbleSize val="0"/>
        </c:dLbls>
        <c:gapWidth val="150"/>
        <c:axId val="87611264"/>
        <c:axId val="87612800"/>
      </c:barChart>
      <c:catAx>
        <c:axId val="87611264"/>
        <c:scaling>
          <c:orientation val="minMax"/>
        </c:scaling>
        <c:delete val="0"/>
        <c:axPos val="b"/>
        <c:numFmt formatCode="General" sourceLinked="1"/>
        <c:majorTickMark val="out"/>
        <c:minorTickMark val="none"/>
        <c:tickLblPos val="low"/>
        <c:spPr>
          <a:ln w="9515" cap="flat" cmpd="sng" algn="ctr">
            <a:no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87612800"/>
        <c:crosses val="autoZero"/>
        <c:auto val="1"/>
        <c:lblAlgn val="ctr"/>
        <c:lblOffset val="100"/>
        <c:tickLblSkip val="1"/>
        <c:noMultiLvlLbl val="0"/>
      </c:catAx>
      <c:valAx>
        <c:axId val="87612800"/>
        <c:scaling>
          <c:orientation val="minMax"/>
        </c:scaling>
        <c:delete val="0"/>
        <c:axPos val="l"/>
        <c:numFmt formatCode="General" sourceLinked="1"/>
        <c:majorTickMark val="out"/>
        <c:minorTickMark val="none"/>
        <c:tickLblPos val="nextTo"/>
        <c:spPr>
          <a:ln w="3172" cap="flat" cmpd="sng" algn="ctr">
            <a:solidFill>
              <a:srgbClr val="000000"/>
            </a:solidFill>
            <a:prstDash val="solid"/>
            <a:round/>
          </a:ln>
        </c:spPr>
        <c:txPr>
          <a:bodyPr rot="0" spcFirstLastPara="0" vertOverflow="ellipsis" vert="horz" wrap="square" anchor="ctr" anchorCtr="1"/>
          <a:lstStyle/>
          <a:p>
            <a:pPr>
              <a:defRPr lang="zh-CN" sz="9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87611264"/>
        <c:crosses val="autoZero"/>
        <c:crossBetween val="between"/>
      </c:valAx>
      <c:spPr>
        <a:noFill/>
        <a:ln w="25400">
          <a:noFill/>
        </a:ln>
        <a:effectLst/>
      </c:spPr>
    </c:plotArea>
    <c:legend>
      <c:legendPos val="r"/>
      <c:layout>
        <c:manualLayout>
          <c:xMode val="edge"/>
          <c:yMode val="edge"/>
          <c:x val="0.646163848808239"/>
          <c:y val="0.16308167052725"/>
          <c:w val="0.284065710060354"/>
          <c:h val="0.368912496285379"/>
        </c:manualLayout>
      </c:layout>
      <c:overlay val="0"/>
      <c:spPr>
        <a:solidFill>
          <a:srgbClr val="FFFFFF"/>
        </a:solidFill>
        <a:ln w="3172">
          <a:solidFill>
            <a:srgbClr val="000000"/>
          </a:solidFill>
          <a:prstDash val="solid"/>
        </a:ln>
        <a:effectLst>
          <a:outerShdw dist="35921" dir="2700000" algn="br">
            <a:srgbClr val="000000"/>
          </a:outerShdw>
        </a:effectLst>
      </c:spPr>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95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9424460431655"/>
          <c:y val="0.10989010989011"/>
          <c:w val="0.507194244604317"/>
          <c:h val="0.774725274725279"/>
        </c:manualLayout>
      </c:layout>
      <c:pieChart>
        <c:varyColors val="1"/>
        <c:ser>
          <c:idx val="0"/>
          <c:order val="0"/>
          <c:tx>
            <c:strRef>
              <c:f>Sheet1!$A$2</c:f>
              <c:strCache>
                <c:ptCount val="1"/>
                <c:pt idx="0">
                  <c:v/>
                </c:pt>
              </c:strCache>
            </c:strRef>
          </c:tx>
          <c:spPr>
            <a:solidFill>
              <a:srgbClr val="9999FF"/>
            </a:solidFill>
            <a:ln w="12679">
              <a:solidFill>
                <a:srgbClr val="000000"/>
              </a:solidFill>
              <a:prstDash val="solid"/>
            </a:ln>
          </c:spPr>
          <c:explosion val="0"/>
          <c:dPt>
            <c:idx val="0"/>
            <c:bubble3D val="0"/>
            <c:spPr>
              <a:solidFill>
                <a:srgbClr val="9999FF"/>
              </a:solidFill>
              <a:ln w="12679">
                <a:solidFill>
                  <a:srgbClr val="000000"/>
                </a:solidFill>
                <a:prstDash val="solid"/>
              </a:ln>
            </c:spPr>
          </c:dPt>
          <c:dPt>
            <c:idx val="1"/>
            <c:bubble3D val="0"/>
            <c:spPr>
              <a:solidFill>
                <a:srgbClr val="993366"/>
              </a:solidFill>
              <a:ln w="12679">
                <a:solidFill>
                  <a:srgbClr val="000000"/>
                </a:solidFill>
                <a:prstDash val="solid"/>
              </a:ln>
            </c:spPr>
          </c:dPt>
          <c:dPt>
            <c:idx val="2"/>
            <c:bubble3D val="0"/>
            <c:spPr>
              <a:solidFill>
                <a:srgbClr val="FFFFCC"/>
              </a:solidFill>
              <a:ln w="12679">
                <a:solidFill>
                  <a:srgbClr val="000000"/>
                </a:solidFill>
                <a:prstDash val="solid"/>
              </a:ln>
            </c:spPr>
          </c:dPt>
          <c:dPt>
            <c:idx val="3"/>
            <c:bubble3D val="0"/>
            <c:spPr>
              <a:solidFill>
                <a:srgbClr val="CCFFFF"/>
              </a:solidFill>
              <a:ln w="12679">
                <a:solidFill>
                  <a:srgbClr val="000000"/>
                </a:solidFill>
                <a:prstDash val="solid"/>
              </a:ln>
            </c:spPr>
          </c:dPt>
          <c:dPt>
            <c:idx val="4"/>
            <c:bubble3D val="0"/>
            <c:spPr>
              <a:solidFill>
                <a:srgbClr val="660066"/>
              </a:solidFill>
              <a:ln w="12679">
                <a:solidFill>
                  <a:srgbClr val="000000"/>
                </a:solidFill>
                <a:prstDash val="solid"/>
              </a:ln>
            </c:spPr>
          </c:dPt>
          <c:dLbls>
            <c:delete val="1"/>
          </c:dLbls>
          <c:cat>
            <c:strRef>
              <c:f>Sheet1!$B$1:$F$1</c:f>
              <c:strCache>
                <c:ptCount val="5"/>
                <c:pt idx="0">
                  <c:v>一般公共预算财政拨款781.91</c:v>
                </c:pt>
                <c:pt idx="1">
                  <c:v>城乡社区支出627.92</c:v>
                </c:pt>
                <c:pt idx="2">
                  <c:v>社区保障和就业支出44.78</c:v>
                </c:pt>
                <c:pt idx="3">
                  <c:v>卫生健康支出17.48</c:v>
                </c:pt>
                <c:pt idx="4">
                  <c:v>住房保障支出22.98</c:v>
                </c:pt>
              </c:strCache>
            </c:strRef>
          </c:cat>
          <c:val>
            <c:numRef>
              <c:f>Sheet1!$B$2:$F$2</c:f>
              <c:numCache>
                <c:formatCode>General</c:formatCode>
                <c:ptCount val="5"/>
                <c:pt idx="0">
                  <c:v>781.91</c:v>
                </c:pt>
                <c:pt idx="1">
                  <c:v>627.92</c:v>
                </c:pt>
                <c:pt idx="2">
                  <c:v>44.78</c:v>
                </c:pt>
                <c:pt idx="3">
                  <c:v>17.48</c:v>
                </c:pt>
                <c:pt idx="4">
                  <c:v>22.98</c:v>
                </c:pt>
              </c:numCache>
            </c:numRef>
          </c:val>
        </c:ser>
        <c:ser>
          <c:idx val="1"/>
          <c:order val="1"/>
          <c:tx>
            <c:strRef>
              <c:f>Sheet1!$A$3</c:f>
              <c:strCache>
                <c:ptCount val="1"/>
                <c:pt idx="0">
                  <c:v/>
                </c:pt>
              </c:strCache>
            </c:strRef>
          </c:tx>
          <c:spPr>
            <a:solidFill>
              <a:srgbClr val="993366"/>
            </a:solidFill>
            <a:ln w="12679">
              <a:solidFill>
                <a:srgbClr val="000000"/>
              </a:solidFill>
              <a:prstDash val="solid"/>
            </a:ln>
          </c:spPr>
          <c:explosion val="0"/>
          <c:dPt>
            <c:idx val="0"/>
            <c:bubble3D val="0"/>
            <c:spPr>
              <a:solidFill>
                <a:srgbClr val="9999FF"/>
              </a:solidFill>
              <a:ln w="12679">
                <a:solidFill>
                  <a:srgbClr val="000000"/>
                </a:solidFill>
                <a:prstDash val="solid"/>
              </a:ln>
            </c:spPr>
          </c:dPt>
          <c:dPt>
            <c:idx val="1"/>
            <c:bubble3D val="0"/>
            <c:spPr>
              <a:solidFill>
                <a:srgbClr val="993366"/>
              </a:solidFill>
              <a:ln w="12679">
                <a:solidFill>
                  <a:srgbClr val="000000"/>
                </a:solidFill>
                <a:prstDash val="solid"/>
              </a:ln>
            </c:spPr>
          </c:dPt>
          <c:dPt>
            <c:idx val="2"/>
            <c:bubble3D val="0"/>
            <c:spPr>
              <a:solidFill>
                <a:srgbClr val="FFFFCC"/>
              </a:solidFill>
              <a:ln w="12679">
                <a:solidFill>
                  <a:srgbClr val="000000"/>
                </a:solidFill>
                <a:prstDash val="solid"/>
              </a:ln>
            </c:spPr>
          </c:dPt>
          <c:dPt>
            <c:idx val="3"/>
            <c:bubble3D val="0"/>
            <c:spPr>
              <a:solidFill>
                <a:srgbClr val="CCFFFF"/>
              </a:solidFill>
              <a:ln w="12679">
                <a:solidFill>
                  <a:srgbClr val="000000"/>
                </a:solidFill>
                <a:prstDash val="solid"/>
              </a:ln>
            </c:spPr>
          </c:dPt>
          <c:dPt>
            <c:idx val="4"/>
            <c:bubble3D val="0"/>
            <c:spPr>
              <a:solidFill>
                <a:srgbClr val="660066"/>
              </a:solidFill>
              <a:ln w="12679">
                <a:solidFill>
                  <a:srgbClr val="000000"/>
                </a:solidFill>
                <a:prstDash val="solid"/>
              </a:ln>
            </c:spPr>
          </c:dPt>
          <c:dLbls>
            <c:delete val="1"/>
          </c:dLbls>
          <c:cat>
            <c:strRef>
              <c:f>Sheet1!$B$1:$F$1</c:f>
              <c:strCache>
                <c:ptCount val="5"/>
                <c:pt idx="0">
                  <c:v>一般公共预算财政拨款781.91</c:v>
                </c:pt>
                <c:pt idx="1">
                  <c:v>城乡社区支出627.92</c:v>
                </c:pt>
                <c:pt idx="2">
                  <c:v>社区保障和就业支出44.78</c:v>
                </c:pt>
                <c:pt idx="3">
                  <c:v>卫生健康支出17.48</c:v>
                </c:pt>
                <c:pt idx="4">
                  <c:v>住房保障支出22.98</c:v>
                </c:pt>
              </c:strCache>
            </c:strRef>
          </c:cat>
          <c:val>
            <c:numRef>
              <c:f>Sheet1!$B$3:$F$3</c:f>
              <c:numCache>
                <c:formatCode>General</c:formatCode>
                <c:ptCount val="5"/>
              </c:numCache>
            </c:numRef>
          </c:val>
        </c:ser>
        <c:ser>
          <c:idx val="2"/>
          <c:order val="2"/>
          <c:tx>
            <c:strRef>
              <c:f>Sheet1!$A$4</c:f>
              <c:strCache>
                <c:ptCount val="1"/>
                <c:pt idx="0">
                  <c:v/>
                </c:pt>
              </c:strCache>
            </c:strRef>
          </c:tx>
          <c:spPr>
            <a:solidFill>
              <a:srgbClr val="FFFFCC"/>
            </a:solidFill>
            <a:ln w="12679">
              <a:solidFill>
                <a:srgbClr val="000000"/>
              </a:solidFill>
              <a:prstDash val="solid"/>
            </a:ln>
          </c:spPr>
          <c:explosion val="0"/>
          <c:dPt>
            <c:idx val="0"/>
            <c:bubble3D val="0"/>
            <c:spPr>
              <a:solidFill>
                <a:srgbClr val="9999FF"/>
              </a:solidFill>
              <a:ln w="12679">
                <a:solidFill>
                  <a:srgbClr val="000000"/>
                </a:solidFill>
                <a:prstDash val="solid"/>
              </a:ln>
            </c:spPr>
          </c:dPt>
          <c:dPt>
            <c:idx val="1"/>
            <c:bubble3D val="0"/>
            <c:spPr>
              <a:solidFill>
                <a:srgbClr val="993366"/>
              </a:solidFill>
              <a:ln w="12679">
                <a:solidFill>
                  <a:srgbClr val="000000"/>
                </a:solidFill>
                <a:prstDash val="solid"/>
              </a:ln>
            </c:spPr>
          </c:dPt>
          <c:dPt>
            <c:idx val="2"/>
            <c:bubble3D val="0"/>
            <c:spPr>
              <a:solidFill>
                <a:srgbClr val="FFFFCC"/>
              </a:solidFill>
              <a:ln w="12679">
                <a:solidFill>
                  <a:srgbClr val="000000"/>
                </a:solidFill>
                <a:prstDash val="solid"/>
              </a:ln>
            </c:spPr>
          </c:dPt>
          <c:dPt>
            <c:idx val="3"/>
            <c:bubble3D val="0"/>
            <c:spPr>
              <a:solidFill>
                <a:srgbClr val="CCFFFF"/>
              </a:solidFill>
              <a:ln w="12679">
                <a:solidFill>
                  <a:srgbClr val="000000"/>
                </a:solidFill>
                <a:prstDash val="solid"/>
              </a:ln>
            </c:spPr>
          </c:dPt>
          <c:dPt>
            <c:idx val="4"/>
            <c:bubble3D val="0"/>
            <c:spPr>
              <a:solidFill>
                <a:srgbClr val="660066"/>
              </a:solidFill>
              <a:ln w="12679">
                <a:solidFill>
                  <a:srgbClr val="000000"/>
                </a:solidFill>
                <a:prstDash val="solid"/>
              </a:ln>
            </c:spPr>
          </c:dPt>
          <c:dLbls>
            <c:delete val="1"/>
          </c:dLbls>
          <c:cat>
            <c:strRef>
              <c:f>Sheet1!$B$1:$F$1</c:f>
              <c:strCache>
                <c:ptCount val="5"/>
                <c:pt idx="0">
                  <c:v>一般公共预算财政拨款781.91</c:v>
                </c:pt>
                <c:pt idx="1">
                  <c:v>城乡社区支出627.92</c:v>
                </c:pt>
                <c:pt idx="2">
                  <c:v>社区保障和就业支出44.78</c:v>
                </c:pt>
                <c:pt idx="3">
                  <c:v>卫生健康支出17.48</c:v>
                </c:pt>
                <c:pt idx="4">
                  <c:v>住房保障支出22.98</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firstSliceAng val="0"/>
      </c:pieChart>
      <c:spPr>
        <a:solidFill>
          <a:srgbClr val="C0C0C0"/>
        </a:solidFill>
        <a:ln w="12679">
          <a:solidFill>
            <a:srgbClr val="808080"/>
          </a:solidFill>
          <a:prstDash val="solid"/>
        </a:ln>
      </c:spPr>
    </c:plotArea>
    <c:legend>
      <c:legendPos val="r"/>
      <c:layout>
        <c:manualLayout>
          <c:xMode val="edge"/>
          <c:yMode val="edge"/>
          <c:x val="0.6181738606716"/>
          <c:y val="0.0912178660594255"/>
          <c:w val="0.377392808477338"/>
          <c:h val="0.867098058735692"/>
        </c:manualLayout>
      </c:layout>
      <c:overlay val="0"/>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940</Words>
  <Characters>5361</Characters>
  <Lines>44</Lines>
  <Paragraphs>12</Paragraphs>
  <TotalTime>14</TotalTime>
  <ScaleCrop>false</ScaleCrop>
  <LinksUpToDate>false</LinksUpToDate>
  <CharactersWithSpaces>6289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2023-10-07T08:17:00Z</dcterms:created>
  <dc:creator>曹颖</dc:creator>
  <cp:lastModifiedBy>李东方</cp:lastModifiedBy>
  <cp:lastPrinted>2022-08-06T02:23:00Z</cp:lastPrinted>
  <dcterms:modified xsi:type="dcterms:W3CDTF">2023-10-12T00:22:45Z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598F962D104C493CBADF2EF8206E5B9F_12</vt:lpwstr>
  </property>
</Properties>
</file>